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8A25" w14:textId="47A3C077" w:rsidR="00A26C08" w:rsidRPr="00A26C08"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w:t>
      </w:r>
      <w:r w:rsidR="00A26C08" w:rsidRPr="00A26C08">
        <w:rPr>
          <w:rFonts w:ascii="Times New Roman" w:eastAsia="Times New Roman" w:hAnsi="Times New Roman" w:cs="Times New Roman"/>
          <w:b/>
          <w:bCs/>
          <w:sz w:val="24"/>
          <w:szCs w:val="24"/>
          <w:lang w:eastAsia="lv-LV"/>
        </w:rPr>
        <w:t>projekta</w:t>
      </w:r>
      <w:r w:rsidR="007C6303">
        <w:rPr>
          <w:rFonts w:ascii="Times New Roman" w:eastAsia="Times New Roman" w:hAnsi="Times New Roman" w:cs="Times New Roman"/>
          <w:b/>
          <w:bCs/>
          <w:sz w:val="24"/>
          <w:szCs w:val="24"/>
          <w:lang w:eastAsia="lv-LV"/>
        </w:rPr>
        <w:t xml:space="preserve"> </w:t>
      </w:r>
      <w:r w:rsidR="00BA350A">
        <w:rPr>
          <w:rFonts w:ascii="Times New Roman" w:eastAsia="Times New Roman" w:hAnsi="Times New Roman" w:cs="Times New Roman"/>
          <w:b/>
          <w:bCs/>
          <w:sz w:val="24"/>
          <w:szCs w:val="24"/>
          <w:lang w:eastAsia="lv-LV"/>
        </w:rPr>
        <w:t>“</w:t>
      </w:r>
      <w:r w:rsidR="000E670F" w:rsidRPr="00A26C08">
        <w:rPr>
          <w:rFonts w:ascii="Times New Roman" w:eastAsia="Times New Roman" w:hAnsi="Times New Roman" w:cs="Times New Roman"/>
          <w:b/>
          <w:bCs/>
          <w:sz w:val="24"/>
          <w:szCs w:val="24"/>
          <w:lang w:eastAsia="lv-LV"/>
        </w:rPr>
        <w:t>Grozījum</w:t>
      </w:r>
      <w:r w:rsidR="000E670F">
        <w:rPr>
          <w:rFonts w:ascii="Times New Roman" w:eastAsia="Times New Roman" w:hAnsi="Times New Roman" w:cs="Times New Roman"/>
          <w:b/>
          <w:bCs/>
          <w:sz w:val="24"/>
          <w:szCs w:val="24"/>
          <w:lang w:eastAsia="lv-LV"/>
        </w:rPr>
        <w:t>i</w:t>
      </w:r>
      <w:r w:rsidR="000E670F" w:rsidRPr="00A26C08">
        <w:rPr>
          <w:rFonts w:ascii="Times New Roman" w:eastAsia="Times New Roman" w:hAnsi="Times New Roman" w:cs="Times New Roman"/>
          <w:b/>
          <w:bCs/>
          <w:sz w:val="24"/>
          <w:szCs w:val="24"/>
          <w:lang w:eastAsia="lv-LV"/>
        </w:rPr>
        <w:t xml:space="preserve"> </w:t>
      </w:r>
      <w:r w:rsidR="007C6303">
        <w:rPr>
          <w:rFonts w:ascii="Times New Roman" w:eastAsia="Times New Roman" w:hAnsi="Times New Roman" w:cs="Times New Roman"/>
          <w:b/>
          <w:bCs/>
          <w:sz w:val="24"/>
          <w:szCs w:val="24"/>
          <w:lang w:eastAsia="lv-LV"/>
        </w:rPr>
        <w:t xml:space="preserve">Ūdens apsaimniekošanas </w:t>
      </w:r>
      <w:r>
        <w:rPr>
          <w:rFonts w:ascii="Times New Roman" w:eastAsia="Times New Roman" w:hAnsi="Times New Roman" w:cs="Times New Roman"/>
          <w:b/>
          <w:bCs/>
          <w:sz w:val="24"/>
          <w:szCs w:val="24"/>
          <w:lang w:eastAsia="lv-LV"/>
        </w:rPr>
        <w:t>likumā</w:t>
      </w:r>
      <w:r w:rsidR="00BA350A">
        <w:rPr>
          <w:rFonts w:ascii="Times New Roman" w:eastAsia="Times New Roman" w:hAnsi="Times New Roman" w:cs="Times New Roman"/>
          <w:b/>
          <w:bCs/>
          <w:sz w:val="24"/>
          <w:szCs w:val="24"/>
          <w:lang w:eastAsia="lv-LV"/>
        </w:rPr>
        <w:t>”</w:t>
      </w:r>
      <w:r w:rsidR="00A26C08" w:rsidRPr="00A26C08">
        <w:rPr>
          <w:rFonts w:ascii="Times New Roman" w:eastAsia="Times New Roman" w:hAnsi="Times New Roman" w:cs="Times New Roman"/>
          <w:b/>
          <w:bCs/>
          <w:sz w:val="24"/>
          <w:szCs w:val="24"/>
          <w:lang w:eastAsia="lv-LV"/>
        </w:rPr>
        <w:t xml:space="preserve"> </w:t>
      </w:r>
    </w:p>
    <w:p w14:paraId="218C6F88" w14:textId="77777777" w:rsid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A26C08">
          <w:rPr>
            <w:rFonts w:ascii="Times New Roman" w:eastAsia="Times New Roman" w:hAnsi="Times New Roman" w:cs="Times New Roman"/>
            <w:b/>
            <w:bCs/>
            <w:sz w:val="24"/>
            <w:szCs w:val="24"/>
            <w:lang w:eastAsia="lv-LV"/>
          </w:rPr>
          <w:t>ziņojums</w:t>
        </w:r>
      </w:smartTag>
      <w:r w:rsidRPr="00A26C08">
        <w:rPr>
          <w:rFonts w:ascii="Times New Roman" w:eastAsia="Times New Roman" w:hAnsi="Times New Roman" w:cs="Times New Roman"/>
          <w:b/>
          <w:bCs/>
          <w:sz w:val="24"/>
          <w:szCs w:val="24"/>
          <w:lang w:eastAsia="lv-LV"/>
        </w:rPr>
        <w:t xml:space="preserve"> (anotācija)</w:t>
      </w:r>
    </w:p>
    <w:p w14:paraId="7685CB8B" w14:textId="77777777" w:rsidR="00EF5231" w:rsidRDefault="00EF5231" w:rsidP="00A26C08">
      <w:pPr>
        <w:keepNext/>
        <w:spacing w:after="0" w:line="240" w:lineRule="auto"/>
        <w:jc w:val="center"/>
        <w:outlineLvl w:val="2"/>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397"/>
        <w:gridCol w:w="5500"/>
      </w:tblGrid>
      <w:tr w:rsidR="00EF5231" w:rsidRPr="00EF5231" w14:paraId="5772D650" w14:textId="77777777" w:rsidTr="00F125E9">
        <w:tc>
          <w:tcPr>
            <w:tcW w:w="8897" w:type="dxa"/>
            <w:gridSpan w:val="2"/>
          </w:tcPr>
          <w:p w14:paraId="78470409" w14:textId="77777777" w:rsidR="00EF5231" w:rsidRPr="00EF5231" w:rsidRDefault="00EF5231" w:rsidP="000E5DD3">
            <w:pPr>
              <w:jc w:val="center"/>
              <w:rPr>
                <w:rFonts w:ascii="Times New Roman" w:hAnsi="Times New Roman" w:cs="Times New Roman"/>
              </w:rPr>
            </w:pPr>
            <w:r w:rsidRPr="00EF5231">
              <w:rPr>
                <w:rFonts w:ascii="Times New Roman" w:eastAsia="Times New Roman" w:hAnsi="Times New Roman" w:cs="Times New Roman"/>
                <w:b/>
                <w:iCs/>
                <w:sz w:val="24"/>
                <w:szCs w:val="24"/>
              </w:rPr>
              <w:t>Tiesību akta projekta anotācijas kopsavilkums</w:t>
            </w:r>
          </w:p>
        </w:tc>
      </w:tr>
      <w:tr w:rsidR="00EF5231" w:rsidRPr="00FD3A00" w14:paraId="362028C8" w14:textId="77777777" w:rsidTr="00F125E9">
        <w:trPr>
          <w:trHeight w:val="672"/>
        </w:trPr>
        <w:tc>
          <w:tcPr>
            <w:tcW w:w="3397" w:type="dxa"/>
          </w:tcPr>
          <w:p w14:paraId="6B949D71" w14:textId="77777777" w:rsidR="00EF5231" w:rsidRPr="00F125E9" w:rsidRDefault="00EF5231" w:rsidP="000E5DD3">
            <w:pPr>
              <w:rPr>
                <w:rFonts w:ascii="Times New Roman" w:hAnsi="Times New Roman" w:cs="Times New Roman"/>
                <w:sz w:val="24"/>
                <w:szCs w:val="24"/>
              </w:rPr>
            </w:pPr>
            <w:r w:rsidRPr="00FD3A00">
              <w:rPr>
                <w:rFonts w:ascii="Times New Roman" w:eastAsia="Times New Roman" w:hAnsi="Times New Roman" w:cs="Times New Roman"/>
                <w:iCs/>
                <w:sz w:val="24"/>
                <w:szCs w:val="24"/>
              </w:rPr>
              <w:t>Mērķis, risinājums un projekta spēkā stāšanās laiks (500 zīmes bez atstarpēm)</w:t>
            </w:r>
          </w:p>
        </w:tc>
        <w:tc>
          <w:tcPr>
            <w:tcW w:w="5500" w:type="dxa"/>
          </w:tcPr>
          <w:p w14:paraId="3F68E4D9" w14:textId="2F9E05BC" w:rsidR="00122B9E" w:rsidRPr="00F71BFD" w:rsidRDefault="00EF5231" w:rsidP="009E28C7">
            <w:pPr>
              <w:jc w:val="both"/>
              <w:rPr>
                <w:rFonts w:ascii="Times New Roman" w:hAnsi="Times New Roman" w:cs="Times New Roman"/>
                <w:sz w:val="24"/>
                <w:szCs w:val="24"/>
              </w:rPr>
            </w:pPr>
            <w:r w:rsidRPr="00504893">
              <w:rPr>
                <w:rFonts w:ascii="Times New Roman" w:hAnsi="Times New Roman" w:cs="Times New Roman"/>
                <w:sz w:val="24"/>
                <w:szCs w:val="24"/>
              </w:rPr>
              <w:t xml:space="preserve">Likumprojekta </w:t>
            </w:r>
            <w:r w:rsidR="00BA350A" w:rsidRPr="00504893">
              <w:rPr>
                <w:rFonts w:ascii="Times New Roman" w:hAnsi="Times New Roman" w:cs="Times New Roman"/>
                <w:bCs/>
                <w:sz w:val="24"/>
                <w:szCs w:val="24"/>
                <w:lang w:eastAsia="lv-LV"/>
              </w:rPr>
              <w:t>“</w:t>
            </w:r>
            <w:r w:rsidR="001C794D" w:rsidRPr="00504893">
              <w:rPr>
                <w:rFonts w:ascii="Times New Roman" w:hAnsi="Times New Roman" w:cs="Times New Roman"/>
                <w:bCs/>
                <w:sz w:val="24"/>
                <w:szCs w:val="24"/>
                <w:lang w:eastAsia="lv-LV"/>
              </w:rPr>
              <w:t>Grozījumi Ūdens apsaimniekošanas likumā</w:t>
            </w:r>
            <w:r w:rsidR="009E28C7" w:rsidRPr="00504893">
              <w:rPr>
                <w:rFonts w:ascii="Times New Roman" w:hAnsi="Times New Roman" w:cs="Times New Roman"/>
                <w:bCs/>
                <w:sz w:val="24"/>
                <w:szCs w:val="24"/>
                <w:lang w:eastAsia="lv-LV"/>
              </w:rPr>
              <w:t>”</w:t>
            </w:r>
            <w:r w:rsidR="00FB7AB8">
              <w:rPr>
                <w:rFonts w:ascii="Times New Roman" w:hAnsi="Times New Roman" w:cs="Times New Roman"/>
                <w:bCs/>
                <w:sz w:val="24"/>
                <w:szCs w:val="24"/>
                <w:lang w:eastAsia="lv-LV"/>
              </w:rPr>
              <w:t xml:space="preserve"> </w:t>
            </w:r>
            <w:r w:rsidR="001C794D" w:rsidRPr="00504893">
              <w:rPr>
                <w:rFonts w:ascii="Times New Roman" w:hAnsi="Times New Roman" w:cs="Times New Roman"/>
                <w:bCs/>
                <w:sz w:val="24"/>
                <w:szCs w:val="24"/>
                <w:lang w:eastAsia="lv-LV"/>
              </w:rPr>
              <w:t xml:space="preserve">(turpmāk – likumprojekts) </w:t>
            </w:r>
            <w:r w:rsidRPr="00504893">
              <w:rPr>
                <w:rFonts w:ascii="Times New Roman" w:hAnsi="Times New Roman" w:cs="Times New Roman"/>
                <w:sz w:val="24"/>
                <w:szCs w:val="24"/>
              </w:rPr>
              <w:t xml:space="preserve">mērķis ir </w:t>
            </w:r>
            <w:r w:rsidR="00177704" w:rsidRPr="00504893">
              <w:rPr>
                <w:rFonts w:ascii="Times New Roman" w:hAnsi="Times New Roman"/>
                <w:sz w:val="24"/>
                <w:szCs w:val="24"/>
              </w:rPr>
              <w:t>veikt administratīvo pārkāpumu kodifikāciju ūdens resursu aizsardzība</w:t>
            </w:r>
            <w:r w:rsidR="006F586D" w:rsidRPr="00504893">
              <w:rPr>
                <w:rFonts w:ascii="Times New Roman" w:hAnsi="Times New Roman"/>
                <w:sz w:val="24"/>
                <w:szCs w:val="24"/>
              </w:rPr>
              <w:t>i</w:t>
            </w:r>
            <w:r w:rsidR="00177704" w:rsidRPr="00504893">
              <w:rPr>
                <w:rFonts w:ascii="Times New Roman" w:hAnsi="Times New Roman"/>
                <w:sz w:val="24"/>
                <w:szCs w:val="24"/>
              </w:rPr>
              <w:t xml:space="preserve"> un apsaimniekošana</w:t>
            </w:r>
            <w:r w:rsidR="006F586D" w:rsidRPr="00504893">
              <w:rPr>
                <w:rFonts w:ascii="Times New Roman" w:hAnsi="Times New Roman"/>
                <w:sz w:val="24"/>
                <w:szCs w:val="24"/>
              </w:rPr>
              <w:t>i</w:t>
            </w:r>
            <w:r w:rsidR="00177704" w:rsidRPr="00504893">
              <w:rPr>
                <w:rFonts w:ascii="Times New Roman" w:hAnsi="Times New Roman"/>
                <w:sz w:val="24"/>
                <w:szCs w:val="24"/>
              </w:rPr>
              <w:t>.</w:t>
            </w:r>
            <w:r w:rsidR="006F586D" w:rsidRPr="00504893">
              <w:rPr>
                <w:rFonts w:ascii="Times New Roman" w:hAnsi="Times New Roman"/>
                <w:sz w:val="24"/>
                <w:szCs w:val="24"/>
              </w:rPr>
              <w:t xml:space="preserve"> </w:t>
            </w:r>
            <w:r w:rsidR="00122B9E" w:rsidRPr="00504893">
              <w:rPr>
                <w:rFonts w:ascii="Times New Roman" w:eastAsia="Times New Roman" w:hAnsi="Times New Roman" w:cs="Times New Roman"/>
                <w:sz w:val="24"/>
                <w:szCs w:val="24"/>
              </w:rPr>
              <w:t xml:space="preserve">Ar likumprojektu </w:t>
            </w:r>
            <w:r w:rsidR="009E28C7" w:rsidRPr="00504893">
              <w:rPr>
                <w:rFonts w:ascii="Times New Roman" w:hAnsi="Times New Roman" w:cs="Times New Roman"/>
                <w:bCs/>
                <w:sz w:val="24"/>
                <w:szCs w:val="24"/>
                <w:lang w:eastAsia="lv-LV"/>
              </w:rPr>
              <w:t>Ūdens apsaimniekošanas likumā</w:t>
            </w:r>
            <w:r w:rsidR="009E28C7">
              <w:rPr>
                <w:rFonts w:ascii="Times New Roman" w:hAnsi="Times New Roman" w:cs="Times New Roman"/>
                <w:bCs/>
                <w:sz w:val="24"/>
                <w:szCs w:val="24"/>
                <w:lang w:eastAsia="lv-LV"/>
              </w:rPr>
              <w:t xml:space="preserve"> (turpmāk – ŪAL)</w:t>
            </w:r>
            <w:r w:rsidR="009E28C7" w:rsidRPr="00504893">
              <w:rPr>
                <w:rFonts w:ascii="Times New Roman" w:hAnsi="Times New Roman" w:cs="Times New Roman"/>
                <w:bCs/>
                <w:sz w:val="24"/>
                <w:szCs w:val="24"/>
                <w:lang w:eastAsia="lv-LV"/>
              </w:rPr>
              <w:t xml:space="preserve"> </w:t>
            </w:r>
            <w:r w:rsidR="00FB7AB8">
              <w:rPr>
                <w:rFonts w:ascii="Times New Roman" w:hAnsi="Times New Roman" w:cs="Times New Roman"/>
                <w:bCs/>
                <w:sz w:val="24"/>
                <w:szCs w:val="24"/>
                <w:lang w:eastAsia="lv-LV"/>
              </w:rPr>
              <w:t xml:space="preserve"> </w:t>
            </w:r>
            <w:r w:rsidR="001A5322" w:rsidRPr="00504893">
              <w:rPr>
                <w:rFonts w:ascii="Times New Roman" w:hAnsi="Times New Roman" w:cs="Times New Roman"/>
                <w:bCs/>
                <w:sz w:val="24"/>
                <w:szCs w:val="24"/>
                <w:lang w:eastAsia="lv-LV"/>
              </w:rPr>
              <w:t xml:space="preserve">tiek iekļauti </w:t>
            </w:r>
            <w:r w:rsidR="001A5322" w:rsidRPr="00504893">
              <w:rPr>
                <w:rFonts w:ascii="Times New Roman" w:eastAsia="Times New Roman" w:hAnsi="Times New Roman" w:cs="Times New Roman"/>
                <w:sz w:val="24"/>
                <w:szCs w:val="24"/>
              </w:rPr>
              <w:t>Latvijas Administratīvo pārkāpumu kodeksa (turpmāk – Kodekss)</w:t>
            </w:r>
            <w:r w:rsidR="001A5322" w:rsidRPr="00504893">
              <w:rPr>
                <w:rFonts w:ascii="Times New Roman" w:hAnsi="Times New Roman" w:cs="Times New Roman"/>
                <w:sz w:val="24"/>
                <w:szCs w:val="24"/>
              </w:rPr>
              <w:t xml:space="preserve"> 60., 62. un 64. pantā</w:t>
            </w:r>
            <w:r w:rsidR="001A5322" w:rsidRPr="00504893">
              <w:rPr>
                <w:rFonts w:ascii="Times New Roman" w:hAnsi="Times New Roman" w:cs="Times New Roman"/>
                <w:bCs/>
                <w:sz w:val="24"/>
                <w:szCs w:val="24"/>
                <w:lang w:eastAsia="lv-LV"/>
              </w:rPr>
              <w:t xml:space="preserve"> </w:t>
            </w:r>
            <w:r w:rsidR="00C629AE" w:rsidRPr="00504893">
              <w:rPr>
                <w:rFonts w:ascii="Times New Roman" w:hAnsi="Times New Roman" w:cs="Times New Roman"/>
                <w:bCs/>
                <w:sz w:val="24"/>
                <w:szCs w:val="24"/>
                <w:lang w:eastAsia="lv-LV"/>
              </w:rPr>
              <w:t>esošie administratīvie pārkāpumi</w:t>
            </w:r>
            <w:r w:rsidR="00177704" w:rsidRPr="00504893">
              <w:rPr>
                <w:rFonts w:ascii="Times New Roman" w:hAnsi="Times New Roman" w:cs="Times New Roman"/>
                <w:bCs/>
                <w:sz w:val="24"/>
                <w:szCs w:val="24"/>
                <w:lang w:eastAsia="lv-LV"/>
              </w:rPr>
              <w:t xml:space="preserve"> </w:t>
            </w:r>
            <w:r w:rsidR="00E667BC">
              <w:rPr>
                <w:rFonts w:ascii="Times New Roman" w:hAnsi="Times New Roman" w:cs="Times New Roman"/>
                <w:bCs/>
                <w:sz w:val="24"/>
                <w:szCs w:val="24"/>
                <w:lang w:eastAsia="lv-LV"/>
              </w:rPr>
              <w:t xml:space="preserve">ūdens </w:t>
            </w:r>
            <w:r w:rsidR="00C629AE" w:rsidRPr="00504893">
              <w:rPr>
                <w:rFonts w:ascii="Times New Roman" w:hAnsi="Times New Roman" w:cs="Times New Roman"/>
                <w:bCs/>
                <w:sz w:val="24"/>
                <w:szCs w:val="24"/>
                <w:lang w:eastAsia="lv-LV"/>
              </w:rPr>
              <w:t>resursu aizsardzība</w:t>
            </w:r>
            <w:r w:rsidR="006F586D" w:rsidRPr="00504893">
              <w:rPr>
                <w:rFonts w:ascii="Times New Roman" w:hAnsi="Times New Roman" w:cs="Times New Roman"/>
                <w:bCs/>
                <w:sz w:val="24"/>
                <w:szCs w:val="24"/>
                <w:lang w:eastAsia="lv-LV"/>
              </w:rPr>
              <w:t>s</w:t>
            </w:r>
            <w:r w:rsidR="00C629AE" w:rsidRPr="00504893">
              <w:rPr>
                <w:rFonts w:ascii="Times New Roman" w:hAnsi="Times New Roman" w:cs="Times New Roman"/>
                <w:bCs/>
                <w:sz w:val="24"/>
                <w:szCs w:val="24"/>
                <w:lang w:eastAsia="lv-LV"/>
              </w:rPr>
              <w:t xml:space="preserve"> un apsaimniekošana</w:t>
            </w:r>
            <w:r w:rsidR="006F586D" w:rsidRPr="00504893">
              <w:rPr>
                <w:rFonts w:ascii="Times New Roman" w:hAnsi="Times New Roman" w:cs="Times New Roman"/>
                <w:bCs/>
                <w:sz w:val="24"/>
                <w:szCs w:val="24"/>
                <w:lang w:eastAsia="lv-LV"/>
              </w:rPr>
              <w:t>s jomā</w:t>
            </w:r>
            <w:r w:rsidR="008668BB" w:rsidRPr="00504893">
              <w:rPr>
                <w:rFonts w:ascii="Times New Roman" w:hAnsi="Times New Roman" w:cs="Times New Roman"/>
                <w:bCs/>
                <w:sz w:val="24"/>
                <w:szCs w:val="24"/>
                <w:lang w:eastAsia="lv-LV"/>
              </w:rPr>
              <w:t>.</w:t>
            </w:r>
            <w:r w:rsidR="00F84472" w:rsidRPr="00504893">
              <w:rPr>
                <w:rFonts w:ascii="Times New Roman" w:hAnsi="Times New Roman" w:cs="Times New Roman"/>
                <w:bCs/>
                <w:sz w:val="24"/>
                <w:szCs w:val="24"/>
                <w:lang w:eastAsia="lv-LV"/>
              </w:rPr>
              <w:t xml:space="preserve"> </w:t>
            </w:r>
            <w:r w:rsidR="00E667BC">
              <w:rPr>
                <w:rFonts w:ascii="Times New Roman" w:hAnsi="Times New Roman" w:cs="Times New Roman"/>
                <w:bCs/>
                <w:sz w:val="24"/>
                <w:szCs w:val="24"/>
                <w:lang w:eastAsia="lv-LV"/>
              </w:rPr>
              <w:t xml:space="preserve">Papildus </w:t>
            </w:r>
            <w:r w:rsidR="00765084">
              <w:rPr>
                <w:rFonts w:ascii="Times New Roman" w:hAnsi="Times New Roman" w:cs="Times New Roman"/>
                <w:bCs/>
                <w:sz w:val="24"/>
                <w:szCs w:val="24"/>
                <w:lang w:eastAsia="lv-LV"/>
              </w:rPr>
              <w:t xml:space="preserve">tam </w:t>
            </w:r>
            <w:r w:rsidR="00E667BC">
              <w:rPr>
                <w:rFonts w:ascii="Times New Roman" w:hAnsi="Times New Roman" w:cs="Times New Roman"/>
                <w:bCs/>
                <w:sz w:val="24"/>
                <w:szCs w:val="24"/>
                <w:lang w:eastAsia="lv-LV"/>
              </w:rPr>
              <w:t>a</w:t>
            </w:r>
            <w:r w:rsidR="00F84472" w:rsidRPr="00504893">
              <w:rPr>
                <w:rFonts w:ascii="Times New Roman" w:hAnsi="Times New Roman" w:cs="Times New Roman"/>
                <w:sz w:val="24"/>
                <w:szCs w:val="24"/>
              </w:rPr>
              <w:t xml:space="preserve">dministratīvā atbildība tiek noteikta par </w:t>
            </w:r>
            <w:r w:rsidR="006C2764" w:rsidRPr="00504893">
              <w:rPr>
                <w:rFonts w:ascii="Times New Roman" w:hAnsi="Times New Roman" w:cs="Times New Roman"/>
                <w:sz w:val="24"/>
                <w:szCs w:val="24"/>
              </w:rPr>
              <w:t>peldvietas</w:t>
            </w:r>
            <w:r w:rsidR="003760BE" w:rsidRPr="00504893">
              <w:rPr>
                <w:rFonts w:ascii="Times New Roman" w:hAnsi="Times New Roman" w:cs="Times New Roman"/>
                <w:sz w:val="24"/>
                <w:szCs w:val="24"/>
              </w:rPr>
              <w:t xml:space="preserve"> izveidošanas un uzturēšanas prasīb</w:t>
            </w:r>
            <w:r w:rsidR="00765084">
              <w:rPr>
                <w:rFonts w:ascii="Times New Roman" w:hAnsi="Times New Roman" w:cs="Times New Roman"/>
                <w:sz w:val="24"/>
                <w:szCs w:val="24"/>
              </w:rPr>
              <w:t>u neievērošanu</w:t>
            </w:r>
            <w:r w:rsidR="00E667BC">
              <w:rPr>
                <w:rFonts w:ascii="Times New Roman" w:hAnsi="Times New Roman" w:cs="Times New Roman"/>
                <w:sz w:val="24"/>
                <w:szCs w:val="24"/>
              </w:rPr>
              <w:t xml:space="preserve">. </w:t>
            </w:r>
            <w:r w:rsidR="006F586D" w:rsidRPr="00504893">
              <w:rPr>
                <w:rFonts w:ascii="Times New Roman" w:hAnsi="Times New Roman" w:cs="Times New Roman"/>
                <w:bCs/>
                <w:sz w:val="24"/>
                <w:szCs w:val="24"/>
                <w:lang w:eastAsia="lv-LV"/>
              </w:rPr>
              <w:t>L</w:t>
            </w:r>
            <w:r w:rsidR="00F84472" w:rsidRPr="00504893">
              <w:rPr>
                <w:rFonts w:ascii="Times New Roman" w:hAnsi="Times New Roman" w:cs="Times New Roman"/>
                <w:bCs/>
                <w:sz w:val="24"/>
                <w:szCs w:val="24"/>
                <w:lang w:eastAsia="lv-LV"/>
              </w:rPr>
              <w:t>i</w:t>
            </w:r>
            <w:r w:rsidR="007F7083" w:rsidRPr="00504893">
              <w:rPr>
                <w:rFonts w:ascii="Times New Roman" w:hAnsi="Times New Roman" w:cs="Times New Roman"/>
                <w:bCs/>
                <w:sz w:val="24"/>
                <w:szCs w:val="24"/>
                <w:lang w:eastAsia="lv-LV"/>
              </w:rPr>
              <w:t>kumprojekt</w:t>
            </w:r>
            <w:r w:rsidR="006F586D" w:rsidRPr="00504893">
              <w:rPr>
                <w:rFonts w:ascii="Times New Roman" w:hAnsi="Times New Roman" w:cs="Times New Roman"/>
                <w:bCs/>
                <w:sz w:val="24"/>
                <w:szCs w:val="24"/>
                <w:lang w:eastAsia="lv-LV"/>
              </w:rPr>
              <w:t>s</w:t>
            </w:r>
            <w:r w:rsidR="007F7083" w:rsidRPr="00504893">
              <w:rPr>
                <w:rFonts w:ascii="Times New Roman" w:hAnsi="Times New Roman" w:cs="Times New Roman"/>
                <w:bCs/>
                <w:sz w:val="24"/>
                <w:szCs w:val="24"/>
                <w:lang w:eastAsia="lv-LV"/>
              </w:rPr>
              <w:t xml:space="preserve"> </w:t>
            </w:r>
            <w:r w:rsidR="00C629AE" w:rsidRPr="00504893">
              <w:rPr>
                <w:rFonts w:ascii="Times New Roman" w:hAnsi="Times New Roman" w:cs="Times New Roman"/>
                <w:sz w:val="24"/>
                <w:szCs w:val="24"/>
              </w:rPr>
              <w:t>no</w:t>
            </w:r>
            <w:r w:rsidR="00F84472" w:rsidRPr="00504893">
              <w:rPr>
                <w:rFonts w:ascii="Times New Roman" w:hAnsi="Times New Roman" w:cs="Times New Roman"/>
                <w:sz w:val="24"/>
                <w:szCs w:val="24"/>
              </w:rPr>
              <w:t xml:space="preserve">saka </w:t>
            </w:r>
            <w:r w:rsidR="00C629AE" w:rsidRPr="00504893">
              <w:rPr>
                <w:rFonts w:ascii="Times New Roman" w:hAnsi="Times New Roman" w:cs="Times New Roman"/>
                <w:sz w:val="24"/>
                <w:szCs w:val="24"/>
              </w:rPr>
              <w:t>kompetentās</w:t>
            </w:r>
            <w:r w:rsidR="00C629AE" w:rsidRPr="00504893">
              <w:rPr>
                <w:rFonts w:ascii="Times New Roman" w:hAnsi="Times New Roman"/>
                <w:sz w:val="24"/>
                <w:szCs w:val="24"/>
              </w:rPr>
              <w:t xml:space="preserve"> iestādes, kurām būs piekritīga administratīvo sodu piemērošana</w:t>
            </w:r>
            <w:r w:rsidR="00F84472" w:rsidRPr="00504893">
              <w:rPr>
                <w:rFonts w:ascii="Times New Roman" w:hAnsi="Times New Roman"/>
                <w:sz w:val="24"/>
                <w:szCs w:val="24"/>
              </w:rPr>
              <w:t>.</w:t>
            </w:r>
            <w:r w:rsidR="006F586D" w:rsidRPr="00504893">
              <w:rPr>
                <w:rFonts w:ascii="Times New Roman" w:hAnsi="Times New Roman"/>
                <w:sz w:val="24"/>
                <w:szCs w:val="24"/>
              </w:rPr>
              <w:t xml:space="preserve"> </w:t>
            </w:r>
            <w:r w:rsidR="00122B9E" w:rsidRPr="00504893">
              <w:rPr>
                <w:rFonts w:ascii="Times New Roman" w:hAnsi="Times New Roman"/>
                <w:sz w:val="24"/>
                <w:szCs w:val="24"/>
              </w:rPr>
              <w:t>Likumprojekts stāsies spēkā vienlaikus ar Administratīvās atbildības likumu.</w:t>
            </w:r>
          </w:p>
        </w:tc>
      </w:tr>
    </w:tbl>
    <w:p w14:paraId="239F86D2" w14:textId="0B1C8BC3" w:rsidR="00A26C08" w:rsidRPr="00A26C08" w:rsidRDefault="00A26C08" w:rsidP="00E6504B">
      <w:pPr>
        <w:keepNext/>
        <w:spacing w:after="0" w:line="240" w:lineRule="auto"/>
        <w:outlineLvl w:val="2"/>
        <w:rPr>
          <w:rFonts w:ascii="Arial" w:eastAsia="Times New Roman" w:hAnsi="Arial" w:cs="Arial"/>
          <w:b/>
          <w:bCs/>
          <w:sz w:val="24"/>
          <w:szCs w:val="24"/>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26C08" w14:paraId="431D5AE9" w14:textId="77777777" w:rsidTr="00F125E9">
        <w:tc>
          <w:tcPr>
            <w:tcW w:w="8897" w:type="dxa"/>
            <w:gridSpan w:val="3"/>
          </w:tcPr>
          <w:p w14:paraId="3A03E963" w14:textId="7777777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I. Tiesību akta projekta izstrādes nepieciešamība</w:t>
            </w:r>
          </w:p>
        </w:tc>
      </w:tr>
      <w:tr w:rsidR="00A26C08" w:rsidRPr="00A26C08"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26C08"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5707" w:type="dxa"/>
            <w:tcBorders>
              <w:left w:val="single" w:sz="4" w:space="0" w:color="auto"/>
            </w:tcBorders>
          </w:tcPr>
          <w:p w14:paraId="3EC50392" w14:textId="77777777" w:rsidR="008D4740" w:rsidRPr="003760BE" w:rsidRDefault="00A26C08" w:rsidP="006F586D">
            <w:pPr>
              <w:pStyle w:val="ListParagraph"/>
              <w:numPr>
                <w:ilvl w:val="0"/>
                <w:numId w:val="19"/>
              </w:numPr>
              <w:tabs>
                <w:tab w:val="left" w:pos="369"/>
              </w:tabs>
              <w:spacing w:after="0" w:line="240" w:lineRule="auto"/>
              <w:ind w:left="245" w:hanging="245"/>
              <w:jc w:val="both"/>
              <w:rPr>
                <w:rFonts w:ascii="Times New Roman" w:eastAsia="Times New Roman" w:hAnsi="Times New Roman"/>
                <w:sz w:val="24"/>
                <w:szCs w:val="24"/>
                <w:lang w:eastAsia="lv-LV"/>
              </w:rPr>
            </w:pPr>
            <w:r w:rsidRPr="003760BE">
              <w:rPr>
                <w:rFonts w:ascii="Times New Roman" w:eastAsia="Times New Roman" w:hAnsi="Times New Roman"/>
                <w:sz w:val="24"/>
                <w:szCs w:val="24"/>
                <w:lang w:eastAsia="lv-LV"/>
              </w:rPr>
              <w:t>M</w:t>
            </w:r>
            <w:r w:rsidR="00C36BA0" w:rsidRPr="003760BE">
              <w:rPr>
                <w:rFonts w:ascii="Times New Roman" w:eastAsia="Times New Roman" w:hAnsi="Times New Roman"/>
                <w:sz w:val="24"/>
                <w:szCs w:val="24"/>
                <w:lang w:eastAsia="lv-LV"/>
              </w:rPr>
              <w:t>inistru kabineta 2014. gada 22. </w:t>
            </w:r>
            <w:r w:rsidR="00AE232C" w:rsidRPr="003760BE">
              <w:rPr>
                <w:rFonts w:ascii="Times New Roman" w:eastAsia="Times New Roman" w:hAnsi="Times New Roman"/>
                <w:sz w:val="24"/>
                <w:szCs w:val="24"/>
                <w:lang w:eastAsia="lv-LV"/>
              </w:rPr>
              <w:t>aprīļa sēdes protokola Nr.</w:t>
            </w:r>
            <w:r w:rsidR="00C36BA0" w:rsidRPr="003760BE">
              <w:rPr>
                <w:rFonts w:ascii="Times New Roman" w:eastAsia="Times New Roman" w:hAnsi="Times New Roman"/>
                <w:sz w:val="24"/>
                <w:szCs w:val="24"/>
                <w:lang w:eastAsia="lv-LV"/>
              </w:rPr>
              <w:t> </w:t>
            </w:r>
            <w:r w:rsidR="00AE232C" w:rsidRPr="003760BE">
              <w:rPr>
                <w:rFonts w:ascii="Times New Roman" w:eastAsia="Times New Roman" w:hAnsi="Times New Roman"/>
                <w:sz w:val="24"/>
                <w:szCs w:val="24"/>
                <w:lang w:eastAsia="lv-LV"/>
              </w:rPr>
              <w:t>24 26</w:t>
            </w:r>
            <w:r w:rsidR="00B872C1" w:rsidRPr="003760BE">
              <w:rPr>
                <w:rFonts w:ascii="Times New Roman" w:eastAsia="Times New Roman" w:hAnsi="Times New Roman"/>
                <w:sz w:val="24"/>
                <w:szCs w:val="24"/>
                <w:lang w:eastAsia="lv-LV"/>
              </w:rPr>
              <w:t>.§</w:t>
            </w:r>
            <w:r w:rsidR="00AE232C" w:rsidRPr="003760BE">
              <w:rPr>
                <w:rFonts w:ascii="Times New Roman" w:eastAsia="Times New Roman" w:hAnsi="Times New Roman"/>
                <w:sz w:val="24"/>
                <w:szCs w:val="24"/>
                <w:lang w:eastAsia="lv-LV"/>
              </w:rPr>
              <w:t xml:space="preserve"> 2.</w:t>
            </w:r>
            <w:r w:rsidR="00C36BA0" w:rsidRPr="003760BE">
              <w:rPr>
                <w:rFonts w:ascii="Times New Roman" w:eastAsia="Times New Roman" w:hAnsi="Times New Roman"/>
                <w:sz w:val="24"/>
                <w:szCs w:val="24"/>
                <w:lang w:eastAsia="lv-LV"/>
              </w:rPr>
              <w:t> </w:t>
            </w:r>
            <w:r w:rsidR="00AE232C" w:rsidRPr="003760BE">
              <w:rPr>
                <w:rFonts w:ascii="Times New Roman" w:eastAsia="Times New Roman" w:hAnsi="Times New Roman"/>
                <w:sz w:val="24"/>
                <w:szCs w:val="24"/>
                <w:lang w:eastAsia="lv-LV"/>
              </w:rPr>
              <w:t>punkts</w:t>
            </w:r>
            <w:r w:rsidR="00AA34E5" w:rsidRPr="003760BE">
              <w:rPr>
                <w:rFonts w:ascii="Times New Roman" w:eastAsia="Times New Roman" w:hAnsi="Times New Roman"/>
                <w:sz w:val="24"/>
                <w:szCs w:val="24"/>
                <w:lang w:eastAsia="lv-LV"/>
              </w:rPr>
              <w:t>;</w:t>
            </w:r>
          </w:p>
          <w:p w14:paraId="527057DB" w14:textId="7353D71E" w:rsidR="006F586D" w:rsidRPr="003760BE" w:rsidRDefault="0053715C" w:rsidP="006F586D">
            <w:pPr>
              <w:pStyle w:val="ListParagraph"/>
              <w:numPr>
                <w:ilvl w:val="0"/>
                <w:numId w:val="19"/>
              </w:numPr>
              <w:tabs>
                <w:tab w:val="left" w:pos="241"/>
              </w:tabs>
              <w:spacing w:after="0" w:line="240" w:lineRule="auto"/>
              <w:ind w:left="245" w:hanging="245"/>
              <w:jc w:val="both"/>
              <w:rPr>
                <w:rFonts w:ascii="Times New Roman" w:hAnsi="Times New Roman"/>
                <w:sz w:val="24"/>
                <w:szCs w:val="24"/>
              </w:rPr>
            </w:pPr>
            <w:r w:rsidRPr="003760BE">
              <w:rPr>
                <w:rFonts w:ascii="Times New Roman" w:hAnsi="Times New Roman"/>
                <w:sz w:val="24"/>
                <w:szCs w:val="24"/>
              </w:rPr>
              <w:t>Ministru kabineta 2016. gada 13. </w:t>
            </w:r>
            <w:r w:rsidR="0041751E" w:rsidRPr="003760BE">
              <w:rPr>
                <w:rFonts w:ascii="Times New Roman" w:hAnsi="Times New Roman"/>
                <w:sz w:val="24"/>
                <w:szCs w:val="24"/>
              </w:rPr>
              <w:t> </w:t>
            </w:r>
            <w:r w:rsidRPr="003760BE">
              <w:rPr>
                <w:rFonts w:ascii="Times New Roman" w:hAnsi="Times New Roman"/>
                <w:sz w:val="24"/>
                <w:szCs w:val="24"/>
              </w:rPr>
              <w:t xml:space="preserve">decembra sēdes protokola Nr. 68 </w:t>
            </w:r>
            <w:r w:rsidR="00173C9B" w:rsidRPr="003760BE">
              <w:rPr>
                <w:rFonts w:ascii="Times New Roman" w:hAnsi="Times New Roman"/>
                <w:sz w:val="24"/>
                <w:szCs w:val="24"/>
              </w:rPr>
              <w:t>67.</w:t>
            </w:r>
            <w:r w:rsidRPr="003760BE">
              <w:rPr>
                <w:rFonts w:ascii="Times New Roman" w:hAnsi="Times New Roman"/>
                <w:sz w:val="24"/>
                <w:szCs w:val="24"/>
              </w:rPr>
              <w:t>§</w:t>
            </w:r>
            <w:r w:rsidR="008D4740" w:rsidRPr="003760BE">
              <w:rPr>
                <w:rFonts w:ascii="Times New Roman" w:hAnsi="Times New Roman"/>
                <w:sz w:val="24"/>
                <w:szCs w:val="24"/>
              </w:rPr>
              <w:t xml:space="preserve"> 2.</w:t>
            </w:r>
            <w:r w:rsidR="00173C9B" w:rsidRPr="003760BE">
              <w:rPr>
                <w:rFonts w:ascii="Times New Roman" w:hAnsi="Times New Roman"/>
                <w:sz w:val="24"/>
                <w:szCs w:val="24"/>
              </w:rPr>
              <w:t> </w:t>
            </w:r>
            <w:r w:rsidR="008D4740" w:rsidRPr="003760BE">
              <w:rPr>
                <w:rFonts w:ascii="Times New Roman" w:hAnsi="Times New Roman"/>
                <w:sz w:val="24"/>
                <w:szCs w:val="24"/>
              </w:rPr>
              <w:t>punkts</w:t>
            </w:r>
            <w:r w:rsidR="00955B74" w:rsidRPr="003760BE">
              <w:rPr>
                <w:rFonts w:ascii="Times New Roman" w:hAnsi="Times New Roman"/>
                <w:sz w:val="24"/>
                <w:szCs w:val="24"/>
              </w:rPr>
              <w:t>;</w:t>
            </w:r>
            <w:r w:rsidR="00556AF0" w:rsidRPr="003760BE">
              <w:rPr>
                <w:rFonts w:ascii="Times New Roman" w:hAnsi="Times New Roman"/>
                <w:sz w:val="24"/>
                <w:szCs w:val="24"/>
              </w:rPr>
              <w:t xml:space="preserve"> </w:t>
            </w:r>
          </w:p>
          <w:p w14:paraId="3C785AEC" w14:textId="77777777" w:rsidR="00A26C08" w:rsidRPr="009E28C7" w:rsidRDefault="00AA34E5" w:rsidP="006F586D">
            <w:pPr>
              <w:pStyle w:val="ListParagraph"/>
              <w:numPr>
                <w:ilvl w:val="0"/>
                <w:numId w:val="19"/>
              </w:numPr>
              <w:tabs>
                <w:tab w:val="left" w:pos="241"/>
              </w:tabs>
              <w:spacing w:after="0" w:line="240" w:lineRule="auto"/>
              <w:ind w:left="245" w:hanging="245"/>
              <w:jc w:val="both"/>
              <w:rPr>
                <w:rFonts w:ascii="Times New Roman" w:eastAsia="Times New Roman" w:hAnsi="Times New Roman"/>
                <w:sz w:val="24"/>
                <w:szCs w:val="24"/>
                <w:lang w:eastAsia="lv-LV"/>
              </w:rPr>
            </w:pPr>
            <w:r w:rsidRPr="003760BE">
              <w:rPr>
                <w:rFonts w:ascii="Times New Roman" w:hAnsi="Times New Roman"/>
                <w:sz w:val="24"/>
                <w:szCs w:val="24"/>
              </w:rPr>
              <w:t xml:space="preserve">Ministru kabineta 2018. gada 18. decembra sēdes protokola Nr. 60 98. § </w:t>
            </w:r>
            <w:r w:rsidR="00BA350A" w:rsidRPr="003760BE">
              <w:rPr>
                <w:rFonts w:ascii="Times New Roman" w:hAnsi="Times New Roman"/>
                <w:sz w:val="24"/>
                <w:szCs w:val="24"/>
              </w:rPr>
              <w:t>“</w:t>
            </w:r>
            <w:r w:rsidRPr="003760BE">
              <w:rPr>
                <w:rFonts w:ascii="Times New Roman" w:hAnsi="Times New Roman"/>
                <w:sz w:val="24"/>
                <w:szCs w:val="24"/>
              </w:rPr>
              <w:t xml:space="preserve">Informatīvais ziņojums </w:t>
            </w:r>
            <w:r w:rsidR="00BA350A" w:rsidRPr="003760BE">
              <w:rPr>
                <w:rFonts w:ascii="Times New Roman" w:hAnsi="Times New Roman"/>
                <w:sz w:val="24"/>
                <w:szCs w:val="24"/>
              </w:rPr>
              <w:t>“</w:t>
            </w:r>
            <w:r w:rsidRPr="003760BE">
              <w:rPr>
                <w:rFonts w:ascii="Times New Roman" w:hAnsi="Times New Roman"/>
                <w:sz w:val="24"/>
                <w:szCs w:val="24"/>
              </w:rPr>
              <w:t>Nozaru administratīvo pārkāpumu kodifikācijas ieviešanas sistēmas īstenošana</w:t>
            </w:r>
            <w:r w:rsidR="00BA350A" w:rsidRPr="003760BE">
              <w:rPr>
                <w:rFonts w:ascii="Times New Roman" w:hAnsi="Times New Roman"/>
                <w:sz w:val="24"/>
                <w:szCs w:val="24"/>
              </w:rPr>
              <w:t>”“</w:t>
            </w:r>
            <w:r w:rsidR="009E28C7">
              <w:rPr>
                <w:rFonts w:ascii="Times New Roman" w:hAnsi="Times New Roman"/>
                <w:sz w:val="24"/>
                <w:szCs w:val="24"/>
              </w:rPr>
              <w:t xml:space="preserve">  3. punkts;</w:t>
            </w:r>
          </w:p>
          <w:p w14:paraId="21B99119" w14:textId="47913BB1" w:rsidR="009E28C7" w:rsidRPr="003760BE" w:rsidRDefault="009E28C7" w:rsidP="006F586D">
            <w:pPr>
              <w:pStyle w:val="ListParagraph"/>
              <w:numPr>
                <w:ilvl w:val="0"/>
                <w:numId w:val="19"/>
              </w:numPr>
              <w:tabs>
                <w:tab w:val="left" w:pos="241"/>
              </w:tabs>
              <w:spacing w:after="0" w:line="240" w:lineRule="auto"/>
              <w:ind w:left="245" w:hanging="245"/>
              <w:jc w:val="both"/>
              <w:rPr>
                <w:rFonts w:ascii="Times New Roman" w:eastAsia="Times New Roman" w:hAnsi="Times New Roman"/>
                <w:sz w:val="24"/>
                <w:szCs w:val="24"/>
                <w:lang w:eastAsia="lv-LV"/>
              </w:rPr>
            </w:pPr>
            <w:r w:rsidRPr="008F03F3">
              <w:rPr>
                <w:rFonts w:ascii="Times New Roman" w:hAnsi="Times New Roman"/>
                <w:sz w:val="24"/>
                <w:szCs w:val="24"/>
              </w:rPr>
              <w:t>Ministru kabineta 2019. gada 26. novembra sēdes protokola Nr. 55 38. § “Likumprojekts “Grozījumi Administratīvās atbildības likumā””</w:t>
            </w:r>
            <w:r>
              <w:rPr>
                <w:rFonts w:ascii="Times New Roman" w:hAnsi="Times New Roman"/>
                <w:sz w:val="24"/>
                <w:szCs w:val="24"/>
              </w:rPr>
              <w:t xml:space="preserve"> 4. punkts.</w:t>
            </w:r>
          </w:p>
        </w:tc>
      </w:tr>
      <w:tr w:rsidR="00A26C08" w:rsidRPr="00E6504B" w14:paraId="29A10D58" w14:textId="77777777" w:rsidTr="00886473">
        <w:tc>
          <w:tcPr>
            <w:tcW w:w="396" w:type="dxa"/>
            <w:tcBorders>
              <w:top w:val="single" w:sz="4" w:space="0" w:color="auto"/>
            </w:tcBorders>
          </w:tcPr>
          <w:p w14:paraId="0BAD7847" w14:textId="1CC8DCBE" w:rsidR="00A26C08" w:rsidRPr="00E6504B"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E6504B"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E6504B">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E6504B">
              <w:rPr>
                <w:rFonts w:ascii="Times New Roman" w:eastAsia="Calibri" w:hAnsi="Times New Roman" w:cs="Times New Roman"/>
                <w:sz w:val="24"/>
                <w:szCs w:val="24"/>
                <w:lang w:eastAsia="lv-LV"/>
              </w:rPr>
              <w:t xml:space="preserve">  </w:t>
            </w:r>
          </w:p>
        </w:tc>
        <w:tc>
          <w:tcPr>
            <w:tcW w:w="5707" w:type="dxa"/>
          </w:tcPr>
          <w:p w14:paraId="30CF6F7B" w14:textId="37EC6BA9" w:rsidR="00556AF0" w:rsidRPr="00E6504B" w:rsidRDefault="00140FF8" w:rsidP="00F4434D">
            <w:pPr>
              <w:pStyle w:val="FootnoteText"/>
              <w:spacing w:after="120"/>
              <w:ind w:right="200"/>
              <w:jc w:val="both"/>
              <w:rPr>
                <w:sz w:val="24"/>
                <w:szCs w:val="24"/>
              </w:rPr>
            </w:pPr>
            <w:r w:rsidRPr="00E6504B">
              <w:rPr>
                <w:sz w:val="24"/>
                <w:szCs w:val="24"/>
              </w:rPr>
              <w:t>Ministru kabinet</w:t>
            </w:r>
            <w:r w:rsidR="00AF7DFD" w:rsidRPr="00E6504B">
              <w:rPr>
                <w:sz w:val="24"/>
                <w:szCs w:val="24"/>
              </w:rPr>
              <w:t>a sēdē</w:t>
            </w:r>
            <w:r w:rsidRPr="00E6504B">
              <w:rPr>
                <w:sz w:val="24"/>
                <w:szCs w:val="24"/>
              </w:rPr>
              <w:t xml:space="preserve"> </w:t>
            </w:r>
            <w:r w:rsidR="00E6504B" w:rsidRPr="00E6504B">
              <w:rPr>
                <w:sz w:val="24"/>
                <w:szCs w:val="24"/>
              </w:rPr>
              <w:t xml:space="preserve">2014. gada 22. aprīlī </w:t>
            </w:r>
            <w:r w:rsidRPr="00E6504B">
              <w:rPr>
                <w:sz w:val="24"/>
                <w:szCs w:val="24"/>
              </w:rPr>
              <w:t xml:space="preserve">tika izskatīts un </w:t>
            </w:r>
            <w:r w:rsidR="00F320D2" w:rsidRPr="00E6504B">
              <w:rPr>
                <w:sz w:val="24"/>
                <w:szCs w:val="24"/>
              </w:rPr>
              <w:t xml:space="preserve">pieņemts zināšanai </w:t>
            </w:r>
            <w:r w:rsidRPr="00E6504B">
              <w:rPr>
                <w:sz w:val="24"/>
                <w:szCs w:val="24"/>
              </w:rPr>
              <w:t xml:space="preserve">informatīvais ziņojums </w:t>
            </w:r>
            <w:r w:rsidR="00BA350A" w:rsidRPr="00E6504B">
              <w:rPr>
                <w:sz w:val="24"/>
                <w:szCs w:val="24"/>
              </w:rPr>
              <w:t>“</w:t>
            </w:r>
            <w:r w:rsidRPr="00E6504B">
              <w:rPr>
                <w:sz w:val="24"/>
                <w:szCs w:val="24"/>
              </w:rPr>
              <w:t>Nozaru administratīvo pārkāpumu kodifikācijas ieviešanas sistēma</w:t>
            </w:r>
            <w:r w:rsidR="00BA350A" w:rsidRPr="00E6504B">
              <w:rPr>
                <w:sz w:val="24"/>
                <w:szCs w:val="24"/>
              </w:rPr>
              <w:t>”</w:t>
            </w:r>
            <w:r w:rsidRPr="00E6504B">
              <w:rPr>
                <w:sz w:val="24"/>
                <w:szCs w:val="24"/>
              </w:rPr>
              <w:t xml:space="preserve"> (turpmāk – informatīvais ziņojums). Minētās sēdes protokola Nr.</w:t>
            </w:r>
            <w:r w:rsidR="00C36BA0" w:rsidRPr="00E6504B">
              <w:rPr>
                <w:sz w:val="24"/>
                <w:szCs w:val="24"/>
              </w:rPr>
              <w:t> </w:t>
            </w:r>
            <w:r w:rsidRPr="00E6504B">
              <w:rPr>
                <w:sz w:val="24"/>
                <w:szCs w:val="24"/>
              </w:rPr>
              <w:t>24 26.§ 2.</w:t>
            </w:r>
            <w:r w:rsidR="00C36BA0" w:rsidRPr="00E6504B">
              <w:rPr>
                <w:sz w:val="24"/>
                <w:szCs w:val="24"/>
              </w:rPr>
              <w:t> </w:t>
            </w:r>
            <w:r w:rsidRPr="00E6504B">
              <w:rPr>
                <w:sz w:val="24"/>
                <w:szCs w:val="24"/>
              </w:rPr>
              <w:t xml:space="preserve">punkts </w:t>
            </w:r>
            <w:r w:rsidR="00192D82" w:rsidRPr="00E6504B">
              <w:rPr>
                <w:sz w:val="24"/>
                <w:szCs w:val="24"/>
              </w:rPr>
              <w:t>paredz uzdevumu</w:t>
            </w:r>
            <w:r w:rsidR="003C15DF" w:rsidRPr="00E6504B">
              <w:rPr>
                <w:sz w:val="24"/>
                <w:szCs w:val="24"/>
              </w:rPr>
              <w:t xml:space="preserve"> </w:t>
            </w:r>
            <w:r w:rsidR="00847DF1" w:rsidRPr="00E6504B">
              <w:rPr>
                <w:sz w:val="24"/>
                <w:szCs w:val="24"/>
              </w:rPr>
              <w:t xml:space="preserve">– </w:t>
            </w:r>
            <w:r w:rsidR="00192D82" w:rsidRPr="00E6504B">
              <w:rPr>
                <w:sz w:val="24"/>
                <w:szCs w:val="24"/>
              </w:rPr>
              <w:t>informatīvā</w:t>
            </w:r>
            <w:r w:rsidR="003C15DF" w:rsidRPr="00E6504B">
              <w:rPr>
                <w:sz w:val="24"/>
                <w:szCs w:val="24"/>
              </w:rPr>
              <w:t xml:space="preserve"> ziņojuma </w:t>
            </w:r>
            <w:r w:rsidR="00B872C1" w:rsidRPr="00E6504B">
              <w:rPr>
                <w:sz w:val="24"/>
                <w:szCs w:val="24"/>
              </w:rPr>
              <w:t>1.</w:t>
            </w:r>
            <w:r w:rsidR="00C36BA0" w:rsidRPr="00E6504B">
              <w:rPr>
                <w:sz w:val="24"/>
                <w:szCs w:val="24"/>
              </w:rPr>
              <w:t> </w:t>
            </w:r>
            <w:r w:rsidR="00B872C1" w:rsidRPr="00E6504B">
              <w:rPr>
                <w:sz w:val="24"/>
                <w:szCs w:val="24"/>
              </w:rPr>
              <w:t>pielikumā minētajā</w:t>
            </w:r>
            <w:r w:rsidR="00E837AA" w:rsidRPr="00E6504B">
              <w:rPr>
                <w:sz w:val="24"/>
                <w:szCs w:val="24"/>
              </w:rPr>
              <w:t>m</w:t>
            </w:r>
            <w:r w:rsidR="00B872C1" w:rsidRPr="00E6504B">
              <w:rPr>
                <w:sz w:val="24"/>
                <w:szCs w:val="24"/>
              </w:rPr>
              <w:t xml:space="preserve"> ministrijām izstrādāt </w:t>
            </w:r>
            <w:r w:rsidR="003C15DF" w:rsidRPr="00E6504B">
              <w:rPr>
                <w:sz w:val="24"/>
                <w:szCs w:val="24"/>
              </w:rPr>
              <w:t xml:space="preserve">to kompetencē esošus likumprojektus, lai tajos ietvertu administratīvos pārkāpumus un </w:t>
            </w:r>
            <w:r w:rsidR="00AF7DFD" w:rsidRPr="00E6504B">
              <w:rPr>
                <w:sz w:val="24"/>
                <w:szCs w:val="24"/>
              </w:rPr>
              <w:t xml:space="preserve">noteiktu </w:t>
            </w:r>
            <w:r w:rsidR="003C15DF" w:rsidRPr="00E6504B">
              <w:rPr>
                <w:sz w:val="24"/>
                <w:szCs w:val="24"/>
              </w:rPr>
              <w:t>kompetentās iestādes administratīvo sodu piemērošanai, pamatojoties uz to, ka spēku zaudēs Kodekss.</w:t>
            </w:r>
            <w:r w:rsidR="00347E5C" w:rsidRPr="00E6504B">
              <w:rPr>
                <w:sz w:val="24"/>
                <w:szCs w:val="24"/>
              </w:rPr>
              <w:t xml:space="preserve"> </w:t>
            </w:r>
          </w:p>
          <w:p w14:paraId="4B5421C0" w14:textId="548DE805" w:rsidR="00556AF0" w:rsidRPr="00E6504B" w:rsidRDefault="00F379A2" w:rsidP="00F4434D">
            <w:pPr>
              <w:pStyle w:val="FootnoteText"/>
              <w:spacing w:after="120"/>
              <w:ind w:right="200"/>
              <w:jc w:val="both"/>
              <w:rPr>
                <w:color w:val="2A2A2A"/>
                <w:sz w:val="24"/>
                <w:szCs w:val="24"/>
                <w:shd w:val="clear" w:color="auto" w:fill="FFFFFF"/>
              </w:rPr>
            </w:pPr>
            <w:r w:rsidRPr="00E6504B">
              <w:rPr>
                <w:rFonts w:eastAsia="Calibri"/>
                <w:sz w:val="24"/>
                <w:szCs w:val="24"/>
              </w:rPr>
              <w:t xml:space="preserve">Ministru kabinetā </w:t>
            </w:r>
            <w:r w:rsidR="00E6504B" w:rsidRPr="00E6504B">
              <w:rPr>
                <w:rFonts w:eastAsia="Calibri"/>
                <w:sz w:val="24"/>
                <w:szCs w:val="24"/>
              </w:rPr>
              <w:t xml:space="preserve">2016. </w:t>
            </w:r>
            <w:r w:rsidR="00E6504B" w:rsidRPr="00302C11">
              <w:rPr>
                <w:rFonts w:eastAsia="Calibri"/>
                <w:sz w:val="24"/>
                <w:szCs w:val="24"/>
              </w:rPr>
              <w:t xml:space="preserve">gada </w:t>
            </w:r>
            <w:r w:rsidR="00E6504B">
              <w:rPr>
                <w:rFonts w:eastAsia="Calibri"/>
                <w:sz w:val="24"/>
                <w:szCs w:val="24"/>
              </w:rPr>
              <w:t xml:space="preserve">13. decembra </w:t>
            </w:r>
            <w:r w:rsidRPr="00E6504B">
              <w:rPr>
                <w:rFonts w:eastAsia="Calibri"/>
                <w:sz w:val="24"/>
                <w:szCs w:val="24"/>
              </w:rPr>
              <w:t>sēdē tika pieņemts zi</w:t>
            </w:r>
            <w:r w:rsidR="006C2764" w:rsidRPr="00E6504B">
              <w:rPr>
                <w:rFonts w:eastAsia="Calibri"/>
                <w:sz w:val="24"/>
                <w:szCs w:val="24"/>
              </w:rPr>
              <w:t>n</w:t>
            </w:r>
            <w:r w:rsidRPr="00E6504B">
              <w:rPr>
                <w:rFonts w:eastAsia="Calibri"/>
                <w:sz w:val="24"/>
                <w:szCs w:val="24"/>
              </w:rPr>
              <w:t>āšanai i</w:t>
            </w:r>
            <w:r w:rsidRPr="00E6504B">
              <w:rPr>
                <w:sz w:val="24"/>
                <w:szCs w:val="24"/>
              </w:rPr>
              <w:t>nformatīvais ziņojums „Nozaru administratīvo pārkāpumu kodifikācijas ieviešanas sistēmas īstenošana”. Minētās sēdes protokola</w:t>
            </w:r>
            <w:r w:rsidRPr="00E6504B">
              <w:rPr>
                <w:rFonts w:eastAsia="Calibri"/>
                <w:sz w:val="24"/>
                <w:szCs w:val="24"/>
              </w:rPr>
              <w:t xml:space="preserve">  Nr. 68 67. §</w:t>
            </w:r>
            <w:r w:rsidRPr="00E6504B">
              <w:rPr>
                <w:sz w:val="24"/>
                <w:szCs w:val="24"/>
              </w:rPr>
              <w:t xml:space="preserve"> 2.</w:t>
            </w:r>
            <w:r w:rsidR="004E5F72" w:rsidRPr="00E6504B">
              <w:rPr>
                <w:sz w:val="24"/>
                <w:szCs w:val="24"/>
              </w:rPr>
              <w:t> </w:t>
            </w:r>
            <w:r w:rsidRPr="00E6504B">
              <w:rPr>
                <w:sz w:val="24"/>
                <w:szCs w:val="24"/>
              </w:rPr>
              <w:t xml:space="preserve">punkts </w:t>
            </w:r>
            <w:r w:rsidR="009212D3" w:rsidRPr="00E6504B">
              <w:rPr>
                <w:sz w:val="24"/>
                <w:szCs w:val="24"/>
              </w:rPr>
              <w:t>noteic</w:t>
            </w:r>
            <w:r w:rsidRPr="00E6504B">
              <w:rPr>
                <w:sz w:val="24"/>
                <w:szCs w:val="24"/>
              </w:rPr>
              <w:t>, ka i</w:t>
            </w:r>
            <w:r w:rsidR="00556AF0" w:rsidRPr="00E6504B">
              <w:rPr>
                <w:sz w:val="24"/>
                <w:szCs w:val="24"/>
                <w:shd w:val="clear" w:color="auto" w:fill="FFFFFF"/>
              </w:rPr>
              <w:t xml:space="preserve">nformatīvā ziņojuma </w:t>
            </w:r>
            <w:r w:rsidRPr="00E6504B">
              <w:rPr>
                <w:sz w:val="24"/>
                <w:szCs w:val="24"/>
                <w:shd w:val="clear" w:color="auto" w:fill="FFFFFF"/>
              </w:rPr>
              <w:t>1.</w:t>
            </w:r>
            <w:r w:rsidR="004E5F72" w:rsidRPr="00E6504B">
              <w:rPr>
                <w:sz w:val="24"/>
                <w:szCs w:val="24"/>
                <w:shd w:val="clear" w:color="auto" w:fill="FFFFFF"/>
              </w:rPr>
              <w:t> </w:t>
            </w:r>
            <w:r w:rsidR="00556AF0" w:rsidRPr="00E6504B">
              <w:rPr>
                <w:sz w:val="24"/>
                <w:szCs w:val="24"/>
                <w:shd w:val="clear" w:color="auto" w:fill="FFFFFF"/>
              </w:rPr>
              <w:t>pielikumā minētajām ministrijām (institūcijām), kas</w:t>
            </w:r>
            <w:r w:rsidR="00556AF0" w:rsidRPr="00E6504B">
              <w:rPr>
                <w:sz w:val="24"/>
                <w:szCs w:val="24"/>
                <w:u w:val="single"/>
                <w:shd w:val="clear" w:color="auto" w:fill="FFFFFF"/>
              </w:rPr>
              <w:t xml:space="preserve"> </w:t>
            </w:r>
            <w:r w:rsidR="00556AF0" w:rsidRPr="00E6504B">
              <w:rPr>
                <w:sz w:val="24"/>
                <w:szCs w:val="24"/>
                <w:shd w:val="clear" w:color="auto" w:fill="FFFFFF"/>
              </w:rPr>
              <w:t xml:space="preserve">atbildīgas par attiecīgo likumprojektu sagatavošanu un </w:t>
            </w:r>
            <w:r w:rsidR="00556AF0" w:rsidRPr="00E6504B">
              <w:rPr>
                <w:sz w:val="24"/>
                <w:szCs w:val="24"/>
                <w:shd w:val="clear" w:color="auto" w:fill="FFFFFF"/>
              </w:rPr>
              <w:lastRenderedPageBreak/>
              <w:t>virzī</w:t>
            </w:r>
            <w:r w:rsidRPr="00E6504B">
              <w:rPr>
                <w:sz w:val="24"/>
                <w:szCs w:val="24"/>
                <w:shd w:val="clear" w:color="auto" w:fill="FFFFFF"/>
              </w:rPr>
              <w:t>bu, līdz 2017.</w:t>
            </w:r>
            <w:r w:rsidR="004E5F72" w:rsidRPr="00E6504B">
              <w:rPr>
                <w:sz w:val="24"/>
                <w:szCs w:val="24"/>
                <w:shd w:val="clear" w:color="auto" w:fill="FFFFFF"/>
              </w:rPr>
              <w:t> </w:t>
            </w:r>
            <w:r w:rsidRPr="00E6504B">
              <w:rPr>
                <w:sz w:val="24"/>
                <w:szCs w:val="24"/>
                <w:shd w:val="clear" w:color="auto" w:fill="FFFFFF"/>
              </w:rPr>
              <w:t>gada 1.</w:t>
            </w:r>
            <w:r w:rsidR="004E5F72" w:rsidRPr="00E6504B">
              <w:rPr>
                <w:sz w:val="24"/>
                <w:szCs w:val="24"/>
                <w:shd w:val="clear" w:color="auto" w:fill="FFFFFF"/>
              </w:rPr>
              <w:t> </w:t>
            </w:r>
            <w:r w:rsidRPr="00E6504B">
              <w:rPr>
                <w:sz w:val="24"/>
                <w:szCs w:val="24"/>
                <w:shd w:val="clear" w:color="auto" w:fill="FFFFFF"/>
              </w:rPr>
              <w:t xml:space="preserve">septembrim </w:t>
            </w:r>
            <w:r w:rsidR="00556AF0" w:rsidRPr="00E6504B">
              <w:rPr>
                <w:sz w:val="24"/>
                <w:szCs w:val="24"/>
                <w:shd w:val="clear" w:color="auto" w:fill="FFFFFF"/>
              </w:rPr>
              <w:t>izstrādāt attiecīgos likumprojektus atbilstoši informatīvā ziņojuma 1.</w:t>
            </w:r>
            <w:r w:rsidR="00955B74" w:rsidRPr="00E6504B">
              <w:rPr>
                <w:sz w:val="24"/>
                <w:szCs w:val="24"/>
                <w:shd w:val="clear" w:color="auto" w:fill="FFFFFF"/>
              </w:rPr>
              <w:t> </w:t>
            </w:r>
            <w:r w:rsidR="00556AF0" w:rsidRPr="00E6504B">
              <w:rPr>
                <w:sz w:val="24"/>
                <w:szCs w:val="24"/>
                <w:shd w:val="clear" w:color="auto" w:fill="FFFFFF"/>
              </w:rPr>
              <w:t>pielikumā noteiktajam;</w:t>
            </w:r>
            <w:r w:rsidR="00556AF0" w:rsidRPr="00E6504B">
              <w:rPr>
                <w:sz w:val="24"/>
                <w:szCs w:val="24"/>
              </w:rPr>
              <w:br/>
            </w:r>
            <w:r w:rsidR="00556AF0" w:rsidRPr="00E6504B">
              <w:rPr>
                <w:sz w:val="24"/>
                <w:szCs w:val="24"/>
                <w:shd w:val="clear" w:color="auto" w:fill="FFFFFF"/>
              </w:rPr>
              <w:t>izstrādātos likumprojektus pirms to izsludināšanas Valsts sekretāru sanāksmē nodot apspriešanai Tieslietu ministrijas izveidotajā Latvijas Administratīvo pārkāpumu kodeksa pastāvīgajā darba grupā (turpmāk – darba grupa)</w:t>
            </w:r>
            <w:r w:rsidR="00765856" w:rsidRPr="00E6504B">
              <w:rPr>
                <w:sz w:val="24"/>
                <w:szCs w:val="24"/>
                <w:shd w:val="clear" w:color="auto" w:fill="FFFFFF"/>
              </w:rPr>
              <w:t>.</w:t>
            </w:r>
          </w:p>
          <w:p w14:paraId="7459B2E4" w14:textId="3BF57FDE" w:rsidR="001F29DC" w:rsidRPr="00E6504B" w:rsidRDefault="001F29DC" w:rsidP="00F4434D">
            <w:pPr>
              <w:pStyle w:val="FootnoteText"/>
              <w:spacing w:after="120"/>
              <w:ind w:right="2"/>
              <w:jc w:val="both"/>
              <w:rPr>
                <w:strike/>
                <w:sz w:val="24"/>
                <w:szCs w:val="24"/>
              </w:rPr>
            </w:pPr>
            <w:r w:rsidRPr="00E6504B">
              <w:rPr>
                <w:sz w:val="24"/>
                <w:szCs w:val="24"/>
              </w:rPr>
              <w:t>2018. gada</w:t>
            </w:r>
            <w:r w:rsidR="003600A9" w:rsidRPr="00E6504B">
              <w:rPr>
                <w:sz w:val="24"/>
                <w:szCs w:val="24"/>
              </w:rPr>
              <w:t xml:space="preserve"> </w:t>
            </w:r>
            <w:r w:rsidRPr="00E6504B">
              <w:rPr>
                <w:sz w:val="24"/>
                <w:szCs w:val="24"/>
              </w:rPr>
              <w:t xml:space="preserve">18. decembrī Ministru kabinetā tika </w:t>
            </w:r>
            <w:r w:rsidR="00FD1972" w:rsidRPr="00E6504B">
              <w:rPr>
                <w:sz w:val="24"/>
                <w:szCs w:val="24"/>
              </w:rPr>
              <w:t xml:space="preserve">pieņemts zināšanai </w:t>
            </w:r>
            <w:r w:rsidRPr="00E6504B">
              <w:rPr>
                <w:sz w:val="24"/>
                <w:szCs w:val="24"/>
              </w:rPr>
              <w:t xml:space="preserve">informatīvais ziņojums </w:t>
            </w:r>
            <w:r w:rsidR="00BA350A" w:rsidRPr="00E6504B">
              <w:rPr>
                <w:bCs/>
                <w:sz w:val="24"/>
                <w:szCs w:val="24"/>
              </w:rPr>
              <w:t>“</w:t>
            </w:r>
            <w:r w:rsidRPr="00E6504B">
              <w:rPr>
                <w:sz w:val="24"/>
                <w:szCs w:val="24"/>
              </w:rPr>
              <w:t>Nozaru administratīvo pārkāpumu kodifikācijas ieviešanas sistēmas īstenošana</w:t>
            </w:r>
            <w:r w:rsidR="00BA350A" w:rsidRPr="00E6504B">
              <w:rPr>
                <w:sz w:val="24"/>
                <w:szCs w:val="24"/>
              </w:rPr>
              <w:t>”</w:t>
            </w:r>
            <w:r w:rsidRPr="00E6504B">
              <w:rPr>
                <w:sz w:val="24"/>
                <w:szCs w:val="24"/>
              </w:rPr>
              <w:t xml:space="preserve"> (prot. nr. 60, 98. §), saskaņā ar kuru likumprojektus, kuri izskatīti </w:t>
            </w:r>
            <w:r w:rsidR="00827228" w:rsidRPr="00E6504B">
              <w:rPr>
                <w:sz w:val="24"/>
                <w:szCs w:val="24"/>
              </w:rPr>
              <w:t>un par kuriem darba grupa ir pieņēmusi lēmumu tos atkārtoti izskatīt darba grupā, likumprojekti ir jāprecizē atbilstoši darba grupā nolemtajam</w:t>
            </w:r>
            <w:r w:rsidR="000B5B33" w:rsidRPr="00E6504B">
              <w:rPr>
                <w:sz w:val="24"/>
                <w:szCs w:val="24"/>
              </w:rPr>
              <w:t>,</w:t>
            </w:r>
            <w:r w:rsidR="00827228" w:rsidRPr="00E6504B">
              <w:rPr>
                <w:sz w:val="24"/>
                <w:szCs w:val="24"/>
              </w:rPr>
              <w:t xml:space="preserve"> jāiesniedz atkārtotai apspriešanai </w:t>
            </w:r>
            <w:r w:rsidR="000B5B33" w:rsidRPr="00E6504B">
              <w:rPr>
                <w:sz w:val="24"/>
                <w:szCs w:val="24"/>
              </w:rPr>
              <w:t xml:space="preserve">darba grupā un pēc tam </w:t>
            </w:r>
            <w:r w:rsidR="00847DF1" w:rsidRPr="00E6504B">
              <w:rPr>
                <w:sz w:val="24"/>
                <w:szCs w:val="24"/>
              </w:rPr>
              <w:t xml:space="preserve">– </w:t>
            </w:r>
            <w:r w:rsidRPr="00E6504B">
              <w:rPr>
                <w:sz w:val="24"/>
                <w:szCs w:val="24"/>
              </w:rPr>
              <w:t>izsludināšanai Valsts sekretāru sanāksmē</w:t>
            </w:r>
            <w:r w:rsidR="00AA5747" w:rsidRPr="00E6504B">
              <w:rPr>
                <w:sz w:val="24"/>
                <w:szCs w:val="24"/>
              </w:rPr>
              <w:t>.</w:t>
            </w:r>
            <w:r w:rsidRPr="00E6504B">
              <w:rPr>
                <w:sz w:val="24"/>
                <w:szCs w:val="24"/>
              </w:rPr>
              <w:t xml:space="preserve"> </w:t>
            </w:r>
          </w:p>
          <w:p w14:paraId="3AFC8903" w14:textId="289444BE" w:rsidR="004B7A24" w:rsidRPr="00E6504B" w:rsidRDefault="00330309" w:rsidP="00F4434D">
            <w:pPr>
              <w:pStyle w:val="tv213"/>
              <w:shd w:val="clear" w:color="auto" w:fill="FFFFFF"/>
              <w:spacing w:before="0" w:beforeAutospacing="0" w:after="0" w:afterAutospacing="0"/>
              <w:jc w:val="both"/>
              <w:rPr>
                <w:lang w:val="lv-LV"/>
              </w:rPr>
            </w:pPr>
            <w:r w:rsidRPr="00E6504B">
              <w:rPr>
                <w:bCs/>
                <w:lang w:val="lv-LV"/>
              </w:rPr>
              <w:t>Ar likumprojektu</w:t>
            </w:r>
            <w:r w:rsidR="00316304" w:rsidRPr="00E6504B">
              <w:rPr>
                <w:b/>
                <w:bCs/>
                <w:lang w:val="lv-LV" w:eastAsia="lv-LV"/>
              </w:rPr>
              <w:t xml:space="preserve"> </w:t>
            </w:r>
            <w:r w:rsidR="00FA161B" w:rsidRPr="00E6504B">
              <w:rPr>
                <w:bCs/>
                <w:lang w:val="lv-LV"/>
              </w:rPr>
              <w:t>netiek</w:t>
            </w:r>
            <w:r w:rsidRPr="00E6504B">
              <w:rPr>
                <w:bCs/>
                <w:lang w:val="lv-LV"/>
              </w:rPr>
              <w:t xml:space="preserve"> pārņemt</w:t>
            </w:r>
            <w:r w:rsidR="00FA161B" w:rsidRPr="00E6504B">
              <w:rPr>
                <w:bCs/>
                <w:lang w:val="lv-LV"/>
              </w:rPr>
              <w:t>i</w:t>
            </w:r>
            <w:r w:rsidRPr="00E6504B">
              <w:rPr>
                <w:bCs/>
                <w:lang w:val="lv-LV"/>
              </w:rPr>
              <w:t xml:space="preserve"> vis</w:t>
            </w:r>
            <w:r w:rsidR="00FA161B" w:rsidRPr="00E6504B">
              <w:rPr>
                <w:bCs/>
                <w:lang w:val="lv-LV"/>
              </w:rPr>
              <w:t>i</w:t>
            </w:r>
            <w:r w:rsidRPr="00E6504B">
              <w:rPr>
                <w:bCs/>
                <w:lang w:val="lv-LV"/>
              </w:rPr>
              <w:t xml:space="preserve"> Kodeksa </w:t>
            </w:r>
            <w:r w:rsidR="00FA161B" w:rsidRPr="00E6504B">
              <w:rPr>
                <w:bCs/>
                <w:lang w:val="lv-LV"/>
              </w:rPr>
              <w:t>administratīvo pārkāpumu sastāvi, kurus varētu</w:t>
            </w:r>
            <w:r w:rsidRPr="00E6504B">
              <w:rPr>
                <w:bCs/>
                <w:lang w:val="lv-LV"/>
              </w:rPr>
              <w:t xml:space="preserve"> </w:t>
            </w:r>
            <w:r w:rsidR="00FA161B" w:rsidRPr="00E6504B">
              <w:rPr>
                <w:bCs/>
                <w:lang w:val="lv-LV"/>
              </w:rPr>
              <w:t xml:space="preserve">piemērot gadījumos, kad </w:t>
            </w:r>
            <w:r w:rsidR="004B7A24" w:rsidRPr="00E6504B">
              <w:rPr>
                <w:bCs/>
                <w:lang w:val="lv-LV"/>
              </w:rPr>
              <w:t>ir</w:t>
            </w:r>
            <w:r w:rsidR="00FA161B" w:rsidRPr="00E6504B">
              <w:rPr>
                <w:bCs/>
                <w:lang w:val="lv-LV"/>
              </w:rPr>
              <w:t xml:space="preserve"> pārkāptas prasības </w:t>
            </w:r>
            <w:r w:rsidRPr="00E6504B">
              <w:rPr>
                <w:bCs/>
                <w:lang w:val="lv-LV"/>
              </w:rPr>
              <w:t>ūdeņu aizsardzība</w:t>
            </w:r>
            <w:r w:rsidR="00FA161B" w:rsidRPr="00E6504B">
              <w:rPr>
                <w:bCs/>
                <w:lang w:val="lv-LV"/>
              </w:rPr>
              <w:t>i</w:t>
            </w:r>
            <w:r w:rsidRPr="00E6504B">
              <w:rPr>
                <w:bCs/>
                <w:lang w:val="lv-LV"/>
              </w:rPr>
              <w:t xml:space="preserve"> un apsaimniekošana</w:t>
            </w:r>
            <w:r w:rsidR="00FA161B" w:rsidRPr="00E6504B">
              <w:rPr>
                <w:bCs/>
                <w:lang w:val="lv-LV"/>
              </w:rPr>
              <w:t>i. D</w:t>
            </w:r>
            <w:r w:rsidRPr="00E6504B">
              <w:rPr>
                <w:bCs/>
                <w:lang w:val="lv-LV"/>
              </w:rPr>
              <w:t xml:space="preserve">aļa </w:t>
            </w:r>
            <w:r w:rsidR="00FA161B" w:rsidRPr="00E6504B">
              <w:rPr>
                <w:bCs/>
                <w:lang w:val="lv-LV"/>
              </w:rPr>
              <w:t>administratīvo pārkāpumu sastāvu</w:t>
            </w:r>
            <w:r w:rsidRPr="00E6504B">
              <w:rPr>
                <w:bCs/>
                <w:lang w:val="lv-LV"/>
              </w:rPr>
              <w:t xml:space="preserve"> tiks iekļauti citos vides aizsardzības </w:t>
            </w:r>
            <w:r w:rsidR="00FA161B" w:rsidRPr="00E6504B">
              <w:rPr>
                <w:bCs/>
                <w:lang w:val="lv-LV"/>
              </w:rPr>
              <w:t>likumos</w:t>
            </w:r>
            <w:r w:rsidR="00DE24D3" w:rsidRPr="00E6504B">
              <w:rPr>
                <w:bCs/>
                <w:lang w:val="lv-LV"/>
              </w:rPr>
              <w:t xml:space="preserve">, </w:t>
            </w:r>
            <w:r w:rsidRPr="00E6504B">
              <w:rPr>
                <w:bCs/>
                <w:lang w:val="lv-LV"/>
              </w:rPr>
              <w:t xml:space="preserve">piemēram, likumā </w:t>
            </w:r>
            <w:r w:rsidR="00BA350A" w:rsidRPr="00E6504B">
              <w:rPr>
                <w:bCs/>
                <w:lang w:val="lv-LV"/>
              </w:rPr>
              <w:t>“</w:t>
            </w:r>
            <w:r w:rsidRPr="00E6504B">
              <w:rPr>
                <w:bCs/>
                <w:lang w:val="lv-LV"/>
              </w:rPr>
              <w:t>Par piesārņojumu</w:t>
            </w:r>
            <w:r w:rsidR="00BA350A" w:rsidRPr="00E6504B">
              <w:rPr>
                <w:bCs/>
                <w:lang w:val="lv-LV"/>
              </w:rPr>
              <w:t>”</w:t>
            </w:r>
            <w:r w:rsidR="00F05753" w:rsidRPr="00E6504B">
              <w:rPr>
                <w:bCs/>
                <w:lang w:val="lv-LV"/>
              </w:rPr>
              <w:t xml:space="preserve"> (Kodeksa 58.</w:t>
            </w:r>
            <w:r w:rsidR="00C36BA0" w:rsidRPr="00E6504B">
              <w:rPr>
                <w:bCs/>
                <w:lang w:val="lv-LV"/>
              </w:rPr>
              <w:t> </w:t>
            </w:r>
            <w:r w:rsidR="00F05753" w:rsidRPr="00E6504B">
              <w:rPr>
                <w:bCs/>
                <w:lang w:val="lv-LV"/>
              </w:rPr>
              <w:t>pants. Vides piesārņošana un piegružošana</w:t>
            </w:r>
            <w:r w:rsidR="00EE511B" w:rsidRPr="00E6504B">
              <w:rPr>
                <w:bCs/>
                <w:lang w:val="lv-LV"/>
              </w:rPr>
              <w:t xml:space="preserve">, </w:t>
            </w:r>
            <w:r w:rsidR="007B2EF4" w:rsidRPr="00E6504B">
              <w:rPr>
                <w:bCs/>
                <w:lang w:val="lv-LV"/>
              </w:rPr>
              <w:t>59.</w:t>
            </w:r>
            <w:r w:rsidR="00C36BA0" w:rsidRPr="00E6504B">
              <w:rPr>
                <w:bCs/>
                <w:lang w:val="lv-LV"/>
              </w:rPr>
              <w:t> </w:t>
            </w:r>
            <w:r w:rsidR="007B2EF4" w:rsidRPr="00E6504B">
              <w:rPr>
                <w:bCs/>
                <w:lang w:val="lv-LV"/>
              </w:rPr>
              <w:t>pants. Piesārņojošo vielu emisija gaisā, ūdeņos un ūdens objektos, pārsniedzot atļaujā noteiktos emisijas limitus</w:t>
            </w:r>
            <w:r w:rsidR="00F05753" w:rsidRPr="00E6504B">
              <w:rPr>
                <w:bCs/>
                <w:lang w:val="lv-LV"/>
              </w:rPr>
              <w:t>), Aizsargjoslu likum</w:t>
            </w:r>
            <w:r w:rsidR="009212D3" w:rsidRPr="00E6504B">
              <w:rPr>
                <w:bCs/>
                <w:lang w:val="lv-LV"/>
              </w:rPr>
              <w:t>ā</w:t>
            </w:r>
            <w:r w:rsidR="00F05753" w:rsidRPr="00E6504B">
              <w:rPr>
                <w:bCs/>
                <w:lang w:val="lv-LV"/>
              </w:rPr>
              <w:t xml:space="preserve"> (Kodeksa 57.</w:t>
            </w:r>
            <w:r w:rsidR="00C36BA0" w:rsidRPr="00E6504B">
              <w:rPr>
                <w:bCs/>
                <w:lang w:val="lv-LV"/>
              </w:rPr>
              <w:t> </w:t>
            </w:r>
            <w:r w:rsidR="00F05753" w:rsidRPr="00E6504B">
              <w:rPr>
                <w:bCs/>
                <w:lang w:val="lv-LV"/>
              </w:rPr>
              <w:t>pants. Vides un dabas resursu aizsardzības aizsargjoslā un tauvas joslā noteikto prasību un aprobežojumu pārkāpšana</w:t>
            </w:r>
            <w:r w:rsidR="007B2EF4" w:rsidRPr="00E6504B">
              <w:rPr>
                <w:bCs/>
                <w:lang w:val="lv-LV"/>
              </w:rPr>
              <w:t>).</w:t>
            </w:r>
            <w:r w:rsidR="004B7A24" w:rsidRPr="00E6504B">
              <w:rPr>
                <w:bCs/>
                <w:lang w:val="lv-LV"/>
              </w:rPr>
              <w:t xml:space="preserve"> Likumprojektā iestrādātas normas, kas </w:t>
            </w:r>
            <w:r w:rsidR="004B7A24" w:rsidRPr="00E6504B">
              <w:rPr>
                <w:lang w:val="lv-LV"/>
              </w:rPr>
              <w:t>nosaka administratīvo atbildību par pārkāpumiem Kodeksa 60., 62.</w:t>
            </w:r>
            <w:r w:rsidR="00A57A2B" w:rsidRPr="00E6504B">
              <w:rPr>
                <w:lang w:val="lv-LV"/>
              </w:rPr>
              <w:t xml:space="preserve"> un</w:t>
            </w:r>
            <w:r w:rsidR="004B7A24" w:rsidRPr="00E6504B">
              <w:rPr>
                <w:lang w:val="lv-LV"/>
              </w:rPr>
              <w:t xml:space="preserve"> 64. </w:t>
            </w:r>
            <w:r w:rsidR="00C36BA0" w:rsidRPr="00E6504B">
              <w:rPr>
                <w:lang w:val="lv-LV"/>
              </w:rPr>
              <w:t> </w:t>
            </w:r>
            <w:r w:rsidR="004B7A24" w:rsidRPr="00E6504B">
              <w:rPr>
                <w:lang w:val="lv-LV"/>
              </w:rPr>
              <w:t xml:space="preserve">pantā. </w:t>
            </w:r>
            <w:r w:rsidR="00463FFD" w:rsidRPr="00E6504B">
              <w:rPr>
                <w:lang w:val="lv-LV"/>
              </w:rPr>
              <w:t xml:space="preserve"> Ievērojot, ka par Kodeksa 66. pantā paredzēto pārkāpumu  </w:t>
            </w:r>
            <w:r w:rsidR="00BA350A" w:rsidRPr="00E6504B">
              <w:rPr>
                <w:lang w:val="lv-LV"/>
              </w:rPr>
              <w:t>–</w:t>
            </w:r>
            <w:r w:rsidR="00463FFD" w:rsidRPr="00E6504B">
              <w:rPr>
                <w:lang w:val="lv-LV"/>
              </w:rPr>
              <w:t xml:space="preserve"> ūdenssaimniecības būvju un ietaišu bojāšanu vai iznīcināšanu, var piemērot Krimināllikuma 185. pantā paredzēto sodu par mantas tīšu iznīcināšanu un bojāšanu, šajā likumprojektā netiek noteikta administratīvā atbildība par Kodeksa 66. panta pārkāpumiem</w:t>
            </w:r>
            <w:r w:rsidR="00463FFD" w:rsidRPr="00E6504B">
              <w:rPr>
                <w:lang w:val="lv-LV" w:eastAsia="lv-LV"/>
              </w:rPr>
              <w:t xml:space="preserve">. </w:t>
            </w:r>
          </w:p>
          <w:p w14:paraId="553EA775" w14:textId="690E3F6E" w:rsidR="00455FE2" w:rsidRPr="00E6504B" w:rsidRDefault="00457F13" w:rsidP="00F4434D">
            <w:pPr>
              <w:pStyle w:val="FootnoteText"/>
              <w:jc w:val="both"/>
              <w:rPr>
                <w:sz w:val="24"/>
                <w:szCs w:val="24"/>
              </w:rPr>
            </w:pPr>
            <w:r w:rsidRPr="00E6504B">
              <w:rPr>
                <w:sz w:val="24"/>
                <w:szCs w:val="24"/>
                <w:lang w:eastAsia="en-US"/>
              </w:rPr>
              <w:t xml:space="preserve">     </w:t>
            </w:r>
            <w:r w:rsidR="0093750C" w:rsidRPr="00E6504B">
              <w:rPr>
                <w:sz w:val="24"/>
                <w:szCs w:val="24"/>
                <w:lang w:eastAsia="en-US"/>
              </w:rPr>
              <w:t xml:space="preserve">Saskaņā ar </w:t>
            </w:r>
            <w:r w:rsidR="00046EFD" w:rsidRPr="00E6504B">
              <w:rPr>
                <w:sz w:val="24"/>
                <w:szCs w:val="24"/>
                <w:lang w:eastAsia="en-US"/>
              </w:rPr>
              <w:t xml:space="preserve">Valsts vides </w:t>
            </w:r>
            <w:r w:rsidRPr="00E6504B">
              <w:rPr>
                <w:sz w:val="24"/>
                <w:szCs w:val="24"/>
                <w:lang w:eastAsia="en-US"/>
              </w:rPr>
              <w:t>dienesta</w:t>
            </w:r>
            <w:r w:rsidR="00046EFD" w:rsidRPr="00E6504B">
              <w:rPr>
                <w:sz w:val="24"/>
                <w:szCs w:val="24"/>
                <w:lang w:eastAsia="en-US"/>
              </w:rPr>
              <w:t xml:space="preserve"> (turpmāk – VVD)</w:t>
            </w:r>
            <w:r w:rsidRPr="00E6504B">
              <w:rPr>
                <w:sz w:val="24"/>
                <w:szCs w:val="24"/>
                <w:lang w:eastAsia="en-US"/>
              </w:rPr>
              <w:t xml:space="preserve"> </w:t>
            </w:r>
            <w:r w:rsidR="00427DAF" w:rsidRPr="00E6504B">
              <w:rPr>
                <w:sz w:val="24"/>
                <w:szCs w:val="24"/>
                <w:lang w:eastAsia="en-US"/>
              </w:rPr>
              <w:t>apkopoto</w:t>
            </w:r>
            <w:r w:rsidRPr="00E6504B">
              <w:rPr>
                <w:sz w:val="24"/>
                <w:szCs w:val="24"/>
                <w:lang w:eastAsia="en-US"/>
              </w:rPr>
              <w:t xml:space="preserve"> statistiku par administratīvajiem pārkāpumiem </w:t>
            </w:r>
            <w:r w:rsidR="00F76F8E" w:rsidRPr="00E6504B">
              <w:rPr>
                <w:sz w:val="24"/>
                <w:szCs w:val="24"/>
                <w:lang w:eastAsia="en-US"/>
              </w:rPr>
              <w:t>vides</w:t>
            </w:r>
            <w:r w:rsidRPr="00E6504B">
              <w:rPr>
                <w:sz w:val="24"/>
                <w:szCs w:val="24"/>
                <w:lang w:eastAsia="en-US"/>
              </w:rPr>
              <w:t xml:space="preserve"> jomā, tika izvērtēti </w:t>
            </w:r>
            <w:r w:rsidR="00E86FBB" w:rsidRPr="00E6504B">
              <w:rPr>
                <w:sz w:val="24"/>
                <w:szCs w:val="24"/>
                <w:lang w:eastAsia="en-US"/>
              </w:rPr>
              <w:t xml:space="preserve">VVD </w:t>
            </w:r>
            <w:r w:rsidRPr="00E6504B">
              <w:rPr>
                <w:sz w:val="24"/>
                <w:szCs w:val="24"/>
                <w:lang w:eastAsia="en-US"/>
              </w:rPr>
              <w:t>kompetenc</w:t>
            </w:r>
            <w:r w:rsidR="00E86FBB" w:rsidRPr="00E6504B">
              <w:rPr>
                <w:sz w:val="24"/>
                <w:szCs w:val="24"/>
                <w:lang w:eastAsia="en-US"/>
              </w:rPr>
              <w:t>ē</w:t>
            </w:r>
            <w:r w:rsidRPr="00E6504B">
              <w:rPr>
                <w:sz w:val="24"/>
                <w:szCs w:val="24"/>
                <w:lang w:eastAsia="en-US"/>
              </w:rPr>
              <w:t xml:space="preserve"> esošie administratīvie pārkāpumi</w:t>
            </w:r>
            <w:r w:rsidR="00E86FBB" w:rsidRPr="00E6504B">
              <w:rPr>
                <w:sz w:val="24"/>
                <w:szCs w:val="24"/>
                <w:lang w:eastAsia="en-US"/>
              </w:rPr>
              <w:t xml:space="preserve"> ūdens resursu aizsardzības nodrošināšanai</w:t>
            </w:r>
            <w:r w:rsidRPr="00E6504B">
              <w:rPr>
                <w:sz w:val="24"/>
                <w:szCs w:val="24"/>
                <w:lang w:eastAsia="en-US"/>
              </w:rPr>
              <w:t xml:space="preserve"> atkarībā no</w:t>
            </w:r>
            <w:r w:rsidR="00BA2401" w:rsidRPr="00E6504B">
              <w:rPr>
                <w:sz w:val="24"/>
                <w:szCs w:val="24"/>
                <w:lang w:eastAsia="en-US"/>
              </w:rPr>
              <w:t xml:space="preserve"> </w:t>
            </w:r>
            <w:r w:rsidRPr="00E6504B">
              <w:rPr>
                <w:sz w:val="24"/>
                <w:szCs w:val="24"/>
                <w:lang w:eastAsia="en-US"/>
              </w:rPr>
              <w:t>nodarījuma bīstamības</w:t>
            </w:r>
            <w:r w:rsidR="00BA2401" w:rsidRPr="00E6504B">
              <w:rPr>
                <w:sz w:val="24"/>
                <w:szCs w:val="24"/>
                <w:lang w:eastAsia="en-US"/>
              </w:rPr>
              <w:t xml:space="preserve">, </w:t>
            </w:r>
            <w:r w:rsidRPr="00E6504B">
              <w:rPr>
                <w:sz w:val="24"/>
                <w:szCs w:val="24"/>
                <w:lang w:eastAsia="en-US"/>
              </w:rPr>
              <w:t>sabiedriskā kaitīguma</w:t>
            </w:r>
            <w:r w:rsidR="00BA2401" w:rsidRPr="00E6504B">
              <w:rPr>
                <w:sz w:val="24"/>
                <w:szCs w:val="24"/>
                <w:lang w:eastAsia="en-US"/>
              </w:rPr>
              <w:t xml:space="preserve">, </w:t>
            </w:r>
            <w:r w:rsidRPr="00E6504B">
              <w:rPr>
                <w:sz w:val="24"/>
                <w:szCs w:val="24"/>
                <w:lang w:eastAsia="en-US"/>
              </w:rPr>
              <w:t>nodarījuma sekām</w:t>
            </w:r>
            <w:r w:rsidR="00B15B6A" w:rsidRPr="00E6504B">
              <w:rPr>
                <w:sz w:val="24"/>
                <w:szCs w:val="24"/>
                <w:lang w:eastAsia="en-US"/>
              </w:rPr>
              <w:t xml:space="preserve">, </w:t>
            </w:r>
            <w:r w:rsidRPr="00E6504B">
              <w:rPr>
                <w:sz w:val="24"/>
                <w:szCs w:val="24"/>
                <w:lang w:eastAsia="en-US"/>
              </w:rPr>
              <w:t>nodarījuma aktualitāt</w:t>
            </w:r>
            <w:r w:rsidR="00BA2401" w:rsidRPr="00E6504B">
              <w:rPr>
                <w:sz w:val="24"/>
                <w:szCs w:val="24"/>
                <w:lang w:eastAsia="en-US"/>
              </w:rPr>
              <w:t>e</w:t>
            </w:r>
            <w:r w:rsidR="00CD0C08" w:rsidRPr="00E6504B">
              <w:rPr>
                <w:sz w:val="24"/>
                <w:szCs w:val="24"/>
                <w:lang w:eastAsia="en-US"/>
              </w:rPr>
              <w:t>s</w:t>
            </w:r>
            <w:r w:rsidR="00BA2401" w:rsidRPr="00E6504B">
              <w:rPr>
                <w:sz w:val="24"/>
                <w:szCs w:val="24"/>
                <w:lang w:eastAsia="en-US"/>
              </w:rPr>
              <w:t xml:space="preserve"> un </w:t>
            </w:r>
            <w:r w:rsidRPr="00E6504B">
              <w:rPr>
                <w:sz w:val="24"/>
                <w:szCs w:val="24"/>
                <w:lang w:eastAsia="en-US"/>
              </w:rPr>
              <w:t>nodarījuma attiecināmības uz publiski tiesiskajām attiecībām.</w:t>
            </w:r>
            <w:r w:rsidR="0059174D" w:rsidRPr="00E6504B">
              <w:rPr>
                <w:sz w:val="24"/>
                <w:szCs w:val="24"/>
                <w:lang w:eastAsia="en-US"/>
              </w:rPr>
              <w:t xml:space="preserve"> </w:t>
            </w:r>
            <w:r w:rsidR="00A9311E" w:rsidRPr="00E6504B">
              <w:rPr>
                <w:sz w:val="24"/>
                <w:szCs w:val="24"/>
                <w:lang w:eastAsia="en-US"/>
              </w:rPr>
              <w:t xml:space="preserve">Konstatēts, ka </w:t>
            </w:r>
            <w:r w:rsidR="003106B8" w:rsidRPr="00E6504B">
              <w:rPr>
                <w:sz w:val="24"/>
                <w:szCs w:val="24"/>
                <w:lang w:eastAsia="en-US"/>
              </w:rPr>
              <w:t>visbiežāk</w:t>
            </w:r>
            <w:r w:rsidR="00B02C08" w:rsidRPr="00E6504B">
              <w:rPr>
                <w:sz w:val="24"/>
                <w:szCs w:val="24"/>
                <w:lang w:eastAsia="en-US"/>
              </w:rPr>
              <w:t xml:space="preserve"> </w:t>
            </w:r>
            <w:r w:rsidR="00EC51BC" w:rsidRPr="00E6504B">
              <w:rPr>
                <w:sz w:val="24"/>
                <w:szCs w:val="24"/>
                <w:lang w:eastAsia="en-US"/>
              </w:rPr>
              <w:t xml:space="preserve">administratīvie </w:t>
            </w:r>
            <w:r w:rsidR="00A9311E" w:rsidRPr="00E6504B">
              <w:rPr>
                <w:sz w:val="24"/>
                <w:szCs w:val="24"/>
                <w:lang w:eastAsia="en-US"/>
              </w:rPr>
              <w:t>pārkāpum</w:t>
            </w:r>
            <w:r w:rsidR="00EC51BC" w:rsidRPr="00E6504B">
              <w:rPr>
                <w:sz w:val="24"/>
                <w:szCs w:val="24"/>
                <w:lang w:eastAsia="en-US"/>
              </w:rPr>
              <w:t>i</w:t>
            </w:r>
            <w:r w:rsidR="00A9311E" w:rsidRPr="00E6504B">
              <w:rPr>
                <w:sz w:val="24"/>
                <w:szCs w:val="24"/>
                <w:lang w:eastAsia="en-US"/>
              </w:rPr>
              <w:t xml:space="preserve"> </w:t>
            </w:r>
            <w:r w:rsidR="0038700A" w:rsidRPr="00E6504B">
              <w:rPr>
                <w:sz w:val="24"/>
                <w:szCs w:val="24"/>
                <w:lang w:eastAsia="en-US"/>
              </w:rPr>
              <w:t>tiek</w:t>
            </w:r>
            <w:r w:rsidR="00A9311E" w:rsidRPr="00E6504B">
              <w:rPr>
                <w:sz w:val="24"/>
                <w:szCs w:val="24"/>
                <w:lang w:eastAsia="en-US"/>
              </w:rPr>
              <w:t xml:space="preserve"> </w:t>
            </w:r>
            <w:r w:rsidR="00EC51BC" w:rsidRPr="00E6504B">
              <w:rPr>
                <w:sz w:val="24"/>
                <w:szCs w:val="24"/>
                <w:lang w:eastAsia="en-US"/>
              </w:rPr>
              <w:t>izdarīti</w:t>
            </w:r>
            <w:r w:rsidR="00B50829" w:rsidRPr="00E6504B">
              <w:rPr>
                <w:sz w:val="24"/>
                <w:szCs w:val="24"/>
                <w:lang w:eastAsia="en-US"/>
              </w:rPr>
              <w:t xml:space="preserve">, </w:t>
            </w:r>
            <w:r w:rsidR="00B02C08" w:rsidRPr="00E6504B">
              <w:rPr>
                <w:sz w:val="24"/>
                <w:szCs w:val="24"/>
                <w:lang w:eastAsia="en-US"/>
              </w:rPr>
              <w:t>neievērojot</w:t>
            </w:r>
            <w:r w:rsidR="00EC51BC" w:rsidRPr="00E6504B">
              <w:rPr>
                <w:sz w:val="24"/>
                <w:szCs w:val="24"/>
                <w:lang w:eastAsia="en-US"/>
              </w:rPr>
              <w:t xml:space="preserve"> virszemes vai pazemes ūdens resursu </w:t>
            </w:r>
            <w:r w:rsidR="0087172D" w:rsidRPr="00E6504B">
              <w:rPr>
                <w:sz w:val="24"/>
                <w:szCs w:val="24"/>
                <w:lang w:eastAsia="en-US"/>
              </w:rPr>
              <w:t xml:space="preserve">aizsardzības un </w:t>
            </w:r>
            <w:r w:rsidR="00EC51BC" w:rsidRPr="00E6504B">
              <w:rPr>
                <w:sz w:val="24"/>
                <w:szCs w:val="24"/>
                <w:lang w:eastAsia="en-US"/>
              </w:rPr>
              <w:t>lietošanas noteikumu</w:t>
            </w:r>
            <w:r w:rsidR="00B02C08" w:rsidRPr="00E6504B">
              <w:rPr>
                <w:sz w:val="24"/>
                <w:szCs w:val="24"/>
                <w:lang w:eastAsia="en-US"/>
              </w:rPr>
              <w:t>s</w:t>
            </w:r>
            <w:r w:rsidR="00EC51BC" w:rsidRPr="00E6504B">
              <w:rPr>
                <w:sz w:val="24"/>
                <w:szCs w:val="24"/>
                <w:lang w:eastAsia="en-US"/>
              </w:rPr>
              <w:t xml:space="preserve">, tai skaitā </w:t>
            </w:r>
            <w:r w:rsidR="00B02C08" w:rsidRPr="00E6504B">
              <w:rPr>
                <w:sz w:val="24"/>
                <w:szCs w:val="24"/>
                <w:lang w:eastAsia="en-US"/>
              </w:rPr>
              <w:t xml:space="preserve">lietojot </w:t>
            </w:r>
            <w:r w:rsidR="00A9311E" w:rsidRPr="00E6504B">
              <w:rPr>
                <w:sz w:val="24"/>
                <w:szCs w:val="24"/>
                <w:lang w:eastAsia="en-US"/>
              </w:rPr>
              <w:t>ūdens resursu</w:t>
            </w:r>
            <w:r w:rsidR="00B02C08" w:rsidRPr="00E6504B">
              <w:rPr>
                <w:sz w:val="24"/>
                <w:szCs w:val="24"/>
                <w:lang w:eastAsia="en-US"/>
              </w:rPr>
              <w:t>s</w:t>
            </w:r>
            <w:r w:rsidR="00F22028" w:rsidRPr="00E6504B">
              <w:rPr>
                <w:sz w:val="24"/>
                <w:szCs w:val="24"/>
                <w:lang w:eastAsia="en-US"/>
              </w:rPr>
              <w:t xml:space="preserve"> </w:t>
            </w:r>
            <w:r w:rsidR="00EC51BC" w:rsidRPr="00E6504B">
              <w:rPr>
                <w:sz w:val="24"/>
                <w:szCs w:val="24"/>
                <w:lang w:eastAsia="en-US"/>
              </w:rPr>
              <w:t xml:space="preserve">bez nepieciešamās atļaujas vai </w:t>
            </w:r>
            <w:r w:rsidR="00B02C08" w:rsidRPr="00E6504B">
              <w:rPr>
                <w:sz w:val="24"/>
                <w:szCs w:val="24"/>
                <w:lang w:eastAsia="en-US"/>
              </w:rPr>
              <w:t>pārkāpjot tās nosacījumu</w:t>
            </w:r>
            <w:r w:rsidR="00540BAD" w:rsidRPr="00E6504B">
              <w:rPr>
                <w:sz w:val="24"/>
                <w:szCs w:val="24"/>
                <w:lang w:eastAsia="en-US"/>
              </w:rPr>
              <w:t>s</w:t>
            </w:r>
            <w:r w:rsidR="00B02C08" w:rsidRPr="00E6504B">
              <w:rPr>
                <w:sz w:val="24"/>
                <w:szCs w:val="24"/>
                <w:lang w:eastAsia="en-US"/>
              </w:rPr>
              <w:t xml:space="preserve">, </w:t>
            </w:r>
            <w:r w:rsidR="00B02C08" w:rsidRPr="00E6504B">
              <w:rPr>
                <w:sz w:val="24"/>
                <w:szCs w:val="24"/>
                <w:lang w:eastAsia="en-US"/>
              </w:rPr>
              <w:lastRenderedPageBreak/>
              <w:t>veicot neatļautas darbības ū</w:t>
            </w:r>
            <w:r w:rsidR="00EC51BC" w:rsidRPr="00E6504B">
              <w:rPr>
                <w:sz w:val="24"/>
                <w:szCs w:val="24"/>
                <w:lang w:eastAsia="en-US"/>
              </w:rPr>
              <w:t>dens objektos</w:t>
            </w:r>
            <w:r w:rsidR="00613F80" w:rsidRPr="00E6504B">
              <w:rPr>
                <w:sz w:val="24"/>
                <w:szCs w:val="24"/>
                <w:lang w:eastAsia="en-US"/>
              </w:rPr>
              <w:t>.</w:t>
            </w:r>
            <w:r w:rsidR="00EC51BC" w:rsidRPr="00E6504B">
              <w:rPr>
                <w:sz w:val="24"/>
                <w:szCs w:val="24"/>
                <w:lang w:eastAsia="en-US"/>
              </w:rPr>
              <w:t xml:space="preserve"> </w:t>
            </w:r>
            <w:r w:rsidR="00C01DCD" w:rsidRPr="00E6504B">
              <w:rPr>
                <w:sz w:val="24"/>
                <w:szCs w:val="24"/>
                <w:lang w:eastAsia="en-US"/>
              </w:rPr>
              <w:t xml:space="preserve">Par minētajiem nodarījumiem VVD ir </w:t>
            </w:r>
            <w:r w:rsidR="00583D04" w:rsidRPr="00E6504B">
              <w:rPr>
                <w:sz w:val="24"/>
                <w:szCs w:val="24"/>
                <w:lang w:eastAsia="en-US"/>
              </w:rPr>
              <w:t>uzsā</w:t>
            </w:r>
            <w:r w:rsidR="008668BB" w:rsidRPr="00E6504B">
              <w:rPr>
                <w:sz w:val="24"/>
                <w:szCs w:val="24"/>
                <w:lang w:eastAsia="en-US"/>
              </w:rPr>
              <w:t>cis</w:t>
            </w:r>
            <w:r w:rsidR="00583D04" w:rsidRPr="00E6504B">
              <w:rPr>
                <w:sz w:val="24"/>
                <w:szCs w:val="24"/>
                <w:lang w:eastAsia="en-US"/>
              </w:rPr>
              <w:t xml:space="preserve"> </w:t>
            </w:r>
            <w:r w:rsidR="00C01DCD" w:rsidRPr="00E6504B">
              <w:rPr>
                <w:sz w:val="24"/>
                <w:szCs w:val="24"/>
                <w:lang w:eastAsia="en-US"/>
              </w:rPr>
              <w:t>administratīvā</w:t>
            </w:r>
            <w:r w:rsidR="00D148BD" w:rsidRPr="00E6504B">
              <w:rPr>
                <w:sz w:val="24"/>
                <w:szCs w:val="24"/>
                <w:lang w:eastAsia="en-US"/>
              </w:rPr>
              <w:t xml:space="preserve"> pārkāpuma</w:t>
            </w:r>
            <w:r w:rsidR="00C01DCD" w:rsidRPr="00E6504B">
              <w:rPr>
                <w:sz w:val="24"/>
                <w:szCs w:val="24"/>
                <w:lang w:eastAsia="en-US"/>
              </w:rPr>
              <w:t xml:space="preserve"> </w:t>
            </w:r>
            <w:r w:rsidR="002F33E9" w:rsidRPr="00E6504B">
              <w:rPr>
                <w:sz w:val="24"/>
                <w:szCs w:val="24"/>
                <w:lang w:eastAsia="en-US"/>
              </w:rPr>
              <w:t>lietas</w:t>
            </w:r>
            <w:r w:rsidR="00C01DCD" w:rsidRPr="00E6504B">
              <w:rPr>
                <w:sz w:val="24"/>
                <w:szCs w:val="24"/>
                <w:lang w:eastAsia="en-US"/>
              </w:rPr>
              <w:t xml:space="preserve"> atbilstoši Kodeksa</w:t>
            </w:r>
            <w:r w:rsidR="003760BE" w:rsidRPr="00E6504B">
              <w:rPr>
                <w:sz w:val="24"/>
                <w:szCs w:val="24"/>
                <w:lang w:eastAsia="en-US"/>
              </w:rPr>
              <w:t xml:space="preserve"> 60., 62., </w:t>
            </w:r>
            <w:r w:rsidR="00FE174C" w:rsidRPr="00E6504B">
              <w:rPr>
                <w:sz w:val="24"/>
                <w:szCs w:val="24"/>
                <w:lang w:eastAsia="en-US"/>
              </w:rPr>
              <w:t>64.</w:t>
            </w:r>
            <w:r w:rsidR="00923522" w:rsidRPr="00E6504B">
              <w:rPr>
                <w:sz w:val="24"/>
                <w:szCs w:val="24"/>
                <w:lang w:eastAsia="en-US"/>
              </w:rPr>
              <w:t> </w:t>
            </w:r>
            <w:r w:rsidR="00FE174C" w:rsidRPr="00E6504B">
              <w:rPr>
                <w:sz w:val="24"/>
                <w:szCs w:val="24"/>
                <w:lang w:eastAsia="en-US"/>
              </w:rPr>
              <w:t>p</w:t>
            </w:r>
            <w:r w:rsidR="00923522" w:rsidRPr="00E6504B">
              <w:rPr>
                <w:sz w:val="24"/>
                <w:szCs w:val="24"/>
                <w:lang w:eastAsia="en-US"/>
              </w:rPr>
              <w:t>ant</w:t>
            </w:r>
            <w:r w:rsidR="002D09E0" w:rsidRPr="00E6504B">
              <w:rPr>
                <w:sz w:val="24"/>
                <w:szCs w:val="24"/>
                <w:lang w:eastAsia="en-US"/>
              </w:rPr>
              <w:t>am</w:t>
            </w:r>
            <w:r w:rsidR="00772A4F" w:rsidRPr="00E6504B">
              <w:rPr>
                <w:sz w:val="24"/>
                <w:szCs w:val="24"/>
                <w:lang w:eastAsia="en-US"/>
              </w:rPr>
              <w:t>.</w:t>
            </w:r>
            <w:r w:rsidR="00923522" w:rsidRPr="00E6504B">
              <w:rPr>
                <w:sz w:val="24"/>
                <w:szCs w:val="24"/>
                <w:lang w:eastAsia="en-US"/>
              </w:rPr>
              <w:t xml:space="preserve"> </w:t>
            </w:r>
            <w:r w:rsidR="00E41F09" w:rsidRPr="00E6504B">
              <w:rPr>
                <w:sz w:val="24"/>
                <w:szCs w:val="24"/>
              </w:rPr>
              <w:t>Minētā informācija</w:t>
            </w:r>
            <w:r w:rsidR="00DB450C" w:rsidRPr="00E6504B">
              <w:rPr>
                <w:sz w:val="24"/>
                <w:szCs w:val="24"/>
              </w:rPr>
              <w:t xml:space="preserve"> </w:t>
            </w:r>
            <w:r w:rsidR="00463FFD" w:rsidRPr="00E6504B">
              <w:rPr>
                <w:sz w:val="24"/>
                <w:szCs w:val="24"/>
              </w:rPr>
              <w:t>par pēdējo trīs gadu periodu</w:t>
            </w:r>
            <w:r w:rsidR="00E41F09" w:rsidRPr="00E6504B">
              <w:rPr>
                <w:sz w:val="24"/>
                <w:szCs w:val="24"/>
              </w:rPr>
              <w:t xml:space="preserve"> ir </w:t>
            </w:r>
            <w:r w:rsidR="00463FFD" w:rsidRPr="00E6504B">
              <w:rPr>
                <w:sz w:val="24"/>
                <w:szCs w:val="24"/>
              </w:rPr>
              <w:t>iekļauta anotācijas I sadaļas 4.</w:t>
            </w:r>
            <w:r w:rsidR="00EC5271" w:rsidRPr="00E6504B">
              <w:rPr>
                <w:sz w:val="24"/>
                <w:szCs w:val="24"/>
              </w:rPr>
              <w:t> </w:t>
            </w:r>
            <w:r w:rsidR="00463FFD" w:rsidRPr="00E6504B">
              <w:rPr>
                <w:sz w:val="24"/>
                <w:szCs w:val="24"/>
              </w:rPr>
              <w:t>punktā</w:t>
            </w:r>
          </w:p>
          <w:p w14:paraId="277A51F6" w14:textId="4BEE2AC5" w:rsidR="00433E7E" w:rsidRPr="00E6504B" w:rsidRDefault="00F26264" w:rsidP="00433E7E">
            <w:pPr>
              <w:pStyle w:val="NormalWeb"/>
              <w:spacing w:before="0" w:beforeAutospacing="0" w:after="0" w:afterAutospacing="0"/>
              <w:jc w:val="both"/>
            </w:pPr>
            <w:r w:rsidRPr="00E6504B">
              <w:t xml:space="preserve">Lai </w:t>
            </w:r>
            <w:r w:rsidR="009600DE" w:rsidRPr="00E6504B">
              <w:t>ņemtu vērā</w:t>
            </w:r>
            <w:r w:rsidRPr="00E6504B">
              <w:t xml:space="preserve"> </w:t>
            </w:r>
            <w:r w:rsidR="00EC3464" w:rsidRPr="00E6504B">
              <w:t>citu iestāžu līdzšinējo pieredzi administratīvo pārkāpumu lietās</w:t>
            </w:r>
            <w:r w:rsidR="002239C8" w:rsidRPr="00E6504B">
              <w:t xml:space="preserve"> </w:t>
            </w:r>
            <w:r w:rsidR="002239C8" w:rsidRPr="00E6504B">
              <w:rPr>
                <w:rFonts w:eastAsia="Times New Roman"/>
              </w:rPr>
              <w:t>saistībā ar Ū</w:t>
            </w:r>
            <w:r w:rsidR="00685DA1" w:rsidRPr="00E6504B">
              <w:rPr>
                <w:rFonts w:eastAsia="Times New Roman"/>
              </w:rPr>
              <w:t>AL</w:t>
            </w:r>
            <w:r w:rsidR="002239C8" w:rsidRPr="00E6504B">
              <w:rPr>
                <w:rFonts w:eastAsia="Times New Roman"/>
              </w:rPr>
              <w:t xml:space="preserve"> </w:t>
            </w:r>
            <w:r w:rsidR="00910E90" w:rsidRPr="00E6504B">
              <w:t>prasību ievērošanu</w:t>
            </w:r>
            <w:r w:rsidR="00EC3464" w:rsidRPr="00E6504B">
              <w:t>,</w:t>
            </w:r>
            <w:r w:rsidR="0035749F" w:rsidRPr="00E6504B">
              <w:t xml:space="preserve"> par minētajā likumā iekļaujamo administratīvo pārkāpumu sastāvu un sodu apmēru </w:t>
            </w:r>
            <w:r w:rsidR="00D148BD" w:rsidRPr="00E6504B">
              <w:t>tika lūgts</w:t>
            </w:r>
            <w:r w:rsidR="008205F6" w:rsidRPr="00E6504B">
              <w:t xml:space="preserve"> V</w:t>
            </w:r>
            <w:r w:rsidR="000A1C29" w:rsidRPr="00E6504B">
              <w:t>eselības inspekcijas (turpmāk – Inspekcija)</w:t>
            </w:r>
            <w:r w:rsidR="00D148BD" w:rsidRPr="00E6504B">
              <w:t xml:space="preserve"> </w:t>
            </w:r>
            <w:r w:rsidR="002239C8" w:rsidRPr="00E6504B">
              <w:t>un L</w:t>
            </w:r>
            <w:r w:rsidR="00EC3464" w:rsidRPr="00E6504B">
              <w:t>at</w:t>
            </w:r>
            <w:r w:rsidR="002239C8" w:rsidRPr="00E6504B">
              <w:t>v</w:t>
            </w:r>
            <w:r w:rsidR="00EC3464" w:rsidRPr="00E6504B">
              <w:t xml:space="preserve">ijas </w:t>
            </w:r>
            <w:r w:rsidR="002239C8" w:rsidRPr="00E6504B">
              <w:t>P</w:t>
            </w:r>
            <w:r w:rsidR="00EC3464" w:rsidRPr="00E6504B">
              <w:t>ašvaldību savienība</w:t>
            </w:r>
            <w:r w:rsidR="00A8395C" w:rsidRPr="00E6504B">
              <w:t>s</w:t>
            </w:r>
            <w:r w:rsidR="00EC3464" w:rsidRPr="00E6504B">
              <w:t xml:space="preserve"> viedokli</w:t>
            </w:r>
            <w:r w:rsidR="00D148BD" w:rsidRPr="00E6504B">
              <w:t>s</w:t>
            </w:r>
            <w:r w:rsidR="002239C8" w:rsidRPr="00E6504B">
              <w:t xml:space="preserve"> </w:t>
            </w:r>
            <w:r w:rsidR="002331EE" w:rsidRPr="00E6504B">
              <w:t>katras iestādes kompetences ietvaros</w:t>
            </w:r>
            <w:r w:rsidR="002239C8" w:rsidRPr="00E6504B">
              <w:t>.</w:t>
            </w:r>
            <w:r w:rsidR="000405DB" w:rsidRPr="00E6504B">
              <w:t xml:space="preserve"> </w:t>
            </w:r>
            <w:r w:rsidRPr="00E6504B">
              <w:t xml:space="preserve">Atbilstoši </w:t>
            </w:r>
            <w:r w:rsidR="000405DB" w:rsidRPr="00E6504B">
              <w:t>Inspekcijas sniegt</w:t>
            </w:r>
            <w:r w:rsidRPr="00E6504B">
              <w:t>ajai</w:t>
            </w:r>
            <w:r w:rsidR="000405DB" w:rsidRPr="00E6504B">
              <w:t xml:space="preserve"> informācij</w:t>
            </w:r>
            <w:r w:rsidRPr="00E6504B">
              <w:t>ai</w:t>
            </w:r>
            <w:r w:rsidR="000405DB" w:rsidRPr="00E6504B">
              <w:t xml:space="preserve">, </w:t>
            </w:r>
            <w:r w:rsidR="000405DB" w:rsidRPr="00E6504B">
              <w:rPr>
                <w:rFonts w:eastAsia="Times New Roman"/>
              </w:rPr>
              <w:t xml:space="preserve">tās praksē nav bijis </w:t>
            </w:r>
            <w:r w:rsidR="0035749F" w:rsidRPr="00E6504B">
              <w:rPr>
                <w:rFonts w:eastAsia="Times New Roman"/>
              </w:rPr>
              <w:t xml:space="preserve"> </w:t>
            </w:r>
            <w:r w:rsidR="000405DB" w:rsidRPr="00E6504B">
              <w:rPr>
                <w:rFonts w:eastAsia="Times New Roman"/>
              </w:rPr>
              <w:t xml:space="preserve">gadījumu, kad </w:t>
            </w:r>
            <w:r w:rsidR="000405DB" w:rsidRPr="00E6504B">
              <w:t>būtu piemērots sods atbilstoši Kodeksa 62.</w:t>
            </w:r>
            <w:r w:rsidR="00125EAB" w:rsidRPr="00E6504B">
              <w:t> </w:t>
            </w:r>
            <w:r w:rsidR="000405DB" w:rsidRPr="00E6504B">
              <w:t>pantam</w:t>
            </w:r>
            <w:r w:rsidR="00A8395C" w:rsidRPr="00E6504B">
              <w:t>. H</w:t>
            </w:r>
            <w:r w:rsidRPr="00E6504B">
              <w:t>igiēnas prasību pārkāpumu gadījumos</w:t>
            </w:r>
            <w:r w:rsidR="002E5A82" w:rsidRPr="00E6504B">
              <w:t xml:space="preserve"> attiecībā uz virszemes ūdeņu izmantošanu</w:t>
            </w:r>
            <w:r w:rsidRPr="00E6504B">
              <w:t xml:space="preserve"> Inspekcija piemērojusi</w:t>
            </w:r>
            <w:r w:rsidR="002E5A82" w:rsidRPr="00E6504B">
              <w:t xml:space="preserve"> sodus </w:t>
            </w:r>
            <w:r w:rsidRPr="00E6504B">
              <w:t>atbilstoši Kodeksa 42.</w:t>
            </w:r>
            <w:r w:rsidR="00125EAB" w:rsidRPr="00E6504B">
              <w:t> </w:t>
            </w:r>
            <w:r w:rsidRPr="00E6504B">
              <w:t>pantam (</w:t>
            </w:r>
            <w:r w:rsidR="00A8395C" w:rsidRPr="00E6504B">
              <w:t>e</w:t>
            </w:r>
            <w:r w:rsidRPr="00E6504B">
              <w:rPr>
                <w:bCs/>
              </w:rPr>
              <w:t>pidemioloģiskās drošības prasību pārkāpšana)</w:t>
            </w:r>
            <w:r w:rsidR="002E5A82" w:rsidRPr="00E6504B">
              <w:rPr>
                <w:bCs/>
              </w:rPr>
              <w:t>, kur</w:t>
            </w:r>
            <w:r w:rsidR="0039491E" w:rsidRPr="00E6504B">
              <w:rPr>
                <w:bCs/>
              </w:rPr>
              <w:t>š</w:t>
            </w:r>
            <w:r w:rsidR="002E5A82" w:rsidRPr="00E6504B">
              <w:rPr>
                <w:bCs/>
              </w:rPr>
              <w:t xml:space="preserve"> </w:t>
            </w:r>
            <w:r w:rsidR="00695A68" w:rsidRPr="00E6504B">
              <w:rPr>
                <w:bCs/>
              </w:rPr>
              <w:t>ir pār</w:t>
            </w:r>
            <w:r w:rsidR="0039491E" w:rsidRPr="00E6504B">
              <w:rPr>
                <w:bCs/>
              </w:rPr>
              <w:t>ņ</w:t>
            </w:r>
            <w:r w:rsidR="00695A68" w:rsidRPr="00E6504B">
              <w:rPr>
                <w:bCs/>
              </w:rPr>
              <w:t>emts</w:t>
            </w:r>
            <w:r w:rsidR="002E5A82" w:rsidRPr="00E6504B">
              <w:rPr>
                <w:bCs/>
              </w:rPr>
              <w:t xml:space="preserve"> </w:t>
            </w:r>
            <w:r w:rsidR="002E5A82" w:rsidRPr="00E6504B">
              <w:t xml:space="preserve">Epidemioloģiskās drošības </w:t>
            </w:r>
            <w:r w:rsidR="00895543" w:rsidRPr="00E6504B">
              <w:t>l</w:t>
            </w:r>
            <w:r w:rsidR="002E5A82" w:rsidRPr="00E6504B">
              <w:t>ikumā</w:t>
            </w:r>
            <w:r w:rsidR="00895543" w:rsidRPr="00E6504B">
              <w:t>.  Līdz ar to Inspekcijas ieskatā Ū</w:t>
            </w:r>
            <w:r w:rsidR="00685DA1" w:rsidRPr="00E6504B">
              <w:t xml:space="preserve">AL </w:t>
            </w:r>
            <w:r w:rsidR="00895543" w:rsidRPr="00E6504B">
              <w:t>nav iekļaujamas Inspekcijas kompetencē esošo Kodeksa 62. pantā noteik</w:t>
            </w:r>
            <w:r w:rsidR="00313938" w:rsidRPr="00E6504B">
              <w:t>t</w:t>
            </w:r>
            <w:r w:rsidR="00695A68" w:rsidRPr="00E6504B">
              <w:t xml:space="preserve">ie </w:t>
            </w:r>
            <w:r w:rsidR="00895543" w:rsidRPr="00E6504B">
              <w:t>pārkāpum</w:t>
            </w:r>
            <w:r w:rsidR="0039491E" w:rsidRPr="00E6504B">
              <w:t>i</w:t>
            </w:r>
            <w:r w:rsidR="00895543" w:rsidRPr="00E6504B">
              <w:t xml:space="preserve"> un attiecīgie piemērojamie sodi. L</w:t>
            </w:r>
            <w:r w:rsidR="0037596D" w:rsidRPr="00E6504B">
              <w:rPr>
                <w:bCs/>
              </w:rPr>
              <w:t>ikum</w:t>
            </w:r>
            <w:r w:rsidR="0007132D" w:rsidRPr="00E6504B">
              <w:rPr>
                <w:bCs/>
              </w:rPr>
              <w:t>s</w:t>
            </w:r>
            <w:r w:rsidR="0037596D" w:rsidRPr="00E6504B">
              <w:rPr>
                <w:bCs/>
              </w:rPr>
              <w:t xml:space="preserve"> “Grozījumi Epidemioloģiskās drošības likumā”, kurā noteikts regulējums par administratīvo atbildību</w:t>
            </w:r>
            <w:r w:rsidR="00895543" w:rsidRPr="00E6504B">
              <w:rPr>
                <w:bCs/>
              </w:rPr>
              <w:t>,</w:t>
            </w:r>
            <w:r w:rsidR="0037596D" w:rsidRPr="00E6504B">
              <w:rPr>
                <w:bCs/>
              </w:rPr>
              <w:t xml:space="preserve"> ir pieņemts 2019.</w:t>
            </w:r>
            <w:r w:rsidR="00DD31EF" w:rsidRPr="00E6504B">
              <w:rPr>
                <w:bCs/>
              </w:rPr>
              <w:t> </w:t>
            </w:r>
            <w:r w:rsidR="0037596D" w:rsidRPr="00E6504B">
              <w:rPr>
                <w:bCs/>
              </w:rPr>
              <w:t xml:space="preserve">gada </w:t>
            </w:r>
            <w:r w:rsidR="00695A68" w:rsidRPr="00E6504B">
              <w:rPr>
                <w:bCs/>
              </w:rPr>
              <w:t>24.</w:t>
            </w:r>
            <w:r w:rsidR="0039491E" w:rsidRPr="00E6504B">
              <w:rPr>
                <w:bCs/>
              </w:rPr>
              <w:t> </w:t>
            </w:r>
            <w:r w:rsidR="00695A68" w:rsidRPr="00E6504B">
              <w:rPr>
                <w:bCs/>
              </w:rPr>
              <w:t>oktobrī.</w:t>
            </w:r>
            <w:r w:rsidR="002E5A82" w:rsidRPr="00E6504B">
              <w:rPr>
                <w:bCs/>
              </w:rPr>
              <w:t xml:space="preserve"> </w:t>
            </w:r>
            <w:r w:rsidR="00A8395C" w:rsidRPr="00E6504B">
              <w:t xml:space="preserve">Vienlaikus Inspekcija ir ierosinājusi </w:t>
            </w:r>
            <w:r w:rsidR="00685DA1" w:rsidRPr="00E6504B">
              <w:t>ŪAL</w:t>
            </w:r>
            <w:r w:rsidR="00A8395C" w:rsidRPr="00E6504B">
              <w:t xml:space="preserve"> iekļaut jaunu pārkāpumu sastāvu – par pārkāpumiem informācijas sniegšanā peldvietās</w:t>
            </w:r>
            <w:r w:rsidR="00F125E9" w:rsidRPr="00E6504B">
              <w:t>, ņemot vērā, ka tās kompetencē ir Ū</w:t>
            </w:r>
            <w:r w:rsidR="00685DA1" w:rsidRPr="00E6504B">
              <w:t xml:space="preserve">AL </w:t>
            </w:r>
            <w:r w:rsidR="00F125E9" w:rsidRPr="00E6504B">
              <w:t xml:space="preserve">dotajam deleģējumam atbilstīgie </w:t>
            </w:r>
            <w:r w:rsidR="00F125E9" w:rsidRPr="00E6504B">
              <w:rPr>
                <w:bCs/>
              </w:rPr>
              <w:t>M</w:t>
            </w:r>
            <w:r w:rsidR="0039491E" w:rsidRPr="00E6504B">
              <w:rPr>
                <w:bCs/>
              </w:rPr>
              <w:t>inistru kabineta 2017. gada 28. </w:t>
            </w:r>
            <w:r w:rsidR="00F125E9" w:rsidRPr="00E6504B">
              <w:rPr>
                <w:bCs/>
              </w:rPr>
              <w:t>novembra</w:t>
            </w:r>
            <w:r w:rsidR="00F125E9" w:rsidRPr="00E6504B">
              <w:rPr>
                <w:b/>
                <w:bCs/>
              </w:rPr>
              <w:t xml:space="preserve"> </w:t>
            </w:r>
            <w:r w:rsidR="00F125E9" w:rsidRPr="00E6504B">
              <w:rPr>
                <w:bCs/>
              </w:rPr>
              <w:t>noteikumi</w:t>
            </w:r>
            <w:r w:rsidR="00F125E9" w:rsidRPr="00E6504B">
              <w:t xml:space="preserve"> Nr. 692 </w:t>
            </w:r>
            <w:r w:rsidR="00BA350A" w:rsidRPr="00E6504B">
              <w:t>“</w:t>
            </w:r>
            <w:r w:rsidR="00F125E9" w:rsidRPr="00E6504B">
              <w:rPr>
                <w:bCs/>
              </w:rPr>
              <w:t>Peldvietas izveidošanas, uzturēšanas un ūdens kvalitātes pārvaldības kārtība</w:t>
            </w:r>
            <w:r w:rsidR="00BA350A" w:rsidRPr="00E6504B">
              <w:t>”</w:t>
            </w:r>
            <w:r w:rsidR="00C300CE" w:rsidRPr="00E6504B">
              <w:t xml:space="preserve"> (turpmāk </w:t>
            </w:r>
            <w:r w:rsidR="009212D3" w:rsidRPr="00E6504B">
              <w:t>– </w:t>
            </w:r>
            <w:r w:rsidR="00F125E9" w:rsidRPr="00E6504B">
              <w:t>MK noteikumi Nr. 692).</w:t>
            </w:r>
            <w:r w:rsidR="00952E00" w:rsidRPr="00E6504B">
              <w:t xml:space="preserve"> P</w:t>
            </w:r>
            <w:r w:rsidR="00433E7E" w:rsidRPr="00E6504B">
              <w:t>eldvietas apsaimniekotāja obligāti veicamie pienākumi, kuri ir būtiski sabiedrības veselībai, ir iekļauti MK noteikumu Nr. 692 II nodaļā, kur noteikta, piemēram, operatīvā transporta piebraucamo ceļu izveidošana, ūdens norobežošana ar bojām u.c. prasības</w:t>
            </w:r>
            <w:r w:rsidR="00952E00" w:rsidRPr="00E6504B">
              <w:t>.</w:t>
            </w:r>
            <w:r w:rsidR="00433E7E" w:rsidRPr="00E6504B">
              <w:t xml:space="preserve">  </w:t>
            </w:r>
          </w:p>
          <w:p w14:paraId="58BD0D25" w14:textId="1FFB548E" w:rsidR="00B8466C" w:rsidRPr="00E6504B" w:rsidRDefault="00540431" w:rsidP="00540431">
            <w:pPr>
              <w:pStyle w:val="NormalWeb"/>
              <w:spacing w:before="0" w:beforeAutospacing="0" w:after="0" w:afterAutospacing="0"/>
              <w:jc w:val="both"/>
            </w:pPr>
            <w:r w:rsidRPr="00E6504B">
              <w:t>Li</w:t>
            </w:r>
            <w:r w:rsidR="00B8466C" w:rsidRPr="00E6504B">
              <w:t>kumprojekts papildina Ū</w:t>
            </w:r>
            <w:r w:rsidR="00685DA1" w:rsidRPr="00E6504B">
              <w:t xml:space="preserve">AL </w:t>
            </w:r>
            <w:r w:rsidR="00B8466C" w:rsidRPr="00E6504B">
              <w:t>ar jaunu nodaļu, kurā iekļauti divi panti: 27.</w:t>
            </w:r>
            <w:r w:rsidR="00601883" w:rsidRPr="00E6504B">
              <w:t> </w:t>
            </w:r>
            <w:r w:rsidR="00B8466C" w:rsidRPr="00E6504B">
              <w:t>pants nosaka administratīvo</w:t>
            </w:r>
            <w:r w:rsidR="00132180" w:rsidRPr="00E6504B">
              <w:t>s pārkāpumus</w:t>
            </w:r>
            <w:r w:rsidR="00B8466C" w:rsidRPr="00E6504B">
              <w:t xml:space="preserve"> ūdens resursu aizsardzības un apsaimniekošanas jomā, </w:t>
            </w:r>
            <w:r w:rsidR="007B2EF4" w:rsidRPr="00E6504B">
              <w:t xml:space="preserve">pēc būtības </w:t>
            </w:r>
            <w:r w:rsidR="00B8466C" w:rsidRPr="00E6504B">
              <w:t>pārņemot Kodeksa 60., 62.</w:t>
            </w:r>
            <w:r w:rsidR="00350856" w:rsidRPr="00E6504B">
              <w:t xml:space="preserve"> un</w:t>
            </w:r>
            <w:r w:rsidR="00B8466C" w:rsidRPr="00E6504B">
              <w:t xml:space="preserve"> 64</w:t>
            </w:r>
            <w:r w:rsidR="00E64CE9" w:rsidRPr="00E6504B">
              <w:t>. </w:t>
            </w:r>
            <w:r w:rsidR="00B8466C" w:rsidRPr="00E6504B">
              <w:t>pantā jau iepriekš noteikto administratīvo atbildību</w:t>
            </w:r>
            <w:r w:rsidR="007E32C2" w:rsidRPr="00E6504B">
              <w:t xml:space="preserve">. </w:t>
            </w:r>
            <w:r w:rsidR="00B8466C" w:rsidRPr="00E6504B">
              <w:t xml:space="preserve">Papildus tam administratīvā atbildība tiek </w:t>
            </w:r>
            <w:r w:rsidR="00191FA5" w:rsidRPr="00E6504B">
              <w:t>noteikta</w:t>
            </w:r>
            <w:r w:rsidR="00B8466C" w:rsidRPr="00E6504B">
              <w:t xml:space="preserve"> par pārkāpumiem</w:t>
            </w:r>
            <w:r w:rsidR="00A57A2B" w:rsidRPr="00E6504B">
              <w:t xml:space="preserve"> </w:t>
            </w:r>
            <w:r w:rsidR="00AA7C1A" w:rsidRPr="00E6504B">
              <w:t>attiecībā uz peldvietu apsaimniekošanas prasībām,</w:t>
            </w:r>
            <w:r w:rsidR="009D00BD" w:rsidRPr="00E6504B">
              <w:t xml:space="preserve"> </w:t>
            </w:r>
            <w:r w:rsidR="00111F62" w:rsidRPr="00E6504B">
              <w:t xml:space="preserve">pēc Inspekcijas </w:t>
            </w:r>
            <w:r w:rsidR="009D00BD" w:rsidRPr="00E6504B">
              <w:t xml:space="preserve">un Veselības ministrijas </w:t>
            </w:r>
            <w:r w:rsidR="00111F62" w:rsidRPr="00E6504B">
              <w:t xml:space="preserve">ierosinājuma </w:t>
            </w:r>
            <w:r w:rsidR="00966208" w:rsidRPr="00E6504B">
              <w:t xml:space="preserve">iekļaujot jaunu </w:t>
            </w:r>
            <w:r w:rsidR="000709E6" w:rsidRPr="00E6504B">
              <w:t>pārkāpuma</w:t>
            </w:r>
            <w:r w:rsidR="00966208" w:rsidRPr="00E6504B">
              <w:t xml:space="preserve"> sastāvu</w:t>
            </w:r>
            <w:r w:rsidR="00111F62" w:rsidRPr="00E6504B">
              <w:t xml:space="preserve"> par </w:t>
            </w:r>
            <w:r w:rsidR="00AA7C1A" w:rsidRPr="00E6504B">
              <w:t>pārkāpumiem peldviet</w:t>
            </w:r>
            <w:r w:rsidRPr="00E6504B">
              <w:t>as</w:t>
            </w:r>
            <w:r w:rsidR="00AA7C1A" w:rsidRPr="00E6504B">
              <w:t xml:space="preserve"> izveidošanas un uzturēšanas prasībās, kuras noteiktas normatīvaj</w:t>
            </w:r>
            <w:r w:rsidRPr="00E6504B">
              <w:t xml:space="preserve">os </w:t>
            </w:r>
            <w:r w:rsidR="00AA7C1A" w:rsidRPr="00E6504B">
              <w:t>akt</w:t>
            </w:r>
            <w:r w:rsidRPr="00E6504B">
              <w:t>os</w:t>
            </w:r>
            <w:r w:rsidR="00AA7C1A" w:rsidRPr="00E6504B">
              <w:t xml:space="preserve"> par p</w:t>
            </w:r>
            <w:r w:rsidR="00AA7C1A" w:rsidRPr="00E6504B">
              <w:rPr>
                <w:bCs/>
                <w:shd w:val="clear" w:color="auto" w:fill="FFFFFF"/>
              </w:rPr>
              <w:t>eldvietas izveidošanas, uzturēšanas un ūdens kvalitātes pārvaldības kārtību</w:t>
            </w:r>
            <w:r w:rsidR="00111F62" w:rsidRPr="00E6504B">
              <w:t>.</w:t>
            </w:r>
            <w:r w:rsidR="00B8466C" w:rsidRPr="00E6504B">
              <w:t xml:space="preserve"> </w:t>
            </w:r>
            <w:r w:rsidR="009A160B" w:rsidRPr="00E6504B">
              <w:t>I</w:t>
            </w:r>
            <w:r w:rsidR="00504893" w:rsidRPr="00E6504B">
              <w:t xml:space="preserve">evērojot, ka </w:t>
            </w:r>
            <w:r w:rsidR="009A160B" w:rsidRPr="00E6504B">
              <w:t>likumprojekt</w:t>
            </w:r>
            <w:r w:rsidR="00504893" w:rsidRPr="00E6504B">
              <w:t>a</w:t>
            </w:r>
            <w:r w:rsidR="009A160B" w:rsidRPr="00E6504B">
              <w:t xml:space="preserve"> </w:t>
            </w:r>
            <w:r w:rsidR="00BA350A" w:rsidRPr="00E6504B">
              <w:t>“</w:t>
            </w:r>
            <w:r w:rsidR="009A160B" w:rsidRPr="00E6504B">
              <w:t>Administratīvo sodu</w:t>
            </w:r>
            <w:r w:rsidR="00CB2751" w:rsidRPr="00E6504B">
              <w:t xml:space="preserve"> likuma</w:t>
            </w:r>
            <w:r w:rsidR="009A160B" w:rsidRPr="00E6504B">
              <w:t xml:space="preserve"> par pārkāpumiem pārvaldes, sabiedriskās kārtības un valsts valodas </w:t>
            </w:r>
            <w:r w:rsidR="009A160B" w:rsidRPr="00E6504B">
              <w:lastRenderedPageBreak/>
              <w:t>lietošanas jomā</w:t>
            </w:r>
            <w:r w:rsidR="00BA350A" w:rsidRPr="00E6504B">
              <w:t>”</w:t>
            </w:r>
            <w:r w:rsidR="00504893" w:rsidRPr="00E6504B">
              <w:t xml:space="preserve"> </w:t>
            </w:r>
            <w:r w:rsidR="009A160B" w:rsidRPr="00E6504B">
              <w:t>3.</w:t>
            </w:r>
            <w:r w:rsidR="002664D7" w:rsidRPr="00E6504B">
              <w:t> </w:t>
            </w:r>
            <w:r w:rsidR="009A160B" w:rsidRPr="00E6504B">
              <w:t>pant</w:t>
            </w:r>
            <w:r w:rsidR="00504893" w:rsidRPr="00E6504B">
              <w:t>a</w:t>
            </w:r>
            <w:r w:rsidR="009A160B" w:rsidRPr="00E6504B">
              <w:t xml:space="preserve"> </w:t>
            </w:r>
            <w:r w:rsidR="00BA350A" w:rsidRPr="00E6504B">
              <w:t>“</w:t>
            </w:r>
            <w:r w:rsidR="009A160B" w:rsidRPr="00E6504B">
              <w:t>Informācijas nesniegšana, informācijas nepienācīga sniegšana vai nepatiesas informācijas sniegšana iestādei</w:t>
            </w:r>
            <w:r w:rsidR="00BA350A" w:rsidRPr="00E6504B">
              <w:t>”</w:t>
            </w:r>
            <w:r w:rsidR="00CB2751" w:rsidRPr="00E6504B">
              <w:t xml:space="preserve"> otrajā daļā</w:t>
            </w:r>
            <w:r w:rsidR="007A5B78" w:rsidRPr="00E6504B">
              <w:t xml:space="preserve"> ir </w:t>
            </w:r>
            <w:r w:rsidR="00191FA5" w:rsidRPr="00E6504B">
              <w:t>noteikta</w:t>
            </w:r>
            <w:r w:rsidR="007A5B78" w:rsidRPr="00E6504B">
              <w:t xml:space="preserve"> administratīvā atbildība par pārkāpumiem</w:t>
            </w:r>
            <w:r w:rsidR="009A160B" w:rsidRPr="00E6504B">
              <w:t xml:space="preserve"> </w:t>
            </w:r>
            <w:r w:rsidR="007A5B78" w:rsidRPr="00E6504B">
              <w:t xml:space="preserve">informācijas sniegšanā  iestādēm, </w:t>
            </w:r>
            <w:r w:rsidR="00BB6865" w:rsidRPr="00E6504B">
              <w:t>š</w:t>
            </w:r>
            <w:r w:rsidR="00E741AB" w:rsidRPr="00E6504B">
              <w:t>ā</w:t>
            </w:r>
            <w:r w:rsidR="00BB6865" w:rsidRPr="00E6504B">
              <w:t>da veida</w:t>
            </w:r>
            <w:r w:rsidR="007A5B78" w:rsidRPr="00E6504B">
              <w:t xml:space="preserve"> pārkāpum</w:t>
            </w:r>
            <w:r w:rsidR="00BB6865" w:rsidRPr="00E6504B">
              <w:t>i</w:t>
            </w:r>
            <w:r w:rsidR="007A5B78" w:rsidRPr="00E6504B">
              <w:t xml:space="preserve"> likumprojektā </w:t>
            </w:r>
            <w:r w:rsidR="00173C9B" w:rsidRPr="00E6504B">
              <w:t>nav</w:t>
            </w:r>
            <w:r w:rsidR="007A5B78" w:rsidRPr="00E6504B">
              <w:t xml:space="preserve"> iekļ</w:t>
            </w:r>
            <w:r w:rsidR="00BB6865" w:rsidRPr="00E6504B">
              <w:t>auti.</w:t>
            </w:r>
            <w:r w:rsidR="007A5B78" w:rsidRPr="00E6504B">
              <w:t xml:space="preserve"> </w:t>
            </w:r>
            <w:r w:rsidR="009A160B" w:rsidRPr="00E6504B">
              <w:t xml:space="preserve"> </w:t>
            </w:r>
            <w:r w:rsidR="00344CD2" w:rsidRPr="00E6504B">
              <w:t>L</w:t>
            </w:r>
            <w:r w:rsidR="00464510" w:rsidRPr="00E6504B">
              <w:t>ikumprojekts</w:t>
            </w:r>
            <w:r w:rsidR="00417D3A" w:rsidRPr="00E6504B">
              <w:t xml:space="preserve"> “Administratīvo sodu likuma par pārkāpumiem pārvaldes, sabiedriskās kārtības un valsts valodas lietošanas jomā”</w:t>
            </w:r>
            <w:r w:rsidR="00464510" w:rsidRPr="00E6504B">
              <w:t xml:space="preserve"> </w:t>
            </w:r>
            <w:r w:rsidR="00344CD2" w:rsidRPr="00E6504B">
              <w:t xml:space="preserve">2019. gada 10. jūnijā </w:t>
            </w:r>
            <w:r w:rsidR="00464510" w:rsidRPr="00E6504B">
              <w:t>iesniegts Saeimā</w:t>
            </w:r>
            <w:r w:rsidR="00742005" w:rsidRPr="00E6504B">
              <w:rPr>
                <w:color w:val="212121"/>
              </w:rPr>
              <w:t xml:space="preserve"> (Nr. 342/L</w:t>
            </w:r>
            <w:r w:rsidR="00173C9B" w:rsidRPr="00E6504B">
              <w:rPr>
                <w:color w:val="212121"/>
              </w:rPr>
              <w:t>p</w:t>
            </w:r>
            <w:r w:rsidR="00742005" w:rsidRPr="00E6504B">
              <w:rPr>
                <w:color w:val="212121"/>
              </w:rPr>
              <w:t>13).</w:t>
            </w:r>
          </w:p>
          <w:p w14:paraId="590A57EF" w14:textId="1FD8B4AE" w:rsidR="00347652" w:rsidRPr="00E6504B" w:rsidRDefault="00347652" w:rsidP="00F4434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E6504B">
              <w:rPr>
                <w:szCs w:val="24"/>
                <w:lang w:val="lv-LV"/>
              </w:rPr>
              <w:t xml:space="preserve">Atbilstoši </w:t>
            </w:r>
            <w:r w:rsidR="00417D3A" w:rsidRPr="00E6504B">
              <w:rPr>
                <w:szCs w:val="24"/>
                <w:lang w:val="lv-LV"/>
              </w:rPr>
              <w:t xml:space="preserve">spēkā esošajam </w:t>
            </w:r>
            <w:r w:rsidRPr="00E6504B">
              <w:rPr>
                <w:szCs w:val="24"/>
                <w:lang w:val="lv-LV"/>
              </w:rPr>
              <w:t>regulējumam VVD kompetencē ir administratīvo pārkāpumu lietas attiecībā uz Kodeksa 60., 62.</w:t>
            </w:r>
            <w:r w:rsidR="00BB6865" w:rsidRPr="00E6504B">
              <w:rPr>
                <w:szCs w:val="24"/>
                <w:lang w:val="lv-LV"/>
              </w:rPr>
              <w:t xml:space="preserve"> un</w:t>
            </w:r>
            <w:r w:rsidRPr="00E6504B">
              <w:rPr>
                <w:szCs w:val="24"/>
                <w:lang w:val="lv-LV"/>
              </w:rPr>
              <w:t xml:space="preserve"> 64. panta piemērošanu.  Inspekcija pašlaik ir tiesīg</w:t>
            </w:r>
            <w:r w:rsidR="00601883" w:rsidRPr="00E6504B">
              <w:rPr>
                <w:szCs w:val="24"/>
                <w:lang w:val="lv-LV"/>
              </w:rPr>
              <w:t>a</w:t>
            </w:r>
            <w:r w:rsidRPr="00E6504B">
              <w:rPr>
                <w:szCs w:val="24"/>
                <w:lang w:val="lv-LV"/>
              </w:rPr>
              <w:t xml:space="preserve"> izskatīt administratīvo pārkāpumu lietas un piemērot administratīvos sodus par pārkāpumiem ūdens resursu aizsardzībā un apsaimniekošanā, kas </w:t>
            </w:r>
            <w:r w:rsidR="005E3074" w:rsidRPr="00E6504B">
              <w:rPr>
                <w:szCs w:val="24"/>
                <w:lang w:val="lv-LV"/>
              </w:rPr>
              <w:t>noteikt</w:t>
            </w:r>
            <w:r w:rsidR="002E3157" w:rsidRPr="00E6504B">
              <w:rPr>
                <w:szCs w:val="24"/>
                <w:lang w:val="lv-LV"/>
              </w:rPr>
              <w:t>i</w:t>
            </w:r>
            <w:r w:rsidR="005E3074" w:rsidRPr="00E6504B">
              <w:rPr>
                <w:szCs w:val="24"/>
                <w:lang w:val="lv-LV"/>
              </w:rPr>
              <w:t xml:space="preserve"> </w:t>
            </w:r>
            <w:r w:rsidRPr="00E6504B">
              <w:rPr>
                <w:szCs w:val="24"/>
                <w:lang w:val="lv-LV"/>
              </w:rPr>
              <w:t>Kodeksa 62.</w:t>
            </w:r>
            <w:r w:rsidR="00601883" w:rsidRPr="00E6504B">
              <w:rPr>
                <w:szCs w:val="24"/>
                <w:lang w:val="lv-LV"/>
              </w:rPr>
              <w:t> </w:t>
            </w:r>
            <w:r w:rsidRPr="00E6504B">
              <w:rPr>
                <w:szCs w:val="24"/>
                <w:lang w:val="lv-LV"/>
              </w:rPr>
              <w:t>pantā</w:t>
            </w:r>
            <w:r w:rsidR="006B36C1" w:rsidRPr="00E6504B">
              <w:rPr>
                <w:szCs w:val="24"/>
                <w:lang w:val="lv-LV"/>
              </w:rPr>
              <w:t xml:space="preserve"> (ja tie ir higiēnas prasību pārkāpumi)</w:t>
            </w:r>
            <w:r w:rsidRPr="00E6504B">
              <w:rPr>
                <w:szCs w:val="24"/>
                <w:lang w:val="lv-LV"/>
              </w:rPr>
              <w:t xml:space="preserve">. </w:t>
            </w:r>
          </w:p>
          <w:p w14:paraId="4C8077D7" w14:textId="6C4405F6" w:rsidR="00B8581B" w:rsidRPr="00E6504B" w:rsidRDefault="00347652" w:rsidP="00F4434D">
            <w:pPr>
              <w:pStyle w:val="tv2131"/>
              <w:spacing w:line="240" w:lineRule="auto"/>
              <w:ind w:firstLine="0"/>
              <w:jc w:val="both"/>
              <w:rPr>
                <w:color w:val="auto"/>
                <w:sz w:val="24"/>
                <w:szCs w:val="24"/>
              </w:rPr>
            </w:pPr>
            <w:r w:rsidRPr="00E6504B">
              <w:rPr>
                <w:color w:val="auto"/>
                <w:sz w:val="24"/>
                <w:szCs w:val="24"/>
              </w:rPr>
              <w:t>Likumprojekta</w:t>
            </w:r>
            <w:r w:rsidR="005350CA" w:rsidRPr="00E6504B">
              <w:rPr>
                <w:color w:val="auto"/>
                <w:sz w:val="24"/>
                <w:szCs w:val="24"/>
              </w:rPr>
              <w:t xml:space="preserve"> </w:t>
            </w:r>
            <w:r w:rsidR="00B8581B" w:rsidRPr="00E6504B">
              <w:rPr>
                <w:color w:val="auto"/>
                <w:sz w:val="24"/>
                <w:szCs w:val="24"/>
                <w:u w:val="single"/>
              </w:rPr>
              <w:t xml:space="preserve">2. pantā paredzētajā </w:t>
            </w:r>
            <w:r w:rsidR="00344CD2" w:rsidRPr="00E6504B">
              <w:rPr>
                <w:color w:val="auto"/>
                <w:sz w:val="24"/>
                <w:szCs w:val="24"/>
                <w:u w:val="single"/>
              </w:rPr>
              <w:t>ŪAL</w:t>
            </w:r>
            <w:r w:rsidR="00685DA1" w:rsidRPr="00E6504B">
              <w:rPr>
                <w:color w:val="auto"/>
                <w:sz w:val="24"/>
                <w:szCs w:val="24"/>
                <w:u w:val="single"/>
              </w:rPr>
              <w:t xml:space="preserve"> </w:t>
            </w:r>
            <w:r w:rsidR="00B8581B" w:rsidRPr="00E6504B">
              <w:rPr>
                <w:color w:val="auto"/>
                <w:sz w:val="24"/>
                <w:szCs w:val="24"/>
                <w:u w:val="single"/>
              </w:rPr>
              <w:t>28. pantā</w:t>
            </w:r>
            <w:r w:rsidRPr="00E6504B">
              <w:rPr>
                <w:color w:val="auto"/>
                <w:sz w:val="24"/>
                <w:szCs w:val="24"/>
              </w:rPr>
              <w:t xml:space="preserve"> noteikta institūciju kompetence administratīvo </w:t>
            </w:r>
            <w:r w:rsidR="00EF5A99" w:rsidRPr="00E6504B">
              <w:rPr>
                <w:color w:val="auto"/>
                <w:sz w:val="24"/>
                <w:szCs w:val="24"/>
              </w:rPr>
              <w:t xml:space="preserve"> pārkāpumu procesā</w:t>
            </w:r>
            <w:r w:rsidRPr="00E6504B">
              <w:rPr>
                <w:color w:val="auto"/>
                <w:sz w:val="24"/>
                <w:szCs w:val="24"/>
              </w:rPr>
              <w:t>. VVD ir saglabāta Kodeksā noteiktā kompetence Ū</w:t>
            </w:r>
            <w:r w:rsidR="00344CD2" w:rsidRPr="00E6504B">
              <w:rPr>
                <w:color w:val="auto"/>
                <w:sz w:val="24"/>
                <w:szCs w:val="24"/>
              </w:rPr>
              <w:t>AL</w:t>
            </w:r>
            <w:r w:rsidRPr="00E6504B">
              <w:rPr>
                <w:color w:val="auto"/>
                <w:sz w:val="24"/>
                <w:szCs w:val="24"/>
              </w:rPr>
              <w:t xml:space="preserve"> piekritīgu administratīvo pārkāpumu izskatīšanā un sodu piemērošanā. Inspekcijai  ir noteikta jauna kompetence administratīvo sodu piemērošanā attiecībā uz peldvietām.</w:t>
            </w:r>
          </w:p>
          <w:p w14:paraId="4AAFA2EF" w14:textId="56A41256" w:rsidR="007B2EF4" w:rsidRPr="00E6504B" w:rsidRDefault="007B2EF4" w:rsidP="00F4434D">
            <w:pPr>
              <w:pStyle w:val="tv2131"/>
              <w:spacing w:line="240" w:lineRule="auto"/>
              <w:ind w:firstLine="0"/>
              <w:jc w:val="both"/>
              <w:rPr>
                <w:color w:val="auto"/>
                <w:sz w:val="24"/>
                <w:szCs w:val="24"/>
              </w:rPr>
            </w:pPr>
            <w:r w:rsidRPr="00E6504B">
              <w:rPr>
                <w:bCs/>
                <w:color w:val="auto"/>
                <w:sz w:val="24"/>
                <w:szCs w:val="24"/>
              </w:rPr>
              <w:t xml:space="preserve">Jāatzīmē, ka likumprojektā ietvertais regulējums nav pārņemts  </w:t>
            </w:r>
            <w:r w:rsidR="00974874" w:rsidRPr="00E6504B">
              <w:rPr>
                <w:bCs/>
                <w:color w:val="auto"/>
                <w:sz w:val="24"/>
                <w:szCs w:val="24"/>
              </w:rPr>
              <w:t xml:space="preserve">identiski </w:t>
            </w:r>
            <w:r w:rsidRPr="00E6504B">
              <w:rPr>
                <w:bCs/>
                <w:color w:val="auto"/>
                <w:sz w:val="24"/>
                <w:szCs w:val="24"/>
              </w:rPr>
              <w:t xml:space="preserve">no Kodeksa attiecīgajiem pantiem. </w:t>
            </w:r>
            <w:r w:rsidRPr="00E6504B">
              <w:rPr>
                <w:color w:val="auto"/>
                <w:sz w:val="24"/>
                <w:szCs w:val="24"/>
              </w:rPr>
              <w:t>Ir veikta administratīvo pārkāpumu sastāvu izvērtēšana, lai  ietvertu Ū</w:t>
            </w:r>
            <w:r w:rsidR="00344CD2" w:rsidRPr="00E6504B">
              <w:rPr>
                <w:color w:val="auto"/>
                <w:sz w:val="24"/>
                <w:szCs w:val="24"/>
              </w:rPr>
              <w:t xml:space="preserve">AL </w:t>
            </w:r>
            <w:r w:rsidRPr="00E6504B">
              <w:rPr>
                <w:color w:val="auto"/>
                <w:sz w:val="24"/>
                <w:szCs w:val="24"/>
              </w:rPr>
              <w:t xml:space="preserve">piekritīgus administratīvo </w:t>
            </w:r>
            <w:r w:rsidR="0021088A" w:rsidRPr="00E6504B">
              <w:rPr>
                <w:color w:val="auto"/>
                <w:sz w:val="24"/>
                <w:szCs w:val="24"/>
              </w:rPr>
              <w:t xml:space="preserve">pārkāpumu </w:t>
            </w:r>
            <w:r w:rsidRPr="00E6504B">
              <w:rPr>
                <w:color w:val="auto"/>
                <w:sz w:val="24"/>
                <w:szCs w:val="24"/>
              </w:rPr>
              <w:t xml:space="preserve">sastāvus, novērstu atsevišķu Kodeksa normu dublēšanos (piemēram, par ūdens resursu lietošanu bez nepieciešamās atļaujas vai par tās nosacījumu pārkāpšanu), iespējami vienkāršotu </w:t>
            </w:r>
            <w:r w:rsidR="00417D3A" w:rsidRPr="00E6504B">
              <w:rPr>
                <w:color w:val="auto"/>
                <w:sz w:val="24"/>
                <w:szCs w:val="24"/>
              </w:rPr>
              <w:t xml:space="preserve">administratīvā pārkāpuma </w:t>
            </w:r>
            <w:r w:rsidRPr="00E6504B">
              <w:rPr>
                <w:color w:val="auto"/>
                <w:sz w:val="24"/>
                <w:szCs w:val="24"/>
              </w:rPr>
              <w:t>procesu ve</w:t>
            </w:r>
            <w:r w:rsidR="00000B6C" w:rsidRPr="00E6504B">
              <w:rPr>
                <w:color w:val="auto"/>
                <w:sz w:val="24"/>
                <w:szCs w:val="24"/>
              </w:rPr>
              <w:t>ikšanu</w:t>
            </w:r>
            <w:r w:rsidR="001A4576" w:rsidRPr="00E6504B">
              <w:rPr>
                <w:color w:val="auto"/>
                <w:sz w:val="24"/>
                <w:szCs w:val="24"/>
              </w:rPr>
              <w:t xml:space="preserve"> </w:t>
            </w:r>
            <w:r w:rsidRPr="00E6504B">
              <w:rPr>
                <w:color w:val="auto"/>
                <w:sz w:val="24"/>
                <w:szCs w:val="24"/>
              </w:rPr>
              <w:t>turpmāk un pārkāpumam sekotu nodarījumam atbilstošas sankcijas.</w:t>
            </w:r>
          </w:p>
          <w:p w14:paraId="5057C1B6" w14:textId="2ECCA503" w:rsidR="004F2A24" w:rsidRPr="00E6504B" w:rsidRDefault="00B858FB" w:rsidP="00F4434D">
            <w:pPr>
              <w:autoSpaceDE w:val="0"/>
              <w:autoSpaceDN w:val="0"/>
              <w:adjustRightInd w:val="0"/>
              <w:spacing w:after="0" w:line="240" w:lineRule="auto"/>
              <w:jc w:val="both"/>
              <w:rPr>
                <w:rFonts w:ascii="Times New Roman" w:hAnsi="Times New Roman" w:cs="Times New Roman"/>
                <w:sz w:val="24"/>
                <w:szCs w:val="24"/>
              </w:rPr>
            </w:pPr>
            <w:r w:rsidRPr="00E6504B">
              <w:rPr>
                <w:rFonts w:ascii="Times New Roman" w:eastAsia="Times New Roman" w:hAnsi="Times New Roman" w:cs="Times New Roman"/>
                <w:sz w:val="24"/>
                <w:szCs w:val="24"/>
              </w:rPr>
              <w:t xml:space="preserve"> </w:t>
            </w:r>
            <w:r w:rsidR="0004566A" w:rsidRPr="00E6504B">
              <w:rPr>
                <w:rFonts w:ascii="Times New Roman" w:eastAsia="Times New Roman" w:hAnsi="Times New Roman" w:cs="Times New Roman"/>
                <w:sz w:val="24"/>
                <w:szCs w:val="24"/>
              </w:rPr>
              <w:t xml:space="preserve"> Papildus minētaj</w:t>
            </w:r>
            <w:r w:rsidR="00AB5562" w:rsidRPr="00E6504B">
              <w:rPr>
                <w:rFonts w:ascii="Times New Roman" w:eastAsia="Times New Roman" w:hAnsi="Times New Roman" w:cs="Times New Roman"/>
                <w:sz w:val="24"/>
                <w:szCs w:val="24"/>
              </w:rPr>
              <w:t>a</w:t>
            </w:r>
            <w:r w:rsidR="0004566A" w:rsidRPr="00E6504B">
              <w:rPr>
                <w:rFonts w:ascii="Times New Roman" w:eastAsia="Times New Roman" w:hAnsi="Times New Roman" w:cs="Times New Roman"/>
                <w:sz w:val="24"/>
                <w:szCs w:val="24"/>
              </w:rPr>
              <w:t xml:space="preserve">m </w:t>
            </w:r>
            <w:r w:rsidR="004B0D59" w:rsidRPr="00E6504B">
              <w:rPr>
                <w:rFonts w:ascii="Times New Roman" w:eastAsia="Times New Roman" w:hAnsi="Times New Roman" w:cs="Times New Roman"/>
                <w:sz w:val="24"/>
                <w:szCs w:val="24"/>
              </w:rPr>
              <w:t xml:space="preserve">ar likumprojektu </w:t>
            </w:r>
            <w:r w:rsidR="00316304" w:rsidRPr="00E6504B">
              <w:rPr>
                <w:rFonts w:ascii="Times New Roman" w:eastAsia="Times New Roman" w:hAnsi="Times New Roman" w:cs="Times New Roman"/>
                <w:sz w:val="24"/>
                <w:szCs w:val="24"/>
              </w:rPr>
              <w:t xml:space="preserve">tiek veikti </w:t>
            </w:r>
            <w:r w:rsidR="0004566A" w:rsidRPr="00E6504B">
              <w:rPr>
                <w:rFonts w:ascii="Times New Roman" w:eastAsia="Times New Roman" w:hAnsi="Times New Roman" w:cs="Times New Roman"/>
                <w:sz w:val="24"/>
                <w:szCs w:val="24"/>
              </w:rPr>
              <w:t>groz</w:t>
            </w:r>
            <w:r w:rsidR="00BA0BE5" w:rsidRPr="00E6504B">
              <w:rPr>
                <w:rFonts w:ascii="Times New Roman" w:eastAsia="Times New Roman" w:hAnsi="Times New Roman" w:cs="Times New Roman"/>
                <w:sz w:val="24"/>
                <w:szCs w:val="24"/>
              </w:rPr>
              <w:t>ī</w:t>
            </w:r>
            <w:r w:rsidR="0004566A" w:rsidRPr="00E6504B">
              <w:rPr>
                <w:rFonts w:ascii="Times New Roman" w:eastAsia="Times New Roman" w:hAnsi="Times New Roman" w:cs="Times New Roman"/>
                <w:sz w:val="24"/>
                <w:szCs w:val="24"/>
              </w:rPr>
              <w:t>jum</w:t>
            </w:r>
            <w:r w:rsidR="00316304" w:rsidRPr="00E6504B">
              <w:rPr>
                <w:rFonts w:ascii="Times New Roman" w:eastAsia="Times New Roman" w:hAnsi="Times New Roman" w:cs="Times New Roman"/>
                <w:sz w:val="24"/>
                <w:szCs w:val="24"/>
              </w:rPr>
              <w:t>i</w:t>
            </w:r>
            <w:r w:rsidR="0004566A" w:rsidRPr="00E6504B">
              <w:rPr>
                <w:rFonts w:ascii="Times New Roman" w:eastAsia="Times New Roman" w:hAnsi="Times New Roman" w:cs="Times New Roman"/>
                <w:sz w:val="24"/>
                <w:szCs w:val="24"/>
              </w:rPr>
              <w:t xml:space="preserve"> </w:t>
            </w:r>
            <w:r w:rsidR="00973468" w:rsidRPr="00E6504B">
              <w:rPr>
                <w:rFonts w:ascii="Times New Roman" w:eastAsia="Times New Roman" w:hAnsi="Times New Roman" w:cs="Times New Roman"/>
                <w:sz w:val="24"/>
                <w:szCs w:val="24"/>
              </w:rPr>
              <w:t>Ū</w:t>
            </w:r>
            <w:r w:rsidR="00344CD2" w:rsidRPr="00E6504B">
              <w:rPr>
                <w:rFonts w:ascii="Times New Roman" w:eastAsia="Times New Roman" w:hAnsi="Times New Roman" w:cs="Times New Roman"/>
                <w:sz w:val="24"/>
                <w:szCs w:val="24"/>
              </w:rPr>
              <w:t xml:space="preserve">AL </w:t>
            </w:r>
            <w:r w:rsidR="00B70C85" w:rsidRPr="00E6504B">
              <w:rPr>
                <w:rFonts w:ascii="Times New Roman" w:eastAsia="Times New Roman" w:hAnsi="Times New Roman" w:cs="Times New Roman"/>
                <w:sz w:val="24"/>
                <w:szCs w:val="24"/>
              </w:rPr>
              <w:t>I nodaļā.</w:t>
            </w:r>
            <w:r w:rsidR="0004566A" w:rsidRPr="00E6504B">
              <w:rPr>
                <w:rFonts w:ascii="Times New Roman" w:eastAsia="Times New Roman" w:hAnsi="Times New Roman" w:cs="Times New Roman"/>
                <w:sz w:val="24"/>
                <w:szCs w:val="24"/>
              </w:rPr>
              <w:t xml:space="preserve"> </w:t>
            </w:r>
            <w:r w:rsidR="004B0D59" w:rsidRPr="00E6504B">
              <w:rPr>
                <w:rFonts w:ascii="Times New Roman" w:eastAsia="Times New Roman" w:hAnsi="Times New Roman" w:cs="Times New Roman"/>
                <w:sz w:val="24"/>
                <w:szCs w:val="24"/>
              </w:rPr>
              <w:t xml:space="preserve">Minētā likuma </w:t>
            </w:r>
            <w:r w:rsidR="0004566A" w:rsidRPr="00E6504B">
              <w:rPr>
                <w:rFonts w:ascii="Times New Roman" w:eastAsia="Times New Roman" w:hAnsi="Times New Roman" w:cs="Times New Roman"/>
                <w:sz w:val="24"/>
                <w:szCs w:val="24"/>
              </w:rPr>
              <w:t>7.</w:t>
            </w:r>
            <w:r w:rsidR="00601883" w:rsidRPr="00E6504B">
              <w:rPr>
                <w:rFonts w:ascii="Times New Roman" w:eastAsia="Times New Roman" w:hAnsi="Times New Roman" w:cs="Times New Roman"/>
                <w:sz w:val="24"/>
                <w:szCs w:val="24"/>
              </w:rPr>
              <w:t> </w:t>
            </w:r>
            <w:r w:rsidR="0004566A" w:rsidRPr="00E6504B">
              <w:rPr>
                <w:rFonts w:ascii="Times New Roman" w:eastAsia="Times New Roman" w:hAnsi="Times New Roman" w:cs="Times New Roman"/>
                <w:sz w:val="24"/>
                <w:szCs w:val="24"/>
              </w:rPr>
              <w:t>pantā, k</w:t>
            </w:r>
            <w:r w:rsidR="00AB5562" w:rsidRPr="00E6504B">
              <w:rPr>
                <w:rFonts w:ascii="Times New Roman" w:eastAsia="Times New Roman" w:hAnsi="Times New Roman" w:cs="Times New Roman"/>
                <w:sz w:val="24"/>
                <w:szCs w:val="24"/>
              </w:rPr>
              <w:t>urš</w:t>
            </w:r>
            <w:r w:rsidR="0004566A" w:rsidRPr="00E6504B">
              <w:rPr>
                <w:rFonts w:ascii="Times New Roman" w:eastAsia="Times New Roman" w:hAnsi="Times New Roman" w:cs="Times New Roman"/>
                <w:sz w:val="24"/>
                <w:szCs w:val="24"/>
              </w:rPr>
              <w:t xml:space="preserve"> nosaka ūdens resursu lietotāja pienākumus</w:t>
            </w:r>
            <w:r w:rsidR="00B70C85" w:rsidRPr="00E6504B">
              <w:rPr>
                <w:rFonts w:ascii="Times New Roman" w:eastAsia="Times New Roman" w:hAnsi="Times New Roman" w:cs="Times New Roman"/>
                <w:sz w:val="24"/>
                <w:szCs w:val="24"/>
              </w:rPr>
              <w:t xml:space="preserve">, tiek </w:t>
            </w:r>
            <w:r w:rsidR="005E3074" w:rsidRPr="00E6504B">
              <w:rPr>
                <w:rFonts w:ascii="Times New Roman" w:eastAsia="Times New Roman" w:hAnsi="Times New Roman" w:cs="Times New Roman"/>
                <w:sz w:val="24"/>
                <w:szCs w:val="24"/>
              </w:rPr>
              <w:t xml:space="preserve">iekļauts </w:t>
            </w:r>
            <w:r w:rsidR="00B70C85" w:rsidRPr="00E6504B">
              <w:rPr>
                <w:rFonts w:ascii="Times New Roman" w:eastAsia="Times New Roman" w:hAnsi="Times New Roman" w:cs="Times New Roman"/>
                <w:sz w:val="24"/>
                <w:szCs w:val="24"/>
              </w:rPr>
              <w:t>7</w:t>
            </w:r>
            <w:r w:rsidR="00615581" w:rsidRPr="00E6504B">
              <w:rPr>
                <w:rFonts w:ascii="Times New Roman" w:eastAsia="Times New Roman" w:hAnsi="Times New Roman" w:cs="Times New Roman"/>
                <w:sz w:val="24"/>
                <w:szCs w:val="24"/>
              </w:rPr>
              <w:t>.</w:t>
            </w:r>
            <w:r w:rsidR="005E3074" w:rsidRPr="00E6504B">
              <w:rPr>
                <w:rFonts w:ascii="Times New Roman" w:eastAsia="Times New Roman" w:hAnsi="Times New Roman" w:cs="Times New Roman"/>
                <w:sz w:val="24"/>
                <w:szCs w:val="24"/>
                <w:vertAlign w:val="superscript"/>
              </w:rPr>
              <w:t>1</w:t>
            </w:r>
            <w:r w:rsidR="00601883" w:rsidRPr="00E6504B">
              <w:rPr>
                <w:rFonts w:ascii="Times New Roman" w:eastAsia="Times New Roman" w:hAnsi="Times New Roman" w:cs="Times New Roman"/>
                <w:sz w:val="24"/>
                <w:szCs w:val="24"/>
              </w:rPr>
              <w:t> </w:t>
            </w:r>
            <w:r w:rsidR="00B70C85" w:rsidRPr="00E6504B">
              <w:rPr>
                <w:rFonts w:ascii="Times New Roman" w:eastAsia="Times New Roman" w:hAnsi="Times New Roman" w:cs="Times New Roman"/>
                <w:sz w:val="24"/>
                <w:szCs w:val="24"/>
              </w:rPr>
              <w:t xml:space="preserve">punkts, </w:t>
            </w:r>
            <w:r w:rsidR="004B0D59" w:rsidRPr="00E6504B">
              <w:rPr>
                <w:rFonts w:ascii="Times New Roman" w:eastAsia="Times New Roman" w:hAnsi="Times New Roman" w:cs="Times New Roman"/>
                <w:sz w:val="24"/>
                <w:szCs w:val="24"/>
              </w:rPr>
              <w:t xml:space="preserve">kas </w:t>
            </w:r>
            <w:r w:rsidR="00B41C27" w:rsidRPr="00E6504B">
              <w:rPr>
                <w:rFonts w:ascii="Times New Roman" w:eastAsia="Times New Roman" w:hAnsi="Times New Roman" w:cs="Times New Roman"/>
                <w:sz w:val="24"/>
                <w:szCs w:val="24"/>
              </w:rPr>
              <w:t xml:space="preserve"> minētajā pantā </w:t>
            </w:r>
            <w:r w:rsidR="00B70C85" w:rsidRPr="00E6504B">
              <w:rPr>
                <w:rFonts w:ascii="Times New Roman" w:eastAsia="Times New Roman" w:hAnsi="Times New Roman" w:cs="Times New Roman"/>
                <w:sz w:val="24"/>
                <w:szCs w:val="24"/>
              </w:rPr>
              <w:t xml:space="preserve">ietver jaunu prasību </w:t>
            </w:r>
            <w:r w:rsidR="004B0D59" w:rsidRPr="00E6504B">
              <w:rPr>
                <w:rFonts w:ascii="Times New Roman" w:eastAsia="Times New Roman" w:hAnsi="Times New Roman" w:cs="Times New Roman"/>
                <w:sz w:val="24"/>
                <w:szCs w:val="24"/>
              </w:rPr>
              <w:t xml:space="preserve">– </w:t>
            </w:r>
            <w:r w:rsidR="00B70C85" w:rsidRPr="00E6504B">
              <w:rPr>
                <w:rFonts w:ascii="Times New Roman" w:eastAsia="Times New Roman" w:hAnsi="Times New Roman" w:cs="Times New Roman"/>
                <w:sz w:val="24"/>
                <w:szCs w:val="24"/>
              </w:rPr>
              <w:t>pēc pieprasījuma</w:t>
            </w:r>
            <w:r w:rsidR="00B70C85" w:rsidRPr="00E6504B">
              <w:rPr>
                <w:rFonts w:ascii="Times New Roman" w:eastAsia="Calibri" w:hAnsi="Times New Roman" w:cs="Times New Roman"/>
                <w:sz w:val="24"/>
                <w:szCs w:val="24"/>
              </w:rPr>
              <w:t xml:space="preserve"> sniegt informāciju </w:t>
            </w:r>
            <w:r w:rsidR="00B70C85" w:rsidRPr="00E6504B">
              <w:rPr>
                <w:rFonts w:ascii="Times New Roman" w:hAnsi="Times New Roman" w:cs="Times New Roman"/>
                <w:sz w:val="24"/>
                <w:szCs w:val="24"/>
              </w:rPr>
              <w:t>VVD</w:t>
            </w:r>
            <w:r w:rsidR="00B70C85" w:rsidRPr="00E6504B">
              <w:rPr>
                <w:rFonts w:ascii="Times New Roman" w:eastAsia="Calibri" w:hAnsi="Times New Roman" w:cs="Times New Roman"/>
                <w:sz w:val="24"/>
                <w:szCs w:val="24"/>
              </w:rPr>
              <w:t xml:space="preserve"> par ūdens resursu lietošanu, ūdeņu stāvokli vai kvalitāti</w:t>
            </w:r>
            <w:r w:rsidR="004C0FA9" w:rsidRPr="00E6504B">
              <w:rPr>
                <w:rFonts w:ascii="Times New Roman" w:eastAsia="Calibri" w:hAnsi="Times New Roman" w:cs="Times New Roman"/>
                <w:sz w:val="24"/>
                <w:szCs w:val="24"/>
              </w:rPr>
              <w:t xml:space="preserve"> </w:t>
            </w:r>
            <w:r w:rsidR="004C0FA9" w:rsidRPr="00E6504B">
              <w:rPr>
                <w:rFonts w:ascii="Times New Roman" w:hAnsi="Times New Roman" w:cs="Times New Roman"/>
                <w:bCs/>
                <w:sz w:val="24"/>
                <w:szCs w:val="24"/>
              </w:rPr>
              <w:t>normatīvajos aktos noteiktajā kārtībā</w:t>
            </w:r>
            <w:r w:rsidR="00156CFA" w:rsidRPr="00E6504B">
              <w:rPr>
                <w:rFonts w:ascii="Times New Roman" w:eastAsia="Calibri" w:hAnsi="Times New Roman" w:cs="Times New Roman"/>
                <w:sz w:val="24"/>
                <w:szCs w:val="24"/>
              </w:rPr>
              <w:t>.</w:t>
            </w:r>
            <w:r w:rsidR="00B70C85" w:rsidRPr="00E6504B">
              <w:rPr>
                <w:rFonts w:ascii="Times New Roman" w:eastAsia="Calibri" w:hAnsi="Times New Roman" w:cs="Times New Roman"/>
                <w:sz w:val="24"/>
                <w:szCs w:val="24"/>
              </w:rPr>
              <w:t xml:space="preserve"> </w:t>
            </w:r>
            <w:r w:rsidR="00973468" w:rsidRPr="00E6504B">
              <w:rPr>
                <w:rFonts w:ascii="Times New Roman" w:eastAsia="Calibri" w:hAnsi="Times New Roman" w:cs="Times New Roman"/>
                <w:sz w:val="24"/>
                <w:szCs w:val="24"/>
              </w:rPr>
              <w:t xml:space="preserve">Ievērot šo prasību </w:t>
            </w:r>
            <w:r w:rsidR="00BA0BE5" w:rsidRPr="00E6504B">
              <w:rPr>
                <w:rFonts w:ascii="Times New Roman" w:eastAsia="Calibri" w:hAnsi="Times New Roman" w:cs="Times New Roman"/>
                <w:sz w:val="24"/>
                <w:szCs w:val="24"/>
              </w:rPr>
              <w:t>kļūst</w:t>
            </w:r>
            <w:r w:rsidR="00973468" w:rsidRPr="00E6504B">
              <w:rPr>
                <w:rFonts w:ascii="Times New Roman" w:eastAsia="Calibri" w:hAnsi="Times New Roman" w:cs="Times New Roman"/>
                <w:sz w:val="24"/>
                <w:szCs w:val="24"/>
              </w:rPr>
              <w:t xml:space="preserve"> būtiski gadījumos, kad</w:t>
            </w:r>
            <w:r w:rsidR="004F2A24" w:rsidRPr="00E6504B">
              <w:rPr>
                <w:rFonts w:ascii="Times New Roman" w:eastAsia="Calibri" w:hAnsi="Times New Roman" w:cs="Times New Roman"/>
                <w:sz w:val="24"/>
                <w:szCs w:val="24"/>
              </w:rPr>
              <w:t xml:space="preserve"> nav </w:t>
            </w:r>
            <w:r w:rsidR="00601883" w:rsidRPr="00E6504B">
              <w:rPr>
                <w:rFonts w:ascii="Times New Roman" w:eastAsia="Calibri" w:hAnsi="Times New Roman" w:cs="Times New Roman"/>
                <w:sz w:val="24"/>
                <w:szCs w:val="24"/>
              </w:rPr>
              <w:t>iespējams</w:t>
            </w:r>
            <w:r w:rsidR="004F2A24" w:rsidRPr="00E6504B">
              <w:rPr>
                <w:rFonts w:ascii="Times New Roman" w:eastAsia="Calibri" w:hAnsi="Times New Roman" w:cs="Times New Roman"/>
                <w:sz w:val="24"/>
                <w:szCs w:val="24"/>
              </w:rPr>
              <w:t xml:space="preserve"> gaidīt</w:t>
            </w:r>
            <w:r w:rsidR="00BC15FE" w:rsidRPr="00E6504B">
              <w:rPr>
                <w:rFonts w:ascii="Times New Roman" w:eastAsia="Calibri" w:hAnsi="Times New Roman" w:cs="Times New Roman"/>
                <w:sz w:val="24"/>
                <w:szCs w:val="24"/>
              </w:rPr>
              <w:t xml:space="preserve"> </w:t>
            </w:r>
            <w:r w:rsidR="00156CFA" w:rsidRPr="00E6504B">
              <w:rPr>
                <w:rFonts w:ascii="Times New Roman" w:eastAsia="Calibri" w:hAnsi="Times New Roman" w:cs="Times New Roman"/>
                <w:sz w:val="24"/>
                <w:szCs w:val="24"/>
              </w:rPr>
              <w:t xml:space="preserve">to </w:t>
            </w:r>
            <w:r w:rsidR="00BC15FE" w:rsidRPr="00E6504B">
              <w:rPr>
                <w:rFonts w:ascii="Times New Roman" w:eastAsia="Calibri" w:hAnsi="Times New Roman" w:cs="Times New Roman"/>
                <w:sz w:val="24"/>
                <w:szCs w:val="24"/>
              </w:rPr>
              <w:t>informāciju, ko ūdens resur</w:t>
            </w:r>
            <w:r w:rsidR="00156CFA" w:rsidRPr="00E6504B">
              <w:rPr>
                <w:rFonts w:ascii="Times New Roman" w:eastAsia="Calibri" w:hAnsi="Times New Roman" w:cs="Times New Roman"/>
                <w:sz w:val="24"/>
                <w:szCs w:val="24"/>
              </w:rPr>
              <w:t>s</w:t>
            </w:r>
            <w:r w:rsidR="00BC15FE" w:rsidRPr="00E6504B">
              <w:rPr>
                <w:rFonts w:ascii="Times New Roman" w:eastAsia="Calibri" w:hAnsi="Times New Roman" w:cs="Times New Roman"/>
                <w:sz w:val="24"/>
                <w:szCs w:val="24"/>
              </w:rPr>
              <w:t>u lietotājs</w:t>
            </w:r>
            <w:r w:rsidR="00156CFA" w:rsidRPr="00E6504B">
              <w:rPr>
                <w:rFonts w:ascii="Times New Roman" w:eastAsia="Calibri" w:hAnsi="Times New Roman" w:cs="Times New Roman"/>
                <w:sz w:val="24"/>
                <w:szCs w:val="24"/>
              </w:rPr>
              <w:t xml:space="preserve"> atbilstoši normatīvo aktu prasībām</w:t>
            </w:r>
            <w:r w:rsidR="00D92F75" w:rsidRPr="00E6504B">
              <w:rPr>
                <w:rFonts w:ascii="Times New Roman" w:eastAsia="Calibri" w:hAnsi="Times New Roman" w:cs="Times New Roman"/>
                <w:sz w:val="24"/>
                <w:szCs w:val="24"/>
              </w:rPr>
              <w:t xml:space="preserve"> reizi gadā </w:t>
            </w:r>
            <w:r w:rsidR="00156CFA" w:rsidRPr="00E6504B">
              <w:rPr>
                <w:rFonts w:ascii="Times New Roman" w:eastAsia="Calibri" w:hAnsi="Times New Roman" w:cs="Times New Roman"/>
                <w:sz w:val="24"/>
                <w:szCs w:val="24"/>
              </w:rPr>
              <w:t>sniedz valsts statistikai</w:t>
            </w:r>
            <w:r w:rsidR="00D35512" w:rsidRPr="00E6504B">
              <w:rPr>
                <w:rFonts w:ascii="Times New Roman" w:eastAsia="Calibri" w:hAnsi="Times New Roman" w:cs="Times New Roman"/>
                <w:sz w:val="24"/>
                <w:szCs w:val="24"/>
              </w:rPr>
              <w:t>.</w:t>
            </w:r>
            <w:r w:rsidR="00255D4F" w:rsidRPr="00E6504B">
              <w:rPr>
                <w:rFonts w:ascii="Times New Roman" w:eastAsia="Calibri" w:hAnsi="Times New Roman" w:cs="Times New Roman"/>
                <w:sz w:val="24"/>
                <w:szCs w:val="24"/>
              </w:rPr>
              <w:t xml:space="preserve"> </w:t>
            </w:r>
            <w:r w:rsidR="00E741AB" w:rsidRPr="00E6504B">
              <w:rPr>
                <w:rFonts w:ascii="Times New Roman" w:eastAsia="Calibri" w:hAnsi="Times New Roman" w:cs="Times New Roman"/>
                <w:sz w:val="24"/>
                <w:szCs w:val="24"/>
              </w:rPr>
              <w:t>Ir gadījumi, kad b</w:t>
            </w:r>
            <w:r w:rsidR="00D35512" w:rsidRPr="00E6504B">
              <w:rPr>
                <w:rFonts w:ascii="Times New Roman" w:eastAsia="Calibri" w:hAnsi="Times New Roman" w:cs="Times New Roman"/>
                <w:sz w:val="24"/>
                <w:szCs w:val="24"/>
              </w:rPr>
              <w:t>ez pieprasītās informācijas valsts institūcija nespēj pildīt savus tiešos pienākumus</w:t>
            </w:r>
            <w:r w:rsidR="00002060" w:rsidRPr="00E6504B">
              <w:rPr>
                <w:rFonts w:ascii="Times New Roman" w:eastAsia="Calibri" w:hAnsi="Times New Roman" w:cs="Times New Roman"/>
                <w:sz w:val="24"/>
                <w:szCs w:val="24"/>
              </w:rPr>
              <w:t xml:space="preserve"> –</w:t>
            </w:r>
            <w:r w:rsidR="00E741AB" w:rsidRPr="00E6504B">
              <w:rPr>
                <w:rFonts w:ascii="Times New Roman" w:eastAsia="Calibri" w:hAnsi="Times New Roman" w:cs="Times New Roman"/>
                <w:sz w:val="24"/>
                <w:szCs w:val="24"/>
              </w:rPr>
              <w:t xml:space="preserve"> piemēram,</w:t>
            </w:r>
            <w:r w:rsidR="00002060" w:rsidRPr="00E6504B">
              <w:rPr>
                <w:rFonts w:ascii="Times New Roman" w:eastAsia="Calibri" w:hAnsi="Times New Roman" w:cs="Times New Roman"/>
                <w:sz w:val="24"/>
                <w:szCs w:val="24"/>
              </w:rPr>
              <w:t xml:space="preserve"> piedalīties ārkārtējo situāciju pārvaldīšanā</w:t>
            </w:r>
            <w:r w:rsidR="002239EE" w:rsidRPr="00E6504B">
              <w:rPr>
                <w:rFonts w:ascii="Times New Roman" w:eastAsia="Calibri" w:hAnsi="Times New Roman" w:cs="Times New Roman"/>
                <w:sz w:val="24"/>
                <w:szCs w:val="24"/>
              </w:rPr>
              <w:t xml:space="preserve">, kas VVD noteikti </w:t>
            </w:r>
            <w:r w:rsidR="002239EE" w:rsidRPr="00E6504B">
              <w:rPr>
                <w:rFonts w:ascii="Times New Roman" w:hAnsi="Times New Roman" w:cs="Times New Roman"/>
                <w:bCs/>
                <w:sz w:val="24"/>
                <w:szCs w:val="24"/>
              </w:rPr>
              <w:t>Ministru kabineta 200</w:t>
            </w:r>
            <w:r w:rsidR="00255D4F" w:rsidRPr="00E6504B">
              <w:rPr>
                <w:rFonts w:ascii="Times New Roman" w:hAnsi="Times New Roman" w:cs="Times New Roman"/>
                <w:bCs/>
                <w:sz w:val="24"/>
                <w:szCs w:val="24"/>
              </w:rPr>
              <w:t>4</w:t>
            </w:r>
            <w:r w:rsidR="002239EE" w:rsidRPr="00E6504B">
              <w:rPr>
                <w:rFonts w:ascii="Times New Roman" w:hAnsi="Times New Roman" w:cs="Times New Roman"/>
                <w:bCs/>
                <w:sz w:val="24"/>
                <w:szCs w:val="24"/>
              </w:rPr>
              <w:t>.</w:t>
            </w:r>
            <w:r w:rsidR="00255D4F" w:rsidRPr="00E6504B">
              <w:rPr>
                <w:rFonts w:ascii="Times New Roman" w:hAnsi="Times New Roman" w:cs="Times New Roman"/>
                <w:bCs/>
                <w:sz w:val="24"/>
                <w:szCs w:val="24"/>
              </w:rPr>
              <w:t> </w:t>
            </w:r>
            <w:r w:rsidR="002239EE" w:rsidRPr="00E6504B">
              <w:rPr>
                <w:rFonts w:ascii="Times New Roman" w:hAnsi="Times New Roman" w:cs="Times New Roman"/>
                <w:bCs/>
                <w:sz w:val="24"/>
                <w:szCs w:val="24"/>
              </w:rPr>
              <w:t>gada</w:t>
            </w:r>
            <w:r w:rsidR="00255D4F" w:rsidRPr="00E6504B">
              <w:rPr>
                <w:rFonts w:ascii="Times New Roman" w:hAnsi="Times New Roman" w:cs="Times New Roman"/>
                <w:bCs/>
                <w:sz w:val="24"/>
                <w:szCs w:val="24"/>
              </w:rPr>
              <w:t xml:space="preserve"> 23. novembra</w:t>
            </w:r>
            <w:r w:rsidR="002239EE" w:rsidRPr="00E6504B">
              <w:rPr>
                <w:rFonts w:ascii="Times New Roman" w:hAnsi="Times New Roman" w:cs="Times New Roman"/>
                <w:bCs/>
                <w:sz w:val="24"/>
                <w:szCs w:val="24"/>
              </w:rPr>
              <w:t xml:space="preserve"> noteikum</w:t>
            </w:r>
            <w:r w:rsidR="00255D4F" w:rsidRPr="00E6504B">
              <w:rPr>
                <w:rFonts w:ascii="Times New Roman" w:hAnsi="Times New Roman" w:cs="Times New Roman"/>
                <w:bCs/>
                <w:sz w:val="24"/>
                <w:szCs w:val="24"/>
              </w:rPr>
              <w:t xml:space="preserve">u </w:t>
            </w:r>
            <w:r w:rsidR="002239EE" w:rsidRPr="00E6504B">
              <w:rPr>
                <w:rFonts w:ascii="Times New Roman" w:hAnsi="Times New Roman" w:cs="Times New Roman"/>
                <w:bCs/>
                <w:sz w:val="24"/>
                <w:szCs w:val="24"/>
              </w:rPr>
              <w:t>Nr.</w:t>
            </w:r>
            <w:r w:rsidR="00B05F9D" w:rsidRPr="00E6504B">
              <w:rPr>
                <w:rFonts w:ascii="Times New Roman" w:hAnsi="Times New Roman" w:cs="Times New Roman"/>
                <w:bCs/>
                <w:sz w:val="24"/>
                <w:szCs w:val="24"/>
              </w:rPr>
              <w:t> </w:t>
            </w:r>
            <w:r w:rsidR="002239EE" w:rsidRPr="00E6504B">
              <w:rPr>
                <w:rFonts w:ascii="Times New Roman" w:hAnsi="Times New Roman" w:cs="Times New Roman"/>
                <w:bCs/>
                <w:sz w:val="24"/>
                <w:szCs w:val="24"/>
              </w:rPr>
              <w:t xml:space="preserve">962 </w:t>
            </w:r>
            <w:r w:rsidR="00BA350A" w:rsidRPr="00E6504B">
              <w:rPr>
                <w:rFonts w:ascii="Times New Roman" w:hAnsi="Times New Roman" w:cs="Times New Roman"/>
                <w:bCs/>
                <w:sz w:val="24"/>
                <w:szCs w:val="24"/>
              </w:rPr>
              <w:t>“</w:t>
            </w:r>
            <w:r w:rsidR="002239EE" w:rsidRPr="00E6504B">
              <w:rPr>
                <w:rFonts w:ascii="Times New Roman" w:hAnsi="Times New Roman" w:cs="Times New Roman"/>
                <w:bCs/>
                <w:sz w:val="24"/>
                <w:szCs w:val="24"/>
              </w:rPr>
              <w:t>Valsts vides dienesta nolikums</w:t>
            </w:r>
            <w:r w:rsidR="00BA350A" w:rsidRPr="00E6504B">
              <w:rPr>
                <w:rFonts w:ascii="Times New Roman" w:hAnsi="Times New Roman" w:cs="Times New Roman"/>
                <w:bCs/>
                <w:sz w:val="24"/>
                <w:szCs w:val="24"/>
              </w:rPr>
              <w:t>”</w:t>
            </w:r>
            <w:r w:rsidR="00255D4F" w:rsidRPr="00E6504B">
              <w:rPr>
                <w:rFonts w:ascii="Times New Roman" w:hAnsi="Times New Roman" w:cs="Times New Roman"/>
                <w:bCs/>
                <w:sz w:val="24"/>
                <w:szCs w:val="24"/>
              </w:rPr>
              <w:t xml:space="preserve"> 4.4. apakšpunktā</w:t>
            </w:r>
            <w:r w:rsidR="004C0FA9" w:rsidRPr="00E6504B">
              <w:rPr>
                <w:rFonts w:ascii="Times New Roman" w:hAnsi="Times New Roman" w:cs="Times New Roman"/>
                <w:bCs/>
                <w:sz w:val="24"/>
                <w:szCs w:val="24"/>
              </w:rPr>
              <w:t xml:space="preserve">. </w:t>
            </w:r>
            <w:r w:rsidR="00C05191" w:rsidRPr="00E6504B">
              <w:rPr>
                <w:rFonts w:ascii="Times New Roman" w:hAnsi="Times New Roman" w:cs="Times New Roman"/>
                <w:bCs/>
                <w:sz w:val="24"/>
                <w:szCs w:val="24"/>
              </w:rPr>
              <w:t>Turklāt, minēto noteikumu 5.2.</w:t>
            </w:r>
            <w:r w:rsidR="00417D3A" w:rsidRPr="00E6504B">
              <w:rPr>
                <w:rFonts w:ascii="Times New Roman" w:hAnsi="Times New Roman" w:cs="Times New Roman"/>
                <w:bCs/>
                <w:sz w:val="24"/>
                <w:szCs w:val="24"/>
              </w:rPr>
              <w:t> </w:t>
            </w:r>
            <w:r w:rsidR="00C05191" w:rsidRPr="00E6504B">
              <w:rPr>
                <w:rFonts w:ascii="Times New Roman" w:hAnsi="Times New Roman" w:cs="Times New Roman"/>
                <w:bCs/>
                <w:sz w:val="24"/>
                <w:szCs w:val="24"/>
              </w:rPr>
              <w:t xml:space="preserve">apakšpunkts </w:t>
            </w:r>
            <w:r w:rsidR="00417D3A" w:rsidRPr="00E6504B">
              <w:rPr>
                <w:rFonts w:ascii="Times New Roman" w:hAnsi="Times New Roman" w:cs="Times New Roman"/>
                <w:bCs/>
                <w:sz w:val="24"/>
                <w:szCs w:val="24"/>
              </w:rPr>
              <w:t>noteic</w:t>
            </w:r>
            <w:r w:rsidR="00C05191" w:rsidRPr="00E6504B">
              <w:rPr>
                <w:rFonts w:ascii="Times New Roman" w:hAnsi="Times New Roman" w:cs="Times New Roman"/>
                <w:bCs/>
                <w:sz w:val="24"/>
                <w:szCs w:val="24"/>
              </w:rPr>
              <w:t xml:space="preserve">, ka </w:t>
            </w:r>
            <w:r w:rsidR="00C05191" w:rsidRPr="00E6504B">
              <w:rPr>
                <w:rFonts w:ascii="Times New Roman" w:hAnsi="Times New Roman" w:cs="Times New Roman"/>
                <w:sz w:val="24"/>
                <w:szCs w:val="24"/>
                <w:shd w:val="clear" w:color="auto" w:fill="FFFFFF"/>
              </w:rPr>
              <w:t xml:space="preserve">VVD ir tiesīgs pieprasīt un bez maksas saņemt no valsts </w:t>
            </w:r>
            <w:r w:rsidR="00C05191" w:rsidRPr="00E6504B">
              <w:rPr>
                <w:rFonts w:ascii="Times New Roman" w:hAnsi="Times New Roman" w:cs="Times New Roman"/>
                <w:sz w:val="24"/>
                <w:szCs w:val="24"/>
                <w:shd w:val="clear" w:color="auto" w:fill="FFFFFF"/>
              </w:rPr>
              <w:lastRenderedPageBreak/>
              <w:t>un pašvaldību iestādēm, kā arī ārējos normatīvajos aktos noteiktajos gadījumos no privātpersonām dienesta uzdevumu izpildei nepieciešamo informāciju un dokumentus.</w:t>
            </w:r>
            <w:r w:rsidR="004C0FA9" w:rsidRPr="00E6504B">
              <w:rPr>
                <w:rFonts w:ascii="Times New Roman" w:hAnsi="Times New Roman" w:cs="Times New Roman"/>
                <w:sz w:val="24"/>
                <w:szCs w:val="24"/>
                <w:shd w:val="clear" w:color="auto" w:fill="FFFFFF"/>
              </w:rPr>
              <w:t xml:space="preserve"> </w:t>
            </w:r>
          </w:p>
          <w:p w14:paraId="0595D7D4" w14:textId="429FAFA7" w:rsidR="009E144E" w:rsidRPr="00E6504B" w:rsidRDefault="00B70C85" w:rsidP="00F4434D">
            <w:pPr>
              <w:spacing w:after="0" w:line="240" w:lineRule="auto"/>
              <w:jc w:val="both"/>
              <w:rPr>
                <w:rFonts w:ascii="Times New Roman" w:hAnsi="Times New Roman" w:cs="Times New Roman"/>
                <w:sz w:val="24"/>
                <w:szCs w:val="24"/>
              </w:rPr>
            </w:pPr>
            <w:r w:rsidRPr="00E6504B">
              <w:rPr>
                <w:rFonts w:ascii="Times New Roman" w:hAnsi="Times New Roman" w:cs="Times New Roman"/>
                <w:sz w:val="24"/>
                <w:szCs w:val="24"/>
              </w:rPr>
              <w:t>Ū</w:t>
            </w:r>
            <w:r w:rsidR="00344CD2" w:rsidRPr="00E6504B">
              <w:rPr>
                <w:rFonts w:ascii="Times New Roman" w:hAnsi="Times New Roman" w:cs="Times New Roman"/>
                <w:sz w:val="24"/>
                <w:szCs w:val="24"/>
              </w:rPr>
              <w:t xml:space="preserve">AL </w:t>
            </w:r>
            <w:r w:rsidR="00860720" w:rsidRPr="00E6504B">
              <w:rPr>
                <w:rFonts w:ascii="Times New Roman" w:hAnsi="Times New Roman" w:cs="Times New Roman"/>
                <w:sz w:val="24"/>
                <w:szCs w:val="24"/>
              </w:rPr>
              <w:t>7.</w:t>
            </w:r>
            <w:r w:rsidR="00245AB0" w:rsidRPr="00E6504B">
              <w:rPr>
                <w:rFonts w:ascii="Times New Roman" w:hAnsi="Times New Roman" w:cs="Times New Roman"/>
                <w:sz w:val="24"/>
                <w:szCs w:val="24"/>
              </w:rPr>
              <w:t> </w:t>
            </w:r>
            <w:r w:rsidR="00860720" w:rsidRPr="00E6504B">
              <w:rPr>
                <w:rFonts w:ascii="Times New Roman" w:hAnsi="Times New Roman" w:cs="Times New Roman"/>
                <w:sz w:val="24"/>
                <w:szCs w:val="24"/>
              </w:rPr>
              <w:t xml:space="preserve">pantā </w:t>
            </w:r>
            <w:r w:rsidRPr="00E6504B">
              <w:rPr>
                <w:rFonts w:ascii="Times New Roman" w:hAnsi="Times New Roman" w:cs="Times New Roman"/>
                <w:sz w:val="24"/>
                <w:szCs w:val="24"/>
              </w:rPr>
              <w:t>tiek iekļauts</w:t>
            </w:r>
            <w:r w:rsidR="00860720" w:rsidRPr="00E6504B">
              <w:rPr>
                <w:rFonts w:ascii="Times New Roman" w:hAnsi="Times New Roman" w:cs="Times New Roman"/>
                <w:sz w:val="24"/>
                <w:szCs w:val="24"/>
              </w:rPr>
              <w:t xml:space="preserve"> arī jauns 13</w:t>
            </w:r>
            <w:r w:rsidR="004B0D59" w:rsidRPr="00E6504B">
              <w:rPr>
                <w:rFonts w:ascii="Times New Roman" w:hAnsi="Times New Roman" w:cs="Times New Roman"/>
                <w:sz w:val="24"/>
                <w:szCs w:val="24"/>
              </w:rPr>
              <w:t>. </w:t>
            </w:r>
            <w:r w:rsidR="00860720" w:rsidRPr="00E6504B">
              <w:rPr>
                <w:rFonts w:ascii="Times New Roman" w:hAnsi="Times New Roman" w:cs="Times New Roman"/>
                <w:sz w:val="24"/>
                <w:szCs w:val="24"/>
              </w:rPr>
              <w:t>punkts</w:t>
            </w:r>
            <w:r w:rsidRPr="00E6504B">
              <w:rPr>
                <w:rFonts w:ascii="Times New Roman" w:hAnsi="Times New Roman" w:cs="Times New Roman"/>
                <w:sz w:val="24"/>
                <w:szCs w:val="24"/>
              </w:rPr>
              <w:t xml:space="preserve">, </w:t>
            </w:r>
            <w:r w:rsidR="00BA0BE5" w:rsidRPr="00E6504B">
              <w:rPr>
                <w:rFonts w:ascii="Times New Roman" w:hAnsi="Times New Roman" w:cs="Times New Roman"/>
                <w:sz w:val="24"/>
                <w:szCs w:val="24"/>
              </w:rPr>
              <w:t>kas</w:t>
            </w:r>
            <w:r w:rsidR="00825ED8" w:rsidRPr="00E6504B">
              <w:rPr>
                <w:rFonts w:ascii="Times New Roman" w:hAnsi="Times New Roman" w:cs="Times New Roman"/>
                <w:sz w:val="24"/>
                <w:szCs w:val="24"/>
              </w:rPr>
              <w:t xml:space="preserve"> nosaka aizliegumu jebkurai personai neatkarīgi no tā, vai ūdens tiek izmantots privātām vajadzī</w:t>
            </w:r>
            <w:r w:rsidR="005D1B52" w:rsidRPr="00E6504B">
              <w:rPr>
                <w:rFonts w:ascii="Times New Roman" w:hAnsi="Times New Roman" w:cs="Times New Roman"/>
                <w:sz w:val="24"/>
                <w:szCs w:val="24"/>
              </w:rPr>
              <w:t xml:space="preserve">bām vai saimnieciskai darbībai, </w:t>
            </w:r>
            <w:r w:rsidR="00645CFA" w:rsidRPr="00E6504B">
              <w:rPr>
                <w:rFonts w:ascii="Times New Roman" w:hAnsi="Times New Roman" w:cs="Times New Roman"/>
                <w:bCs/>
                <w:sz w:val="24"/>
                <w:szCs w:val="24"/>
              </w:rPr>
              <w:t>veikt ūdensobjekta hidroloģi</w:t>
            </w:r>
            <w:r w:rsidR="004C0FA9" w:rsidRPr="00E6504B">
              <w:rPr>
                <w:rFonts w:ascii="Times New Roman" w:hAnsi="Times New Roman" w:cs="Times New Roman"/>
                <w:bCs/>
                <w:sz w:val="24"/>
                <w:szCs w:val="24"/>
              </w:rPr>
              <w:t>skā režīma maiņu,</w:t>
            </w:r>
            <w:r w:rsidR="00645CFA" w:rsidRPr="00E6504B">
              <w:rPr>
                <w:rFonts w:ascii="Times New Roman" w:hAnsi="Times New Roman" w:cs="Times New Roman"/>
                <w:sz w:val="24"/>
                <w:szCs w:val="24"/>
              </w:rPr>
              <w:t xml:space="preserve"> ūdensteces vai ūdenstilpes krastu un gultnes izmaiņu</w:t>
            </w:r>
            <w:r w:rsidR="00645CFA" w:rsidRPr="00E6504B">
              <w:rPr>
                <w:rFonts w:ascii="Times New Roman" w:hAnsi="Times New Roman" w:cs="Times New Roman"/>
                <w:bCs/>
                <w:sz w:val="24"/>
                <w:szCs w:val="24"/>
              </w:rPr>
              <w:t xml:space="preserve">, </w:t>
            </w:r>
            <w:r w:rsidR="00645CFA" w:rsidRPr="00E6504B">
              <w:rPr>
                <w:rFonts w:ascii="Times New Roman" w:hAnsi="Times New Roman" w:cs="Times New Roman"/>
                <w:sz w:val="24"/>
                <w:szCs w:val="24"/>
              </w:rPr>
              <w:t>izņemot gadījumu, ja šīs darbības tiek veiktas</w:t>
            </w:r>
            <w:r w:rsidR="00F26B76" w:rsidRPr="00E6504B">
              <w:rPr>
                <w:rFonts w:ascii="Times New Roman" w:hAnsi="Times New Roman" w:cs="Times New Roman"/>
                <w:sz w:val="24"/>
                <w:szCs w:val="24"/>
              </w:rPr>
              <w:t xml:space="preserve"> </w:t>
            </w:r>
            <w:r w:rsidR="00645CFA" w:rsidRPr="00E6504B">
              <w:rPr>
                <w:rFonts w:ascii="Times New Roman" w:hAnsi="Times New Roman" w:cs="Times New Roman"/>
                <w:sz w:val="24"/>
                <w:szCs w:val="24"/>
              </w:rPr>
              <w:t>normatīvajos aktos paredzētajā kārtībā.</w:t>
            </w:r>
            <w:r w:rsidR="00A408EF" w:rsidRPr="00E6504B">
              <w:rPr>
                <w:rFonts w:ascii="Times New Roman" w:hAnsi="Times New Roman" w:cs="Times New Roman"/>
                <w:sz w:val="24"/>
                <w:szCs w:val="24"/>
              </w:rPr>
              <w:t xml:space="preserve"> </w:t>
            </w:r>
            <w:r w:rsidR="00326DD7" w:rsidRPr="00E6504B">
              <w:rPr>
                <w:rFonts w:ascii="Times New Roman" w:hAnsi="Times New Roman" w:cs="Times New Roman"/>
                <w:sz w:val="24"/>
                <w:szCs w:val="24"/>
              </w:rPr>
              <w:t>Ņemot vērā, ka likum</w:t>
            </w:r>
            <w:r w:rsidR="007B38BB" w:rsidRPr="00E6504B">
              <w:rPr>
                <w:rFonts w:ascii="Times New Roman" w:hAnsi="Times New Roman" w:cs="Times New Roman"/>
                <w:sz w:val="24"/>
                <w:szCs w:val="24"/>
              </w:rPr>
              <w:t xml:space="preserve">ā </w:t>
            </w:r>
            <w:r w:rsidR="00326DD7" w:rsidRPr="00E6504B">
              <w:rPr>
                <w:rFonts w:ascii="Times New Roman" w:hAnsi="Times New Roman" w:cs="Times New Roman"/>
                <w:sz w:val="24"/>
                <w:szCs w:val="24"/>
              </w:rPr>
              <w:t>”</w:t>
            </w:r>
            <w:r w:rsidR="007B38BB" w:rsidRPr="00E6504B">
              <w:rPr>
                <w:rFonts w:ascii="Times New Roman" w:hAnsi="Times New Roman" w:cs="Times New Roman"/>
                <w:sz w:val="24"/>
                <w:szCs w:val="24"/>
              </w:rPr>
              <w:t>P</w:t>
            </w:r>
            <w:r w:rsidR="00326DD7" w:rsidRPr="00E6504B">
              <w:rPr>
                <w:rFonts w:ascii="Times New Roman" w:hAnsi="Times New Roman" w:cs="Times New Roman"/>
                <w:sz w:val="24"/>
                <w:szCs w:val="24"/>
              </w:rPr>
              <w:t>ar piesārņojumu</w:t>
            </w:r>
            <w:r w:rsidR="007B38BB" w:rsidRPr="00E6504B">
              <w:rPr>
                <w:rFonts w:ascii="Times New Roman" w:hAnsi="Times New Roman" w:cs="Times New Roman"/>
                <w:sz w:val="24"/>
                <w:szCs w:val="24"/>
              </w:rPr>
              <w:t>”  ir noteikts regulējums, lai novērstu vai mazinātu vidē novadīto piesārņojumu</w:t>
            </w:r>
            <w:r w:rsidR="00181EB0" w:rsidRPr="00E6504B">
              <w:rPr>
                <w:rFonts w:ascii="Times New Roman" w:hAnsi="Times New Roman" w:cs="Times New Roman"/>
                <w:sz w:val="24"/>
                <w:szCs w:val="24"/>
              </w:rPr>
              <w:t xml:space="preserve">, </w:t>
            </w:r>
            <w:r w:rsidR="00AD5AAE" w:rsidRPr="00E6504B">
              <w:rPr>
                <w:rFonts w:ascii="Times New Roman" w:hAnsi="Times New Roman" w:cs="Times New Roman"/>
                <w:sz w:val="24"/>
                <w:szCs w:val="24"/>
              </w:rPr>
              <w:t>kā arī to,</w:t>
            </w:r>
            <w:r w:rsidR="007B38BB" w:rsidRPr="00E6504B">
              <w:rPr>
                <w:rFonts w:ascii="Times New Roman" w:hAnsi="Times New Roman" w:cs="Times New Roman"/>
                <w:sz w:val="24"/>
                <w:szCs w:val="24"/>
              </w:rPr>
              <w:t xml:space="preserve"> ka minētajā likumā ir  paredzētas soda sankcijas par vides piesārņošanu </w:t>
            </w:r>
            <w:r w:rsidR="005241BE" w:rsidRPr="00E6504B">
              <w:rPr>
                <w:rFonts w:ascii="Times New Roman" w:hAnsi="Times New Roman" w:cs="Times New Roman"/>
                <w:sz w:val="24"/>
                <w:szCs w:val="24"/>
              </w:rPr>
              <w:t>vai</w:t>
            </w:r>
            <w:r w:rsidR="00B0695F" w:rsidRPr="00E6504B">
              <w:rPr>
                <w:rFonts w:ascii="Times New Roman" w:hAnsi="Times New Roman" w:cs="Times New Roman"/>
                <w:sz w:val="24"/>
                <w:szCs w:val="24"/>
              </w:rPr>
              <w:t xml:space="preserve"> piesardzības pasākumu neveikšanu</w:t>
            </w:r>
            <w:r w:rsidR="007B38BB" w:rsidRPr="00E6504B">
              <w:rPr>
                <w:rFonts w:ascii="Times New Roman" w:hAnsi="Times New Roman" w:cs="Times New Roman"/>
                <w:sz w:val="24"/>
                <w:szCs w:val="24"/>
              </w:rPr>
              <w:t xml:space="preserve">, kas </w:t>
            </w:r>
            <w:r w:rsidR="00181EB0" w:rsidRPr="00E6504B">
              <w:rPr>
                <w:rFonts w:ascii="Times New Roman" w:hAnsi="Times New Roman" w:cs="Times New Roman"/>
                <w:sz w:val="24"/>
                <w:szCs w:val="24"/>
              </w:rPr>
              <w:t>piemērojamas</w:t>
            </w:r>
            <w:r w:rsidR="00B0695F" w:rsidRPr="00E6504B">
              <w:rPr>
                <w:rFonts w:ascii="Times New Roman" w:hAnsi="Times New Roman" w:cs="Times New Roman"/>
                <w:sz w:val="24"/>
                <w:szCs w:val="24"/>
              </w:rPr>
              <w:t xml:space="preserve"> arī </w:t>
            </w:r>
            <w:r w:rsidR="00181EB0" w:rsidRPr="00E6504B">
              <w:rPr>
                <w:rFonts w:ascii="Times New Roman" w:hAnsi="Times New Roman" w:cs="Times New Roman"/>
                <w:sz w:val="24"/>
                <w:szCs w:val="24"/>
              </w:rPr>
              <w:t xml:space="preserve">par pārkāpumiem </w:t>
            </w:r>
            <w:r w:rsidR="00B0695F" w:rsidRPr="00E6504B">
              <w:rPr>
                <w:rFonts w:ascii="Times New Roman" w:hAnsi="Times New Roman" w:cs="Times New Roman"/>
                <w:sz w:val="24"/>
                <w:szCs w:val="24"/>
              </w:rPr>
              <w:t>ūdens resurs</w:t>
            </w:r>
            <w:r w:rsidR="00181EB0" w:rsidRPr="00E6504B">
              <w:rPr>
                <w:rFonts w:ascii="Times New Roman" w:hAnsi="Times New Roman" w:cs="Times New Roman"/>
                <w:sz w:val="24"/>
                <w:szCs w:val="24"/>
              </w:rPr>
              <w:t>u lietošanā</w:t>
            </w:r>
            <w:r w:rsidR="007B38BB" w:rsidRPr="00E6504B">
              <w:rPr>
                <w:rFonts w:ascii="Times New Roman" w:hAnsi="Times New Roman" w:cs="Times New Roman"/>
                <w:sz w:val="24"/>
                <w:szCs w:val="24"/>
              </w:rPr>
              <w:t>, Ū</w:t>
            </w:r>
            <w:r w:rsidR="00344CD2" w:rsidRPr="00E6504B">
              <w:rPr>
                <w:rFonts w:ascii="Times New Roman" w:hAnsi="Times New Roman" w:cs="Times New Roman"/>
                <w:sz w:val="24"/>
                <w:szCs w:val="24"/>
              </w:rPr>
              <w:t>AL</w:t>
            </w:r>
            <w:r w:rsidR="007B38BB" w:rsidRPr="00E6504B">
              <w:rPr>
                <w:rFonts w:ascii="Times New Roman" w:hAnsi="Times New Roman" w:cs="Times New Roman"/>
                <w:sz w:val="24"/>
                <w:szCs w:val="24"/>
              </w:rPr>
              <w:t xml:space="preserve"> paredzētajā 27. panta </w:t>
            </w:r>
            <w:r w:rsidR="00AD5AAE" w:rsidRPr="00E6504B">
              <w:rPr>
                <w:rFonts w:ascii="Times New Roman" w:hAnsi="Times New Roman" w:cs="Times New Roman"/>
                <w:sz w:val="24"/>
                <w:szCs w:val="24"/>
              </w:rPr>
              <w:t>ceturtajā daļā</w:t>
            </w:r>
            <w:r w:rsidR="007B38BB" w:rsidRPr="00E6504B">
              <w:rPr>
                <w:rFonts w:ascii="Times New Roman" w:hAnsi="Times New Roman" w:cs="Times New Roman"/>
                <w:sz w:val="24"/>
                <w:szCs w:val="24"/>
              </w:rPr>
              <w:t xml:space="preserve"> </w:t>
            </w:r>
            <w:r w:rsidR="00AD5AAE" w:rsidRPr="00E6504B">
              <w:rPr>
                <w:rFonts w:ascii="Times New Roman" w:hAnsi="Times New Roman" w:cs="Times New Roman"/>
                <w:sz w:val="24"/>
                <w:szCs w:val="24"/>
              </w:rPr>
              <w:t>noteiktajā administratīvo pārkāpumu sastāvā</w:t>
            </w:r>
            <w:r w:rsidR="007B38BB" w:rsidRPr="00E6504B">
              <w:rPr>
                <w:rFonts w:ascii="Times New Roman" w:hAnsi="Times New Roman" w:cs="Times New Roman"/>
                <w:sz w:val="24"/>
                <w:szCs w:val="24"/>
              </w:rPr>
              <w:t xml:space="preserve"> </w:t>
            </w:r>
            <w:r w:rsidR="00AD5AAE" w:rsidRPr="00E6504B">
              <w:rPr>
                <w:rFonts w:ascii="Times New Roman" w:hAnsi="Times New Roman" w:cs="Times New Roman"/>
                <w:sz w:val="24"/>
                <w:szCs w:val="24"/>
              </w:rPr>
              <w:t xml:space="preserve">nav ietverti administratīvie pārkāpumi par ūdens </w:t>
            </w:r>
            <w:r w:rsidR="00EA5699" w:rsidRPr="00E6504B">
              <w:rPr>
                <w:rFonts w:ascii="Times New Roman" w:hAnsi="Times New Roman" w:cs="Times New Roman"/>
                <w:sz w:val="24"/>
                <w:szCs w:val="24"/>
              </w:rPr>
              <w:t xml:space="preserve">resursu </w:t>
            </w:r>
            <w:r w:rsidR="00AD5AAE" w:rsidRPr="00E6504B">
              <w:rPr>
                <w:rFonts w:ascii="Times New Roman" w:hAnsi="Times New Roman" w:cs="Times New Roman"/>
                <w:sz w:val="24"/>
                <w:szCs w:val="24"/>
              </w:rPr>
              <w:t xml:space="preserve">piesārņošanu. </w:t>
            </w:r>
          </w:p>
          <w:p w14:paraId="2A1B9643" w14:textId="1A71A1DA" w:rsidR="00A408EF" w:rsidRPr="00E6504B" w:rsidRDefault="00A408EF" w:rsidP="00F4434D">
            <w:pPr>
              <w:spacing w:after="0" w:line="240" w:lineRule="auto"/>
              <w:jc w:val="both"/>
              <w:rPr>
                <w:rFonts w:ascii="Times New Roman" w:hAnsi="Times New Roman" w:cs="Times New Roman"/>
                <w:sz w:val="24"/>
                <w:szCs w:val="24"/>
              </w:rPr>
            </w:pPr>
            <w:r w:rsidRPr="00E6504B">
              <w:rPr>
                <w:rFonts w:ascii="Times New Roman" w:hAnsi="Times New Roman" w:cs="Times New Roman"/>
                <w:sz w:val="24"/>
                <w:szCs w:val="24"/>
              </w:rPr>
              <w:t>Ū</w:t>
            </w:r>
            <w:r w:rsidR="00344CD2" w:rsidRPr="00E6504B">
              <w:rPr>
                <w:rFonts w:ascii="Times New Roman" w:hAnsi="Times New Roman" w:cs="Times New Roman"/>
                <w:sz w:val="24"/>
                <w:szCs w:val="24"/>
              </w:rPr>
              <w:t xml:space="preserve">AL </w:t>
            </w:r>
            <w:r w:rsidRPr="00E6504B">
              <w:rPr>
                <w:rFonts w:ascii="Times New Roman" w:hAnsi="Times New Roman" w:cs="Times New Roman"/>
                <w:sz w:val="24"/>
                <w:szCs w:val="24"/>
              </w:rPr>
              <w:t>nav noteikts regulējums attiecībā uz regulēto ūdensteču, mākslīgu un stipri pārveidotu ūdensobjektu uzturēšanu, pārbūvi un atjaunošanu,</w:t>
            </w:r>
            <w:r w:rsidR="00A85924" w:rsidRPr="00E6504B">
              <w:rPr>
                <w:rFonts w:ascii="Times New Roman" w:hAnsi="Times New Roman" w:cs="Times New Roman"/>
                <w:sz w:val="24"/>
                <w:szCs w:val="24"/>
              </w:rPr>
              <w:t xml:space="preserve"> kā arī citām hidrotehniskajām būvēm, kas saistītas ar ūdens režīma regulēšanu. T</w:t>
            </w:r>
            <w:r w:rsidR="00B204E5" w:rsidRPr="00E6504B">
              <w:rPr>
                <w:rFonts w:ascii="Times New Roman" w:hAnsi="Times New Roman" w:cs="Times New Roman"/>
                <w:sz w:val="24"/>
                <w:szCs w:val="24"/>
              </w:rPr>
              <w:t>o nosaka</w:t>
            </w:r>
            <w:r w:rsidRPr="00E6504B">
              <w:rPr>
                <w:rFonts w:ascii="Times New Roman" w:hAnsi="Times New Roman" w:cs="Times New Roman"/>
                <w:sz w:val="24"/>
                <w:szCs w:val="24"/>
              </w:rPr>
              <w:t xml:space="preserve"> Būvniecības likum</w:t>
            </w:r>
            <w:r w:rsidR="00B204E5" w:rsidRPr="00E6504B">
              <w:rPr>
                <w:rFonts w:ascii="Times New Roman" w:hAnsi="Times New Roman" w:cs="Times New Roman"/>
                <w:sz w:val="24"/>
                <w:szCs w:val="24"/>
              </w:rPr>
              <w:t>s</w:t>
            </w:r>
            <w:r w:rsidRPr="00E6504B">
              <w:rPr>
                <w:rFonts w:ascii="Times New Roman" w:hAnsi="Times New Roman" w:cs="Times New Roman"/>
                <w:sz w:val="24"/>
                <w:szCs w:val="24"/>
              </w:rPr>
              <w:t xml:space="preserve"> un uz tā pamata </w:t>
            </w:r>
            <w:r w:rsidR="00EE7DBB" w:rsidRPr="00E6504B">
              <w:rPr>
                <w:rFonts w:ascii="Times New Roman" w:hAnsi="Times New Roman" w:cs="Times New Roman"/>
                <w:sz w:val="24"/>
                <w:szCs w:val="24"/>
              </w:rPr>
              <w:t xml:space="preserve">(5. panta pirmās daļas 3. punkts) </w:t>
            </w:r>
            <w:r w:rsidRPr="00E6504B">
              <w:rPr>
                <w:rFonts w:ascii="Times New Roman" w:hAnsi="Times New Roman" w:cs="Times New Roman"/>
                <w:sz w:val="24"/>
                <w:szCs w:val="24"/>
              </w:rPr>
              <w:t>izdot</w:t>
            </w:r>
            <w:r w:rsidR="00B204E5" w:rsidRPr="00E6504B">
              <w:rPr>
                <w:rFonts w:ascii="Times New Roman" w:hAnsi="Times New Roman" w:cs="Times New Roman"/>
                <w:sz w:val="24"/>
                <w:szCs w:val="24"/>
              </w:rPr>
              <w:t>ie</w:t>
            </w:r>
            <w:r w:rsidRPr="00E6504B">
              <w:rPr>
                <w:rFonts w:ascii="Times New Roman" w:hAnsi="Times New Roman" w:cs="Times New Roman"/>
                <w:sz w:val="24"/>
                <w:szCs w:val="24"/>
              </w:rPr>
              <w:t xml:space="preserve"> Ministru kabineta 2015. gada 30. jūnija </w:t>
            </w:r>
            <w:r w:rsidR="00A73C31" w:rsidRPr="00E6504B">
              <w:rPr>
                <w:rFonts w:ascii="Times New Roman" w:hAnsi="Times New Roman" w:cs="Times New Roman"/>
                <w:bCs/>
                <w:sz w:val="24"/>
                <w:szCs w:val="24"/>
              </w:rPr>
              <w:t>noteikumi</w:t>
            </w:r>
            <w:r w:rsidRPr="00E6504B">
              <w:rPr>
                <w:rFonts w:ascii="Times New Roman" w:hAnsi="Times New Roman" w:cs="Times New Roman"/>
                <w:bCs/>
                <w:sz w:val="24"/>
                <w:szCs w:val="24"/>
              </w:rPr>
              <w:t xml:space="preserve"> Nr. 329 “Noteikumi par Latvijas būvnormatīvu LBN 224-15 “Meliorācijas sistēmas un hidrotehniskās būves””</w:t>
            </w:r>
            <w:r w:rsidR="00344CD2" w:rsidRPr="00E6504B">
              <w:rPr>
                <w:rFonts w:ascii="Times New Roman" w:hAnsi="Times New Roman" w:cs="Times New Roman"/>
                <w:bCs/>
                <w:sz w:val="24"/>
                <w:szCs w:val="24"/>
              </w:rPr>
              <w:t xml:space="preserve">. </w:t>
            </w:r>
            <w:r w:rsidRPr="00E6504B">
              <w:rPr>
                <w:rFonts w:ascii="Times New Roman" w:hAnsi="Times New Roman" w:cs="Times New Roman"/>
                <w:sz w:val="24"/>
                <w:szCs w:val="24"/>
              </w:rPr>
              <w:t xml:space="preserve">Vienlaikus būvniecības procesā ir jāievēro arī vides aizsardzības normatīvo aktu prasības.  </w:t>
            </w:r>
            <w:r w:rsidR="008832A0" w:rsidRPr="00E6504B">
              <w:rPr>
                <w:rFonts w:ascii="Times New Roman" w:hAnsi="Times New Roman" w:cs="Times New Roman"/>
                <w:sz w:val="24"/>
                <w:szCs w:val="24"/>
              </w:rPr>
              <w:t xml:space="preserve">Atbilstoši </w:t>
            </w:r>
            <w:r w:rsidRPr="00E6504B">
              <w:rPr>
                <w:rFonts w:ascii="Times New Roman" w:hAnsi="Times New Roman" w:cs="Times New Roman"/>
                <w:sz w:val="24"/>
                <w:szCs w:val="24"/>
              </w:rPr>
              <w:t xml:space="preserve">Ministru kabineta </w:t>
            </w:r>
            <w:r w:rsidR="008832A0" w:rsidRPr="00E6504B">
              <w:rPr>
                <w:rFonts w:ascii="Times New Roman" w:hAnsi="Times New Roman" w:cs="Times New Roman"/>
                <w:sz w:val="24"/>
                <w:szCs w:val="24"/>
              </w:rPr>
              <w:t>2015. gada 27. janvāra noteikumu</w:t>
            </w:r>
            <w:r w:rsidRPr="00E6504B">
              <w:rPr>
                <w:rFonts w:ascii="Times New Roman" w:hAnsi="Times New Roman" w:cs="Times New Roman"/>
                <w:sz w:val="24"/>
                <w:szCs w:val="24"/>
              </w:rPr>
              <w:t xml:space="preserve"> Nr. 30 “Kārtība, kādā Valsts vides dienests izdod tehniskos noteikumus paredzētajai darbīb</w:t>
            </w:r>
            <w:r w:rsidR="008832A0" w:rsidRPr="00E6504B">
              <w:rPr>
                <w:rFonts w:ascii="Times New Roman" w:hAnsi="Times New Roman" w:cs="Times New Roman"/>
                <w:sz w:val="24"/>
                <w:szCs w:val="24"/>
              </w:rPr>
              <w:t>ai” (turpmāk – MK noteikumi Nr. </w:t>
            </w:r>
            <w:r w:rsidRPr="00E6504B">
              <w:rPr>
                <w:rFonts w:ascii="Times New Roman" w:hAnsi="Times New Roman" w:cs="Times New Roman"/>
                <w:sz w:val="24"/>
                <w:szCs w:val="24"/>
              </w:rPr>
              <w:t>30)</w:t>
            </w:r>
            <w:r w:rsidR="008832A0" w:rsidRPr="00E6504B">
              <w:rPr>
                <w:rFonts w:ascii="Times New Roman" w:hAnsi="Times New Roman" w:cs="Times New Roman"/>
                <w:sz w:val="24"/>
                <w:szCs w:val="24"/>
              </w:rPr>
              <w:t xml:space="preserve"> 2. punktam tehniskajos noteikumos nosaka </w:t>
            </w:r>
            <w:r w:rsidRPr="00E6504B">
              <w:rPr>
                <w:rFonts w:ascii="Times New Roman" w:hAnsi="Times New Roman" w:cs="Times New Roman"/>
                <w:sz w:val="24"/>
                <w:szCs w:val="24"/>
              </w:rPr>
              <w:t>v</w:t>
            </w:r>
            <w:r w:rsidR="008832A0" w:rsidRPr="00E6504B">
              <w:rPr>
                <w:rFonts w:ascii="Times New Roman" w:hAnsi="Times New Roman" w:cs="Times New Roman"/>
                <w:sz w:val="24"/>
                <w:szCs w:val="24"/>
              </w:rPr>
              <w:t xml:space="preserve">ides </w:t>
            </w:r>
            <w:r w:rsidRPr="00E6504B">
              <w:rPr>
                <w:rFonts w:ascii="Times New Roman" w:hAnsi="Times New Roman" w:cs="Times New Roman"/>
                <w:sz w:val="24"/>
                <w:szCs w:val="24"/>
              </w:rPr>
              <w:t>aizsardzības prasības paredzēt</w:t>
            </w:r>
            <w:r w:rsidR="008832A0" w:rsidRPr="00E6504B">
              <w:rPr>
                <w:rFonts w:ascii="Times New Roman" w:hAnsi="Times New Roman" w:cs="Times New Roman"/>
                <w:sz w:val="24"/>
                <w:szCs w:val="24"/>
              </w:rPr>
              <w:t>ajai darbībai tās norises vietā. MK noteikumos Nr.</w:t>
            </w:r>
            <w:r w:rsidR="00302C11" w:rsidRPr="00E6504B">
              <w:rPr>
                <w:rFonts w:ascii="Times New Roman" w:hAnsi="Times New Roman" w:cs="Times New Roman"/>
                <w:sz w:val="24"/>
                <w:szCs w:val="24"/>
              </w:rPr>
              <w:t> </w:t>
            </w:r>
            <w:r w:rsidR="008832A0" w:rsidRPr="00E6504B">
              <w:rPr>
                <w:rFonts w:ascii="Times New Roman" w:hAnsi="Times New Roman" w:cs="Times New Roman"/>
                <w:sz w:val="24"/>
                <w:szCs w:val="24"/>
              </w:rPr>
              <w:t xml:space="preserve">30 pielikumā ir </w:t>
            </w:r>
            <w:r w:rsidRPr="00E6504B">
              <w:rPr>
                <w:rFonts w:ascii="Times New Roman" w:hAnsi="Times New Roman" w:cs="Times New Roman"/>
                <w:sz w:val="24"/>
                <w:szCs w:val="24"/>
              </w:rPr>
              <w:t>uzskait</w:t>
            </w:r>
            <w:r w:rsidR="008832A0" w:rsidRPr="00E6504B">
              <w:rPr>
                <w:rFonts w:ascii="Times New Roman" w:hAnsi="Times New Roman" w:cs="Times New Roman"/>
                <w:sz w:val="24"/>
                <w:szCs w:val="24"/>
              </w:rPr>
              <w:t>ītas</w:t>
            </w:r>
            <w:r w:rsidRPr="00E6504B">
              <w:rPr>
                <w:rFonts w:ascii="Times New Roman" w:hAnsi="Times New Roman" w:cs="Times New Roman"/>
                <w:sz w:val="24"/>
                <w:szCs w:val="24"/>
              </w:rPr>
              <w:t xml:space="preserve"> tās darbības nozaru griezumā, kuru veikšanai ir nepieciešams saņemt tehniskos noteikumus.</w:t>
            </w:r>
            <w:r w:rsidR="00A85924" w:rsidRPr="00E6504B">
              <w:rPr>
                <w:rFonts w:ascii="Times New Roman" w:hAnsi="Times New Roman" w:cs="Times New Roman"/>
                <w:sz w:val="24"/>
                <w:szCs w:val="24"/>
              </w:rPr>
              <w:t xml:space="preserve"> </w:t>
            </w:r>
            <w:r w:rsidRPr="00E6504B">
              <w:rPr>
                <w:rFonts w:ascii="Times New Roman" w:hAnsi="Times New Roman" w:cs="Times New Roman"/>
                <w:sz w:val="24"/>
                <w:szCs w:val="24"/>
              </w:rPr>
              <w:t>Prasības par tehnisko noteikumu saskaņošanu un saņemšanu skar tādas nozares kā, piemēram, lauksaimniecību, mežsaimniecību, zivsaimniecību, meliorāciju. Ja regulēto ūdensteču, mākslīgu  vai stipri pārveidotu ūde</w:t>
            </w:r>
            <w:r w:rsidR="00BA6F33" w:rsidRPr="00E6504B">
              <w:rPr>
                <w:rFonts w:ascii="Times New Roman" w:hAnsi="Times New Roman" w:cs="Times New Roman"/>
                <w:sz w:val="24"/>
                <w:szCs w:val="24"/>
              </w:rPr>
              <w:t xml:space="preserve">ns objektu uzturēšanā, pārbūvē </w:t>
            </w:r>
            <w:r w:rsidRPr="00E6504B">
              <w:rPr>
                <w:rFonts w:ascii="Times New Roman" w:hAnsi="Times New Roman" w:cs="Times New Roman"/>
                <w:sz w:val="24"/>
                <w:szCs w:val="24"/>
              </w:rPr>
              <w:t>vai atjaunošanā tiek ievērotas normatīvo aktu prasības, nav pamata uzskatīt, ka V</w:t>
            </w:r>
            <w:r w:rsidR="00A85924" w:rsidRPr="00E6504B">
              <w:rPr>
                <w:rFonts w:ascii="Times New Roman" w:hAnsi="Times New Roman" w:cs="Times New Roman"/>
                <w:sz w:val="24"/>
                <w:szCs w:val="24"/>
              </w:rPr>
              <w:t>VD</w:t>
            </w:r>
            <w:r w:rsidRPr="00E6504B">
              <w:rPr>
                <w:rFonts w:ascii="Times New Roman" w:hAnsi="Times New Roman" w:cs="Times New Roman"/>
                <w:sz w:val="24"/>
                <w:szCs w:val="24"/>
              </w:rPr>
              <w:t xml:space="preserve"> piemēros administratīvo sodu par patvaļīgām rīcībām ūdens objektā, veicot minētos būvdarbus.  </w:t>
            </w:r>
          </w:p>
          <w:p w14:paraId="118219A1" w14:textId="67852170" w:rsidR="00DD31EF" w:rsidRPr="00E6504B" w:rsidRDefault="009673C7" w:rsidP="00F4434D">
            <w:pPr>
              <w:spacing w:after="120" w:line="240" w:lineRule="auto"/>
              <w:jc w:val="both"/>
              <w:rPr>
                <w:rFonts w:ascii="Times New Roman" w:hAnsi="Times New Roman" w:cs="Times New Roman"/>
                <w:sz w:val="24"/>
                <w:szCs w:val="24"/>
              </w:rPr>
            </w:pPr>
            <w:r w:rsidRPr="00E6504B">
              <w:rPr>
                <w:rFonts w:ascii="Times New Roman" w:hAnsi="Times New Roman" w:cs="Times New Roman"/>
                <w:sz w:val="24"/>
                <w:szCs w:val="24"/>
              </w:rPr>
              <w:t xml:space="preserve">Likumprojekta 1. pantā paredzētais </w:t>
            </w:r>
            <w:r w:rsidR="008832A0" w:rsidRPr="00E6504B">
              <w:rPr>
                <w:rFonts w:ascii="Times New Roman" w:hAnsi="Times New Roman" w:cs="Times New Roman"/>
                <w:sz w:val="24"/>
                <w:szCs w:val="24"/>
              </w:rPr>
              <w:t>ŪAL</w:t>
            </w:r>
            <w:r w:rsidR="00302C11" w:rsidRPr="00E6504B">
              <w:rPr>
                <w:rFonts w:ascii="Times New Roman" w:hAnsi="Times New Roman" w:cs="Times New Roman"/>
                <w:sz w:val="24"/>
                <w:szCs w:val="24"/>
              </w:rPr>
              <w:t xml:space="preserve"> </w:t>
            </w:r>
            <w:r w:rsidRPr="00E6504B">
              <w:rPr>
                <w:rFonts w:ascii="Times New Roman" w:hAnsi="Times New Roman" w:cs="Times New Roman"/>
                <w:sz w:val="24"/>
                <w:szCs w:val="24"/>
              </w:rPr>
              <w:t>7. panta 13. punkts</w:t>
            </w:r>
            <w:r w:rsidR="00315912" w:rsidRPr="00E6504B">
              <w:rPr>
                <w:rFonts w:ascii="Times New Roman" w:hAnsi="Times New Roman" w:cs="Times New Roman"/>
                <w:sz w:val="24"/>
                <w:szCs w:val="24"/>
              </w:rPr>
              <w:t xml:space="preserve"> VVD </w:t>
            </w:r>
            <w:r w:rsidR="00794F0B" w:rsidRPr="00E6504B">
              <w:rPr>
                <w:rFonts w:ascii="Times New Roman" w:hAnsi="Times New Roman" w:cs="Times New Roman"/>
                <w:sz w:val="24"/>
                <w:szCs w:val="24"/>
              </w:rPr>
              <w:t xml:space="preserve">dos </w:t>
            </w:r>
            <w:r w:rsidR="00315912" w:rsidRPr="00E6504B">
              <w:rPr>
                <w:rFonts w:ascii="Times New Roman" w:hAnsi="Times New Roman" w:cs="Times New Roman"/>
                <w:sz w:val="24"/>
                <w:szCs w:val="24"/>
              </w:rPr>
              <w:t xml:space="preserve">nepārprotamu tiesisku pamatojumu un arī </w:t>
            </w:r>
            <w:r w:rsidR="00E967DE" w:rsidRPr="00E6504B">
              <w:rPr>
                <w:rFonts w:ascii="Times New Roman" w:hAnsi="Times New Roman" w:cs="Times New Roman"/>
                <w:sz w:val="24"/>
                <w:szCs w:val="24"/>
              </w:rPr>
              <w:t xml:space="preserve">vienkāršos </w:t>
            </w:r>
            <w:r w:rsidR="00315912" w:rsidRPr="00E6504B">
              <w:rPr>
                <w:rFonts w:ascii="Times New Roman" w:hAnsi="Times New Roman" w:cs="Times New Roman"/>
                <w:sz w:val="24"/>
                <w:szCs w:val="24"/>
              </w:rPr>
              <w:t xml:space="preserve">administratīvo pārkāpumu lietu </w:t>
            </w:r>
            <w:r w:rsidR="0049643D" w:rsidRPr="00E6504B">
              <w:rPr>
                <w:rFonts w:ascii="Times New Roman" w:hAnsi="Times New Roman" w:cs="Times New Roman"/>
                <w:sz w:val="24"/>
                <w:szCs w:val="24"/>
              </w:rPr>
              <w:t xml:space="preserve">uzsākšanu </w:t>
            </w:r>
            <w:r w:rsidR="00315912" w:rsidRPr="00E6504B">
              <w:rPr>
                <w:rFonts w:ascii="Times New Roman" w:hAnsi="Times New Roman" w:cs="Times New Roman"/>
                <w:sz w:val="24"/>
                <w:szCs w:val="24"/>
              </w:rPr>
              <w:t xml:space="preserve">par </w:t>
            </w:r>
            <w:r w:rsidR="00B05F9D" w:rsidRPr="00E6504B">
              <w:rPr>
                <w:rFonts w:ascii="Times New Roman" w:hAnsi="Times New Roman" w:cs="Times New Roman"/>
                <w:sz w:val="24"/>
                <w:szCs w:val="24"/>
              </w:rPr>
              <w:t xml:space="preserve">dažādu patvaļīgu rīcību </w:t>
            </w:r>
            <w:r w:rsidR="00315912" w:rsidRPr="00E6504B">
              <w:rPr>
                <w:rFonts w:ascii="Times New Roman" w:hAnsi="Times New Roman" w:cs="Times New Roman"/>
                <w:sz w:val="24"/>
                <w:szCs w:val="24"/>
              </w:rPr>
              <w:t>ūdens</w:t>
            </w:r>
            <w:r w:rsidR="00B41C27" w:rsidRPr="00E6504B">
              <w:rPr>
                <w:rFonts w:ascii="Times New Roman" w:hAnsi="Times New Roman" w:cs="Times New Roman"/>
                <w:sz w:val="24"/>
                <w:szCs w:val="24"/>
              </w:rPr>
              <w:t xml:space="preserve"> </w:t>
            </w:r>
            <w:r w:rsidR="00315912" w:rsidRPr="00E6504B">
              <w:rPr>
                <w:rFonts w:ascii="Times New Roman" w:hAnsi="Times New Roman" w:cs="Times New Roman"/>
                <w:sz w:val="24"/>
                <w:szCs w:val="24"/>
              </w:rPr>
              <w:t>objektos</w:t>
            </w:r>
            <w:r w:rsidR="00E90576" w:rsidRPr="00E6504B">
              <w:rPr>
                <w:rFonts w:ascii="Times New Roman" w:hAnsi="Times New Roman" w:cs="Times New Roman"/>
                <w:sz w:val="24"/>
                <w:szCs w:val="24"/>
              </w:rPr>
              <w:t>.</w:t>
            </w:r>
            <w:r w:rsidR="00DD31EF" w:rsidRPr="00E6504B">
              <w:rPr>
                <w:rFonts w:ascii="Times New Roman" w:hAnsi="Times New Roman" w:cs="Times New Roman"/>
                <w:sz w:val="24"/>
                <w:szCs w:val="24"/>
              </w:rPr>
              <w:t xml:space="preserve"> </w:t>
            </w:r>
          </w:p>
          <w:p w14:paraId="448CC2B1" w14:textId="70258274" w:rsidR="005D1B52" w:rsidRPr="00E6504B" w:rsidRDefault="00EE5E63" w:rsidP="00F4434D">
            <w:pPr>
              <w:spacing w:after="12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lastRenderedPageBreak/>
              <w:t>L</w:t>
            </w:r>
            <w:r w:rsidR="00046EFD" w:rsidRPr="00E6504B">
              <w:rPr>
                <w:rFonts w:ascii="Times New Roman" w:eastAsia="Times New Roman" w:hAnsi="Times New Roman" w:cs="Times New Roman"/>
                <w:sz w:val="24"/>
                <w:szCs w:val="24"/>
              </w:rPr>
              <w:t>ikumprojekt</w:t>
            </w:r>
            <w:r w:rsidR="007D65CF" w:rsidRPr="00E6504B">
              <w:rPr>
                <w:rFonts w:ascii="Times New Roman" w:eastAsia="Times New Roman" w:hAnsi="Times New Roman" w:cs="Times New Roman"/>
                <w:sz w:val="24"/>
                <w:szCs w:val="24"/>
              </w:rPr>
              <w:t>a</w:t>
            </w:r>
            <w:r w:rsidR="00772A4F" w:rsidRPr="00E6504B">
              <w:rPr>
                <w:rFonts w:ascii="Times New Roman" w:eastAsia="Times New Roman" w:hAnsi="Times New Roman" w:cs="Times New Roman"/>
                <w:sz w:val="24"/>
                <w:szCs w:val="24"/>
              </w:rPr>
              <w:t xml:space="preserve"> 2. pantā paredzētajā </w:t>
            </w:r>
            <w:r w:rsidR="008832A0" w:rsidRPr="00E6504B">
              <w:rPr>
                <w:rFonts w:ascii="Times New Roman" w:eastAsia="Times New Roman" w:hAnsi="Times New Roman" w:cs="Times New Roman"/>
                <w:sz w:val="24"/>
                <w:szCs w:val="24"/>
              </w:rPr>
              <w:t>ŪAL</w:t>
            </w:r>
            <w:r w:rsidRPr="00E6504B">
              <w:rPr>
                <w:rFonts w:ascii="Times New Roman" w:eastAsia="Times New Roman" w:hAnsi="Times New Roman" w:cs="Times New Roman"/>
                <w:sz w:val="24"/>
                <w:szCs w:val="24"/>
              </w:rPr>
              <w:t xml:space="preserve"> </w:t>
            </w:r>
            <w:r w:rsidRPr="00E6504B">
              <w:rPr>
                <w:rFonts w:ascii="Times New Roman" w:hAnsi="Times New Roman" w:cs="Times New Roman"/>
                <w:sz w:val="24"/>
                <w:szCs w:val="24"/>
              </w:rPr>
              <w:t>27.</w:t>
            </w:r>
            <w:r w:rsidR="00EC3D79" w:rsidRPr="00E6504B">
              <w:rPr>
                <w:rFonts w:ascii="Times New Roman" w:hAnsi="Times New Roman" w:cs="Times New Roman"/>
                <w:sz w:val="24"/>
                <w:szCs w:val="24"/>
              </w:rPr>
              <w:t> </w:t>
            </w:r>
            <w:r w:rsidRPr="00E6504B">
              <w:rPr>
                <w:rFonts w:ascii="Times New Roman" w:hAnsi="Times New Roman" w:cs="Times New Roman"/>
                <w:sz w:val="24"/>
                <w:szCs w:val="24"/>
              </w:rPr>
              <w:t>pant</w:t>
            </w:r>
            <w:r w:rsidR="007D65CF" w:rsidRPr="00E6504B">
              <w:rPr>
                <w:rFonts w:ascii="Times New Roman" w:hAnsi="Times New Roman" w:cs="Times New Roman"/>
                <w:sz w:val="24"/>
                <w:szCs w:val="24"/>
              </w:rPr>
              <w:t>ā</w:t>
            </w:r>
            <w:r w:rsidRPr="00E6504B">
              <w:rPr>
                <w:rFonts w:ascii="Times New Roman" w:hAnsi="Times New Roman" w:cs="Times New Roman"/>
                <w:sz w:val="24"/>
                <w:szCs w:val="24"/>
              </w:rPr>
              <w:t xml:space="preserve"> </w:t>
            </w:r>
            <w:r w:rsidR="005D37DD" w:rsidRPr="00E6504B">
              <w:rPr>
                <w:rFonts w:ascii="Times New Roman" w:eastAsia="Times New Roman" w:hAnsi="Times New Roman" w:cs="Times New Roman"/>
                <w:sz w:val="24"/>
                <w:szCs w:val="24"/>
              </w:rPr>
              <w:t xml:space="preserve">ir </w:t>
            </w:r>
            <w:r w:rsidR="00111F62" w:rsidRPr="00E6504B">
              <w:rPr>
                <w:rFonts w:ascii="Times New Roman" w:eastAsia="Times New Roman" w:hAnsi="Times New Roman" w:cs="Times New Roman"/>
                <w:sz w:val="24"/>
                <w:szCs w:val="24"/>
              </w:rPr>
              <w:t>noteikti</w:t>
            </w:r>
            <w:r w:rsidR="005D37DD" w:rsidRPr="00E6504B">
              <w:rPr>
                <w:rFonts w:ascii="Times New Roman" w:eastAsia="Times New Roman" w:hAnsi="Times New Roman" w:cs="Times New Roman"/>
                <w:sz w:val="24"/>
                <w:szCs w:val="24"/>
              </w:rPr>
              <w:t xml:space="preserve"> </w:t>
            </w:r>
            <w:r w:rsidR="00C0533C" w:rsidRPr="00E6504B">
              <w:rPr>
                <w:rFonts w:ascii="Times New Roman" w:eastAsia="Times New Roman" w:hAnsi="Times New Roman" w:cs="Times New Roman"/>
                <w:sz w:val="24"/>
                <w:szCs w:val="24"/>
              </w:rPr>
              <w:t xml:space="preserve"> četri </w:t>
            </w:r>
            <w:r w:rsidR="005D37DD" w:rsidRPr="00E6504B">
              <w:rPr>
                <w:rFonts w:ascii="Times New Roman" w:eastAsia="Times New Roman" w:hAnsi="Times New Roman" w:cs="Times New Roman"/>
                <w:sz w:val="24"/>
                <w:szCs w:val="24"/>
              </w:rPr>
              <w:t>administratīvo pārkāpumu sastāvi</w:t>
            </w:r>
            <w:r w:rsidR="00BD61E7" w:rsidRPr="00E6504B">
              <w:rPr>
                <w:rFonts w:ascii="Times New Roman" w:eastAsia="Times New Roman" w:hAnsi="Times New Roman" w:cs="Times New Roman"/>
                <w:sz w:val="24"/>
                <w:szCs w:val="24"/>
              </w:rPr>
              <w:t xml:space="preserve">, kas sakārtoti secīgi atkarībā no </w:t>
            </w:r>
            <w:r w:rsidR="00115064" w:rsidRPr="00E6504B">
              <w:rPr>
                <w:rFonts w:ascii="Times New Roman" w:eastAsia="Times New Roman" w:hAnsi="Times New Roman" w:cs="Times New Roman"/>
                <w:sz w:val="24"/>
                <w:szCs w:val="24"/>
              </w:rPr>
              <w:t xml:space="preserve">tiem </w:t>
            </w:r>
            <w:r w:rsidR="00BD61E7" w:rsidRPr="00E6504B">
              <w:rPr>
                <w:rFonts w:ascii="Times New Roman" w:eastAsia="Times New Roman" w:hAnsi="Times New Roman" w:cs="Times New Roman"/>
                <w:sz w:val="24"/>
                <w:szCs w:val="24"/>
              </w:rPr>
              <w:t>piemērojamā administratīvā soda maksimālā lieluma</w:t>
            </w:r>
            <w:r w:rsidR="00581C8B" w:rsidRPr="00E6504B">
              <w:rPr>
                <w:rFonts w:ascii="Times New Roman" w:eastAsia="Times New Roman" w:hAnsi="Times New Roman" w:cs="Times New Roman"/>
                <w:sz w:val="24"/>
                <w:szCs w:val="24"/>
              </w:rPr>
              <w:t xml:space="preserve">. </w:t>
            </w:r>
          </w:p>
          <w:p w14:paraId="56498509" w14:textId="62FFEA34" w:rsidR="00763CEC" w:rsidRPr="00E6504B" w:rsidRDefault="00E76521" w:rsidP="00F4434D">
            <w:pPr>
              <w:pStyle w:val="tv213"/>
              <w:shd w:val="clear" w:color="auto" w:fill="FFFFFF"/>
              <w:tabs>
                <w:tab w:val="left" w:pos="3129"/>
              </w:tabs>
              <w:spacing w:before="0" w:beforeAutospacing="0" w:after="0" w:afterAutospacing="0"/>
              <w:jc w:val="both"/>
              <w:rPr>
                <w:u w:val="single"/>
                <w:lang w:val="lv-LV"/>
              </w:rPr>
            </w:pPr>
            <w:r w:rsidRPr="00E6504B">
              <w:rPr>
                <w:lang w:val="lv-LV"/>
              </w:rPr>
              <w:t>Likumprojekta</w:t>
            </w:r>
            <w:r w:rsidR="00772A4F" w:rsidRPr="00E6504B">
              <w:rPr>
                <w:lang w:val="lv-LV"/>
              </w:rPr>
              <w:t xml:space="preserve"> </w:t>
            </w:r>
            <w:r w:rsidR="00772A4F" w:rsidRPr="00E6504B">
              <w:rPr>
                <w:u w:val="single"/>
                <w:lang w:val="lv-LV"/>
              </w:rPr>
              <w:t>2. </w:t>
            </w:r>
            <w:r w:rsidR="003565B8" w:rsidRPr="00E6504B">
              <w:rPr>
                <w:u w:val="single"/>
                <w:lang w:val="lv-LV"/>
              </w:rPr>
              <w:t>p</w:t>
            </w:r>
            <w:r w:rsidR="00772A4F" w:rsidRPr="00E6504B">
              <w:rPr>
                <w:u w:val="single"/>
                <w:lang w:val="lv-LV"/>
              </w:rPr>
              <w:t>ant</w:t>
            </w:r>
            <w:r w:rsidR="003565B8" w:rsidRPr="00E6504B">
              <w:rPr>
                <w:u w:val="single"/>
                <w:lang w:val="lv-LV"/>
              </w:rPr>
              <w:t xml:space="preserve">ā </w:t>
            </w:r>
            <w:r w:rsidR="00772A4F" w:rsidRPr="00E6504B">
              <w:rPr>
                <w:u w:val="single"/>
                <w:lang w:val="lv-LV"/>
              </w:rPr>
              <w:t xml:space="preserve">paredzētā </w:t>
            </w:r>
            <w:r w:rsidR="008832A0" w:rsidRPr="00E6504B">
              <w:rPr>
                <w:u w:val="single"/>
                <w:lang w:val="lv-LV"/>
              </w:rPr>
              <w:t>ŪAL</w:t>
            </w:r>
            <w:r w:rsidRPr="00E6504B">
              <w:rPr>
                <w:u w:val="single"/>
                <w:lang w:val="lv-LV"/>
              </w:rPr>
              <w:t xml:space="preserve"> </w:t>
            </w:r>
            <w:r w:rsidR="00763CEC" w:rsidRPr="00E6504B">
              <w:rPr>
                <w:u w:val="single"/>
                <w:lang w:val="lv-LV"/>
              </w:rPr>
              <w:t>27.</w:t>
            </w:r>
            <w:r w:rsidR="0064182B" w:rsidRPr="00E6504B">
              <w:rPr>
                <w:u w:val="single"/>
                <w:lang w:val="lv-LV"/>
              </w:rPr>
              <w:t> </w:t>
            </w:r>
            <w:r w:rsidR="00763CEC" w:rsidRPr="00E6504B">
              <w:rPr>
                <w:u w:val="single"/>
                <w:lang w:val="lv-LV"/>
              </w:rPr>
              <w:t xml:space="preserve">panta </w:t>
            </w:r>
            <w:r w:rsidR="00C0533C" w:rsidRPr="00E6504B">
              <w:rPr>
                <w:u w:val="single"/>
                <w:lang w:val="lv-LV"/>
              </w:rPr>
              <w:t xml:space="preserve">pirmā </w:t>
            </w:r>
            <w:r w:rsidR="00763CEC" w:rsidRPr="00E6504B">
              <w:rPr>
                <w:u w:val="single"/>
                <w:lang w:val="lv-LV"/>
              </w:rPr>
              <w:t>daļa</w:t>
            </w:r>
            <w:r w:rsidR="00F02CB4" w:rsidRPr="00E6504B">
              <w:rPr>
                <w:lang w:val="lv-LV"/>
              </w:rPr>
              <w:t xml:space="preserve"> </w:t>
            </w:r>
            <w:r w:rsidR="00763CEC" w:rsidRPr="00E6504B">
              <w:rPr>
                <w:lang w:val="lv-LV"/>
              </w:rPr>
              <w:t>nosaka administratīvo atbildību  par</w:t>
            </w:r>
            <w:r w:rsidR="00581C8B" w:rsidRPr="00E6504B">
              <w:rPr>
                <w:lang w:val="lv-LV"/>
              </w:rPr>
              <w:t xml:space="preserve"> pārkāpumiem</w:t>
            </w:r>
            <w:r w:rsidR="000636DF" w:rsidRPr="00E6504B">
              <w:rPr>
                <w:lang w:val="lv-LV"/>
              </w:rPr>
              <w:t xml:space="preserve"> </w:t>
            </w:r>
            <w:r w:rsidR="00581C8B" w:rsidRPr="00E6504B">
              <w:rPr>
                <w:lang w:val="lv-LV"/>
              </w:rPr>
              <w:t>peldviet</w:t>
            </w:r>
            <w:r w:rsidR="000636DF" w:rsidRPr="00E6504B">
              <w:rPr>
                <w:lang w:val="lv-LV"/>
              </w:rPr>
              <w:t>u</w:t>
            </w:r>
            <w:r w:rsidR="00581C8B" w:rsidRPr="00E6504B">
              <w:rPr>
                <w:lang w:val="lv-LV"/>
              </w:rPr>
              <w:t xml:space="preserve"> izveidošanas un uzturēšanas prasībās</w:t>
            </w:r>
            <w:r w:rsidR="00AB2028" w:rsidRPr="00E6504B">
              <w:rPr>
                <w:lang w:val="lv-LV"/>
              </w:rPr>
              <w:t xml:space="preserve">, </w:t>
            </w:r>
            <w:r w:rsidR="00AB2028" w:rsidRPr="00E6504B">
              <w:rPr>
                <w:color w:val="FF0000"/>
                <w:lang w:val="lv-LV"/>
              </w:rPr>
              <w:t xml:space="preserve"> </w:t>
            </w:r>
            <w:r w:rsidR="00AB2028" w:rsidRPr="00E6504B">
              <w:rPr>
                <w:lang w:val="lv-LV"/>
              </w:rPr>
              <w:t>kuras noteiktas normatīvaj</w:t>
            </w:r>
            <w:r w:rsidR="008832A0" w:rsidRPr="00E6504B">
              <w:rPr>
                <w:lang w:val="lv-LV"/>
              </w:rPr>
              <w:t>os</w:t>
            </w:r>
            <w:r w:rsidR="00AB2028" w:rsidRPr="00E6504B">
              <w:rPr>
                <w:lang w:val="lv-LV"/>
              </w:rPr>
              <w:t xml:space="preserve"> akt</w:t>
            </w:r>
            <w:r w:rsidR="008832A0" w:rsidRPr="00E6504B">
              <w:rPr>
                <w:lang w:val="lv-LV"/>
              </w:rPr>
              <w:t>os</w:t>
            </w:r>
            <w:r w:rsidR="00AB2028" w:rsidRPr="00E6504B">
              <w:rPr>
                <w:lang w:val="lv-LV"/>
              </w:rPr>
              <w:t xml:space="preserve"> par p</w:t>
            </w:r>
            <w:r w:rsidR="00AB2028" w:rsidRPr="00E6504B">
              <w:rPr>
                <w:bCs/>
                <w:shd w:val="clear" w:color="auto" w:fill="FFFFFF"/>
                <w:lang w:val="lv-LV"/>
              </w:rPr>
              <w:t>eldvietas izveidošanas, uzturēšanas un ūdens kvalitātes pārvaldības kārtību</w:t>
            </w:r>
            <w:r w:rsidR="0064182B" w:rsidRPr="00E6504B">
              <w:rPr>
                <w:lang w:val="lv-LV"/>
              </w:rPr>
              <w:t>.</w:t>
            </w:r>
            <w:r w:rsidR="00197760" w:rsidRPr="00E6504B">
              <w:rPr>
                <w:lang w:val="lv-LV"/>
              </w:rPr>
              <w:t xml:space="preserve"> </w:t>
            </w:r>
            <w:r w:rsidR="00AB2028" w:rsidRPr="00E6504B">
              <w:rPr>
                <w:i/>
                <w:lang w:val="lv-LV"/>
              </w:rPr>
              <w:t xml:space="preserve"> </w:t>
            </w:r>
            <w:r w:rsidR="00AB2028" w:rsidRPr="00E6504B">
              <w:rPr>
                <w:lang w:val="lv-LV"/>
              </w:rPr>
              <w:t>Minētais administratīvo pārkāpumu sastāvs</w:t>
            </w:r>
            <w:r w:rsidR="00AB2028" w:rsidRPr="00E6504B">
              <w:rPr>
                <w:i/>
                <w:lang w:val="lv-LV"/>
              </w:rPr>
              <w:t xml:space="preserve"> </w:t>
            </w:r>
            <w:r w:rsidR="00AB2028" w:rsidRPr="00E6504B">
              <w:rPr>
                <w:lang w:val="lv-LV"/>
              </w:rPr>
              <w:t>attiecas tikai uz tām labiekārtotajām peldvietā</w:t>
            </w:r>
            <w:r w:rsidR="000636DF" w:rsidRPr="00E6504B">
              <w:rPr>
                <w:lang w:val="lv-LV"/>
              </w:rPr>
              <w:t xml:space="preserve">m, kuras noteiktas </w:t>
            </w:r>
            <w:r w:rsidR="00B204E5" w:rsidRPr="00E6504B">
              <w:rPr>
                <w:lang w:val="lv-LV"/>
              </w:rPr>
              <w:t>MK noteikumu</w:t>
            </w:r>
            <w:r w:rsidR="00AB2028" w:rsidRPr="00E6504B">
              <w:rPr>
                <w:lang w:val="lv-LV"/>
              </w:rPr>
              <w:t xml:space="preserve"> Nr. 692</w:t>
            </w:r>
            <w:r w:rsidR="00695A68" w:rsidRPr="00E6504B">
              <w:rPr>
                <w:lang w:val="lv-LV"/>
              </w:rPr>
              <w:t xml:space="preserve"> </w:t>
            </w:r>
            <w:hyperlink r:id="rId8" w:anchor="piel1" w:history="1">
              <w:r w:rsidR="00AB2028" w:rsidRPr="00E6504B">
                <w:rPr>
                  <w:rStyle w:val="Hyperlink"/>
                  <w:color w:val="auto"/>
                  <w:u w:val="none"/>
                  <w:shd w:val="clear" w:color="auto" w:fill="FFFFFF"/>
                  <w:lang w:val="lv-LV"/>
                </w:rPr>
                <w:t>1. </w:t>
              </w:r>
            </w:hyperlink>
            <w:r w:rsidR="00AB2028" w:rsidRPr="00E6504B">
              <w:rPr>
                <w:shd w:val="clear" w:color="auto" w:fill="FFFFFF"/>
                <w:lang w:val="lv-LV"/>
              </w:rPr>
              <w:t>un </w:t>
            </w:r>
            <w:hyperlink r:id="rId9" w:anchor="piel2" w:history="1">
              <w:r w:rsidR="00AB2028" w:rsidRPr="00E6504B">
                <w:rPr>
                  <w:rStyle w:val="Hyperlink"/>
                  <w:color w:val="auto"/>
                  <w:u w:val="none"/>
                  <w:shd w:val="clear" w:color="auto" w:fill="FFFFFF"/>
                  <w:lang w:val="lv-LV"/>
                </w:rPr>
                <w:t>2.</w:t>
              </w:r>
            </w:hyperlink>
            <w:r w:rsidR="00AB2028" w:rsidRPr="00E6504B">
              <w:rPr>
                <w:shd w:val="clear" w:color="auto" w:fill="FFFFFF"/>
                <w:lang w:val="lv-LV"/>
              </w:rPr>
              <w:t xml:space="preserve"> pielikumā. </w:t>
            </w:r>
            <w:r w:rsidR="005505A4" w:rsidRPr="00E6504B">
              <w:rPr>
                <w:lang w:val="lv-LV"/>
              </w:rPr>
              <w:t xml:space="preserve"> </w:t>
            </w:r>
            <w:r w:rsidR="00763CEC" w:rsidRPr="00E6504B">
              <w:rPr>
                <w:lang w:val="lv-LV"/>
              </w:rPr>
              <w:t xml:space="preserve">Administratīvo pārkāpumu lietas ir paredzēts </w:t>
            </w:r>
            <w:r w:rsidR="00EF5A99" w:rsidRPr="00E6504B">
              <w:rPr>
                <w:lang w:val="lv-LV"/>
              </w:rPr>
              <w:t xml:space="preserve">uzsākt </w:t>
            </w:r>
            <w:r w:rsidR="00763CEC" w:rsidRPr="00E6504B">
              <w:rPr>
                <w:lang w:val="lv-LV"/>
              </w:rPr>
              <w:t>gadījumos,</w:t>
            </w:r>
            <w:r w:rsidR="007B7645" w:rsidRPr="00E6504B">
              <w:rPr>
                <w:lang w:val="lv-LV"/>
              </w:rPr>
              <w:t xml:space="preserve"> kad peldvietas apsaimniekotājs nepilda apsaimniekotājam noteiktās peldvietas uzturēšanas prasības, kuras ir būtiskas sabiedrības veselībai un ie</w:t>
            </w:r>
            <w:r w:rsidR="00C71AE4" w:rsidRPr="00E6504B">
              <w:rPr>
                <w:lang w:val="lv-LV"/>
              </w:rPr>
              <w:t xml:space="preserve">kļautas MK noteikumu Nr. 692 II nodaļā (piemēram, </w:t>
            </w:r>
            <w:r w:rsidR="007B7645" w:rsidRPr="00E6504B">
              <w:rPr>
                <w:lang w:val="lv-LV"/>
              </w:rPr>
              <w:t xml:space="preserve">operatīvā transporta piebraucamo ceļu izveidošana, ūdens norobežošana ar bojām u.c. prasības), kā arī </w:t>
            </w:r>
            <w:r w:rsidR="00C71AE4" w:rsidRPr="00E6504B">
              <w:rPr>
                <w:lang w:val="lv-LV"/>
              </w:rPr>
              <w:t>tad, ja peldvietas apsaimniekotājs atbilstoši minēto noteikumu 16.</w:t>
            </w:r>
            <w:r w:rsidR="000636DF" w:rsidRPr="00E6504B">
              <w:rPr>
                <w:lang w:val="lv-LV"/>
              </w:rPr>
              <w:t> </w:t>
            </w:r>
            <w:r w:rsidR="00C71AE4" w:rsidRPr="00E6504B">
              <w:rPr>
                <w:lang w:val="lv-LV"/>
              </w:rPr>
              <w:t>punktam nav sniedzis informāciju iedzīvotājiem.</w:t>
            </w:r>
            <w:r w:rsidR="00076628" w:rsidRPr="00E6504B">
              <w:rPr>
                <w:lang w:val="lv-LV"/>
              </w:rPr>
              <w:t xml:space="preserve"> Brīdinājumu </w:t>
            </w:r>
            <w:r w:rsidR="005839CE" w:rsidRPr="00E6504B">
              <w:rPr>
                <w:lang w:val="lv-LV"/>
              </w:rPr>
              <w:t>peldvietas apsaimniekotājam ir pa</w:t>
            </w:r>
            <w:r w:rsidR="00076628" w:rsidRPr="00E6504B">
              <w:rPr>
                <w:lang w:val="lv-LV"/>
              </w:rPr>
              <w:t xml:space="preserve">redzēts piemērot </w:t>
            </w:r>
            <w:r w:rsidR="00160E45" w:rsidRPr="00E6504B">
              <w:rPr>
                <w:lang w:val="lv-LV"/>
              </w:rPr>
              <w:t>mazāk</w:t>
            </w:r>
            <w:r w:rsidR="00D93FB6" w:rsidRPr="00E6504B">
              <w:rPr>
                <w:lang w:val="lv-LV"/>
              </w:rPr>
              <w:t>u</w:t>
            </w:r>
            <w:r w:rsidR="00160E45" w:rsidRPr="00E6504B">
              <w:rPr>
                <w:lang w:val="lv-LV"/>
              </w:rPr>
              <w:t xml:space="preserve"> </w:t>
            </w:r>
            <w:r w:rsidR="005839CE" w:rsidRPr="00E6504B">
              <w:rPr>
                <w:lang w:val="lv-LV"/>
              </w:rPr>
              <w:t>pārkāpumu gadījumā (piemēram, ja nav norādīts peldvietas nosaukums vai konkrētas peldvietas atrašanās vieta).</w:t>
            </w:r>
            <w:r w:rsidR="005839CE" w:rsidRPr="00E6504B">
              <w:rPr>
                <w:u w:val="single"/>
                <w:lang w:val="lv-LV"/>
              </w:rPr>
              <w:t xml:space="preserve">    </w:t>
            </w:r>
          </w:p>
          <w:p w14:paraId="328E6837" w14:textId="670FE395" w:rsidR="001B39D0" w:rsidRPr="00E6504B" w:rsidRDefault="00E76521" w:rsidP="00F4434D">
            <w:pPr>
              <w:spacing w:line="240" w:lineRule="auto"/>
              <w:jc w:val="both"/>
              <w:rPr>
                <w:rFonts w:ascii="Times New Roman" w:hAnsi="Times New Roman" w:cs="Times New Roman"/>
                <w:sz w:val="24"/>
                <w:szCs w:val="24"/>
              </w:rPr>
            </w:pPr>
            <w:r w:rsidRPr="00E6504B">
              <w:rPr>
                <w:rFonts w:ascii="Times New Roman" w:hAnsi="Times New Roman" w:cs="Times New Roman"/>
                <w:sz w:val="24"/>
                <w:szCs w:val="24"/>
              </w:rPr>
              <w:t xml:space="preserve">Likumprojekta </w:t>
            </w:r>
            <w:r w:rsidR="00772A4F" w:rsidRPr="00E6504B">
              <w:rPr>
                <w:rFonts w:ascii="Times New Roman" w:eastAsia="Times New Roman" w:hAnsi="Times New Roman" w:cs="Times New Roman"/>
                <w:sz w:val="24"/>
                <w:szCs w:val="24"/>
              </w:rPr>
              <w:t>2.</w:t>
            </w:r>
            <w:r w:rsidR="00D16971" w:rsidRPr="00E6504B">
              <w:rPr>
                <w:rFonts w:ascii="Times New Roman" w:eastAsia="Times New Roman" w:hAnsi="Times New Roman" w:cs="Times New Roman"/>
                <w:sz w:val="24"/>
                <w:szCs w:val="24"/>
              </w:rPr>
              <w:t> </w:t>
            </w:r>
            <w:r w:rsidR="00772A4F" w:rsidRPr="00E6504B">
              <w:rPr>
                <w:rFonts w:ascii="Times New Roman" w:eastAsia="Times New Roman" w:hAnsi="Times New Roman" w:cs="Times New Roman"/>
                <w:sz w:val="24"/>
                <w:szCs w:val="24"/>
              </w:rPr>
              <w:t xml:space="preserve">pantā paredzētā </w:t>
            </w:r>
            <w:r w:rsidR="008832A0" w:rsidRPr="00E6504B">
              <w:rPr>
                <w:rFonts w:ascii="Times New Roman" w:eastAsia="Times New Roman" w:hAnsi="Times New Roman" w:cs="Times New Roman"/>
                <w:sz w:val="24"/>
                <w:szCs w:val="24"/>
              </w:rPr>
              <w:t xml:space="preserve">ŪAL </w:t>
            </w:r>
            <w:r w:rsidR="00517D38" w:rsidRPr="00E6504B">
              <w:rPr>
                <w:rFonts w:ascii="Times New Roman" w:hAnsi="Times New Roman" w:cs="Times New Roman"/>
                <w:sz w:val="24"/>
                <w:szCs w:val="24"/>
              </w:rPr>
              <w:t xml:space="preserve">27. panta </w:t>
            </w:r>
            <w:r w:rsidR="00C0533C" w:rsidRPr="00E6504B">
              <w:rPr>
                <w:rFonts w:ascii="Times New Roman" w:hAnsi="Times New Roman" w:cs="Times New Roman"/>
                <w:sz w:val="24"/>
                <w:szCs w:val="24"/>
              </w:rPr>
              <w:t xml:space="preserve">pirmajā </w:t>
            </w:r>
            <w:r w:rsidR="00517D38" w:rsidRPr="00E6504B">
              <w:rPr>
                <w:rFonts w:ascii="Times New Roman" w:hAnsi="Times New Roman" w:cs="Times New Roman"/>
                <w:sz w:val="24"/>
                <w:szCs w:val="24"/>
              </w:rPr>
              <w:t>daļā, pamatojoties uz Inspekcijas priekšlikumu</w:t>
            </w:r>
            <w:r w:rsidR="003346AC" w:rsidRPr="00E6504B">
              <w:rPr>
                <w:rFonts w:ascii="Times New Roman" w:hAnsi="Times New Roman" w:cs="Times New Roman"/>
                <w:sz w:val="24"/>
                <w:szCs w:val="24"/>
              </w:rPr>
              <w:t>,</w:t>
            </w:r>
            <w:r w:rsidR="00A64D01" w:rsidRPr="00E6504B">
              <w:rPr>
                <w:rFonts w:ascii="Times New Roman" w:hAnsi="Times New Roman" w:cs="Times New Roman"/>
                <w:sz w:val="24"/>
                <w:szCs w:val="24"/>
              </w:rPr>
              <w:t xml:space="preserve"> </w:t>
            </w:r>
            <w:r w:rsidR="00517D38" w:rsidRPr="00E6504B">
              <w:rPr>
                <w:rFonts w:ascii="Times New Roman" w:hAnsi="Times New Roman" w:cs="Times New Roman"/>
                <w:sz w:val="24"/>
                <w:szCs w:val="24"/>
              </w:rPr>
              <w:t>ir noteiktas soda sankcijas</w:t>
            </w:r>
            <w:r w:rsidR="00987F7D" w:rsidRPr="00E6504B">
              <w:rPr>
                <w:rFonts w:ascii="Times New Roman" w:hAnsi="Times New Roman" w:cs="Times New Roman"/>
                <w:sz w:val="24"/>
                <w:szCs w:val="24"/>
              </w:rPr>
              <w:t xml:space="preserve"> un naudas soda apmērs</w:t>
            </w:r>
            <w:r w:rsidR="009B3459" w:rsidRPr="00E6504B">
              <w:rPr>
                <w:rFonts w:ascii="Times New Roman" w:hAnsi="Times New Roman" w:cs="Times New Roman"/>
                <w:sz w:val="24"/>
                <w:szCs w:val="24"/>
              </w:rPr>
              <w:t>,</w:t>
            </w:r>
            <w:r w:rsidR="00B013C0" w:rsidRPr="00E6504B">
              <w:rPr>
                <w:rFonts w:ascii="Times New Roman" w:hAnsi="Times New Roman" w:cs="Times New Roman"/>
                <w:sz w:val="24"/>
                <w:szCs w:val="24"/>
              </w:rPr>
              <w:t xml:space="preserve"> ja tiek</w:t>
            </w:r>
            <w:r w:rsidR="009B3459" w:rsidRPr="00E6504B">
              <w:rPr>
                <w:rFonts w:ascii="Times New Roman" w:hAnsi="Times New Roman" w:cs="Times New Roman"/>
                <w:sz w:val="24"/>
                <w:szCs w:val="24"/>
              </w:rPr>
              <w:t xml:space="preserve"> pārkāpt</w:t>
            </w:r>
            <w:r w:rsidR="00B013C0" w:rsidRPr="00E6504B">
              <w:rPr>
                <w:rFonts w:ascii="Times New Roman" w:hAnsi="Times New Roman" w:cs="Times New Roman"/>
                <w:sz w:val="24"/>
                <w:szCs w:val="24"/>
              </w:rPr>
              <w:t>as</w:t>
            </w:r>
            <w:r w:rsidR="009B3459" w:rsidRPr="00E6504B">
              <w:rPr>
                <w:rFonts w:ascii="Times New Roman" w:hAnsi="Times New Roman" w:cs="Times New Roman"/>
                <w:sz w:val="24"/>
                <w:szCs w:val="24"/>
              </w:rPr>
              <w:t xml:space="preserve"> prasības</w:t>
            </w:r>
            <w:r w:rsidR="00231276" w:rsidRPr="00E6504B">
              <w:rPr>
                <w:rFonts w:ascii="Times New Roman" w:hAnsi="Times New Roman" w:cs="Times New Roman"/>
                <w:sz w:val="24"/>
                <w:szCs w:val="24"/>
              </w:rPr>
              <w:t xml:space="preserve"> </w:t>
            </w:r>
            <w:r w:rsidR="008A2B4D" w:rsidRPr="00E6504B">
              <w:rPr>
                <w:rFonts w:ascii="Times New Roman" w:hAnsi="Times New Roman" w:cs="Times New Roman"/>
                <w:sz w:val="24"/>
                <w:szCs w:val="24"/>
              </w:rPr>
              <w:t>peldviet</w:t>
            </w:r>
            <w:r w:rsidR="00415BC9" w:rsidRPr="00E6504B">
              <w:rPr>
                <w:rFonts w:ascii="Times New Roman" w:hAnsi="Times New Roman" w:cs="Times New Roman"/>
                <w:sz w:val="24"/>
                <w:szCs w:val="24"/>
              </w:rPr>
              <w:t>a</w:t>
            </w:r>
            <w:r w:rsidR="008A2B4D" w:rsidRPr="00E6504B">
              <w:rPr>
                <w:rFonts w:ascii="Times New Roman" w:hAnsi="Times New Roman" w:cs="Times New Roman"/>
                <w:sz w:val="24"/>
                <w:szCs w:val="24"/>
              </w:rPr>
              <w:t>s</w:t>
            </w:r>
            <w:r w:rsidR="00415BC9" w:rsidRPr="00E6504B">
              <w:rPr>
                <w:rFonts w:ascii="Times New Roman" w:hAnsi="Times New Roman" w:cs="Times New Roman"/>
                <w:sz w:val="24"/>
                <w:szCs w:val="24"/>
              </w:rPr>
              <w:t xml:space="preserve"> apsaimniekošanai</w:t>
            </w:r>
            <w:r w:rsidR="008A2B4D" w:rsidRPr="00E6504B">
              <w:rPr>
                <w:rFonts w:ascii="Times New Roman" w:hAnsi="Times New Roman" w:cs="Times New Roman"/>
                <w:sz w:val="24"/>
                <w:szCs w:val="24"/>
              </w:rPr>
              <w:t xml:space="preserve">. </w:t>
            </w:r>
            <w:r w:rsidR="00590B34" w:rsidRPr="00E6504B">
              <w:rPr>
                <w:rFonts w:ascii="Times New Roman" w:hAnsi="Times New Roman" w:cs="Times New Roman"/>
                <w:sz w:val="24"/>
                <w:szCs w:val="24"/>
              </w:rPr>
              <w:t>Šādu pārkāpumu gadījumos</w:t>
            </w:r>
            <w:r w:rsidR="00160E45" w:rsidRPr="00E6504B">
              <w:rPr>
                <w:rFonts w:ascii="Times New Roman" w:hAnsi="Times New Roman" w:cs="Times New Roman"/>
                <w:sz w:val="24"/>
                <w:szCs w:val="24"/>
              </w:rPr>
              <w:t xml:space="preserve"> peldvietas apsaimniekotājam</w:t>
            </w:r>
            <w:r w:rsidR="00BB087B" w:rsidRPr="00E6504B">
              <w:rPr>
                <w:rFonts w:ascii="Times New Roman" w:hAnsi="Times New Roman" w:cs="Times New Roman"/>
                <w:sz w:val="24"/>
                <w:szCs w:val="24"/>
              </w:rPr>
              <w:t xml:space="preserve"> </w:t>
            </w:r>
            <w:r w:rsidR="00590B34" w:rsidRPr="00E6504B">
              <w:rPr>
                <w:rFonts w:ascii="Times New Roman" w:hAnsi="Times New Roman" w:cs="Times New Roman"/>
                <w:sz w:val="24"/>
                <w:szCs w:val="24"/>
              </w:rPr>
              <w:t xml:space="preserve">paredzēts </w:t>
            </w:r>
            <w:r w:rsidR="003346AC" w:rsidRPr="00E6504B">
              <w:rPr>
                <w:rFonts w:ascii="Times New Roman" w:hAnsi="Times New Roman" w:cs="Times New Roman"/>
                <w:sz w:val="24"/>
                <w:szCs w:val="24"/>
              </w:rPr>
              <w:t xml:space="preserve"> piemērot brīdinājumu vai piemērot naudas sodu</w:t>
            </w:r>
            <w:r w:rsidR="005A77E6" w:rsidRPr="00E6504B">
              <w:rPr>
                <w:rFonts w:ascii="Times New Roman" w:hAnsi="Times New Roman" w:cs="Times New Roman"/>
                <w:sz w:val="24"/>
                <w:szCs w:val="24"/>
              </w:rPr>
              <w:t>:</w:t>
            </w:r>
            <w:r w:rsidR="003346AC" w:rsidRPr="00E6504B">
              <w:rPr>
                <w:rFonts w:ascii="Times New Roman" w:hAnsi="Times New Roman" w:cs="Times New Roman"/>
                <w:sz w:val="24"/>
                <w:szCs w:val="24"/>
              </w:rPr>
              <w:t xml:space="preserve"> peldvietas apsaimniekotājam (fiziskai personai) no </w:t>
            </w:r>
            <w:r w:rsidR="00B97F5B" w:rsidRPr="00E6504B">
              <w:rPr>
                <w:rFonts w:ascii="Times New Roman" w:hAnsi="Times New Roman" w:cs="Times New Roman"/>
                <w:sz w:val="24"/>
                <w:szCs w:val="24"/>
              </w:rPr>
              <w:t xml:space="preserve">piecām </w:t>
            </w:r>
            <w:r w:rsidR="003346AC" w:rsidRPr="00E6504B">
              <w:rPr>
                <w:rFonts w:ascii="Times New Roman" w:hAnsi="Times New Roman" w:cs="Times New Roman"/>
                <w:sz w:val="24"/>
                <w:szCs w:val="24"/>
              </w:rPr>
              <w:t xml:space="preserve">līdz </w:t>
            </w:r>
            <w:r w:rsidR="001E2942" w:rsidRPr="00E6504B">
              <w:rPr>
                <w:rFonts w:ascii="Times New Roman" w:hAnsi="Times New Roman" w:cs="Times New Roman"/>
                <w:sz w:val="24"/>
                <w:szCs w:val="24"/>
              </w:rPr>
              <w:t xml:space="preserve">25 </w:t>
            </w:r>
            <w:r w:rsidR="003346AC" w:rsidRPr="00E6504B">
              <w:rPr>
                <w:rFonts w:ascii="Times New Roman" w:hAnsi="Times New Roman" w:cs="Times New Roman"/>
                <w:sz w:val="24"/>
                <w:szCs w:val="24"/>
              </w:rPr>
              <w:t xml:space="preserve">naudas soda vienībām, bet peldvietas apsaimniekotājam (juridiskai personai) – no </w:t>
            </w:r>
            <w:r w:rsidR="00B97F5B" w:rsidRPr="00E6504B">
              <w:rPr>
                <w:rFonts w:ascii="Times New Roman" w:hAnsi="Times New Roman" w:cs="Times New Roman"/>
                <w:sz w:val="24"/>
                <w:szCs w:val="24"/>
              </w:rPr>
              <w:t xml:space="preserve">septiņām </w:t>
            </w:r>
            <w:r w:rsidR="003346AC" w:rsidRPr="00E6504B">
              <w:rPr>
                <w:rFonts w:ascii="Times New Roman" w:hAnsi="Times New Roman" w:cs="Times New Roman"/>
                <w:sz w:val="24"/>
                <w:szCs w:val="24"/>
              </w:rPr>
              <w:t xml:space="preserve">līdz </w:t>
            </w:r>
            <w:r w:rsidR="001E2942" w:rsidRPr="00E6504B">
              <w:rPr>
                <w:rFonts w:ascii="Times New Roman" w:hAnsi="Times New Roman" w:cs="Times New Roman"/>
                <w:sz w:val="24"/>
                <w:szCs w:val="24"/>
              </w:rPr>
              <w:t>50</w:t>
            </w:r>
            <w:r w:rsidR="003346AC" w:rsidRPr="00E6504B">
              <w:rPr>
                <w:rFonts w:ascii="Times New Roman" w:hAnsi="Times New Roman" w:cs="Times New Roman"/>
                <w:sz w:val="24"/>
                <w:szCs w:val="24"/>
              </w:rPr>
              <w:t xml:space="preserve"> naudas soda vienībām. </w:t>
            </w:r>
            <w:r w:rsidR="001B39D0" w:rsidRPr="00E6504B">
              <w:rPr>
                <w:rFonts w:ascii="Times New Roman" w:hAnsi="Times New Roman" w:cs="Times New Roman"/>
                <w:sz w:val="24"/>
                <w:szCs w:val="24"/>
              </w:rPr>
              <w:t>Administratīvo pārkāpumu procesu par</w:t>
            </w:r>
            <w:r w:rsidR="000636DF" w:rsidRPr="00E6504B">
              <w:rPr>
                <w:rFonts w:ascii="Times New Roman" w:hAnsi="Times New Roman" w:cs="Times New Roman"/>
                <w:sz w:val="24"/>
                <w:szCs w:val="24"/>
              </w:rPr>
              <w:t xml:space="preserve"> likumprojektā</w:t>
            </w:r>
            <w:r w:rsidR="00D16971" w:rsidRPr="00E6504B">
              <w:rPr>
                <w:rFonts w:ascii="Times New Roman" w:hAnsi="Times New Roman" w:cs="Times New Roman"/>
                <w:sz w:val="24"/>
                <w:szCs w:val="24"/>
              </w:rPr>
              <w:t xml:space="preserve"> </w:t>
            </w:r>
            <w:r w:rsidR="00D16971" w:rsidRPr="00E6504B">
              <w:rPr>
                <w:rFonts w:ascii="Times New Roman" w:eastAsia="Times New Roman" w:hAnsi="Times New Roman" w:cs="Times New Roman"/>
                <w:color w:val="FF0000"/>
                <w:sz w:val="24"/>
                <w:szCs w:val="24"/>
              </w:rPr>
              <w:t xml:space="preserve"> </w:t>
            </w:r>
            <w:r w:rsidR="00D16971" w:rsidRPr="00E6504B">
              <w:rPr>
                <w:rFonts w:ascii="Times New Roman" w:eastAsia="Times New Roman" w:hAnsi="Times New Roman" w:cs="Times New Roman"/>
                <w:sz w:val="24"/>
                <w:szCs w:val="24"/>
              </w:rPr>
              <w:t xml:space="preserve">paredzētā </w:t>
            </w:r>
            <w:r w:rsidR="00311157" w:rsidRPr="00E6504B">
              <w:rPr>
                <w:rFonts w:ascii="Times New Roman" w:eastAsia="Times New Roman" w:hAnsi="Times New Roman" w:cs="Times New Roman"/>
                <w:sz w:val="24"/>
                <w:szCs w:val="24"/>
              </w:rPr>
              <w:t>ŪAL</w:t>
            </w:r>
            <w:r w:rsidR="00D16971" w:rsidRPr="00E6504B">
              <w:rPr>
                <w:rFonts w:ascii="Times New Roman" w:eastAsia="Times New Roman" w:hAnsi="Times New Roman" w:cs="Times New Roman"/>
                <w:sz w:val="24"/>
                <w:szCs w:val="24"/>
              </w:rPr>
              <w:t xml:space="preserve"> </w:t>
            </w:r>
            <w:r w:rsidR="001B39D0" w:rsidRPr="00E6504B">
              <w:rPr>
                <w:rFonts w:ascii="Times New Roman" w:hAnsi="Times New Roman" w:cs="Times New Roman"/>
                <w:sz w:val="24"/>
                <w:szCs w:val="24"/>
              </w:rPr>
              <w:t>27.</w:t>
            </w:r>
            <w:r w:rsidR="00587DE0" w:rsidRPr="00E6504B">
              <w:rPr>
                <w:rFonts w:ascii="Times New Roman" w:hAnsi="Times New Roman" w:cs="Times New Roman"/>
                <w:sz w:val="24"/>
                <w:szCs w:val="24"/>
              </w:rPr>
              <w:t> </w:t>
            </w:r>
            <w:r w:rsidRPr="00E6504B">
              <w:rPr>
                <w:rFonts w:ascii="Times New Roman" w:hAnsi="Times New Roman" w:cs="Times New Roman"/>
                <w:sz w:val="24"/>
                <w:szCs w:val="24"/>
              </w:rPr>
              <w:t xml:space="preserve">panta </w:t>
            </w:r>
            <w:r w:rsidR="00C0533C" w:rsidRPr="00E6504B">
              <w:rPr>
                <w:rFonts w:ascii="Times New Roman" w:hAnsi="Times New Roman" w:cs="Times New Roman"/>
                <w:sz w:val="24"/>
                <w:szCs w:val="24"/>
              </w:rPr>
              <w:t>pirmajā</w:t>
            </w:r>
            <w:r w:rsidRPr="00E6504B">
              <w:rPr>
                <w:rFonts w:ascii="Times New Roman" w:hAnsi="Times New Roman" w:cs="Times New Roman"/>
                <w:sz w:val="24"/>
                <w:szCs w:val="24"/>
              </w:rPr>
              <w:t xml:space="preserve"> daļā</w:t>
            </w:r>
            <w:r w:rsidR="00C0533C" w:rsidRPr="00E6504B">
              <w:rPr>
                <w:rFonts w:ascii="Times New Roman" w:hAnsi="Times New Roman" w:cs="Times New Roman"/>
                <w:sz w:val="24"/>
                <w:szCs w:val="24"/>
              </w:rPr>
              <w:t xml:space="preserve"> </w:t>
            </w:r>
            <w:r w:rsidR="001B39D0" w:rsidRPr="00E6504B">
              <w:rPr>
                <w:rFonts w:ascii="Times New Roman" w:hAnsi="Times New Roman" w:cs="Times New Roman"/>
                <w:sz w:val="24"/>
                <w:szCs w:val="24"/>
              </w:rPr>
              <w:t xml:space="preserve">minētajiem pārkāpumiem veic Inspekcija atbilstoši </w:t>
            </w:r>
            <w:r w:rsidRPr="00E6504B">
              <w:rPr>
                <w:rFonts w:ascii="Times New Roman" w:hAnsi="Times New Roman" w:cs="Times New Roman"/>
                <w:sz w:val="24"/>
                <w:szCs w:val="24"/>
              </w:rPr>
              <w:t xml:space="preserve">likumprojekta </w:t>
            </w:r>
            <w:r w:rsidR="00311157" w:rsidRPr="00E6504B">
              <w:rPr>
                <w:rFonts w:ascii="Times New Roman" w:hAnsi="Times New Roman" w:cs="Times New Roman"/>
                <w:sz w:val="24"/>
                <w:szCs w:val="24"/>
              </w:rPr>
              <w:t xml:space="preserve"> 2.</w:t>
            </w:r>
            <w:r w:rsidR="004671B3" w:rsidRPr="00E6504B">
              <w:rPr>
                <w:rFonts w:ascii="Times New Roman" w:hAnsi="Times New Roman" w:cs="Times New Roman"/>
                <w:sz w:val="24"/>
                <w:szCs w:val="24"/>
              </w:rPr>
              <w:t> </w:t>
            </w:r>
            <w:r w:rsidR="00311157" w:rsidRPr="00E6504B">
              <w:rPr>
                <w:rFonts w:ascii="Times New Roman" w:hAnsi="Times New Roman" w:cs="Times New Roman"/>
                <w:sz w:val="24"/>
                <w:szCs w:val="24"/>
              </w:rPr>
              <w:t xml:space="preserve">pantā paredzētajā ŪAL </w:t>
            </w:r>
            <w:r w:rsidR="001B39D0" w:rsidRPr="00E6504B">
              <w:rPr>
                <w:rFonts w:ascii="Times New Roman" w:hAnsi="Times New Roman" w:cs="Times New Roman"/>
                <w:sz w:val="24"/>
                <w:szCs w:val="24"/>
              </w:rPr>
              <w:t>28.</w:t>
            </w:r>
            <w:r w:rsidR="00587DE0" w:rsidRPr="00E6504B">
              <w:rPr>
                <w:rFonts w:ascii="Times New Roman" w:hAnsi="Times New Roman" w:cs="Times New Roman"/>
                <w:sz w:val="24"/>
                <w:szCs w:val="24"/>
              </w:rPr>
              <w:t> </w:t>
            </w:r>
            <w:r w:rsidR="001B39D0" w:rsidRPr="00E6504B">
              <w:rPr>
                <w:rFonts w:ascii="Times New Roman" w:hAnsi="Times New Roman" w:cs="Times New Roman"/>
                <w:sz w:val="24"/>
                <w:szCs w:val="24"/>
              </w:rPr>
              <w:t xml:space="preserve">panta </w:t>
            </w:r>
            <w:r w:rsidR="006A627B" w:rsidRPr="00E6504B">
              <w:rPr>
                <w:rFonts w:ascii="Times New Roman" w:hAnsi="Times New Roman" w:cs="Times New Roman"/>
                <w:sz w:val="24"/>
                <w:szCs w:val="24"/>
              </w:rPr>
              <w:t xml:space="preserve">pirmajā </w:t>
            </w:r>
            <w:r w:rsidR="004671B3" w:rsidRPr="00E6504B">
              <w:rPr>
                <w:rFonts w:ascii="Times New Roman" w:hAnsi="Times New Roman" w:cs="Times New Roman"/>
                <w:sz w:val="24"/>
                <w:szCs w:val="24"/>
              </w:rPr>
              <w:t xml:space="preserve">daļā noteiktajai </w:t>
            </w:r>
            <w:r w:rsidR="001B39D0" w:rsidRPr="00E6504B">
              <w:rPr>
                <w:rFonts w:ascii="Times New Roman" w:hAnsi="Times New Roman" w:cs="Times New Roman"/>
                <w:sz w:val="24"/>
                <w:szCs w:val="24"/>
              </w:rPr>
              <w:t xml:space="preserve">kompetencei </w:t>
            </w:r>
            <w:r w:rsidR="008A2B4D" w:rsidRPr="00E6504B">
              <w:rPr>
                <w:rFonts w:ascii="Times New Roman" w:hAnsi="Times New Roman" w:cs="Times New Roman"/>
                <w:sz w:val="24"/>
                <w:szCs w:val="24"/>
              </w:rPr>
              <w:t xml:space="preserve">administratīvo </w:t>
            </w:r>
            <w:r w:rsidR="00BB087B" w:rsidRPr="00E6504B">
              <w:rPr>
                <w:rFonts w:ascii="Times New Roman" w:hAnsi="Times New Roman" w:cs="Times New Roman"/>
                <w:sz w:val="24"/>
                <w:szCs w:val="24"/>
              </w:rPr>
              <w:t>pārkāpumu procesā.</w:t>
            </w:r>
          </w:p>
          <w:p w14:paraId="1E5AD4A9" w14:textId="480B53EC" w:rsidR="006C51EE" w:rsidRPr="00E6504B" w:rsidRDefault="00E76521" w:rsidP="00F4434D">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Likumprojekta</w:t>
            </w:r>
            <w:r w:rsidR="00D16971" w:rsidRPr="00E6504B">
              <w:rPr>
                <w:rFonts w:ascii="Times New Roman" w:eastAsia="Times New Roman" w:hAnsi="Times New Roman" w:cs="Times New Roman"/>
                <w:sz w:val="24"/>
                <w:szCs w:val="24"/>
              </w:rPr>
              <w:t xml:space="preserve"> </w:t>
            </w:r>
            <w:r w:rsidR="00D16971" w:rsidRPr="00E6504B">
              <w:rPr>
                <w:rFonts w:ascii="Times New Roman" w:eastAsia="Times New Roman" w:hAnsi="Times New Roman" w:cs="Times New Roman"/>
                <w:sz w:val="24"/>
                <w:szCs w:val="24"/>
                <w:u w:val="single"/>
              </w:rPr>
              <w:t xml:space="preserve">2. pantā paredzētā </w:t>
            </w:r>
            <w:r w:rsidR="00F4434D" w:rsidRPr="00E6504B">
              <w:rPr>
                <w:rFonts w:ascii="Times New Roman" w:eastAsia="Times New Roman" w:hAnsi="Times New Roman" w:cs="Times New Roman"/>
                <w:sz w:val="24"/>
                <w:szCs w:val="24"/>
                <w:u w:val="single"/>
              </w:rPr>
              <w:t>ŪAL</w:t>
            </w:r>
            <w:r w:rsidR="00D16971" w:rsidRPr="00E6504B">
              <w:rPr>
                <w:rFonts w:ascii="Times New Roman" w:eastAsia="Times New Roman" w:hAnsi="Times New Roman" w:cs="Times New Roman"/>
                <w:sz w:val="24"/>
                <w:szCs w:val="24"/>
              </w:rPr>
              <w:t xml:space="preserve"> </w:t>
            </w:r>
            <w:r w:rsidR="005D37DD" w:rsidRPr="00E6504B">
              <w:rPr>
                <w:rFonts w:ascii="Times New Roman" w:eastAsia="Times New Roman" w:hAnsi="Times New Roman" w:cs="Times New Roman"/>
                <w:sz w:val="24"/>
                <w:szCs w:val="24"/>
                <w:u w:val="single"/>
              </w:rPr>
              <w:t>27.</w:t>
            </w:r>
            <w:r w:rsidR="005F648B" w:rsidRPr="00E6504B">
              <w:rPr>
                <w:rFonts w:ascii="Times New Roman" w:eastAsia="Times New Roman" w:hAnsi="Times New Roman" w:cs="Times New Roman"/>
                <w:sz w:val="24"/>
                <w:szCs w:val="24"/>
                <w:u w:val="single"/>
              </w:rPr>
              <w:t> </w:t>
            </w:r>
            <w:r w:rsidR="00EE5E63" w:rsidRPr="00E6504B">
              <w:rPr>
                <w:rFonts w:ascii="Times New Roman" w:eastAsia="Times New Roman" w:hAnsi="Times New Roman" w:cs="Times New Roman"/>
                <w:sz w:val="24"/>
                <w:szCs w:val="24"/>
                <w:u w:val="single"/>
              </w:rPr>
              <w:t xml:space="preserve">panta </w:t>
            </w:r>
            <w:r w:rsidR="00C0533C" w:rsidRPr="00E6504B">
              <w:rPr>
                <w:rFonts w:ascii="Times New Roman" w:eastAsia="Times New Roman" w:hAnsi="Times New Roman" w:cs="Times New Roman"/>
                <w:sz w:val="24"/>
                <w:szCs w:val="24"/>
                <w:u w:val="single"/>
              </w:rPr>
              <w:t xml:space="preserve">otrā </w:t>
            </w:r>
            <w:r w:rsidR="00EE5E63" w:rsidRPr="00E6504B">
              <w:rPr>
                <w:rFonts w:ascii="Times New Roman" w:eastAsia="Times New Roman" w:hAnsi="Times New Roman" w:cs="Times New Roman"/>
                <w:sz w:val="24"/>
                <w:szCs w:val="24"/>
                <w:u w:val="single"/>
              </w:rPr>
              <w:t>daļa</w:t>
            </w:r>
            <w:r w:rsidR="00EE5E63" w:rsidRPr="00E6504B">
              <w:rPr>
                <w:rFonts w:ascii="Times New Roman" w:eastAsia="Times New Roman" w:hAnsi="Times New Roman" w:cs="Times New Roman"/>
                <w:sz w:val="24"/>
                <w:szCs w:val="24"/>
              </w:rPr>
              <w:t xml:space="preserve"> nosaka administratīvo atbildību </w:t>
            </w:r>
            <w:r w:rsidR="005A145A" w:rsidRPr="00E6504B">
              <w:rPr>
                <w:rFonts w:ascii="Times New Roman" w:eastAsia="Times New Roman" w:hAnsi="Times New Roman" w:cs="Times New Roman"/>
                <w:sz w:val="24"/>
                <w:szCs w:val="24"/>
              </w:rPr>
              <w:t>p</w:t>
            </w:r>
            <w:r w:rsidR="00046EFD" w:rsidRPr="00E6504B">
              <w:rPr>
                <w:rFonts w:ascii="Times New Roman" w:eastAsia="Times New Roman" w:hAnsi="Times New Roman" w:cs="Times New Roman"/>
                <w:sz w:val="24"/>
                <w:szCs w:val="24"/>
              </w:rPr>
              <w:t>ar virszemes vai pazemes ūdens resursu</w:t>
            </w:r>
            <w:r w:rsidR="00D8065C" w:rsidRPr="00E6504B">
              <w:rPr>
                <w:rFonts w:ascii="Times New Roman" w:eastAsia="Times New Roman" w:hAnsi="Times New Roman" w:cs="Times New Roman"/>
                <w:sz w:val="24"/>
                <w:szCs w:val="24"/>
              </w:rPr>
              <w:t xml:space="preserve"> </w:t>
            </w:r>
            <w:r w:rsidR="00D16971" w:rsidRPr="00E6504B">
              <w:rPr>
                <w:rFonts w:ascii="Times New Roman" w:eastAsia="Times New Roman" w:hAnsi="Times New Roman" w:cs="Times New Roman"/>
                <w:sz w:val="24"/>
                <w:szCs w:val="24"/>
              </w:rPr>
              <w:t>apsaimniekošanas</w:t>
            </w:r>
            <w:r w:rsidR="00046EFD" w:rsidRPr="00E6504B">
              <w:rPr>
                <w:rFonts w:ascii="Times New Roman" w:eastAsia="Times New Roman" w:hAnsi="Times New Roman" w:cs="Times New Roman"/>
                <w:sz w:val="24"/>
                <w:szCs w:val="24"/>
              </w:rPr>
              <w:t xml:space="preserve"> </w:t>
            </w:r>
            <w:r w:rsidR="00E77B7B" w:rsidRPr="00E6504B">
              <w:rPr>
                <w:rFonts w:ascii="Times New Roman" w:eastAsia="Times New Roman" w:hAnsi="Times New Roman" w:cs="Times New Roman"/>
                <w:sz w:val="24"/>
                <w:szCs w:val="24"/>
              </w:rPr>
              <w:t xml:space="preserve">prasību </w:t>
            </w:r>
            <w:r w:rsidR="00046EFD" w:rsidRPr="00E6504B">
              <w:rPr>
                <w:rFonts w:ascii="Times New Roman" w:eastAsia="Times New Roman" w:hAnsi="Times New Roman" w:cs="Times New Roman"/>
                <w:sz w:val="24"/>
                <w:szCs w:val="24"/>
              </w:rPr>
              <w:t>pārkāpšanu</w:t>
            </w:r>
            <w:r w:rsidR="009463B1" w:rsidRPr="00E6504B">
              <w:rPr>
                <w:rFonts w:ascii="Times New Roman" w:eastAsia="Times New Roman" w:hAnsi="Times New Roman" w:cs="Times New Roman"/>
                <w:sz w:val="24"/>
                <w:szCs w:val="24"/>
              </w:rPr>
              <w:t>, pārņemot Kodeksa 62.</w:t>
            </w:r>
            <w:r w:rsidR="00587DE0" w:rsidRPr="00E6504B">
              <w:rPr>
                <w:rFonts w:ascii="Times New Roman" w:eastAsia="Times New Roman" w:hAnsi="Times New Roman" w:cs="Times New Roman"/>
                <w:sz w:val="24"/>
                <w:szCs w:val="24"/>
              </w:rPr>
              <w:t> </w:t>
            </w:r>
            <w:r w:rsidR="009463B1" w:rsidRPr="00E6504B">
              <w:rPr>
                <w:rFonts w:ascii="Times New Roman" w:eastAsia="Times New Roman" w:hAnsi="Times New Roman" w:cs="Times New Roman"/>
                <w:sz w:val="24"/>
                <w:szCs w:val="24"/>
              </w:rPr>
              <w:t xml:space="preserve">panta </w:t>
            </w:r>
            <w:r w:rsidR="00A82B02" w:rsidRPr="00E6504B">
              <w:rPr>
                <w:rFonts w:ascii="Times New Roman" w:eastAsia="Times New Roman" w:hAnsi="Times New Roman" w:cs="Times New Roman"/>
                <w:sz w:val="24"/>
                <w:szCs w:val="24"/>
              </w:rPr>
              <w:t>un 64.</w:t>
            </w:r>
            <w:r w:rsidR="00587DE0" w:rsidRPr="00E6504B">
              <w:rPr>
                <w:rFonts w:ascii="Times New Roman" w:eastAsia="Times New Roman" w:hAnsi="Times New Roman" w:cs="Times New Roman"/>
                <w:sz w:val="24"/>
                <w:szCs w:val="24"/>
              </w:rPr>
              <w:t> </w:t>
            </w:r>
            <w:r w:rsidR="00A82B02" w:rsidRPr="00E6504B">
              <w:rPr>
                <w:rFonts w:ascii="Times New Roman" w:eastAsia="Times New Roman" w:hAnsi="Times New Roman" w:cs="Times New Roman"/>
                <w:sz w:val="24"/>
                <w:szCs w:val="24"/>
              </w:rPr>
              <w:t xml:space="preserve">panta </w:t>
            </w:r>
            <w:r w:rsidR="009463B1" w:rsidRPr="00E6504B">
              <w:rPr>
                <w:rFonts w:ascii="Times New Roman" w:eastAsia="Times New Roman" w:hAnsi="Times New Roman" w:cs="Times New Roman"/>
                <w:sz w:val="24"/>
                <w:szCs w:val="24"/>
              </w:rPr>
              <w:t xml:space="preserve"> regulējumu</w:t>
            </w:r>
            <w:r w:rsidR="00A82B02" w:rsidRPr="00E6504B">
              <w:rPr>
                <w:rFonts w:ascii="Times New Roman" w:eastAsia="Times New Roman" w:hAnsi="Times New Roman" w:cs="Times New Roman"/>
                <w:sz w:val="24"/>
                <w:szCs w:val="24"/>
              </w:rPr>
              <w:t xml:space="preserve"> attiecībā uz</w:t>
            </w:r>
            <w:r w:rsidR="00D16971" w:rsidRPr="00E6504B">
              <w:rPr>
                <w:rFonts w:ascii="Times New Roman" w:eastAsia="Times New Roman" w:hAnsi="Times New Roman" w:cs="Times New Roman"/>
                <w:sz w:val="24"/>
                <w:szCs w:val="24"/>
              </w:rPr>
              <w:t xml:space="preserve"> </w:t>
            </w:r>
            <w:r w:rsidR="00E77B7B" w:rsidRPr="00E6504B">
              <w:rPr>
                <w:rFonts w:ascii="Times New Roman" w:eastAsia="Times New Roman" w:hAnsi="Times New Roman" w:cs="Times New Roman"/>
                <w:sz w:val="24"/>
                <w:szCs w:val="24"/>
              </w:rPr>
              <w:t>ūdens resursu lietošanas prasību</w:t>
            </w:r>
            <w:r w:rsidR="00D8065C" w:rsidRPr="00E6504B">
              <w:rPr>
                <w:rFonts w:ascii="Times New Roman" w:eastAsia="Times New Roman" w:hAnsi="Times New Roman" w:cs="Times New Roman"/>
                <w:sz w:val="24"/>
                <w:szCs w:val="24"/>
              </w:rPr>
              <w:t xml:space="preserve">, </w:t>
            </w:r>
            <w:r w:rsidR="001A6BE1" w:rsidRPr="00E6504B">
              <w:rPr>
                <w:rFonts w:ascii="Times New Roman" w:eastAsia="Times New Roman" w:hAnsi="Times New Roman" w:cs="Times New Roman"/>
                <w:sz w:val="24"/>
                <w:szCs w:val="24"/>
              </w:rPr>
              <w:t>ekspluatācijas (apsaimniekošanas) noteikumu pārkāpšanu</w:t>
            </w:r>
            <w:r w:rsidR="00D876AD" w:rsidRPr="00E6504B">
              <w:rPr>
                <w:rFonts w:ascii="Times New Roman" w:eastAsia="Times New Roman" w:hAnsi="Times New Roman" w:cs="Times New Roman"/>
                <w:sz w:val="24"/>
                <w:szCs w:val="24"/>
              </w:rPr>
              <w:t>, kā arī uz ūdensobje</w:t>
            </w:r>
            <w:r w:rsidR="00137BCB" w:rsidRPr="00E6504B">
              <w:rPr>
                <w:rFonts w:ascii="Times New Roman" w:eastAsia="Times New Roman" w:hAnsi="Times New Roman" w:cs="Times New Roman"/>
                <w:sz w:val="24"/>
                <w:szCs w:val="24"/>
              </w:rPr>
              <w:t>k</w:t>
            </w:r>
            <w:r w:rsidR="00D876AD" w:rsidRPr="00E6504B">
              <w:rPr>
                <w:rFonts w:ascii="Times New Roman" w:eastAsia="Times New Roman" w:hAnsi="Times New Roman" w:cs="Times New Roman"/>
                <w:sz w:val="24"/>
                <w:szCs w:val="24"/>
              </w:rPr>
              <w:t>tu  tīrīšanas un padziļināšanas noteikumu pārkāpšanu</w:t>
            </w:r>
            <w:r w:rsidR="005343D3" w:rsidRPr="00E6504B">
              <w:rPr>
                <w:rFonts w:ascii="Times New Roman" w:eastAsia="Times New Roman" w:hAnsi="Times New Roman" w:cs="Times New Roman"/>
                <w:sz w:val="24"/>
                <w:szCs w:val="24"/>
              </w:rPr>
              <w:t xml:space="preserve">. </w:t>
            </w:r>
            <w:r w:rsidR="007D65CF" w:rsidRPr="00E6504B">
              <w:rPr>
                <w:rFonts w:ascii="Times New Roman" w:eastAsia="Times New Roman" w:hAnsi="Times New Roman" w:cs="Times New Roman"/>
                <w:sz w:val="24"/>
                <w:szCs w:val="24"/>
              </w:rPr>
              <w:t xml:space="preserve">Šajā daļā </w:t>
            </w:r>
            <w:r w:rsidR="007334DB" w:rsidRPr="00E6504B">
              <w:rPr>
                <w:rFonts w:ascii="Times New Roman" w:eastAsia="Times New Roman" w:hAnsi="Times New Roman" w:cs="Times New Roman"/>
                <w:sz w:val="24"/>
                <w:szCs w:val="24"/>
              </w:rPr>
              <w:t xml:space="preserve">paredzēta </w:t>
            </w:r>
            <w:r w:rsidR="007D65CF" w:rsidRPr="00E6504B">
              <w:rPr>
                <w:rFonts w:ascii="Times New Roman" w:eastAsia="Times New Roman" w:hAnsi="Times New Roman" w:cs="Times New Roman"/>
                <w:sz w:val="24"/>
                <w:szCs w:val="24"/>
              </w:rPr>
              <w:t>administratīvā atbildība</w:t>
            </w:r>
            <w:r w:rsidR="007334DB" w:rsidRPr="00E6504B">
              <w:rPr>
                <w:rFonts w:ascii="Times New Roman" w:eastAsia="Times New Roman" w:hAnsi="Times New Roman" w:cs="Times New Roman"/>
                <w:sz w:val="24"/>
                <w:szCs w:val="24"/>
              </w:rPr>
              <w:t xml:space="preserve"> par</w:t>
            </w:r>
            <w:r w:rsidR="007D65CF" w:rsidRPr="00E6504B">
              <w:rPr>
                <w:rFonts w:ascii="Times New Roman" w:eastAsia="Times New Roman" w:hAnsi="Times New Roman" w:cs="Times New Roman"/>
                <w:sz w:val="24"/>
                <w:szCs w:val="24"/>
              </w:rPr>
              <w:t xml:space="preserve"> </w:t>
            </w:r>
            <w:r w:rsidR="00111F62" w:rsidRPr="00E6504B">
              <w:rPr>
                <w:rFonts w:ascii="Times New Roman" w:eastAsia="Times New Roman" w:hAnsi="Times New Roman" w:cs="Times New Roman"/>
                <w:sz w:val="24"/>
                <w:szCs w:val="24"/>
              </w:rPr>
              <w:t>visdažādākajiem</w:t>
            </w:r>
            <w:r w:rsidR="00974874" w:rsidRPr="00E6504B">
              <w:rPr>
                <w:rFonts w:ascii="Times New Roman" w:eastAsia="Times New Roman" w:hAnsi="Times New Roman" w:cs="Times New Roman"/>
                <w:sz w:val="24"/>
                <w:szCs w:val="24"/>
              </w:rPr>
              <w:t xml:space="preserve"> </w:t>
            </w:r>
            <w:r w:rsidR="00137BCB" w:rsidRPr="00E6504B">
              <w:rPr>
                <w:rFonts w:ascii="Times New Roman" w:eastAsia="Times New Roman" w:hAnsi="Times New Roman" w:cs="Times New Roman"/>
                <w:sz w:val="24"/>
                <w:szCs w:val="24"/>
              </w:rPr>
              <w:t xml:space="preserve">pārkāpumiem, </w:t>
            </w:r>
            <w:r w:rsidR="00436930" w:rsidRPr="00E6504B">
              <w:rPr>
                <w:rFonts w:ascii="Times New Roman" w:eastAsia="Times New Roman" w:hAnsi="Times New Roman" w:cs="Times New Roman"/>
                <w:sz w:val="24"/>
                <w:szCs w:val="24"/>
              </w:rPr>
              <w:t xml:space="preserve">kuri nav </w:t>
            </w:r>
            <w:r w:rsidR="00125EAB" w:rsidRPr="00E6504B">
              <w:rPr>
                <w:rFonts w:ascii="Times New Roman" w:eastAsia="Times New Roman" w:hAnsi="Times New Roman" w:cs="Times New Roman"/>
                <w:sz w:val="24"/>
                <w:szCs w:val="24"/>
              </w:rPr>
              <w:t>noteikti</w:t>
            </w:r>
            <w:r w:rsidR="00974874" w:rsidRPr="00E6504B">
              <w:rPr>
                <w:rFonts w:ascii="Times New Roman" w:eastAsia="Times New Roman" w:hAnsi="Times New Roman" w:cs="Times New Roman"/>
                <w:sz w:val="24"/>
                <w:szCs w:val="24"/>
              </w:rPr>
              <w:t xml:space="preserve"> pārējās</w:t>
            </w:r>
            <w:r w:rsidR="005343D3" w:rsidRPr="00E6504B">
              <w:rPr>
                <w:rFonts w:ascii="Times New Roman" w:eastAsia="Times New Roman" w:hAnsi="Times New Roman" w:cs="Times New Roman"/>
                <w:sz w:val="24"/>
                <w:szCs w:val="24"/>
              </w:rPr>
              <w:t xml:space="preserve"> speciāli atrunātajās</w:t>
            </w:r>
            <w:r w:rsidR="00154A7B" w:rsidRPr="00E6504B">
              <w:rPr>
                <w:rFonts w:ascii="Times New Roman" w:eastAsia="Times New Roman" w:hAnsi="Times New Roman" w:cs="Times New Roman"/>
                <w:sz w:val="24"/>
                <w:szCs w:val="24"/>
              </w:rPr>
              <w:t xml:space="preserve"> likumprojekta</w:t>
            </w:r>
            <w:r w:rsidRPr="00E6504B">
              <w:rPr>
                <w:rFonts w:ascii="Times New Roman" w:eastAsia="Times New Roman" w:hAnsi="Times New Roman" w:cs="Times New Roman"/>
                <w:sz w:val="24"/>
                <w:szCs w:val="24"/>
              </w:rPr>
              <w:t xml:space="preserve"> </w:t>
            </w:r>
            <w:r w:rsidR="00D16971" w:rsidRPr="00E6504B">
              <w:rPr>
                <w:rFonts w:ascii="Times New Roman" w:eastAsia="Times New Roman" w:hAnsi="Times New Roman" w:cs="Times New Roman"/>
                <w:sz w:val="24"/>
                <w:szCs w:val="24"/>
              </w:rPr>
              <w:t xml:space="preserve"> 2. pantā </w:t>
            </w:r>
            <w:r w:rsidR="00D16971" w:rsidRPr="00E6504B">
              <w:rPr>
                <w:rFonts w:ascii="Times New Roman" w:eastAsia="Times New Roman" w:hAnsi="Times New Roman" w:cs="Times New Roman"/>
                <w:color w:val="FF0000"/>
                <w:sz w:val="24"/>
                <w:szCs w:val="24"/>
              </w:rPr>
              <w:t xml:space="preserve"> </w:t>
            </w:r>
            <w:r w:rsidR="00D16971" w:rsidRPr="00E6504B">
              <w:rPr>
                <w:rFonts w:ascii="Times New Roman" w:eastAsia="Times New Roman" w:hAnsi="Times New Roman" w:cs="Times New Roman"/>
                <w:sz w:val="24"/>
                <w:szCs w:val="24"/>
              </w:rPr>
              <w:t>paredzē</w:t>
            </w:r>
            <w:r w:rsidR="00E57B99" w:rsidRPr="00E6504B">
              <w:rPr>
                <w:rFonts w:ascii="Times New Roman" w:eastAsia="Times New Roman" w:hAnsi="Times New Roman" w:cs="Times New Roman"/>
                <w:sz w:val="24"/>
                <w:szCs w:val="24"/>
              </w:rPr>
              <w:t>taj</w:t>
            </w:r>
            <w:r w:rsidR="00D16971" w:rsidRPr="00E6504B">
              <w:rPr>
                <w:rFonts w:ascii="Times New Roman" w:eastAsia="Times New Roman" w:hAnsi="Times New Roman" w:cs="Times New Roman"/>
                <w:sz w:val="24"/>
                <w:szCs w:val="24"/>
              </w:rPr>
              <w:t xml:space="preserve">ā </w:t>
            </w:r>
            <w:r w:rsidR="00EC15DC" w:rsidRPr="00E6504B">
              <w:rPr>
                <w:rFonts w:ascii="Times New Roman" w:eastAsia="Times New Roman" w:hAnsi="Times New Roman" w:cs="Times New Roman"/>
                <w:sz w:val="24"/>
                <w:szCs w:val="24"/>
              </w:rPr>
              <w:t>ŪAL</w:t>
            </w:r>
            <w:r w:rsidR="00D16971" w:rsidRPr="00E6504B">
              <w:rPr>
                <w:rFonts w:ascii="Times New Roman" w:eastAsia="Times New Roman" w:hAnsi="Times New Roman" w:cs="Times New Roman"/>
                <w:sz w:val="24"/>
                <w:szCs w:val="24"/>
              </w:rPr>
              <w:t xml:space="preserve"> </w:t>
            </w:r>
            <w:r w:rsidR="007334DB" w:rsidRPr="00E6504B">
              <w:rPr>
                <w:rFonts w:ascii="Times New Roman" w:eastAsia="Times New Roman" w:hAnsi="Times New Roman" w:cs="Times New Roman"/>
                <w:sz w:val="24"/>
                <w:szCs w:val="24"/>
              </w:rPr>
              <w:t>27.</w:t>
            </w:r>
            <w:r w:rsidR="00EC3D79" w:rsidRPr="00E6504B">
              <w:rPr>
                <w:rFonts w:ascii="Times New Roman" w:eastAsia="Times New Roman" w:hAnsi="Times New Roman" w:cs="Times New Roman"/>
                <w:sz w:val="24"/>
                <w:szCs w:val="24"/>
              </w:rPr>
              <w:t> </w:t>
            </w:r>
            <w:r w:rsidR="007334DB" w:rsidRPr="00E6504B">
              <w:rPr>
                <w:rFonts w:ascii="Times New Roman" w:eastAsia="Times New Roman" w:hAnsi="Times New Roman" w:cs="Times New Roman"/>
                <w:sz w:val="24"/>
                <w:szCs w:val="24"/>
              </w:rPr>
              <w:t>panta</w:t>
            </w:r>
            <w:r w:rsidR="00D16971" w:rsidRPr="00E6504B">
              <w:rPr>
                <w:rFonts w:ascii="Times New Roman" w:eastAsia="Times New Roman" w:hAnsi="Times New Roman" w:cs="Times New Roman"/>
                <w:sz w:val="24"/>
                <w:szCs w:val="24"/>
              </w:rPr>
              <w:t xml:space="preserve"> </w:t>
            </w:r>
            <w:r w:rsidR="007334DB" w:rsidRPr="00E6504B">
              <w:rPr>
                <w:rFonts w:ascii="Times New Roman" w:eastAsia="Times New Roman" w:hAnsi="Times New Roman" w:cs="Times New Roman"/>
                <w:sz w:val="24"/>
                <w:szCs w:val="24"/>
              </w:rPr>
              <w:t>daļās</w:t>
            </w:r>
            <w:r w:rsidR="00125EAB" w:rsidRPr="00E6504B">
              <w:rPr>
                <w:rFonts w:ascii="Times New Roman" w:eastAsia="Times New Roman" w:hAnsi="Times New Roman" w:cs="Times New Roman"/>
                <w:sz w:val="24"/>
                <w:szCs w:val="24"/>
              </w:rPr>
              <w:t>.</w:t>
            </w:r>
            <w:r w:rsidR="00D51AAF" w:rsidRPr="00E6504B">
              <w:rPr>
                <w:rFonts w:ascii="Times New Roman" w:eastAsia="Times New Roman" w:hAnsi="Times New Roman" w:cs="Times New Roman"/>
                <w:sz w:val="24"/>
                <w:szCs w:val="24"/>
              </w:rPr>
              <w:t xml:space="preserve"> </w:t>
            </w:r>
          </w:p>
          <w:p w14:paraId="73997FE4" w14:textId="482FD7C1" w:rsidR="00E77B7B" w:rsidRPr="00E6504B" w:rsidRDefault="00D51AAF" w:rsidP="00F4434D">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Administratīv</w:t>
            </w:r>
            <w:r w:rsidR="00966415" w:rsidRPr="00E6504B">
              <w:rPr>
                <w:rFonts w:ascii="Times New Roman" w:eastAsia="Times New Roman" w:hAnsi="Times New Roman" w:cs="Times New Roman"/>
                <w:sz w:val="24"/>
                <w:szCs w:val="24"/>
              </w:rPr>
              <w:t>ā</w:t>
            </w:r>
            <w:r w:rsidRPr="00E6504B">
              <w:rPr>
                <w:rFonts w:ascii="Times New Roman" w:eastAsia="Times New Roman" w:hAnsi="Times New Roman" w:cs="Times New Roman"/>
                <w:sz w:val="24"/>
                <w:szCs w:val="24"/>
              </w:rPr>
              <w:t xml:space="preserve"> atbildīb</w:t>
            </w:r>
            <w:r w:rsidR="00966415" w:rsidRPr="00E6504B">
              <w:rPr>
                <w:rFonts w:ascii="Times New Roman" w:eastAsia="Times New Roman" w:hAnsi="Times New Roman" w:cs="Times New Roman"/>
                <w:sz w:val="24"/>
                <w:szCs w:val="24"/>
              </w:rPr>
              <w:t>a</w:t>
            </w:r>
            <w:r w:rsidRPr="00E6504B">
              <w:rPr>
                <w:rFonts w:ascii="Times New Roman" w:eastAsia="Times New Roman" w:hAnsi="Times New Roman" w:cs="Times New Roman"/>
                <w:sz w:val="24"/>
                <w:szCs w:val="24"/>
              </w:rPr>
              <w:t xml:space="preserve"> par pārkāpumiem </w:t>
            </w:r>
            <w:r w:rsidR="0093153E" w:rsidRPr="00E6504B">
              <w:rPr>
                <w:rFonts w:ascii="Times New Roman" w:eastAsia="Times New Roman" w:hAnsi="Times New Roman" w:cs="Times New Roman"/>
                <w:sz w:val="24"/>
                <w:szCs w:val="24"/>
              </w:rPr>
              <w:t>noteikta</w:t>
            </w:r>
            <w:r w:rsidRPr="00E6504B">
              <w:rPr>
                <w:rFonts w:ascii="Times New Roman" w:eastAsia="Times New Roman" w:hAnsi="Times New Roman" w:cs="Times New Roman"/>
                <w:sz w:val="24"/>
                <w:szCs w:val="24"/>
              </w:rPr>
              <w:t>, pamatojoties uz Ū</w:t>
            </w:r>
            <w:r w:rsidR="00F4434D" w:rsidRPr="00E6504B">
              <w:rPr>
                <w:rFonts w:ascii="Times New Roman" w:eastAsia="Times New Roman" w:hAnsi="Times New Roman" w:cs="Times New Roman"/>
                <w:sz w:val="24"/>
                <w:szCs w:val="24"/>
              </w:rPr>
              <w:t xml:space="preserve">AL </w:t>
            </w:r>
            <w:r w:rsidRPr="00E6504B">
              <w:rPr>
                <w:rFonts w:ascii="Times New Roman" w:eastAsia="Times New Roman" w:hAnsi="Times New Roman" w:cs="Times New Roman"/>
                <w:sz w:val="24"/>
                <w:szCs w:val="24"/>
              </w:rPr>
              <w:t>7.</w:t>
            </w:r>
            <w:r w:rsidR="00D33220" w:rsidRPr="00E6504B">
              <w:rPr>
                <w:rFonts w:ascii="Times New Roman" w:eastAsia="Times New Roman" w:hAnsi="Times New Roman" w:cs="Times New Roman"/>
                <w:sz w:val="24"/>
                <w:szCs w:val="24"/>
              </w:rPr>
              <w:t> </w:t>
            </w:r>
            <w:r w:rsidRPr="00E6504B">
              <w:rPr>
                <w:rFonts w:ascii="Times New Roman" w:eastAsia="Times New Roman" w:hAnsi="Times New Roman" w:cs="Times New Roman"/>
                <w:sz w:val="24"/>
                <w:szCs w:val="24"/>
              </w:rPr>
              <w:t>pant</w:t>
            </w:r>
            <w:r w:rsidR="00D8065C" w:rsidRPr="00E6504B">
              <w:rPr>
                <w:rFonts w:ascii="Times New Roman" w:eastAsia="Times New Roman" w:hAnsi="Times New Roman" w:cs="Times New Roman"/>
                <w:sz w:val="24"/>
                <w:szCs w:val="24"/>
              </w:rPr>
              <w:t>ā</w:t>
            </w:r>
            <w:r w:rsidRPr="00E6504B">
              <w:rPr>
                <w:rFonts w:ascii="Times New Roman" w:eastAsia="Times New Roman" w:hAnsi="Times New Roman" w:cs="Times New Roman"/>
                <w:sz w:val="24"/>
                <w:szCs w:val="24"/>
              </w:rPr>
              <w:t xml:space="preserve"> noteiktajiem ūdens resursu </w:t>
            </w:r>
            <w:r w:rsidR="00D33220" w:rsidRPr="00E6504B">
              <w:rPr>
                <w:rFonts w:ascii="Times New Roman" w:eastAsia="Times New Roman" w:hAnsi="Times New Roman" w:cs="Times New Roman"/>
                <w:sz w:val="24"/>
                <w:szCs w:val="24"/>
              </w:rPr>
              <w:t xml:space="preserve">lietotāja pienākumiem, </w:t>
            </w:r>
            <w:r w:rsidR="00E77B7B" w:rsidRPr="00E6504B">
              <w:rPr>
                <w:rFonts w:ascii="Times New Roman" w:eastAsia="Times New Roman" w:hAnsi="Times New Roman" w:cs="Times New Roman"/>
                <w:sz w:val="24"/>
                <w:szCs w:val="24"/>
              </w:rPr>
              <w:t xml:space="preserve">ievērojot </w:t>
            </w:r>
            <w:r w:rsidR="00E77B7B" w:rsidRPr="00E6504B">
              <w:rPr>
                <w:rFonts w:ascii="Times New Roman" w:hAnsi="Times New Roman" w:cs="Times New Roman"/>
                <w:sz w:val="24"/>
                <w:szCs w:val="24"/>
              </w:rPr>
              <w:t xml:space="preserve">Ministru kabineta 2003. gada </w:t>
            </w:r>
            <w:r w:rsidR="00137BCB" w:rsidRPr="00E6504B">
              <w:rPr>
                <w:rFonts w:ascii="Times New Roman" w:hAnsi="Times New Roman" w:cs="Times New Roman"/>
                <w:sz w:val="24"/>
                <w:szCs w:val="24"/>
              </w:rPr>
              <w:t xml:space="preserve">23. decembra noteikumos Nr. 736 </w:t>
            </w:r>
            <w:r w:rsidR="00E77B7B" w:rsidRPr="00E6504B">
              <w:rPr>
                <w:rFonts w:ascii="Times New Roman" w:hAnsi="Times New Roman" w:cs="Times New Roman"/>
                <w:sz w:val="24"/>
                <w:szCs w:val="24"/>
              </w:rPr>
              <w:t>“Noteikumi par ūdens resursu lietošanas atļauju” (turpmāk – MK noteikumi Nr. 736) noteiktās detalizēt</w:t>
            </w:r>
            <w:r w:rsidR="00137BCB" w:rsidRPr="00E6504B">
              <w:rPr>
                <w:rFonts w:ascii="Times New Roman" w:hAnsi="Times New Roman" w:cs="Times New Roman"/>
                <w:sz w:val="24"/>
                <w:szCs w:val="24"/>
              </w:rPr>
              <w:t>ā</w:t>
            </w:r>
            <w:r w:rsidR="00E77B7B" w:rsidRPr="00E6504B">
              <w:rPr>
                <w:rFonts w:ascii="Times New Roman" w:hAnsi="Times New Roman" w:cs="Times New Roman"/>
                <w:sz w:val="24"/>
                <w:szCs w:val="24"/>
              </w:rPr>
              <w:t>s prasības, kas jāievēro ūdens resursu lietotājam (piemēram, minēto noteikumu V un VI nodaļā iekļautās). Administratīvā atbildība  par pārkāpumiem ūdens resursu lietošanā tiek piemērota šādos gadījumos:</w:t>
            </w:r>
          </w:p>
          <w:p w14:paraId="3AAD68A3" w14:textId="77777777" w:rsidR="00EC4875" w:rsidRPr="00E6504B" w:rsidRDefault="00EC4875" w:rsidP="00F4434D">
            <w:pPr>
              <w:pStyle w:val="tv213"/>
              <w:numPr>
                <w:ilvl w:val="0"/>
                <w:numId w:val="27"/>
              </w:numPr>
              <w:shd w:val="clear" w:color="auto" w:fill="FFFFFF"/>
              <w:spacing w:before="0" w:beforeAutospacing="0" w:after="0" w:afterAutospacing="0"/>
              <w:ind w:left="0" w:firstLine="0"/>
              <w:jc w:val="both"/>
              <w:rPr>
                <w:lang w:val="lv-LV"/>
              </w:rPr>
            </w:pPr>
            <w:r w:rsidRPr="00E6504B">
              <w:rPr>
                <w:lang w:val="lv-LV"/>
              </w:rPr>
              <w:t>ūdens ieguves limita pārsniegšana vai pazemes ūdens ieguve neatbilstošā dziļumā, jo pazemes vai virszemes ūdens ieguves limits (atļautais ūdens daudzums diennaktī un gadā) tiek noteikts, ievērojot iepriekš veiktu izpēti par ūdens pietiekamību virszemes ūdeņos vai pazemes ūdens horizontos, it īpaši ja ūdens objektu jau izmanto vairāki subjekti, tāpēc ūdens ieguve palielinātā apjomā vai nevienmērīgi var radīt ūdens resursu nepietiekamību, mainīt ūdens līmeni, kas savukārt ietekmē cilvēku vajadzības, ūdens bioloģiskos resursus un sauszemes floru. Piemēram, ūdens resursu lietotājs drīkst iegūt maksimāli 100 m</w:t>
            </w:r>
            <w:r w:rsidRPr="00E6504B">
              <w:rPr>
                <w:vertAlign w:val="superscript"/>
                <w:lang w:val="lv-LV"/>
              </w:rPr>
              <w:t>3</w:t>
            </w:r>
            <w:r w:rsidRPr="00E6504B">
              <w:rPr>
                <w:lang w:val="lv-LV"/>
              </w:rPr>
              <w:t xml:space="preserve"> ūdens diennaktī un maksimāli 20000 m</w:t>
            </w:r>
            <w:r w:rsidRPr="00E6504B">
              <w:rPr>
                <w:vertAlign w:val="superscript"/>
                <w:lang w:val="lv-LV"/>
              </w:rPr>
              <w:t>3</w:t>
            </w:r>
            <w:r w:rsidRPr="00E6504B">
              <w:rPr>
                <w:lang w:val="lv-LV"/>
              </w:rPr>
              <w:t xml:space="preserve"> gadā, bet reāli ieguvis 25000 m</w:t>
            </w:r>
            <w:r w:rsidRPr="00E6504B">
              <w:rPr>
                <w:vertAlign w:val="superscript"/>
                <w:lang w:val="lv-LV"/>
              </w:rPr>
              <w:t>3</w:t>
            </w:r>
            <w:r w:rsidRPr="00E6504B">
              <w:rPr>
                <w:lang w:val="lv-LV"/>
              </w:rPr>
              <w:t xml:space="preserve"> gadā. Administratīvā atbildība piemērojama, jo izmantoto ūdeni nav iespējams ievadīt atpakaļ pazemes ūdens horizontā un ievadīšana atpakaļ virszemes ūdenī nebūtu efektīva, jo tiešā veidā pazemes ūdeņi nepapildinās no virszemes ūdeņiem, un ūdens tāpat būtu jāiegūst citā vietā;</w:t>
            </w:r>
          </w:p>
          <w:p w14:paraId="2993F7AE" w14:textId="15BB8DBF" w:rsidR="00EC4875" w:rsidRPr="00E6504B" w:rsidRDefault="00EC4875" w:rsidP="00F4434D">
            <w:pPr>
              <w:pStyle w:val="ListParagraph"/>
              <w:numPr>
                <w:ilvl w:val="0"/>
                <w:numId w:val="27"/>
              </w:numPr>
              <w:shd w:val="clear" w:color="auto" w:fill="FFFFFF"/>
              <w:spacing w:after="0" w:line="240" w:lineRule="auto"/>
              <w:ind w:left="0" w:firstLine="0"/>
              <w:jc w:val="both"/>
              <w:rPr>
                <w:rFonts w:ascii="Times New Roman" w:hAnsi="Times New Roman"/>
                <w:sz w:val="24"/>
                <w:szCs w:val="24"/>
              </w:rPr>
            </w:pPr>
            <w:r w:rsidRPr="00E6504B">
              <w:rPr>
                <w:rFonts w:ascii="Times New Roman" w:hAnsi="Times New Roman"/>
                <w:sz w:val="24"/>
                <w:szCs w:val="24"/>
              </w:rPr>
              <w:t xml:space="preserve">atļautā ūdens līmeņa, ūdens līmeņa svārstību vai ūdens caurplūduma nenodrošināšana, jo hidrotehnisku būvju lietošanai un ūdensobjektu papildināšanai tiek noteikts normālais, augstākais pieļaujamais (palu laikā) un zemākais pieļaujamais (mazūdens periodos) ūdens līmenis, prasības ūdens līmeņa svārstībām, piemēram, ūdens līmeni nedrīkst samazināt vairāk kā 1 cm diennaktī, nepieciešamais ūdens caurplūduma apmērs, kas nepieciešams upes dabisko bioloģisko resursu un ekosistēmu saglabāšanai. Bez tam atsevišķos gadījumos ir svarīgi noteikt pieļaujamo ūdens līmeni arī virszemes ūdensobjektam, kas pakļauts ūdens ieguvei. Ūdens līmenis ietekmē gan apkārtējo sauszemi, piemēram, </w:t>
            </w:r>
            <w:r w:rsidR="00310C55" w:rsidRPr="00E6504B">
              <w:rPr>
                <w:rFonts w:ascii="Times New Roman" w:hAnsi="Times New Roman"/>
                <w:sz w:val="24"/>
                <w:szCs w:val="24"/>
              </w:rPr>
              <w:t xml:space="preserve">hidroelektrostaciju (turpmāk – </w:t>
            </w:r>
            <w:r w:rsidRPr="00E6504B">
              <w:rPr>
                <w:rFonts w:ascii="Times New Roman" w:hAnsi="Times New Roman"/>
                <w:sz w:val="24"/>
                <w:szCs w:val="24"/>
              </w:rPr>
              <w:t>HES</w:t>
            </w:r>
            <w:r w:rsidR="00310C55" w:rsidRPr="00E6504B">
              <w:rPr>
                <w:rFonts w:ascii="Times New Roman" w:hAnsi="Times New Roman"/>
                <w:sz w:val="24"/>
                <w:szCs w:val="24"/>
              </w:rPr>
              <w:t>)</w:t>
            </w:r>
            <w:r w:rsidRPr="00E6504B">
              <w:rPr>
                <w:rFonts w:ascii="Times New Roman" w:hAnsi="Times New Roman"/>
                <w:sz w:val="24"/>
                <w:szCs w:val="24"/>
              </w:rPr>
              <w:t xml:space="preserve"> ūdenskrātuves līmeņa celšana appludina ūdenskrātuvei blakus esošos īpašumus, augsts līmenis  pārpurvo zemi, zema  ūdens līmeņa uzturēšana izraisa mazūdens posmus HES lejasbjefā, savukārt pārāk strauja ūdens līmeņa maiņa izraisa zivju, zivju ikru bojāeju, zivju barošanās vietu, sauszemes veģetācijas bojāeju u.c.  Pārkāpuma sekas ir būtiskas un nevar tikt novērstas, tāpēc efektīvāks līdzeklis pārkāpuma izdarītājam ir administratīvais sods;</w:t>
            </w:r>
          </w:p>
          <w:p w14:paraId="69A21CE0" w14:textId="77777777" w:rsidR="00EC4875" w:rsidRPr="00E6504B" w:rsidRDefault="00EC4875" w:rsidP="00F4434D">
            <w:pPr>
              <w:pStyle w:val="ListParagraph"/>
              <w:numPr>
                <w:ilvl w:val="0"/>
                <w:numId w:val="27"/>
              </w:numPr>
              <w:spacing w:line="240" w:lineRule="auto"/>
              <w:ind w:left="0" w:firstLine="0"/>
              <w:jc w:val="both"/>
              <w:rPr>
                <w:rFonts w:ascii="Times New Roman" w:hAnsi="Times New Roman"/>
                <w:sz w:val="24"/>
                <w:szCs w:val="24"/>
              </w:rPr>
            </w:pPr>
            <w:r w:rsidRPr="00E6504B">
              <w:rPr>
                <w:rFonts w:ascii="Times New Roman" w:hAnsi="Times New Roman"/>
                <w:sz w:val="24"/>
                <w:szCs w:val="24"/>
              </w:rPr>
              <w:t>zivju aizsardzības būvju vai ierīču neatbilstoša lietošana, jo jāņem vērā nosacījumi zivju mazuļu aizsardzībai pret iekļūšanu ūdens ieguves ierīcēs, piemēram, ūdens ieguves cauruļvads jāaprīko ar sietiņu, kura acu izmērs ir ne lielāks kā 10 mm. Hidrotehnisko būvju lietošanai ir jāizvirza nosacījumi zivju migrācijas nodrošināšanai, piemēram, noteikta platuma zivju ceļa izbūve, lietošanas un uzturēšanas prasības. Izplatīts pārkāpums ir zivju ceļa aizvēršana pie hidroelektrostacijām, lai pa zivju ceļu ūdens neizplūstu no ūdenskrātuves un būtu iespējami augstāks līmenis lielāka apjoma elektroenerģijas saražošanai. Administratīvā atbildība piemērojama, jo zivju migrācijas ierobežojumi var izraisīt nārsta traucējumus, rada zivju pulcēšanos mazūdens vietā HES lejasbjefā, kur tās pakļautas vieglākai ieguvei un skābekļa trūkums ietekmē zivju dzīvi. Tieši tāpat zivju mazuļu iesūkšana ūdens ieguves ierīcēs rada tiešus kaitējumus zivju populācijai, jo iesūktie mazuļi iet bojā. Pārkāpuma radītās sekas ir iestājušās un nav novēršamas administratīvā procesa ietvaros, jo zivis ir vai nu gājušas bojā vai ir samazinājušās to vairošanās iespējas.</w:t>
            </w:r>
          </w:p>
          <w:p w14:paraId="1E4EA53E" w14:textId="54E31611" w:rsidR="007B5533" w:rsidRPr="00E6504B" w:rsidRDefault="00EC4875" w:rsidP="00F4434D">
            <w:pPr>
              <w:pStyle w:val="ListParagraph"/>
              <w:numPr>
                <w:ilvl w:val="0"/>
                <w:numId w:val="27"/>
              </w:numPr>
              <w:spacing w:after="0" w:line="240" w:lineRule="auto"/>
              <w:ind w:left="0" w:firstLine="0"/>
              <w:jc w:val="both"/>
              <w:rPr>
                <w:rFonts w:ascii="Times New Roman" w:hAnsi="Times New Roman"/>
                <w:sz w:val="24"/>
                <w:szCs w:val="24"/>
              </w:rPr>
            </w:pPr>
            <w:r w:rsidRPr="00E6504B">
              <w:rPr>
                <w:rFonts w:ascii="Times New Roman" w:hAnsi="Times New Roman"/>
                <w:sz w:val="24"/>
                <w:szCs w:val="24"/>
              </w:rPr>
              <w:t>monitoringa prasību neievērošana, jo ir nepieciešami nosacījumi ūdens lietošanas ietekmes novērtēšanai jeb monitoringa prasības. Pie ūdens ieguves tiek noteiktas prasības veikt iegūtā ūdens uzskaiti, noteiktos periodos novērtēt pazemes ūdens kvantitāti un kvalitāti, uzstādīt regulāras mērīšanas ierīces un mērīt ūdens līmeni un caurplūdumu pie HES un citos uzturētos mākslīgos ūdensobjektos. Regulārs monitorings nodrošina ūdens lietotāju un valsts iestādes ar informāciju par darbību ietekmi uz pazemes un virszemes ūdens kvantitāti un kvalitāti, lai izvērtētu, vai nepieciešams mainīt ūdens resursu lietošanas nosacījumus, aizliegt turpmāk izmantot ūdens resursus, tāpat monitoringa dati atspoguļo informāciju, vai ūdens lietotājs ievēro normatīvo aktu prasības un atļaujas nosacījumus. Administratīvais sods ir vienīgais adekvātais līdzeklis, jo mērījumus var veikt vēlāk, bet tas vairs neatspoguļos datus uz iepriekš noteikto periodu. Mērījumu neveikšana daudzos gadījumos saistās ar vēlmi slēpt ieguves limitu pārsniegumus, paaugstinātu ūdens līmeni, tāpēc mērījumu neveikšana ir vienlīdz būtisks pārkāpums kā, piemēram, ieguves limitu pārsniegums.</w:t>
            </w:r>
          </w:p>
          <w:p w14:paraId="0B795A84" w14:textId="24442696" w:rsidR="00EC4875" w:rsidRPr="00E6504B" w:rsidRDefault="00EC4875" w:rsidP="00F4434D">
            <w:pPr>
              <w:spacing w:after="0" w:line="240" w:lineRule="auto"/>
              <w:jc w:val="both"/>
              <w:rPr>
                <w:rFonts w:ascii="Times New Roman" w:hAnsi="Times New Roman" w:cs="Times New Roman"/>
                <w:color w:val="FF0000"/>
                <w:sz w:val="24"/>
                <w:szCs w:val="24"/>
              </w:rPr>
            </w:pPr>
            <w:r w:rsidRPr="00E6504B">
              <w:rPr>
                <w:rFonts w:ascii="Times New Roman" w:hAnsi="Times New Roman" w:cs="Times New Roman"/>
                <w:sz w:val="24"/>
                <w:szCs w:val="24"/>
              </w:rPr>
              <w:t>Papildus minētajam administratīvā atbildība noteikta</w:t>
            </w:r>
            <w:r w:rsidRPr="00E6504B">
              <w:rPr>
                <w:rFonts w:ascii="Times New Roman" w:hAnsi="Times New Roman" w:cs="Times New Roman"/>
                <w:sz w:val="24"/>
                <w:szCs w:val="24"/>
                <w:u w:val="single"/>
              </w:rPr>
              <w:t xml:space="preserve">, </w:t>
            </w:r>
            <w:r w:rsidR="007B5533" w:rsidRPr="00E6504B">
              <w:rPr>
                <w:rFonts w:ascii="Times New Roman" w:eastAsia="Times New Roman" w:hAnsi="Times New Roman" w:cs="Times New Roman"/>
                <w:sz w:val="24"/>
                <w:szCs w:val="24"/>
              </w:rPr>
              <w:t>ņemot vērā</w:t>
            </w:r>
            <w:r w:rsidRPr="00E6504B">
              <w:rPr>
                <w:rFonts w:ascii="Times New Roman" w:eastAsia="Times New Roman" w:hAnsi="Times New Roman" w:cs="Times New Roman"/>
                <w:sz w:val="24"/>
                <w:szCs w:val="24"/>
              </w:rPr>
              <w:t xml:space="preserve"> Ministru kabineta 2005. gada 27. decembra noteikumu Nr. 1014 “Ūdensobjektu ekspluatācijas (apsaimniekošanas) noteikumu  izstrādāšanas kārtība” prasīb</w:t>
            </w:r>
            <w:r w:rsidR="007B5533" w:rsidRPr="00E6504B">
              <w:rPr>
                <w:rFonts w:ascii="Times New Roman" w:eastAsia="Times New Roman" w:hAnsi="Times New Roman" w:cs="Times New Roman"/>
                <w:sz w:val="24"/>
                <w:szCs w:val="24"/>
              </w:rPr>
              <w:t>as</w:t>
            </w:r>
            <w:r w:rsidRPr="00E6504B">
              <w:rPr>
                <w:rFonts w:ascii="Times New Roman" w:eastAsia="Times New Roman" w:hAnsi="Times New Roman" w:cs="Times New Roman"/>
                <w:sz w:val="24"/>
                <w:szCs w:val="24"/>
              </w:rPr>
              <w:t xml:space="preserve"> (piemēram,</w:t>
            </w:r>
            <w:r w:rsidR="00E421DD" w:rsidRPr="00E6504B">
              <w:rPr>
                <w:rFonts w:ascii="Times New Roman" w:eastAsia="Times New Roman" w:hAnsi="Times New Roman" w:cs="Times New Roman"/>
                <w:sz w:val="24"/>
                <w:szCs w:val="24"/>
              </w:rPr>
              <w:t xml:space="preserve"> minēto noteikumu</w:t>
            </w:r>
            <w:r w:rsidRPr="00E6504B">
              <w:rPr>
                <w:rFonts w:ascii="Times New Roman" w:eastAsia="Times New Roman" w:hAnsi="Times New Roman" w:cs="Times New Roman"/>
                <w:sz w:val="24"/>
                <w:szCs w:val="24"/>
              </w:rPr>
              <w:t xml:space="preserve"> pielikuma 3. punktā noteiktās), kā arī </w:t>
            </w:r>
            <w:r w:rsidRPr="00E6504B">
              <w:rPr>
                <w:rFonts w:ascii="Times New Roman" w:hAnsi="Times New Roman" w:cs="Times New Roman"/>
                <w:bCs/>
                <w:sz w:val="24"/>
                <w:szCs w:val="24"/>
              </w:rPr>
              <w:t xml:space="preserve"> Ministru kabineta 2006. gada 13. jūnija noteikumu Nr. 475 “Virszemes ūdensobjektu un ostu akvatoriju tīrīšanas un padziļināšanas kārtība” (turpmāk – MK  noteikumi Nr. 475) prasības. </w:t>
            </w:r>
            <w:r w:rsidRPr="00E6504B">
              <w:rPr>
                <w:rFonts w:ascii="Times New Roman" w:hAnsi="Times New Roman" w:cs="Times New Roman"/>
                <w:sz w:val="24"/>
                <w:szCs w:val="24"/>
              </w:rPr>
              <w:t>Minēto noteikumu 29. un 30. punktā noteiktas prasības, kas tehnisko noteikumu saņēmējam jāievēro, lai, veicot ieplānotos tīrīšanas vai padziļināšanas darbus, radītu iespējami mazāku ietekmi uz ūdens objekta stāvokli (hidroloģisko režīmu un ūdens kvalitāti) un tā bioloģiskajiem resursiem (piemēram, zivju resursiem). Savukārt minēto noteikumu 2. un 23. punkts nosaka gadījumus, kad tehniskie noteikumi virszemes ūdens objektu padziļināšanai vai tīrīšanai nav nepieciešami</w:t>
            </w:r>
            <w:r w:rsidRPr="00E6504B">
              <w:rPr>
                <w:rFonts w:ascii="Times New Roman" w:hAnsi="Times New Roman" w:cs="Times New Roman"/>
                <w:color w:val="FF0000"/>
                <w:sz w:val="24"/>
                <w:szCs w:val="24"/>
              </w:rPr>
              <w:t>.</w:t>
            </w:r>
            <w:r w:rsidRPr="00E6504B">
              <w:rPr>
                <w:rFonts w:ascii="Times New Roman" w:eastAsia="Times New Roman" w:hAnsi="Times New Roman" w:cs="Times New Roman"/>
                <w:sz w:val="24"/>
                <w:szCs w:val="24"/>
              </w:rPr>
              <w:t xml:space="preserve">  </w:t>
            </w:r>
          </w:p>
          <w:p w14:paraId="07E3827C" w14:textId="5B02E000" w:rsidR="00C05C31" w:rsidRPr="00E6504B" w:rsidRDefault="00346995" w:rsidP="00F4434D">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 xml:space="preserve">Piemēram, </w:t>
            </w:r>
            <w:r w:rsidR="00E7143F" w:rsidRPr="00E6504B">
              <w:rPr>
                <w:rFonts w:ascii="Times New Roman" w:eastAsia="Times New Roman" w:hAnsi="Times New Roman" w:cs="Times New Roman"/>
                <w:sz w:val="24"/>
                <w:szCs w:val="24"/>
              </w:rPr>
              <w:t>VVD</w:t>
            </w:r>
            <w:r w:rsidR="00677DA6" w:rsidRPr="00E6504B">
              <w:rPr>
                <w:rFonts w:ascii="Times New Roman" w:eastAsia="Times New Roman" w:hAnsi="Times New Roman" w:cs="Times New Roman"/>
                <w:sz w:val="24"/>
                <w:szCs w:val="24"/>
              </w:rPr>
              <w:t xml:space="preserve"> amatpersona konstatē pārkāpumus, kur</w:t>
            </w:r>
            <w:r w:rsidR="00C453E1" w:rsidRPr="00E6504B">
              <w:rPr>
                <w:rFonts w:ascii="Times New Roman" w:eastAsia="Times New Roman" w:hAnsi="Times New Roman" w:cs="Times New Roman"/>
                <w:sz w:val="24"/>
                <w:szCs w:val="24"/>
              </w:rPr>
              <w:t>i</w:t>
            </w:r>
            <w:r w:rsidR="00FD723B" w:rsidRPr="00E6504B">
              <w:rPr>
                <w:rFonts w:ascii="Times New Roman" w:eastAsia="Times New Roman" w:hAnsi="Times New Roman" w:cs="Times New Roman"/>
                <w:sz w:val="24"/>
                <w:szCs w:val="24"/>
              </w:rPr>
              <w:t xml:space="preserve"> </w:t>
            </w:r>
            <w:r w:rsidR="00473F95" w:rsidRPr="00E6504B">
              <w:rPr>
                <w:rFonts w:ascii="Times New Roman" w:eastAsia="Times New Roman" w:hAnsi="Times New Roman" w:cs="Times New Roman"/>
                <w:sz w:val="24"/>
                <w:szCs w:val="24"/>
              </w:rPr>
              <w:t>var</w:t>
            </w:r>
            <w:r w:rsidR="002F32A5" w:rsidRPr="00E6504B">
              <w:rPr>
                <w:rFonts w:ascii="Times New Roman" w:eastAsia="Times New Roman" w:hAnsi="Times New Roman" w:cs="Times New Roman"/>
                <w:sz w:val="24"/>
                <w:szCs w:val="24"/>
              </w:rPr>
              <w:t>ētu</w:t>
            </w:r>
            <w:r w:rsidR="00473F95" w:rsidRPr="00E6504B">
              <w:rPr>
                <w:rFonts w:ascii="Times New Roman" w:eastAsia="Times New Roman" w:hAnsi="Times New Roman" w:cs="Times New Roman"/>
                <w:sz w:val="24"/>
                <w:szCs w:val="24"/>
              </w:rPr>
              <w:t xml:space="preserve"> ietekmēt</w:t>
            </w:r>
            <w:r w:rsidR="0040528E" w:rsidRPr="00E6504B">
              <w:rPr>
                <w:rFonts w:ascii="Times New Roman" w:eastAsia="Times New Roman" w:hAnsi="Times New Roman" w:cs="Times New Roman"/>
                <w:sz w:val="24"/>
                <w:szCs w:val="24"/>
              </w:rPr>
              <w:t xml:space="preserve"> </w:t>
            </w:r>
            <w:r w:rsidR="0024163D" w:rsidRPr="00E6504B">
              <w:rPr>
                <w:rFonts w:ascii="Times New Roman" w:eastAsia="Times New Roman" w:hAnsi="Times New Roman" w:cs="Times New Roman"/>
                <w:sz w:val="24"/>
                <w:szCs w:val="24"/>
              </w:rPr>
              <w:t>ūdensobjekta</w:t>
            </w:r>
            <w:r w:rsidR="00B137DB" w:rsidRPr="00E6504B">
              <w:rPr>
                <w:rFonts w:ascii="Times New Roman" w:eastAsia="Times New Roman" w:hAnsi="Times New Roman" w:cs="Times New Roman"/>
                <w:sz w:val="24"/>
                <w:szCs w:val="24"/>
              </w:rPr>
              <w:t xml:space="preserve"> </w:t>
            </w:r>
            <w:r w:rsidR="0024163D" w:rsidRPr="00E6504B">
              <w:rPr>
                <w:rFonts w:ascii="Times New Roman" w:eastAsia="Times New Roman" w:hAnsi="Times New Roman" w:cs="Times New Roman"/>
                <w:sz w:val="24"/>
                <w:szCs w:val="24"/>
              </w:rPr>
              <w:t>turpmāku izmanto</w:t>
            </w:r>
            <w:r w:rsidR="00E7143F" w:rsidRPr="00E6504B">
              <w:rPr>
                <w:rFonts w:ascii="Times New Roman" w:eastAsia="Times New Roman" w:hAnsi="Times New Roman" w:cs="Times New Roman"/>
                <w:sz w:val="24"/>
                <w:szCs w:val="24"/>
              </w:rPr>
              <w:t>ša</w:t>
            </w:r>
            <w:r w:rsidR="008E54CA" w:rsidRPr="00E6504B">
              <w:rPr>
                <w:rFonts w:ascii="Times New Roman" w:eastAsia="Times New Roman" w:hAnsi="Times New Roman" w:cs="Times New Roman"/>
                <w:sz w:val="24"/>
                <w:szCs w:val="24"/>
              </w:rPr>
              <w:t>nu</w:t>
            </w:r>
            <w:r w:rsidR="003D43FA" w:rsidRPr="00E6504B">
              <w:rPr>
                <w:rFonts w:ascii="Times New Roman" w:eastAsia="Times New Roman" w:hAnsi="Times New Roman" w:cs="Times New Roman"/>
                <w:sz w:val="24"/>
                <w:szCs w:val="24"/>
              </w:rPr>
              <w:t xml:space="preserve"> (</w:t>
            </w:r>
            <w:r w:rsidR="000E5DD3" w:rsidRPr="00E6504B">
              <w:rPr>
                <w:rFonts w:ascii="Times New Roman" w:eastAsia="Times New Roman" w:hAnsi="Times New Roman" w:cs="Times New Roman"/>
                <w:sz w:val="24"/>
                <w:szCs w:val="24"/>
              </w:rPr>
              <w:t xml:space="preserve">saimniecisko darbību loks </w:t>
            </w:r>
            <w:r w:rsidR="006B0315" w:rsidRPr="00E6504B">
              <w:rPr>
                <w:rFonts w:ascii="Times New Roman" w:eastAsia="Times New Roman" w:hAnsi="Times New Roman" w:cs="Times New Roman"/>
                <w:sz w:val="24"/>
                <w:szCs w:val="24"/>
              </w:rPr>
              <w:t>ūdensobjektā</w:t>
            </w:r>
            <w:r w:rsidR="000A4092" w:rsidRPr="00E6504B">
              <w:rPr>
                <w:rFonts w:ascii="Times New Roman" w:eastAsia="Times New Roman" w:hAnsi="Times New Roman" w:cs="Times New Roman"/>
                <w:sz w:val="24"/>
                <w:szCs w:val="24"/>
              </w:rPr>
              <w:t xml:space="preserve"> ir </w:t>
            </w:r>
            <w:r w:rsidR="000E5DD3" w:rsidRPr="00E6504B">
              <w:rPr>
                <w:rFonts w:ascii="Times New Roman" w:eastAsia="Times New Roman" w:hAnsi="Times New Roman" w:cs="Times New Roman"/>
                <w:sz w:val="24"/>
                <w:szCs w:val="24"/>
              </w:rPr>
              <w:t>papildinājies</w:t>
            </w:r>
            <w:r w:rsidR="003D43FA" w:rsidRPr="00E6504B">
              <w:rPr>
                <w:rFonts w:ascii="Times New Roman" w:eastAsia="Times New Roman" w:hAnsi="Times New Roman" w:cs="Times New Roman"/>
                <w:sz w:val="24"/>
                <w:szCs w:val="24"/>
              </w:rPr>
              <w:t>,</w:t>
            </w:r>
            <w:r w:rsidR="000A4092" w:rsidRPr="00E6504B">
              <w:rPr>
                <w:rFonts w:ascii="Times New Roman" w:eastAsia="Times New Roman" w:hAnsi="Times New Roman" w:cs="Times New Roman"/>
                <w:sz w:val="24"/>
                <w:szCs w:val="24"/>
              </w:rPr>
              <w:t xml:space="preserve"> bet </w:t>
            </w:r>
            <w:r w:rsidR="00022563" w:rsidRPr="00E6504B">
              <w:rPr>
                <w:rFonts w:ascii="Times New Roman" w:eastAsia="Times New Roman" w:hAnsi="Times New Roman" w:cs="Times New Roman"/>
                <w:sz w:val="24"/>
                <w:szCs w:val="24"/>
              </w:rPr>
              <w:t>ekspluatācijas (</w:t>
            </w:r>
            <w:r w:rsidR="00916323" w:rsidRPr="00E6504B">
              <w:rPr>
                <w:rFonts w:ascii="Times New Roman" w:eastAsia="Times New Roman" w:hAnsi="Times New Roman" w:cs="Times New Roman"/>
                <w:sz w:val="24"/>
                <w:szCs w:val="24"/>
              </w:rPr>
              <w:t>apsaimniekošanas</w:t>
            </w:r>
            <w:r w:rsidR="00022563" w:rsidRPr="00E6504B">
              <w:rPr>
                <w:rFonts w:ascii="Times New Roman" w:eastAsia="Times New Roman" w:hAnsi="Times New Roman" w:cs="Times New Roman"/>
                <w:sz w:val="24"/>
                <w:szCs w:val="24"/>
              </w:rPr>
              <w:t>)</w:t>
            </w:r>
            <w:r w:rsidR="00916323" w:rsidRPr="00E6504B">
              <w:rPr>
                <w:rFonts w:ascii="Times New Roman" w:eastAsia="Times New Roman" w:hAnsi="Times New Roman" w:cs="Times New Roman"/>
                <w:sz w:val="24"/>
                <w:szCs w:val="24"/>
              </w:rPr>
              <w:t xml:space="preserve"> </w:t>
            </w:r>
            <w:r w:rsidR="000A4092" w:rsidRPr="00E6504B">
              <w:rPr>
                <w:rFonts w:ascii="Times New Roman" w:eastAsia="Times New Roman" w:hAnsi="Times New Roman" w:cs="Times New Roman"/>
                <w:sz w:val="24"/>
                <w:szCs w:val="24"/>
              </w:rPr>
              <w:t>noteikumos nav veikti</w:t>
            </w:r>
            <w:r w:rsidR="006B0315" w:rsidRPr="00E6504B">
              <w:rPr>
                <w:rFonts w:ascii="Times New Roman" w:eastAsia="Times New Roman" w:hAnsi="Times New Roman" w:cs="Times New Roman"/>
                <w:sz w:val="24"/>
                <w:szCs w:val="24"/>
              </w:rPr>
              <w:t xml:space="preserve"> atbilstoši</w:t>
            </w:r>
            <w:r w:rsidR="000A4092" w:rsidRPr="00E6504B">
              <w:rPr>
                <w:rFonts w:ascii="Times New Roman" w:eastAsia="Times New Roman" w:hAnsi="Times New Roman" w:cs="Times New Roman"/>
                <w:sz w:val="24"/>
                <w:szCs w:val="24"/>
              </w:rPr>
              <w:t xml:space="preserve"> grozījumi</w:t>
            </w:r>
            <w:r w:rsidR="009B1F38" w:rsidRPr="00E6504B">
              <w:rPr>
                <w:rFonts w:ascii="Times New Roman" w:eastAsia="Times New Roman" w:hAnsi="Times New Roman" w:cs="Times New Roman"/>
                <w:sz w:val="24"/>
                <w:szCs w:val="24"/>
              </w:rPr>
              <w:t xml:space="preserve"> vai arī ūdens resursu lietotājs nav informējis VVD par </w:t>
            </w:r>
            <w:r w:rsidR="0051629C" w:rsidRPr="00E6504B">
              <w:rPr>
                <w:rFonts w:ascii="Times New Roman" w:eastAsia="Times New Roman" w:hAnsi="Times New Roman" w:cs="Times New Roman"/>
                <w:sz w:val="24"/>
                <w:szCs w:val="24"/>
              </w:rPr>
              <w:t xml:space="preserve">svarīgām </w:t>
            </w:r>
            <w:r w:rsidR="009B1F38" w:rsidRPr="00E6504B">
              <w:rPr>
                <w:rFonts w:ascii="Times New Roman" w:eastAsia="Times New Roman" w:hAnsi="Times New Roman" w:cs="Times New Roman"/>
                <w:sz w:val="24"/>
                <w:szCs w:val="24"/>
              </w:rPr>
              <w:t>izmaiņām savā darbībā</w:t>
            </w:r>
            <w:r w:rsidR="000A4092" w:rsidRPr="00E6504B">
              <w:rPr>
                <w:rFonts w:ascii="Times New Roman" w:eastAsia="Times New Roman" w:hAnsi="Times New Roman" w:cs="Times New Roman"/>
                <w:sz w:val="24"/>
                <w:szCs w:val="24"/>
              </w:rPr>
              <w:t>)</w:t>
            </w:r>
            <w:r w:rsidR="0040528E" w:rsidRPr="00E6504B">
              <w:rPr>
                <w:rFonts w:ascii="Times New Roman" w:eastAsia="Times New Roman" w:hAnsi="Times New Roman" w:cs="Times New Roman"/>
                <w:sz w:val="24"/>
                <w:szCs w:val="24"/>
              </w:rPr>
              <w:t>; ūdens</w:t>
            </w:r>
            <w:r w:rsidR="007B5533" w:rsidRPr="00E6504B">
              <w:rPr>
                <w:rFonts w:ascii="Times New Roman" w:eastAsia="Times New Roman" w:hAnsi="Times New Roman" w:cs="Times New Roman"/>
                <w:sz w:val="24"/>
                <w:szCs w:val="24"/>
              </w:rPr>
              <w:t xml:space="preserve"> </w:t>
            </w:r>
            <w:r w:rsidR="0040528E" w:rsidRPr="00E6504B">
              <w:rPr>
                <w:rFonts w:ascii="Times New Roman" w:eastAsia="Times New Roman" w:hAnsi="Times New Roman" w:cs="Times New Roman"/>
                <w:sz w:val="24"/>
                <w:szCs w:val="24"/>
              </w:rPr>
              <w:t xml:space="preserve">objekta </w:t>
            </w:r>
            <w:r w:rsidR="0076647A" w:rsidRPr="00E6504B">
              <w:rPr>
                <w:rFonts w:ascii="Times New Roman" w:eastAsia="Times New Roman" w:hAnsi="Times New Roman" w:cs="Times New Roman"/>
                <w:sz w:val="24"/>
                <w:szCs w:val="24"/>
              </w:rPr>
              <w:t xml:space="preserve">apsaimniekotājs </w:t>
            </w:r>
            <w:r w:rsidR="00102345" w:rsidRPr="00E6504B">
              <w:rPr>
                <w:rFonts w:ascii="Times New Roman" w:eastAsia="Times New Roman" w:hAnsi="Times New Roman" w:cs="Times New Roman"/>
                <w:sz w:val="24"/>
                <w:szCs w:val="24"/>
              </w:rPr>
              <w:t xml:space="preserve">pārkāpj </w:t>
            </w:r>
            <w:r w:rsidR="00022563" w:rsidRPr="00E6504B">
              <w:rPr>
                <w:rFonts w:ascii="Times New Roman" w:eastAsia="Times New Roman" w:hAnsi="Times New Roman" w:cs="Times New Roman"/>
                <w:sz w:val="24"/>
                <w:szCs w:val="24"/>
              </w:rPr>
              <w:t>ekspluatācijas (</w:t>
            </w:r>
            <w:r w:rsidR="00102345" w:rsidRPr="00E6504B">
              <w:rPr>
                <w:rFonts w:ascii="Times New Roman" w:eastAsia="Times New Roman" w:hAnsi="Times New Roman" w:cs="Times New Roman"/>
                <w:sz w:val="24"/>
                <w:szCs w:val="24"/>
              </w:rPr>
              <w:t>apsaimniekošanas</w:t>
            </w:r>
            <w:r w:rsidR="00022563" w:rsidRPr="00E6504B">
              <w:rPr>
                <w:rFonts w:ascii="Times New Roman" w:eastAsia="Times New Roman" w:hAnsi="Times New Roman" w:cs="Times New Roman"/>
                <w:sz w:val="24"/>
                <w:szCs w:val="24"/>
              </w:rPr>
              <w:t>)</w:t>
            </w:r>
            <w:r w:rsidR="00102345" w:rsidRPr="00E6504B">
              <w:rPr>
                <w:rFonts w:ascii="Times New Roman" w:eastAsia="Times New Roman" w:hAnsi="Times New Roman" w:cs="Times New Roman"/>
                <w:sz w:val="24"/>
                <w:szCs w:val="24"/>
              </w:rPr>
              <w:t xml:space="preserve"> noteikumos</w:t>
            </w:r>
            <w:r w:rsidR="004E7901" w:rsidRPr="00E6504B">
              <w:rPr>
                <w:rFonts w:ascii="Times New Roman" w:eastAsia="Times New Roman" w:hAnsi="Times New Roman" w:cs="Times New Roman"/>
                <w:sz w:val="24"/>
                <w:szCs w:val="24"/>
              </w:rPr>
              <w:t xml:space="preserve"> </w:t>
            </w:r>
            <w:r w:rsidR="00102345" w:rsidRPr="00E6504B">
              <w:rPr>
                <w:rFonts w:ascii="Times New Roman" w:eastAsia="Times New Roman" w:hAnsi="Times New Roman" w:cs="Times New Roman"/>
                <w:sz w:val="24"/>
                <w:szCs w:val="24"/>
              </w:rPr>
              <w:t>paredzētos</w:t>
            </w:r>
            <w:r w:rsidR="0076647A" w:rsidRPr="00E6504B">
              <w:rPr>
                <w:rFonts w:ascii="Times New Roman" w:eastAsia="Times New Roman" w:hAnsi="Times New Roman" w:cs="Times New Roman"/>
                <w:sz w:val="24"/>
                <w:szCs w:val="24"/>
              </w:rPr>
              <w:t xml:space="preserve"> zonālos un sezonālos ierobežojumus atsevišķiem ūdensobjekta apsaimniekošanas veidiem</w:t>
            </w:r>
            <w:r w:rsidR="00102345" w:rsidRPr="00E6504B">
              <w:rPr>
                <w:rFonts w:ascii="Times New Roman" w:eastAsia="Times New Roman" w:hAnsi="Times New Roman" w:cs="Times New Roman"/>
                <w:sz w:val="24"/>
                <w:szCs w:val="24"/>
              </w:rPr>
              <w:t xml:space="preserve">, kas noteikti, lai </w:t>
            </w:r>
            <w:r w:rsidR="007106E8" w:rsidRPr="00E6504B">
              <w:rPr>
                <w:rFonts w:ascii="Times New Roman" w:eastAsia="Times New Roman" w:hAnsi="Times New Roman" w:cs="Times New Roman"/>
                <w:sz w:val="24"/>
                <w:szCs w:val="24"/>
              </w:rPr>
              <w:t>novērstu</w:t>
            </w:r>
            <w:r w:rsidR="0040528E" w:rsidRPr="00E6504B">
              <w:rPr>
                <w:rFonts w:ascii="Times New Roman" w:eastAsia="Times New Roman" w:hAnsi="Times New Roman" w:cs="Times New Roman"/>
                <w:sz w:val="24"/>
                <w:szCs w:val="24"/>
              </w:rPr>
              <w:t xml:space="preserve"> </w:t>
            </w:r>
            <w:r w:rsidR="007106E8" w:rsidRPr="00E6504B">
              <w:rPr>
                <w:rFonts w:ascii="Times New Roman" w:eastAsia="Times New Roman" w:hAnsi="Times New Roman" w:cs="Times New Roman"/>
                <w:sz w:val="24"/>
                <w:szCs w:val="24"/>
              </w:rPr>
              <w:t>negatīvu ietekmi</w:t>
            </w:r>
            <w:r w:rsidR="0040528E" w:rsidRPr="00E6504B">
              <w:rPr>
                <w:rFonts w:ascii="Times New Roman" w:eastAsia="Times New Roman" w:hAnsi="Times New Roman" w:cs="Times New Roman"/>
                <w:sz w:val="24"/>
                <w:szCs w:val="24"/>
              </w:rPr>
              <w:t>, piemēram,</w:t>
            </w:r>
            <w:r w:rsidR="007106E8" w:rsidRPr="00E6504B">
              <w:rPr>
                <w:rFonts w:ascii="Times New Roman" w:eastAsia="Times New Roman" w:hAnsi="Times New Roman" w:cs="Times New Roman"/>
                <w:sz w:val="24"/>
                <w:szCs w:val="24"/>
              </w:rPr>
              <w:t xml:space="preserve"> uz putnu ligzdošanu</w:t>
            </w:r>
            <w:r w:rsidR="0076647A" w:rsidRPr="00E6504B">
              <w:rPr>
                <w:rFonts w:ascii="Times New Roman" w:eastAsia="Times New Roman" w:hAnsi="Times New Roman" w:cs="Times New Roman"/>
                <w:sz w:val="24"/>
                <w:szCs w:val="24"/>
              </w:rPr>
              <w:t xml:space="preserve"> (</w:t>
            </w:r>
            <w:r w:rsidR="007106E8" w:rsidRPr="00E6504B">
              <w:rPr>
                <w:rFonts w:ascii="Times New Roman" w:eastAsia="Times New Roman" w:hAnsi="Times New Roman" w:cs="Times New Roman"/>
                <w:sz w:val="24"/>
                <w:szCs w:val="24"/>
              </w:rPr>
              <w:t>jā</w:t>
            </w:r>
            <w:r w:rsidR="0076647A" w:rsidRPr="00E6504B">
              <w:rPr>
                <w:rFonts w:ascii="Times New Roman" w:eastAsia="Calibri" w:hAnsi="Times New Roman" w:cs="Times New Roman"/>
                <w:sz w:val="24"/>
                <w:szCs w:val="24"/>
              </w:rPr>
              <w:t>novēr</w:t>
            </w:r>
            <w:r w:rsidR="007106E8" w:rsidRPr="00E6504B">
              <w:rPr>
                <w:rFonts w:ascii="Times New Roman" w:eastAsia="Calibri" w:hAnsi="Times New Roman" w:cs="Times New Roman"/>
                <w:sz w:val="24"/>
                <w:szCs w:val="24"/>
              </w:rPr>
              <w:t>š</w:t>
            </w:r>
            <w:r w:rsidR="0076647A" w:rsidRPr="00E6504B">
              <w:rPr>
                <w:rFonts w:ascii="Times New Roman" w:eastAsia="Calibri" w:hAnsi="Times New Roman" w:cs="Times New Roman"/>
                <w:sz w:val="24"/>
                <w:szCs w:val="24"/>
              </w:rPr>
              <w:t xml:space="preserve"> krasa ūdens līmeņ</w:t>
            </w:r>
            <w:r w:rsidR="00102345" w:rsidRPr="00E6504B">
              <w:rPr>
                <w:rFonts w:ascii="Times New Roman" w:eastAsia="Calibri" w:hAnsi="Times New Roman" w:cs="Times New Roman"/>
                <w:sz w:val="24"/>
                <w:szCs w:val="24"/>
              </w:rPr>
              <w:t>a</w:t>
            </w:r>
            <w:r w:rsidR="0076647A" w:rsidRPr="00E6504B">
              <w:rPr>
                <w:rFonts w:ascii="Times New Roman" w:eastAsia="Calibri" w:hAnsi="Times New Roman" w:cs="Times New Roman"/>
                <w:sz w:val="24"/>
                <w:szCs w:val="24"/>
              </w:rPr>
              <w:t xml:space="preserve"> maiņa</w:t>
            </w:r>
            <w:r w:rsidR="006D062E" w:rsidRPr="00E6504B">
              <w:rPr>
                <w:rFonts w:ascii="Times New Roman" w:eastAsia="Calibri" w:hAnsi="Times New Roman" w:cs="Times New Roman"/>
                <w:sz w:val="24"/>
                <w:szCs w:val="24"/>
              </w:rPr>
              <w:t xml:space="preserve"> </w:t>
            </w:r>
            <w:r w:rsidR="00F82B01" w:rsidRPr="00E6504B">
              <w:rPr>
                <w:rFonts w:ascii="Times New Roman" w:eastAsia="Calibri" w:hAnsi="Times New Roman" w:cs="Times New Roman"/>
                <w:sz w:val="24"/>
                <w:szCs w:val="24"/>
              </w:rPr>
              <w:t xml:space="preserve">konkrētā laika </w:t>
            </w:r>
            <w:r w:rsidR="0076647A" w:rsidRPr="00E6504B">
              <w:rPr>
                <w:rFonts w:ascii="Times New Roman" w:eastAsia="Calibri" w:hAnsi="Times New Roman" w:cs="Times New Roman"/>
                <w:sz w:val="24"/>
                <w:szCs w:val="24"/>
              </w:rPr>
              <w:t>posmā</w:t>
            </w:r>
            <w:r w:rsidR="00102345" w:rsidRPr="00E6504B">
              <w:rPr>
                <w:rFonts w:ascii="Times New Roman" w:eastAsia="Calibri" w:hAnsi="Times New Roman" w:cs="Times New Roman"/>
                <w:sz w:val="24"/>
                <w:szCs w:val="24"/>
              </w:rPr>
              <w:t>)</w:t>
            </w:r>
            <w:r w:rsidR="0040528E" w:rsidRPr="00E6504B">
              <w:rPr>
                <w:rFonts w:ascii="Times New Roman" w:eastAsia="Calibri" w:hAnsi="Times New Roman" w:cs="Times New Roman"/>
                <w:sz w:val="24"/>
                <w:szCs w:val="24"/>
              </w:rPr>
              <w:t xml:space="preserve"> vai zivju nārstu</w:t>
            </w:r>
            <w:r w:rsidR="0040528E" w:rsidRPr="00E6504B">
              <w:rPr>
                <w:rFonts w:ascii="Times New Roman" w:eastAsia="Times New Roman" w:hAnsi="Times New Roman" w:cs="Times New Roman"/>
                <w:sz w:val="24"/>
                <w:szCs w:val="24"/>
              </w:rPr>
              <w:t xml:space="preserve">; </w:t>
            </w:r>
            <w:r w:rsidR="00DC6E7D" w:rsidRPr="00E6504B">
              <w:rPr>
                <w:rFonts w:ascii="Times New Roman" w:eastAsia="Times New Roman" w:hAnsi="Times New Roman" w:cs="Times New Roman"/>
                <w:sz w:val="24"/>
                <w:szCs w:val="24"/>
              </w:rPr>
              <w:t>ūdensaugu</w:t>
            </w:r>
            <w:r w:rsidR="00F82B01" w:rsidRPr="00E6504B">
              <w:rPr>
                <w:rFonts w:ascii="Times New Roman" w:eastAsia="Times New Roman" w:hAnsi="Times New Roman" w:cs="Times New Roman"/>
                <w:sz w:val="24"/>
                <w:szCs w:val="24"/>
              </w:rPr>
              <w:t xml:space="preserve"> pļaušana</w:t>
            </w:r>
            <w:r w:rsidR="00C70820" w:rsidRPr="00E6504B">
              <w:rPr>
                <w:rFonts w:ascii="Times New Roman" w:eastAsia="Times New Roman" w:hAnsi="Times New Roman" w:cs="Times New Roman"/>
                <w:sz w:val="24"/>
                <w:szCs w:val="24"/>
              </w:rPr>
              <w:t xml:space="preserve"> un </w:t>
            </w:r>
            <w:r w:rsidR="00F82B01" w:rsidRPr="00E6504B">
              <w:rPr>
                <w:rFonts w:ascii="Times New Roman" w:eastAsia="Times New Roman" w:hAnsi="Times New Roman" w:cs="Times New Roman"/>
                <w:sz w:val="24"/>
                <w:szCs w:val="24"/>
              </w:rPr>
              <w:t xml:space="preserve">aizvākšana no ūdensobjekta netiek veikta atbilstoši </w:t>
            </w:r>
            <w:r w:rsidR="00022563" w:rsidRPr="00E6504B">
              <w:rPr>
                <w:rFonts w:ascii="Times New Roman" w:eastAsia="Times New Roman" w:hAnsi="Times New Roman" w:cs="Times New Roman"/>
                <w:sz w:val="24"/>
                <w:szCs w:val="24"/>
              </w:rPr>
              <w:t xml:space="preserve"> VVD iz</w:t>
            </w:r>
            <w:r w:rsidR="00137BCB" w:rsidRPr="00E6504B">
              <w:rPr>
                <w:rFonts w:ascii="Times New Roman" w:eastAsia="Times New Roman" w:hAnsi="Times New Roman" w:cs="Times New Roman"/>
                <w:sz w:val="24"/>
                <w:szCs w:val="24"/>
              </w:rPr>
              <w:t>s</w:t>
            </w:r>
            <w:r w:rsidR="00022563" w:rsidRPr="00E6504B">
              <w:rPr>
                <w:rFonts w:ascii="Times New Roman" w:eastAsia="Times New Roman" w:hAnsi="Times New Roman" w:cs="Times New Roman"/>
                <w:sz w:val="24"/>
                <w:szCs w:val="24"/>
              </w:rPr>
              <w:t xml:space="preserve">niegto tehnisko </w:t>
            </w:r>
            <w:r w:rsidR="00F82B01" w:rsidRPr="00E6504B">
              <w:rPr>
                <w:rFonts w:ascii="Times New Roman" w:eastAsia="Times New Roman" w:hAnsi="Times New Roman" w:cs="Times New Roman"/>
                <w:sz w:val="24"/>
                <w:szCs w:val="24"/>
              </w:rPr>
              <w:t>noteikumu prasībām</w:t>
            </w:r>
            <w:r w:rsidR="00C05C31" w:rsidRPr="00E6504B">
              <w:rPr>
                <w:rFonts w:ascii="Times New Roman" w:eastAsia="Times New Roman" w:hAnsi="Times New Roman" w:cs="Times New Roman"/>
                <w:sz w:val="24"/>
                <w:szCs w:val="24"/>
              </w:rPr>
              <w:t xml:space="preserve">, vai neievērojot </w:t>
            </w:r>
            <w:r w:rsidR="00C05C31" w:rsidRPr="00E6504B">
              <w:rPr>
                <w:rFonts w:ascii="Times New Roman" w:hAnsi="Times New Roman" w:cs="Times New Roman"/>
                <w:sz w:val="24"/>
                <w:szCs w:val="24"/>
                <w:shd w:val="clear" w:color="auto" w:fill="FFFFFF"/>
              </w:rPr>
              <w:t xml:space="preserve"> tehniskajos noteikumos noteikto darbu secību, padziļinot ūdens objektu),</w:t>
            </w:r>
            <w:r w:rsidR="00A41511" w:rsidRPr="00E6504B">
              <w:rPr>
                <w:rFonts w:ascii="Times New Roman" w:hAnsi="Times New Roman" w:cs="Times New Roman"/>
                <w:sz w:val="24"/>
                <w:szCs w:val="24"/>
                <w:shd w:val="clear" w:color="auto" w:fill="FFFFFF"/>
              </w:rPr>
              <w:t xml:space="preserve"> </w:t>
            </w:r>
            <w:r w:rsidR="00A41511" w:rsidRPr="00E6504B">
              <w:rPr>
                <w:rFonts w:ascii="Times New Roman" w:eastAsia="Times New Roman" w:hAnsi="Times New Roman" w:cs="Times New Roman"/>
                <w:sz w:val="24"/>
                <w:szCs w:val="24"/>
              </w:rPr>
              <w:t xml:space="preserve">hidrotehniskās būves īpašnieks (vai valdītājs) neievēro ūdens objekta izmantošanas nosacījumus, kas  noteikti saimnieciskās darbības veikšanai. (piemēram, </w:t>
            </w:r>
            <w:r w:rsidR="00A41511" w:rsidRPr="00E6504B">
              <w:rPr>
                <w:rFonts w:ascii="Times New Roman" w:hAnsi="Times New Roman" w:cs="Times New Roman"/>
                <w:sz w:val="24"/>
                <w:szCs w:val="24"/>
                <w:shd w:val="clear" w:color="auto" w:fill="FFFFFF"/>
              </w:rPr>
              <w:t>krastu ainavisko sakopšanu pēc plānoto darbu pabeigšanas)</w:t>
            </w:r>
            <w:r w:rsidR="007B5533" w:rsidRPr="00E6504B">
              <w:rPr>
                <w:rFonts w:ascii="Times New Roman" w:hAnsi="Times New Roman" w:cs="Times New Roman"/>
                <w:sz w:val="24"/>
                <w:szCs w:val="24"/>
                <w:shd w:val="clear" w:color="auto" w:fill="FFFFFF"/>
              </w:rPr>
              <w:t>.</w:t>
            </w:r>
          </w:p>
          <w:p w14:paraId="7DAE3B02" w14:textId="2FEA5F79" w:rsidR="00677DA6" w:rsidRPr="00E6504B" w:rsidRDefault="00EB4BDC" w:rsidP="00F4434D">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 xml:space="preserve"> </w:t>
            </w:r>
            <w:r w:rsidR="00832F6A" w:rsidRPr="00E6504B">
              <w:rPr>
                <w:rFonts w:ascii="Times New Roman" w:eastAsia="Times New Roman" w:hAnsi="Times New Roman" w:cs="Times New Roman"/>
                <w:sz w:val="24"/>
                <w:szCs w:val="24"/>
              </w:rPr>
              <w:t xml:space="preserve"> </w:t>
            </w:r>
            <w:r w:rsidR="00E7143F" w:rsidRPr="00E6504B">
              <w:rPr>
                <w:rFonts w:ascii="Times New Roman" w:eastAsia="Times New Roman" w:hAnsi="Times New Roman" w:cs="Times New Roman"/>
                <w:sz w:val="24"/>
                <w:szCs w:val="24"/>
              </w:rPr>
              <w:t xml:space="preserve"> </w:t>
            </w:r>
            <w:r w:rsidR="00B137DB" w:rsidRPr="00E6504B">
              <w:rPr>
                <w:rFonts w:ascii="Times New Roman" w:eastAsia="Times New Roman" w:hAnsi="Times New Roman" w:cs="Times New Roman"/>
                <w:sz w:val="24"/>
                <w:szCs w:val="24"/>
              </w:rPr>
              <w:t>Vienlaikus</w:t>
            </w:r>
            <w:r w:rsidR="00832F6A" w:rsidRPr="00E6504B">
              <w:rPr>
                <w:rFonts w:ascii="Times New Roman" w:eastAsia="Times New Roman" w:hAnsi="Times New Roman" w:cs="Times New Roman"/>
                <w:sz w:val="24"/>
                <w:szCs w:val="24"/>
              </w:rPr>
              <w:t xml:space="preserve"> amatpersona katra konkrēta pārkāpuma gadījumā izvērtēs tā</w:t>
            </w:r>
            <w:r w:rsidR="00997719" w:rsidRPr="00E6504B">
              <w:rPr>
                <w:rFonts w:ascii="Times New Roman" w:eastAsia="Times New Roman" w:hAnsi="Times New Roman" w:cs="Times New Roman"/>
                <w:sz w:val="24"/>
                <w:szCs w:val="24"/>
              </w:rPr>
              <w:t xml:space="preserve"> raksturu un</w:t>
            </w:r>
            <w:r w:rsidR="00832F6A" w:rsidRPr="00E6504B">
              <w:rPr>
                <w:rFonts w:ascii="Times New Roman" w:eastAsia="Times New Roman" w:hAnsi="Times New Roman" w:cs="Times New Roman"/>
                <w:sz w:val="24"/>
                <w:szCs w:val="24"/>
              </w:rPr>
              <w:t xml:space="preserve"> būtiskumu un lems, vai </w:t>
            </w:r>
            <w:r w:rsidR="00CD333C" w:rsidRPr="00E6504B">
              <w:rPr>
                <w:rFonts w:ascii="Times New Roman" w:eastAsia="Times New Roman" w:hAnsi="Times New Roman" w:cs="Times New Roman"/>
                <w:sz w:val="24"/>
                <w:szCs w:val="24"/>
              </w:rPr>
              <w:t xml:space="preserve">piemērojams </w:t>
            </w:r>
            <w:r w:rsidR="006B2118" w:rsidRPr="00E6504B">
              <w:rPr>
                <w:rFonts w:ascii="Times New Roman" w:eastAsia="Times New Roman" w:hAnsi="Times New Roman" w:cs="Times New Roman"/>
                <w:sz w:val="24"/>
                <w:szCs w:val="24"/>
              </w:rPr>
              <w:t xml:space="preserve">brīdinājums </w:t>
            </w:r>
            <w:r w:rsidR="00832F6A" w:rsidRPr="00E6504B">
              <w:rPr>
                <w:rFonts w:ascii="Times New Roman" w:eastAsia="Times New Roman" w:hAnsi="Times New Roman" w:cs="Times New Roman"/>
                <w:sz w:val="24"/>
                <w:szCs w:val="24"/>
              </w:rPr>
              <w:t xml:space="preserve">jeb nepieciešams </w:t>
            </w:r>
            <w:r w:rsidR="001C07E8" w:rsidRPr="00E6504B">
              <w:rPr>
                <w:rFonts w:ascii="Times New Roman" w:eastAsia="Times New Roman" w:hAnsi="Times New Roman" w:cs="Times New Roman"/>
                <w:sz w:val="24"/>
                <w:szCs w:val="24"/>
              </w:rPr>
              <w:t>piemērot administratīvo naudas sodu</w:t>
            </w:r>
            <w:r w:rsidR="00832F6A" w:rsidRPr="00E6504B">
              <w:rPr>
                <w:rFonts w:ascii="Times New Roman" w:eastAsia="Times New Roman" w:hAnsi="Times New Roman" w:cs="Times New Roman"/>
                <w:sz w:val="24"/>
                <w:szCs w:val="24"/>
              </w:rPr>
              <w:t xml:space="preserve">. </w:t>
            </w:r>
          </w:p>
          <w:p w14:paraId="34963AA2" w14:textId="6E286401" w:rsidR="002F1B00" w:rsidRPr="00E6504B" w:rsidRDefault="00783079" w:rsidP="00F4434D">
            <w:pPr>
              <w:pStyle w:val="tv213"/>
              <w:shd w:val="clear" w:color="auto" w:fill="FFFFFF"/>
              <w:spacing w:before="0" w:beforeAutospacing="0" w:after="0" w:afterAutospacing="0"/>
              <w:jc w:val="both"/>
              <w:rPr>
                <w:lang w:val="lv-LV"/>
              </w:rPr>
            </w:pPr>
            <w:r w:rsidRPr="00E6504B">
              <w:rPr>
                <w:lang w:val="lv-LV"/>
              </w:rPr>
              <w:t>L</w:t>
            </w:r>
            <w:r w:rsidR="008C0176" w:rsidRPr="00E6504B">
              <w:rPr>
                <w:lang w:val="lv-LV"/>
              </w:rPr>
              <w:t xml:space="preserve">ikumprojekta </w:t>
            </w:r>
            <w:r w:rsidR="00874BDC" w:rsidRPr="00E6504B">
              <w:rPr>
                <w:lang w:val="lv-LV"/>
              </w:rPr>
              <w:t xml:space="preserve">2. pantā  paredzētajā </w:t>
            </w:r>
            <w:r w:rsidR="00F4434D" w:rsidRPr="00E6504B">
              <w:rPr>
                <w:lang w:val="lv-LV"/>
              </w:rPr>
              <w:t xml:space="preserve">ŪAL </w:t>
            </w:r>
            <w:r w:rsidR="002F1B00" w:rsidRPr="00E6504B">
              <w:rPr>
                <w:lang w:val="lv-LV"/>
              </w:rPr>
              <w:t xml:space="preserve">27. panta </w:t>
            </w:r>
            <w:r w:rsidR="00A766C4" w:rsidRPr="00E6504B">
              <w:rPr>
                <w:lang w:val="lv-LV"/>
              </w:rPr>
              <w:t xml:space="preserve">otrajā </w:t>
            </w:r>
            <w:r w:rsidR="002F1B00" w:rsidRPr="00E6504B">
              <w:rPr>
                <w:lang w:val="lv-LV"/>
              </w:rPr>
              <w:t>daļā fiziskajām un juridiskajām personām par minētajiem pārkāpumiem ir samazinātas soda sankcijas – gan attiecībā uz minimāl</w:t>
            </w:r>
            <w:r w:rsidR="008C0176" w:rsidRPr="00E6504B">
              <w:rPr>
                <w:lang w:val="lv-LV"/>
              </w:rPr>
              <w:t>ā</w:t>
            </w:r>
            <w:r w:rsidR="002F1B00" w:rsidRPr="00E6504B">
              <w:rPr>
                <w:lang w:val="lv-LV"/>
              </w:rPr>
              <w:t>, gan maksimāl</w:t>
            </w:r>
            <w:r w:rsidR="008C0176" w:rsidRPr="00E6504B">
              <w:rPr>
                <w:lang w:val="lv-LV"/>
              </w:rPr>
              <w:t>ā</w:t>
            </w:r>
            <w:r w:rsidR="002F1B00" w:rsidRPr="00E6504B">
              <w:rPr>
                <w:lang w:val="lv-LV"/>
              </w:rPr>
              <w:t xml:space="preserve"> sod</w:t>
            </w:r>
            <w:r w:rsidR="008C0176" w:rsidRPr="00E6504B">
              <w:rPr>
                <w:lang w:val="lv-LV"/>
              </w:rPr>
              <w:t>a</w:t>
            </w:r>
            <w:r w:rsidR="002F1B00" w:rsidRPr="00E6504B">
              <w:rPr>
                <w:lang w:val="lv-LV"/>
              </w:rPr>
              <w:t xml:space="preserve"> apmēru. Atbilstoši </w:t>
            </w:r>
            <w:r w:rsidR="008C0176" w:rsidRPr="00E6504B">
              <w:rPr>
                <w:lang w:val="lv-LV"/>
              </w:rPr>
              <w:t>likumprojekta</w:t>
            </w:r>
            <w:r w:rsidR="00874BDC" w:rsidRPr="00E6504B">
              <w:rPr>
                <w:lang w:val="lv-LV"/>
              </w:rPr>
              <w:t>m</w:t>
            </w:r>
            <w:r w:rsidR="008C0176" w:rsidRPr="00E6504B">
              <w:rPr>
                <w:lang w:val="lv-LV"/>
              </w:rPr>
              <w:t xml:space="preserve"> </w:t>
            </w:r>
            <w:r w:rsidR="002F1B00" w:rsidRPr="00E6504B">
              <w:rPr>
                <w:lang w:val="lv-LV"/>
              </w:rPr>
              <w:t>27.</w:t>
            </w:r>
            <w:r w:rsidR="00833DD9" w:rsidRPr="00E6504B">
              <w:rPr>
                <w:lang w:val="lv-LV"/>
              </w:rPr>
              <w:t> </w:t>
            </w:r>
            <w:r w:rsidR="002F1B00" w:rsidRPr="00E6504B">
              <w:rPr>
                <w:lang w:val="lv-LV"/>
              </w:rPr>
              <w:t xml:space="preserve">panta </w:t>
            </w:r>
            <w:r w:rsidR="008C0176" w:rsidRPr="00E6504B">
              <w:rPr>
                <w:lang w:val="lv-LV"/>
              </w:rPr>
              <w:t>otrajā</w:t>
            </w:r>
            <w:r w:rsidR="002F1B00" w:rsidRPr="00E6504B">
              <w:rPr>
                <w:lang w:val="lv-LV"/>
              </w:rPr>
              <w:t xml:space="preserve"> daļā </w:t>
            </w:r>
            <w:r w:rsidR="0090296A" w:rsidRPr="00E6504B">
              <w:rPr>
                <w:lang w:val="lv-LV"/>
              </w:rPr>
              <w:t xml:space="preserve">fiziskajām personām </w:t>
            </w:r>
            <w:r w:rsidR="002F1B00" w:rsidRPr="00E6504B">
              <w:rPr>
                <w:lang w:val="lv-LV"/>
              </w:rPr>
              <w:t xml:space="preserve">piemēro naudas sodu no </w:t>
            </w:r>
            <w:r w:rsidR="00EE3CB1" w:rsidRPr="00E6504B">
              <w:rPr>
                <w:lang w:val="lv-LV"/>
              </w:rPr>
              <w:t xml:space="preserve">sešām </w:t>
            </w:r>
            <w:r w:rsidR="002F1B00" w:rsidRPr="00E6504B">
              <w:rPr>
                <w:lang w:val="lv-LV"/>
              </w:rPr>
              <w:t>līdz 140</w:t>
            </w:r>
            <w:r w:rsidR="008C0176" w:rsidRPr="00E6504B">
              <w:rPr>
                <w:lang w:val="lv-LV"/>
              </w:rPr>
              <w:t xml:space="preserve"> naudas soda vienībām</w:t>
            </w:r>
            <w:r w:rsidR="002F1B00" w:rsidRPr="00E6504B">
              <w:rPr>
                <w:lang w:val="lv-LV"/>
              </w:rPr>
              <w:t xml:space="preserve">, bet juridiskajām personām </w:t>
            </w:r>
            <w:r w:rsidR="00C32D83" w:rsidRPr="00E6504B">
              <w:rPr>
                <w:lang w:val="lv-LV"/>
              </w:rPr>
              <w:t xml:space="preserve">– </w:t>
            </w:r>
            <w:r w:rsidR="002F1B00" w:rsidRPr="00E6504B">
              <w:rPr>
                <w:lang w:val="lv-LV"/>
              </w:rPr>
              <w:t>no 12 līdz 200 naudas soda vienībām salīdzinājumā ar Kodeksa 62.</w:t>
            </w:r>
            <w:r w:rsidR="00D33220" w:rsidRPr="00E6504B">
              <w:rPr>
                <w:lang w:val="lv-LV"/>
              </w:rPr>
              <w:t> </w:t>
            </w:r>
            <w:r w:rsidR="002F1B00" w:rsidRPr="00E6504B">
              <w:rPr>
                <w:lang w:val="lv-LV"/>
              </w:rPr>
              <w:t>panta noteikto (uzliek naudas sodu fiziskajām personām no 55 līdz 1400</w:t>
            </w:r>
            <w:r w:rsidR="002F1B00" w:rsidRPr="00E6504B">
              <w:rPr>
                <w:rStyle w:val="apple-converted-space"/>
                <w:lang w:val="lv-LV"/>
              </w:rPr>
              <w:t> </w:t>
            </w:r>
            <w:r w:rsidR="002F1B00" w:rsidRPr="00E6504B">
              <w:rPr>
                <w:i/>
                <w:iCs/>
                <w:lang w:val="lv-LV"/>
              </w:rPr>
              <w:t>euro</w:t>
            </w:r>
            <w:r w:rsidR="002F1B00" w:rsidRPr="00E6504B">
              <w:rPr>
                <w:lang w:val="lv-LV"/>
              </w:rPr>
              <w:t xml:space="preserve">, bet juridiskajām personām </w:t>
            </w:r>
            <w:r w:rsidR="00C32D83" w:rsidRPr="00E6504B">
              <w:rPr>
                <w:lang w:val="lv-LV"/>
              </w:rPr>
              <w:t xml:space="preserve">– </w:t>
            </w:r>
            <w:r w:rsidR="002F1B00" w:rsidRPr="00E6504B">
              <w:rPr>
                <w:lang w:val="lv-LV"/>
              </w:rPr>
              <w:t xml:space="preserve">no 140 līdz 2900 </w:t>
            </w:r>
            <w:r w:rsidR="002F1B00" w:rsidRPr="00E6504B">
              <w:rPr>
                <w:i/>
                <w:iCs/>
                <w:lang w:val="lv-LV"/>
              </w:rPr>
              <w:t>euro</w:t>
            </w:r>
            <w:r w:rsidR="002F1B00" w:rsidRPr="00E6504B">
              <w:rPr>
                <w:iCs/>
                <w:lang w:val="lv-LV"/>
              </w:rPr>
              <w:t>)</w:t>
            </w:r>
            <w:r w:rsidR="001A6BE1" w:rsidRPr="00E6504B">
              <w:rPr>
                <w:lang w:val="lv-LV"/>
              </w:rPr>
              <w:t>, kā arī Kodeksa 64.</w:t>
            </w:r>
            <w:r w:rsidR="00D33220" w:rsidRPr="00E6504B">
              <w:rPr>
                <w:lang w:val="lv-LV"/>
              </w:rPr>
              <w:t> </w:t>
            </w:r>
            <w:r w:rsidR="001A6BE1" w:rsidRPr="00E6504B">
              <w:rPr>
                <w:lang w:val="lv-LV"/>
              </w:rPr>
              <w:t>pantā noteikto naudas sodu (</w:t>
            </w:r>
            <w:r w:rsidR="00AE4099" w:rsidRPr="00E6504B">
              <w:rPr>
                <w:lang w:val="lv-LV"/>
              </w:rPr>
              <w:t>fiziskajām personām no 280 līdz 700</w:t>
            </w:r>
            <w:r w:rsidR="00AE4099" w:rsidRPr="00E6504B">
              <w:rPr>
                <w:rStyle w:val="apple-converted-space"/>
                <w:lang w:val="lv-LV"/>
              </w:rPr>
              <w:t> </w:t>
            </w:r>
            <w:r w:rsidR="00AE4099" w:rsidRPr="00E6504B">
              <w:rPr>
                <w:i/>
                <w:iCs/>
                <w:lang w:val="lv-LV"/>
              </w:rPr>
              <w:t>euro</w:t>
            </w:r>
            <w:r w:rsidR="00AE4099" w:rsidRPr="00E6504B">
              <w:rPr>
                <w:lang w:val="lv-LV"/>
              </w:rPr>
              <w:t xml:space="preserve">, bet juridiskajām personām </w:t>
            </w:r>
            <w:r w:rsidR="00C32D83" w:rsidRPr="00E6504B">
              <w:rPr>
                <w:lang w:val="lv-LV"/>
              </w:rPr>
              <w:t xml:space="preserve">– </w:t>
            </w:r>
            <w:r w:rsidR="00AE4099" w:rsidRPr="00E6504B">
              <w:rPr>
                <w:lang w:val="lv-LV"/>
              </w:rPr>
              <w:t>no 280 līdz 1400</w:t>
            </w:r>
            <w:r w:rsidR="002838D7" w:rsidRPr="00E6504B">
              <w:rPr>
                <w:lang w:val="lv-LV"/>
              </w:rPr>
              <w:t> </w:t>
            </w:r>
            <w:r w:rsidR="00AE4099" w:rsidRPr="00E6504B">
              <w:rPr>
                <w:i/>
                <w:iCs/>
                <w:lang w:val="lv-LV"/>
              </w:rPr>
              <w:t>euro</w:t>
            </w:r>
            <w:r w:rsidR="00AE4099" w:rsidRPr="00E6504B">
              <w:rPr>
                <w:iCs/>
                <w:lang w:val="lv-LV"/>
              </w:rPr>
              <w:t xml:space="preserve">). </w:t>
            </w:r>
            <w:r w:rsidR="002F1B00" w:rsidRPr="00E6504B">
              <w:rPr>
                <w:lang w:val="lv-LV"/>
              </w:rPr>
              <w:t xml:space="preserve">Papildus minētajam </w:t>
            </w:r>
            <w:r w:rsidR="00BD3A99" w:rsidRPr="00E6504B">
              <w:rPr>
                <w:lang w:val="lv-LV"/>
              </w:rPr>
              <w:t xml:space="preserve">viegli </w:t>
            </w:r>
            <w:r w:rsidR="002F1B00" w:rsidRPr="00E6504B">
              <w:rPr>
                <w:lang w:val="lv-LV"/>
              </w:rPr>
              <w:t xml:space="preserve">novēršamu pārkāpumu gadījumos amatpersonas varēs </w:t>
            </w:r>
            <w:r w:rsidR="00CD333C" w:rsidRPr="00E6504B">
              <w:rPr>
                <w:lang w:val="lv-LV"/>
              </w:rPr>
              <w:t xml:space="preserve">piemērot </w:t>
            </w:r>
            <w:r w:rsidR="002F5790" w:rsidRPr="00E6504B">
              <w:rPr>
                <w:lang w:val="lv-LV"/>
              </w:rPr>
              <w:t xml:space="preserve">brīdinājumu, </w:t>
            </w:r>
            <w:r w:rsidR="002F1B00" w:rsidRPr="00E6504B">
              <w:rPr>
                <w:lang w:val="lv-LV"/>
              </w:rPr>
              <w:t xml:space="preserve">kas nav </w:t>
            </w:r>
            <w:r w:rsidR="00B04E64" w:rsidRPr="00E6504B">
              <w:rPr>
                <w:lang w:val="lv-LV"/>
              </w:rPr>
              <w:t>iekļauts</w:t>
            </w:r>
            <w:r w:rsidR="002F1B00" w:rsidRPr="00E6504B">
              <w:rPr>
                <w:lang w:val="lv-LV"/>
              </w:rPr>
              <w:t xml:space="preserve"> Kodeksa 62.</w:t>
            </w:r>
            <w:r w:rsidR="00AE4099" w:rsidRPr="00E6504B">
              <w:rPr>
                <w:lang w:val="lv-LV"/>
              </w:rPr>
              <w:t> un 64. </w:t>
            </w:r>
            <w:r w:rsidR="002F1B00" w:rsidRPr="00E6504B">
              <w:rPr>
                <w:lang w:val="lv-LV"/>
              </w:rPr>
              <w:t>panta sankcijā</w:t>
            </w:r>
            <w:r w:rsidR="00C4260F" w:rsidRPr="00E6504B">
              <w:rPr>
                <w:lang w:val="lv-LV"/>
              </w:rPr>
              <w:t>s</w:t>
            </w:r>
            <w:r w:rsidR="002F1B00" w:rsidRPr="00E6504B">
              <w:rPr>
                <w:lang w:val="lv-LV"/>
              </w:rPr>
              <w:t>.</w:t>
            </w:r>
          </w:p>
          <w:p w14:paraId="76040962" w14:textId="4CEF7D25" w:rsidR="002F1B00" w:rsidRPr="00E6504B" w:rsidRDefault="002F1B00" w:rsidP="00F4434D">
            <w:pPr>
              <w:pStyle w:val="tv2132"/>
              <w:spacing w:after="120" w:line="240" w:lineRule="auto"/>
              <w:ind w:firstLine="0"/>
              <w:jc w:val="both"/>
              <w:rPr>
                <w:color w:val="auto"/>
                <w:sz w:val="24"/>
                <w:szCs w:val="24"/>
                <w:lang w:val="lv-LV"/>
              </w:rPr>
            </w:pPr>
            <w:r w:rsidRPr="00E6504B">
              <w:rPr>
                <w:color w:val="auto"/>
                <w:sz w:val="24"/>
                <w:szCs w:val="24"/>
                <w:lang w:val="lv-LV"/>
              </w:rPr>
              <w:t xml:space="preserve">Tiesības piemērot administratīvos sodus par virszemes vai pazemes ūdens resursu </w:t>
            </w:r>
            <w:r w:rsidR="006A63F3" w:rsidRPr="00E6504B">
              <w:rPr>
                <w:color w:val="auto"/>
                <w:sz w:val="24"/>
                <w:szCs w:val="24"/>
                <w:lang w:val="lv-LV"/>
              </w:rPr>
              <w:t>apsaimniekoš</w:t>
            </w:r>
            <w:r w:rsidR="00D876AD" w:rsidRPr="00E6504B">
              <w:rPr>
                <w:color w:val="auto"/>
                <w:sz w:val="24"/>
                <w:szCs w:val="24"/>
                <w:lang w:val="lv-LV"/>
              </w:rPr>
              <w:t>a</w:t>
            </w:r>
            <w:r w:rsidR="006A63F3" w:rsidRPr="00E6504B">
              <w:rPr>
                <w:color w:val="auto"/>
                <w:sz w:val="24"/>
                <w:szCs w:val="24"/>
                <w:lang w:val="lv-LV"/>
              </w:rPr>
              <w:t xml:space="preserve">nas </w:t>
            </w:r>
            <w:r w:rsidRPr="00E6504B">
              <w:rPr>
                <w:color w:val="auto"/>
                <w:sz w:val="24"/>
                <w:szCs w:val="24"/>
                <w:lang w:val="lv-LV"/>
              </w:rPr>
              <w:t xml:space="preserve"> </w:t>
            </w:r>
            <w:r w:rsidR="007B5533" w:rsidRPr="00E6504B">
              <w:rPr>
                <w:color w:val="auto"/>
                <w:sz w:val="24"/>
                <w:szCs w:val="24"/>
                <w:lang w:val="lv-LV"/>
              </w:rPr>
              <w:t>prasību</w:t>
            </w:r>
            <w:r w:rsidRPr="00E6504B">
              <w:rPr>
                <w:color w:val="auto"/>
                <w:sz w:val="24"/>
                <w:szCs w:val="24"/>
                <w:lang w:val="lv-LV"/>
              </w:rPr>
              <w:t xml:space="preserve"> pārkāpšanu ir saglabātas līdzšinējai kompetentajai iestādei – VVD, kas atbilstoši Kodeksa 231.</w:t>
            </w:r>
            <w:r w:rsidR="00587DE0" w:rsidRPr="00E6504B">
              <w:rPr>
                <w:color w:val="auto"/>
                <w:sz w:val="24"/>
                <w:szCs w:val="24"/>
                <w:lang w:val="lv-LV"/>
              </w:rPr>
              <w:t> </w:t>
            </w:r>
            <w:r w:rsidRPr="00E6504B">
              <w:rPr>
                <w:color w:val="auto"/>
                <w:sz w:val="24"/>
                <w:szCs w:val="24"/>
                <w:lang w:val="lv-LV"/>
              </w:rPr>
              <w:t>pantam izskata administratīvo pārkāpumu lietas atbilstoši Kodeksa 62.</w:t>
            </w:r>
            <w:r w:rsidR="00AE4099" w:rsidRPr="00E6504B">
              <w:rPr>
                <w:color w:val="auto"/>
                <w:sz w:val="24"/>
                <w:szCs w:val="24"/>
                <w:lang w:val="lv-LV"/>
              </w:rPr>
              <w:t> un 64. </w:t>
            </w:r>
            <w:r w:rsidRPr="00E6504B">
              <w:rPr>
                <w:color w:val="auto"/>
                <w:sz w:val="24"/>
                <w:szCs w:val="24"/>
                <w:lang w:val="lv-LV"/>
              </w:rPr>
              <w:t xml:space="preserve">pantam. VVD kompetence sodu piemērošanā par pārkāpumiem virszemes un pazemes ūdens resursu </w:t>
            </w:r>
            <w:r w:rsidR="003C0F37" w:rsidRPr="00E6504B">
              <w:rPr>
                <w:color w:val="auto"/>
                <w:sz w:val="24"/>
                <w:szCs w:val="24"/>
                <w:lang w:val="lv-LV"/>
              </w:rPr>
              <w:t>apsaimniekošanā</w:t>
            </w:r>
            <w:r w:rsidRPr="00E6504B">
              <w:rPr>
                <w:color w:val="auto"/>
                <w:sz w:val="24"/>
                <w:szCs w:val="24"/>
                <w:lang w:val="lv-LV"/>
              </w:rPr>
              <w:t xml:space="preserve"> ir noteikta </w:t>
            </w:r>
            <w:r w:rsidR="008C0176" w:rsidRPr="00E6504B">
              <w:rPr>
                <w:color w:val="auto"/>
                <w:sz w:val="24"/>
                <w:szCs w:val="24"/>
                <w:lang w:val="lv-LV"/>
              </w:rPr>
              <w:t>likumprojekta</w:t>
            </w:r>
            <w:r w:rsidR="00874BDC" w:rsidRPr="00E6504B">
              <w:rPr>
                <w:color w:val="auto"/>
                <w:sz w:val="24"/>
                <w:szCs w:val="24"/>
                <w:lang w:val="lv-LV"/>
              </w:rPr>
              <w:t xml:space="preserve"> 2.</w:t>
            </w:r>
            <w:r w:rsidR="006D3830" w:rsidRPr="00E6504B">
              <w:rPr>
                <w:color w:val="auto"/>
                <w:sz w:val="24"/>
                <w:szCs w:val="24"/>
                <w:lang w:val="lv-LV"/>
              </w:rPr>
              <w:t> </w:t>
            </w:r>
            <w:r w:rsidR="00874BDC" w:rsidRPr="00E6504B">
              <w:rPr>
                <w:color w:val="auto"/>
                <w:sz w:val="24"/>
                <w:szCs w:val="24"/>
                <w:lang w:val="lv-LV"/>
              </w:rPr>
              <w:t xml:space="preserve">pantā paredzētajā </w:t>
            </w:r>
            <w:r w:rsidR="00EC15DC" w:rsidRPr="00E6504B">
              <w:rPr>
                <w:color w:val="auto"/>
                <w:sz w:val="24"/>
                <w:szCs w:val="24"/>
                <w:lang w:val="lv-LV"/>
              </w:rPr>
              <w:t>ŪAL</w:t>
            </w:r>
            <w:r w:rsidR="008C0176" w:rsidRPr="00E6504B">
              <w:rPr>
                <w:color w:val="auto"/>
                <w:sz w:val="24"/>
                <w:szCs w:val="24"/>
                <w:lang w:val="lv-LV"/>
              </w:rPr>
              <w:t xml:space="preserve"> </w:t>
            </w:r>
            <w:r w:rsidRPr="00E6504B">
              <w:rPr>
                <w:color w:val="auto"/>
                <w:sz w:val="24"/>
                <w:szCs w:val="24"/>
                <w:lang w:val="lv-LV"/>
              </w:rPr>
              <w:t>28.</w:t>
            </w:r>
            <w:r w:rsidR="00587DE0" w:rsidRPr="00E6504B">
              <w:rPr>
                <w:color w:val="auto"/>
                <w:sz w:val="24"/>
                <w:szCs w:val="24"/>
                <w:lang w:val="lv-LV"/>
              </w:rPr>
              <w:t> </w:t>
            </w:r>
            <w:r w:rsidRPr="00E6504B">
              <w:rPr>
                <w:color w:val="auto"/>
                <w:sz w:val="24"/>
                <w:szCs w:val="24"/>
                <w:lang w:val="lv-LV"/>
              </w:rPr>
              <w:t xml:space="preserve">panta </w:t>
            </w:r>
            <w:r w:rsidR="0090296A" w:rsidRPr="00E6504B">
              <w:rPr>
                <w:color w:val="auto"/>
                <w:sz w:val="24"/>
                <w:szCs w:val="24"/>
                <w:lang w:val="lv-LV"/>
              </w:rPr>
              <w:t xml:space="preserve">otrajā </w:t>
            </w:r>
            <w:r w:rsidRPr="00E6504B">
              <w:rPr>
                <w:color w:val="auto"/>
                <w:sz w:val="24"/>
                <w:szCs w:val="24"/>
                <w:lang w:val="lv-LV"/>
              </w:rPr>
              <w:t>daļā.</w:t>
            </w:r>
          </w:p>
          <w:p w14:paraId="5DE69700" w14:textId="210670E8" w:rsidR="00D876AD" w:rsidRPr="00E6504B" w:rsidRDefault="00075077" w:rsidP="00F4434D">
            <w:pPr>
              <w:pStyle w:val="tv2131"/>
              <w:spacing w:line="240" w:lineRule="auto"/>
              <w:ind w:firstLine="0"/>
              <w:jc w:val="both"/>
              <w:rPr>
                <w:color w:val="auto"/>
                <w:sz w:val="24"/>
                <w:szCs w:val="24"/>
              </w:rPr>
            </w:pPr>
            <w:r w:rsidRPr="00E6504B">
              <w:rPr>
                <w:color w:val="auto"/>
                <w:sz w:val="24"/>
                <w:szCs w:val="24"/>
              </w:rPr>
              <w:t xml:space="preserve">Prasību noteiktos gadījumos saņemt ūdens resursu lietošanas atļauju, kā arī </w:t>
            </w:r>
            <w:r w:rsidR="009450A6" w:rsidRPr="00E6504B">
              <w:rPr>
                <w:color w:val="auto"/>
                <w:sz w:val="24"/>
                <w:szCs w:val="24"/>
              </w:rPr>
              <w:t>atļaujā iekļaujamos nosacījumus ūdens resursu lietošanai nosaka</w:t>
            </w:r>
            <w:r w:rsidR="00D46E3C" w:rsidRPr="00E6504B">
              <w:rPr>
                <w:color w:val="auto"/>
                <w:sz w:val="24"/>
                <w:szCs w:val="24"/>
              </w:rPr>
              <w:t xml:space="preserve"> Ū</w:t>
            </w:r>
            <w:r w:rsidR="00F4434D" w:rsidRPr="00E6504B">
              <w:rPr>
                <w:color w:val="auto"/>
                <w:sz w:val="24"/>
                <w:szCs w:val="24"/>
              </w:rPr>
              <w:t>AL</w:t>
            </w:r>
            <w:r w:rsidR="00D46E3C" w:rsidRPr="00E6504B">
              <w:rPr>
                <w:color w:val="auto"/>
                <w:sz w:val="24"/>
                <w:szCs w:val="24"/>
              </w:rPr>
              <w:t xml:space="preserve"> 21. panta pirmā daļa un </w:t>
            </w:r>
            <w:r w:rsidR="00B35015" w:rsidRPr="00E6504B">
              <w:rPr>
                <w:sz w:val="24"/>
                <w:szCs w:val="24"/>
              </w:rPr>
              <w:t xml:space="preserve"> </w:t>
            </w:r>
            <w:r w:rsidR="002503A2" w:rsidRPr="00E6504B">
              <w:rPr>
                <w:color w:val="auto"/>
                <w:sz w:val="24"/>
                <w:szCs w:val="24"/>
              </w:rPr>
              <w:t>MK noteikumu</w:t>
            </w:r>
            <w:r w:rsidR="003C0F37" w:rsidRPr="00E6504B">
              <w:rPr>
                <w:color w:val="auto"/>
                <w:sz w:val="24"/>
                <w:szCs w:val="24"/>
              </w:rPr>
              <w:t xml:space="preserve"> Nr. 736</w:t>
            </w:r>
            <w:r w:rsidR="00B35015" w:rsidRPr="00E6504B">
              <w:rPr>
                <w:color w:val="auto"/>
                <w:sz w:val="24"/>
                <w:szCs w:val="24"/>
              </w:rPr>
              <w:t xml:space="preserve"> </w:t>
            </w:r>
            <w:r w:rsidR="009450A6" w:rsidRPr="00E6504B">
              <w:rPr>
                <w:color w:val="auto"/>
                <w:sz w:val="24"/>
                <w:szCs w:val="24"/>
              </w:rPr>
              <w:t>2.</w:t>
            </w:r>
            <w:r w:rsidR="00833DD9" w:rsidRPr="00E6504B">
              <w:rPr>
                <w:color w:val="auto"/>
                <w:sz w:val="24"/>
                <w:szCs w:val="24"/>
              </w:rPr>
              <w:t> </w:t>
            </w:r>
            <w:r w:rsidR="009450A6" w:rsidRPr="00E6504B">
              <w:rPr>
                <w:color w:val="auto"/>
                <w:sz w:val="24"/>
                <w:szCs w:val="24"/>
              </w:rPr>
              <w:t xml:space="preserve">punkts un </w:t>
            </w:r>
            <w:r w:rsidR="003D38FA" w:rsidRPr="00E6504B">
              <w:rPr>
                <w:color w:val="auto"/>
                <w:sz w:val="24"/>
                <w:szCs w:val="24"/>
              </w:rPr>
              <w:t>attiecīgi</w:t>
            </w:r>
            <w:r w:rsidR="00906F75" w:rsidRPr="00E6504B">
              <w:rPr>
                <w:color w:val="auto"/>
                <w:sz w:val="24"/>
                <w:szCs w:val="24"/>
              </w:rPr>
              <w:t xml:space="preserve"> </w:t>
            </w:r>
            <w:r w:rsidR="009450A6" w:rsidRPr="00E6504B">
              <w:rPr>
                <w:color w:val="auto"/>
                <w:sz w:val="24"/>
                <w:szCs w:val="24"/>
              </w:rPr>
              <w:t xml:space="preserve">34. līdz </w:t>
            </w:r>
            <w:r w:rsidR="003D38FA" w:rsidRPr="00E6504B">
              <w:rPr>
                <w:color w:val="auto"/>
                <w:sz w:val="24"/>
                <w:szCs w:val="24"/>
              </w:rPr>
              <w:t>39</w:t>
            </w:r>
            <w:r w:rsidR="009450A6" w:rsidRPr="00E6504B">
              <w:rPr>
                <w:color w:val="auto"/>
                <w:sz w:val="24"/>
                <w:szCs w:val="24"/>
              </w:rPr>
              <w:t>.</w:t>
            </w:r>
            <w:r w:rsidR="00E421DD" w:rsidRPr="00E6504B">
              <w:rPr>
                <w:color w:val="auto"/>
                <w:sz w:val="24"/>
                <w:szCs w:val="24"/>
              </w:rPr>
              <w:t> </w:t>
            </w:r>
            <w:r w:rsidR="009450A6" w:rsidRPr="00E6504B">
              <w:rPr>
                <w:color w:val="auto"/>
                <w:sz w:val="24"/>
                <w:szCs w:val="24"/>
              </w:rPr>
              <w:t>punkts. Savukārt</w:t>
            </w:r>
            <w:r w:rsidR="003D38FA" w:rsidRPr="00E6504B">
              <w:rPr>
                <w:color w:val="auto"/>
                <w:sz w:val="24"/>
                <w:szCs w:val="24"/>
              </w:rPr>
              <w:t xml:space="preserve"> Ū</w:t>
            </w:r>
            <w:r w:rsidR="00F4434D" w:rsidRPr="00E6504B">
              <w:rPr>
                <w:color w:val="auto"/>
                <w:sz w:val="24"/>
                <w:szCs w:val="24"/>
              </w:rPr>
              <w:t xml:space="preserve">AL </w:t>
            </w:r>
            <w:r w:rsidR="003D38FA" w:rsidRPr="00E6504B">
              <w:rPr>
                <w:color w:val="auto"/>
                <w:sz w:val="24"/>
                <w:szCs w:val="24"/>
              </w:rPr>
              <w:t>7.</w:t>
            </w:r>
            <w:r w:rsidR="00833DD9" w:rsidRPr="00E6504B">
              <w:rPr>
                <w:color w:val="auto"/>
                <w:sz w:val="24"/>
                <w:szCs w:val="24"/>
              </w:rPr>
              <w:t> </w:t>
            </w:r>
            <w:r w:rsidR="003D38FA" w:rsidRPr="00E6504B">
              <w:rPr>
                <w:color w:val="auto"/>
                <w:sz w:val="24"/>
                <w:szCs w:val="24"/>
              </w:rPr>
              <w:t>panta 1.</w:t>
            </w:r>
            <w:r w:rsidR="00833DD9" w:rsidRPr="00E6504B">
              <w:rPr>
                <w:color w:val="auto"/>
                <w:sz w:val="24"/>
                <w:szCs w:val="24"/>
              </w:rPr>
              <w:t> </w:t>
            </w:r>
            <w:r w:rsidR="003D38FA" w:rsidRPr="00E6504B">
              <w:rPr>
                <w:color w:val="auto"/>
                <w:sz w:val="24"/>
                <w:szCs w:val="24"/>
              </w:rPr>
              <w:t>punktā ūdens resursu lietotājam noteikts pienākums ievērot atļauju nosacījumus.</w:t>
            </w:r>
            <w:r w:rsidR="009450A6" w:rsidRPr="00E6504B">
              <w:rPr>
                <w:color w:val="auto"/>
                <w:sz w:val="24"/>
                <w:szCs w:val="24"/>
              </w:rPr>
              <w:t xml:space="preserve"> </w:t>
            </w:r>
          </w:p>
          <w:p w14:paraId="2AA02A7B" w14:textId="0ED4B9AD" w:rsidR="00783EFB" w:rsidRPr="00E6504B" w:rsidRDefault="006A63F3" w:rsidP="00F4434D">
            <w:pPr>
              <w:pStyle w:val="tv2131"/>
              <w:spacing w:line="240" w:lineRule="auto"/>
              <w:ind w:firstLine="0"/>
              <w:jc w:val="both"/>
              <w:rPr>
                <w:strike/>
                <w:color w:val="auto"/>
                <w:sz w:val="24"/>
                <w:szCs w:val="24"/>
              </w:rPr>
            </w:pPr>
            <w:r w:rsidRPr="00E6504B">
              <w:rPr>
                <w:color w:val="auto"/>
                <w:sz w:val="24"/>
                <w:szCs w:val="24"/>
              </w:rPr>
              <w:t>Atbilstoši normatīvo aktu prasībām</w:t>
            </w:r>
            <w:r w:rsidR="00997719" w:rsidRPr="00E6504B">
              <w:rPr>
                <w:color w:val="auto"/>
                <w:sz w:val="24"/>
                <w:szCs w:val="24"/>
              </w:rPr>
              <w:t>, piemēram</w:t>
            </w:r>
            <w:r w:rsidR="002503A2" w:rsidRPr="00E6504B">
              <w:rPr>
                <w:color w:val="auto"/>
                <w:sz w:val="24"/>
                <w:szCs w:val="24"/>
              </w:rPr>
              <w:t>, MK noteikumiem Nr.</w:t>
            </w:r>
            <w:r w:rsidR="003C0F37" w:rsidRPr="00E6504B">
              <w:rPr>
                <w:color w:val="auto"/>
                <w:sz w:val="24"/>
                <w:szCs w:val="24"/>
              </w:rPr>
              <w:t> </w:t>
            </w:r>
            <w:r w:rsidR="002503A2" w:rsidRPr="00E6504B">
              <w:rPr>
                <w:color w:val="auto"/>
                <w:sz w:val="24"/>
                <w:szCs w:val="24"/>
              </w:rPr>
              <w:t xml:space="preserve">736, </w:t>
            </w:r>
            <w:r w:rsidRPr="00E6504B">
              <w:rPr>
                <w:color w:val="auto"/>
                <w:sz w:val="24"/>
                <w:szCs w:val="24"/>
              </w:rPr>
              <w:t xml:space="preserve">ūdens resursu atļauja nepieciešama ne visiem ūdens lietotājiem, bet liela apjoma ūdens patēriņam un darbībām, kas var būtiski ietekmēt ūdeņu kvantitāti un kvalitāti, kā arī izraisīt citas nevēlamas un grūti novēršamas sekas, piemēram, pazemes ūdens resursu pārtēriņu, piesārņojuma nekontrolētu izplatību, hidroloģiskā režīma izmaiņas, ekosistēmu stāvokļa pasliktināšanos un citu nevēlamu ietekmi. </w:t>
            </w:r>
            <w:r w:rsidR="009F3CBE" w:rsidRPr="00E6504B">
              <w:rPr>
                <w:color w:val="auto"/>
                <w:sz w:val="24"/>
                <w:szCs w:val="24"/>
              </w:rPr>
              <w:t xml:space="preserve">Šāda veida pārkāpumi uzskatāmi </w:t>
            </w:r>
            <w:r w:rsidR="00677CC7" w:rsidRPr="00E6504B">
              <w:rPr>
                <w:color w:val="auto"/>
                <w:sz w:val="24"/>
                <w:szCs w:val="24"/>
              </w:rPr>
              <w:t xml:space="preserve">par </w:t>
            </w:r>
            <w:r w:rsidR="00154906" w:rsidRPr="00E6504B">
              <w:rPr>
                <w:color w:val="auto"/>
                <w:sz w:val="24"/>
                <w:szCs w:val="24"/>
              </w:rPr>
              <w:t>nozīmīgiem</w:t>
            </w:r>
            <w:r w:rsidR="00914D74" w:rsidRPr="00E6504B">
              <w:rPr>
                <w:color w:val="auto"/>
                <w:sz w:val="24"/>
                <w:szCs w:val="24"/>
              </w:rPr>
              <w:t>,</w:t>
            </w:r>
            <w:r w:rsidR="00154906" w:rsidRPr="00E6504B">
              <w:rPr>
                <w:color w:val="auto"/>
                <w:sz w:val="24"/>
                <w:szCs w:val="24"/>
              </w:rPr>
              <w:t xml:space="preserve"> un </w:t>
            </w:r>
            <w:r w:rsidR="00BA2579" w:rsidRPr="00E6504B">
              <w:rPr>
                <w:color w:val="auto"/>
                <w:sz w:val="24"/>
                <w:szCs w:val="24"/>
              </w:rPr>
              <w:t>brīdinājums</w:t>
            </w:r>
            <w:r w:rsidR="00154906" w:rsidRPr="00E6504B">
              <w:rPr>
                <w:color w:val="auto"/>
                <w:sz w:val="24"/>
                <w:szCs w:val="24"/>
              </w:rPr>
              <w:t xml:space="preserve"> nav </w:t>
            </w:r>
            <w:r w:rsidR="00346995" w:rsidRPr="00E6504B">
              <w:rPr>
                <w:color w:val="auto"/>
                <w:sz w:val="24"/>
                <w:szCs w:val="24"/>
              </w:rPr>
              <w:t xml:space="preserve">nodarījumam </w:t>
            </w:r>
            <w:r w:rsidR="00154906" w:rsidRPr="00E6504B">
              <w:rPr>
                <w:color w:val="auto"/>
                <w:sz w:val="24"/>
                <w:szCs w:val="24"/>
              </w:rPr>
              <w:t>atbilstoša sankcija</w:t>
            </w:r>
            <w:r w:rsidR="009F3CBE" w:rsidRPr="00E6504B">
              <w:rPr>
                <w:color w:val="auto"/>
                <w:sz w:val="24"/>
                <w:szCs w:val="24"/>
              </w:rPr>
              <w:t>, ņemot vērā</w:t>
            </w:r>
            <w:r w:rsidR="00154906" w:rsidRPr="00E6504B">
              <w:rPr>
                <w:color w:val="auto"/>
                <w:sz w:val="24"/>
                <w:szCs w:val="24"/>
              </w:rPr>
              <w:t xml:space="preserve"> </w:t>
            </w:r>
            <w:r w:rsidR="00346995" w:rsidRPr="00E6504B">
              <w:rPr>
                <w:color w:val="auto"/>
                <w:sz w:val="24"/>
                <w:szCs w:val="24"/>
              </w:rPr>
              <w:t xml:space="preserve">videi </w:t>
            </w:r>
            <w:r w:rsidR="00125EAB" w:rsidRPr="00E6504B">
              <w:rPr>
                <w:color w:val="auto"/>
                <w:sz w:val="24"/>
                <w:szCs w:val="24"/>
              </w:rPr>
              <w:t xml:space="preserve">jau </w:t>
            </w:r>
            <w:r w:rsidR="00346995" w:rsidRPr="00E6504B">
              <w:rPr>
                <w:color w:val="auto"/>
                <w:sz w:val="24"/>
                <w:szCs w:val="24"/>
              </w:rPr>
              <w:t>radīto</w:t>
            </w:r>
            <w:r w:rsidR="00154906" w:rsidRPr="00E6504B">
              <w:rPr>
                <w:color w:val="auto"/>
                <w:sz w:val="24"/>
                <w:szCs w:val="24"/>
              </w:rPr>
              <w:t xml:space="preserve"> </w:t>
            </w:r>
            <w:r w:rsidR="00346995" w:rsidRPr="00E6504B">
              <w:rPr>
                <w:color w:val="auto"/>
                <w:sz w:val="24"/>
                <w:szCs w:val="24"/>
              </w:rPr>
              <w:t xml:space="preserve">kaitējumu. </w:t>
            </w:r>
          </w:p>
          <w:p w14:paraId="71E9B462" w14:textId="503476BF" w:rsidR="008442FA" w:rsidRPr="00E6504B" w:rsidRDefault="00F4434D" w:rsidP="00F4434D">
            <w:pPr>
              <w:pStyle w:val="tv2131"/>
              <w:spacing w:line="240" w:lineRule="auto"/>
              <w:ind w:firstLine="0"/>
              <w:jc w:val="both"/>
              <w:rPr>
                <w:color w:val="auto"/>
                <w:sz w:val="24"/>
                <w:szCs w:val="24"/>
              </w:rPr>
            </w:pPr>
            <w:r w:rsidRPr="00E6504B">
              <w:rPr>
                <w:color w:val="auto"/>
                <w:sz w:val="24"/>
                <w:szCs w:val="24"/>
              </w:rPr>
              <w:t>VVD konstatējis</w:t>
            </w:r>
            <w:r w:rsidR="008442FA" w:rsidRPr="00E6504B">
              <w:rPr>
                <w:color w:val="auto"/>
                <w:sz w:val="24"/>
                <w:szCs w:val="24"/>
              </w:rPr>
              <w:t>, ka daļai būtisku pārkāpumu, kas saistīti ar ūdens resursu izmantošanu</w:t>
            </w:r>
            <w:r w:rsidR="00E5596D" w:rsidRPr="00E6504B">
              <w:rPr>
                <w:color w:val="auto"/>
                <w:sz w:val="24"/>
                <w:szCs w:val="24"/>
              </w:rPr>
              <w:t xml:space="preserve"> un aizsardzību</w:t>
            </w:r>
            <w:r w:rsidR="008442FA" w:rsidRPr="00E6504B">
              <w:rPr>
                <w:color w:val="auto"/>
                <w:sz w:val="24"/>
                <w:szCs w:val="24"/>
              </w:rPr>
              <w:t>, līdz šim piemērotais naudas sods (atbilstoši Kodeksa 60., 62.</w:t>
            </w:r>
            <w:r w:rsidR="00382717" w:rsidRPr="00E6504B">
              <w:rPr>
                <w:color w:val="auto"/>
                <w:sz w:val="24"/>
                <w:szCs w:val="24"/>
              </w:rPr>
              <w:t> </w:t>
            </w:r>
            <w:r w:rsidR="008442FA" w:rsidRPr="00E6504B">
              <w:rPr>
                <w:color w:val="auto"/>
                <w:sz w:val="24"/>
                <w:szCs w:val="24"/>
              </w:rPr>
              <w:t>panta</w:t>
            </w:r>
            <w:r w:rsidR="003C0F37" w:rsidRPr="00E6504B">
              <w:rPr>
                <w:color w:val="auto"/>
                <w:sz w:val="24"/>
                <w:szCs w:val="24"/>
              </w:rPr>
              <w:t>m</w:t>
            </w:r>
            <w:r w:rsidR="008442FA" w:rsidRPr="00E6504B">
              <w:rPr>
                <w:color w:val="auto"/>
                <w:sz w:val="24"/>
                <w:szCs w:val="24"/>
              </w:rPr>
              <w:t xml:space="preserve"> un 64.</w:t>
            </w:r>
            <w:r w:rsidR="00382717" w:rsidRPr="00E6504B">
              <w:rPr>
                <w:color w:val="auto"/>
                <w:sz w:val="24"/>
                <w:szCs w:val="24"/>
              </w:rPr>
              <w:t> </w:t>
            </w:r>
            <w:r w:rsidR="008442FA" w:rsidRPr="00E6504B">
              <w:rPr>
                <w:color w:val="auto"/>
                <w:sz w:val="24"/>
                <w:szCs w:val="24"/>
              </w:rPr>
              <w:t>pantam) ne vienmēr bijis adekvāts pārkāpuma radītajām sekām vai nodarījuma bīstamībai. Pārkāpējam izdevīgāk ir samaksāt piespriesto naudas sodu</w:t>
            </w:r>
            <w:r w:rsidR="00274E35" w:rsidRPr="00E6504B">
              <w:rPr>
                <w:color w:val="auto"/>
                <w:sz w:val="24"/>
                <w:szCs w:val="24"/>
              </w:rPr>
              <w:t xml:space="preserve">, kas </w:t>
            </w:r>
            <w:r w:rsidR="00602E9B" w:rsidRPr="00E6504B">
              <w:rPr>
                <w:color w:val="auto"/>
                <w:sz w:val="24"/>
                <w:szCs w:val="24"/>
              </w:rPr>
              <w:t>nav liels,</w:t>
            </w:r>
            <w:r w:rsidR="008442FA" w:rsidRPr="00E6504B">
              <w:rPr>
                <w:color w:val="auto"/>
                <w:sz w:val="24"/>
                <w:szCs w:val="24"/>
              </w:rPr>
              <w:t xml:space="preserve"> nevis novērst radītās sekas. Tāpēc likumprojekta</w:t>
            </w:r>
            <w:r w:rsidR="00931E4F" w:rsidRPr="00E6504B">
              <w:rPr>
                <w:color w:val="auto"/>
                <w:sz w:val="24"/>
                <w:szCs w:val="24"/>
              </w:rPr>
              <w:t xml:space="preserve"> 2. pantā paredzētajā </w:t>
            </w:r>
            <w:r w:rsidRPr="00E6504B">
              <w:rPr>
                <w:color w:val="auto"/>
                <w:sz w:val="24"/>
                <w:szCs w:val="24"/>
              </w:rPr>
              <w:t xml:space="preserve">ŪAL </w:t>
            </w:r>
            <w:r w:rsidR="008442FA" w:rsidRPr="00E6504B">
              <w:rPr>
                <w:color w:val="auto"/>
                <w:sz w:val="24"/>
                <w:szCs w:val="24"/>
              </w:rPr>
              <w:t xml:space="preserve">27. panta </w:t>
            </w:r>
            <w:r w:rsidR="00496833" w:rsidRPr="00E6504B">
              <w:rPr>
                <w:color w:val="auto"/>
                <w:sz w:val="24"/>
                <w:szCs w:val="24"/>
              </w:rPr>
              <w:t xml:space="preserve">trešajā un </w:t>
            </w:r>
            <w:r w:rsidR="002F5790" w:rsidRPr="00E6504B">
              <w:rPr>
                <w:color w:val="auto"/>
                <w:sz w:val="24"/>
                <w:szCs w:val="24"/>
              </w:rPr>
              <w:t xml:space="preserve">ceturtajā </w:t>
            </w:r>
            <w:r w:rsidR="008442FA" w:rsidRPr="00E6504B">
              <w:rPr>
                <w:color w:val="auto"/>
                <w:sz w:val="24"/>
                <w:szCs w:val="24"/>
              </w:rPr>
              <w:t xml:space="preserve">daļā ir nodalīta administratīvā atbildība par īpaši būtiskiem pārkāpumiem ūdeņu aizsardzībā un izmantošanā, palielinot tiem </w:t>
            </w:r>
            <w:r w:rsidR="00931E4F" w:rsidRPr="00E6504B">
              <w:rPr>
                <w:color w:val="auto"/>
                <w:sz w:val="24"/>
                <w:szCs w:val="24"/>
              </w:rPr>
              <w:t>līdz šim</w:t>
            </w:r>
            <w:r w:rsidR="008442FA" w:rsidRPr="00E6504B">
              <w:rPr>
                <w:color w:val="auto"/>
                <w:sz w:val="24"/>
                <w:szCs w:val="24"/>
              </w:rPr>
              <w:t xml:space="preserve"> noteiktos </w:t>
            </w:r>
            <w:r w:rsidR="00BA63B1" w:rsidRPr="00E6504B">
              <w:rPr>
                <w:color w:val="auto"/>
                <w:sz w:val="24"/>
                <w:szCs w:val="24"/>
              </w:rPr>
              <w:t>minimālos</w:t>
            </w:r>
            <w:r w:rsidR="00983A67" w:rsidRPr="00E6504B">
              <w:rPr>
                <w:color w:val="auto"/>
                <w:sz w:val="24"/>
                <w:szCs w:val="24"/>
              </w:rPr>
              <w:t xml:space="preserve"> un maksimālos</w:t>
            </w:r>
            <w:r w:rsidR="00BA63B1" w:rsidRPr="00E6504B">
              <w:rPr>
                <w:color w:val="auto"/>
                <w:sz w:val="24"/>
                <w:szCs w:val="24"/>
              </w:rPr>
              <w:t xml:space="preserve"> </w:t>
            </w:r>
            <w:r w:rsidR="008442FA" w:rsidRPr="00E6504B">
              <w:rPr>
                <w:color w:val="auto"/>
                <w:sz w:val="24"/>
                <w:szCs w:val="24"/>
              </w:rPr>
              <w:t>naudas sodu apmērus.</w:t>
            </w:r>
            <w:r w:rsidR="007A2840" w:rsidRPr="00E6504B">
              <w:rPr>
                <w:color w:val="auto"/>
                <w:sz w:val="24"/>
                <w:szCs w:val="24"/>
              </w:rPr>
              <w:t xml:space="preserve">   </w:t>
            </w:r>
          </w:p>
          <w:p w14:paraId="6F0BA5D6" w14:textId="0C5E0395" w:rsidR="00127530" w:rsidRPr="00E6504B" w:rsidRDefault="00186548" w:rsidP="00F4434D">
            <w:pPr>
              <w:spacing w:after="0" w:line="240" w:lineRule="auto"/>
              <w:jc w:val="both"/>
              <w:rPr>
                <w:rFonts w:ascii="Times New Roman" w:hAnsi="Times New Roman" w:cs="Times New Roman"/>
                <w:sz w:val="24"/>
                <w:szCs w:val="24"/>
              </w:rPr>
            </w:pPr>
            <w:r w:rsidRPr="00E6504B">
              <w:rPr>
                <w:rFonts w:ascii="Times New Roman" w:hAnsi="Times New Roman" w:cs="Times New Roman"/>
                <w:sz w:val="24"/>
                <w:szCs w:val="24"/>
              </w:rPr>
              <w:t>Likumprojekta</w:t>
            </w:r>
            <w:r w:rsidR="00931E4F" w:rsidRPr="00E6504B">
              <w:rPr>
                <w:rFonts w:ascii="Times New Roman" w:hAnsi="Times New Roman" w:cs="Times New Roman"/>
                <w:sz w:val="24"/>
                <w:szCs w:val="24"/>
              </w:rPr>
              <w:t xml:space="preserve"> 2. pantā  paredzētajā </w:t>
            </w:r>
            <w:r w:rsidR="00F4434D" w:rsidRPr="00E6504B">
              <w:rPr>
                <w:rFonts w:ascii="Times New Roman" w:hAnsi="Times New Roman" w:cs="Times New Roman"/>
                <w:sz w:val="24"/>
                <w:szCs w:val="24"/>
              </w:rPr>
              <w:t xml:space="preserve">ŪAL </w:t>
            </w:r>
            <w:r w:rsidR="008442FA" w:rsidRPr="00E6504B">
              <w:rPr>
                <w:rFonts w:ascii="Times New Roman" w:hAnsi="Times New Roman" w:cs="Times New Roman"/>
                <w:sz w:val="24"/>
                <w:szCs w:val="24"/>
              </w:rPr>
              <w:t xml:space="preserve">27. panta </w:t>
            </w:r>
            <w:r w:rsidR="004854C9" w:rsidRPr="00E6504B">
              <w:rPr>
                <w:rFonts w:ascii="Times New Roman" w:hAnsi="Times New Roman" w:cs="Times New Roman"/>
                <w:sz w:val="24"/>
                <w:szCs w:val="24"/>
              </w:rPr>
              <w:t xml:space="preserve">trešajā </w:t>
            </w:r>
            <w:r w:rsidR="008442FA" w:rsidRPr="00E6504B">
              <w:rPr>
                <w:rFonts w:ascii="Times New Roman" w:hAnsi="Times New Roman" w:cs="Times New Roman"/>
                <w:sz w:val="24"/>
                <w:szCs w:val="24"/>
              </w:rPr>
              <w:t>daļā, kuru piemēro par virszemes vai pazemes ūdens resursu lietošanu bez ūdens resursu lietošanas atļaujas</w:t>
            </w:r>
            <w:r w:rsidR="00931E4F" w:rsidRPr="00E6504B">
              <w:rPr>
                <w:rFonts w:ascii="Times New Roman" w:hAnsi="Times New Roman" w:cs="Times New Roman"/>
                <w:sz w:val="24"/>
                <w:szCs w:val="24"/>
              </w:rPr>
              <w:t xml:space="preserve">, </w:t>
            </w:r>
            <w:r w:rsidR="008442FA" w:rsidRPr="00E6504B">
              <w:rPr>
                <w:rFonts w:ascii="Times New Roman" w:hAnsi="Times New Roman" w:cs="Times New Roman"/>
                <w:sz w:val="24"/>
                <w:szCs w:val="24"/>
              </w:rPr>
              <w:t xml:space="preserve">ir paaugstināts </w:t>
            </w:r>
            <w:r w:rsidR="00403B9B" w:rsidRPr="00E6504B">
              <w:rPr>
                <w:rFonts w:ascii="Times New Roman" w:hAnsi="Times New Roman" w:cs="Times New Roman"/>
                <w:sz w:val="24"/>
                <w:szCs w:val="24"/>
              </w:rPr>
              <w:t>Kodeksa 62. pant</w:t>
            </w:r>
            <w:r w:rsidR="00931E4F" w:rsidRPr="00E6504B">
              <w:rPr>
                <w:rFonts w:ascii="Times New Roman" w:hAnsi="Times New Roman" w:cs="Times New Roman"/>
                <w:sz w:val="24"/>
                <w:szCs w:val="24"/>
              </w:rPr>
              <w:t>ā</w:t>
            </w:r>
            <w:r w:rsidR="00403B9B" w:rsidRPr="00E6504B">
              <w:rPr>
                <w:rFonts w:ascii="Times New Roman" w:hAnsi="Times New Roman" w:cs="Times New Roman"/>
                <w:sz w:val="24"/>
                <w:szCs w:val="24"/>
              </w:rPr>
              <w:t xml:space="preserve"> noteiktais </w:t>
            </w:r>
            <w:r w:rsidR="008442FA" w:rsidRPr="00E6504B">
              <w:rPr>
                <w:rFonts w:ascii="Times New Roman" w:hAnsi="Times New Roman" w:cs="Times New Roman"/>
                <w:sz w:val="24"/>
                <w:szCs w:val="24"/>
              </w:rPr>
              <w:t>minimālais naudas soda lielums</w:t>
            </w:r>
            <w:r w:rsidR="00AB1876" w:rsidRPr="00E6504B">
              <w:rPr>
                <w:rFonts w:ascii="Times New Roman" w:hAnsi="Times New Roman" w:cs="Times New Roman"/>
                <w:sz w:val="24"/>
                <w:szCs w:val="24"/>
              </w:rPr>
              <w:t xml:space="preserve"> </w:t>
            </w:r>
            <w:r w:rsidRPr="00E6504B">
              <w:rPr>
                <w:rFonts w:ascii="Times New Roman" w:hAnsi="Times New Roman" w:cs="Times New Roman"/>
                <w:sz w:val="24"/>
                <w:szCs w:val="24"/>
              </w:rPr>
              <w:t xml:space="preserve">– </w:t>
            </w:r>
            <w:r w:rsidR="008442FA" w:rsidRPr="00E6504B">
              <w:rPr>
                <w:rFonts w:ascii="Times New Roman" w:hAnsi="Times New Roman" w:cs="Times New Roman"/>
                <w:sz w:val="24"/>
                <w:szCs w:val="24"/>
              </w:rPr>
              <w:t xml:space="preserve">no 30 </w:t>
            </w:r>
            <w:r w:rsidR="008442FA" w:rsidRPr="00E6504B">
              <w:rPr>
                <w:rFonts w:ascii="Times New Roman" w:hAnsi="Times New Roman" w:cs="Times New Roman"/>
                <w:i/>
                <w:iCs/>
                <w:sz w:val="24"/>
                <w:szCs w:val="24"/>
              </w:rPr>
              <w:t xml:space="preserve">euro </w:t>
            </w:r>
            <w:r w:rsidR="008442FA" w:rsidRPr="00E6504B">
              <w:rPr>
                <w:rFonts w:ascii="Times New Roman" w:hAnsi="Times New Roman" w:cs="Times New Roman"/>
                <w:iCs/>
                <w:sz w:val="24"/>
                <w:szCs w:val="24"/>
              </w:rPr>
              <w:t>(fiziskajām un juridiskajām personām) uz 20 naudas soda vienībām (fiziskajām personām) un 40 naudas soda vienībām (juridiskajām personām)</w:t>
            </w:r>
            <w:r w:rsidR="00EC623A" w:rsidRPr="00E6504B">
              <w:rPr>
                <w:rFonts w:ascii="Times New Roman" w:hAnsi="Times New Roman" w:cs="Times New Roman"/>
                <w:iCs/>
                <w:sz w:val="24"/>
                <w:szCs w:val="24"/>
              </w:rPr>
              <w:t xml:space="preserve">, </w:t>
            </w:r>
            <w:r w:rsidR="00983A67" w:rsidRPr="00E6504B">
              <w:rPr>
                <w:rFonts w:ascii="Times New Roman" w:hAnsi="Times New Roman" w:cs="Times New Roman"/>
                <w:iCs/>
                <w:sz w:val="24"/>
                <w:szCs w:val="24"/>
              </w:rPr>
              <w:t>kā arī palielināts</w:t>
            </w:r>
            <w:r w:rsidR="00D32105" w:rsidRPr="00E6504B">
              <w:rPr>
                <w:rFonts w:ascii="Times New Roman" w:hAnsi="Times New Roman" w:cs="Times New Roman"/>
                <w:iCs/>
                <w:sz w:val="24"/>
                <w:szCs w:val="24"/>
              </w:rPr>
              <w:t xml:space="preserve"> </w:t>
            </w:r>
            <w:r w:rsidR="001A2BB9" w:rsidRPr="00E6504B">
              <w:rPr>
                <w:rFonts w:ascii="Times New Roman" w:hAnsi="Times New Roman" w:cs="Times New Roman"/>
                <w:iCs/>
                <w:sz w:val="24"/>
                <w:szCs w:val="24"/>
              </w:rPr>
              <w:t>note</w:t>
            </w:r>
            <w:r w:rsidR="00183C23" w:rsidRPr="00E6504B">
              <w:rPr>
                <w:rFonts w:ascii="Times New Roman" w:hAnsi="Times New Roman" w:cs="Times New Roman"/>
                <w:iCs/>
                <w:sz w:val="24"/>
                <w:szCs w:val="24"/>
              </w:rPr>
              <w:t xml:space="preserve">iktais </w:t>
            </w:r>
            <w:r w:rsidR="00EC623A" w:rsidRPr="00E6504B">
              <w:rPr>
                <w:rFonts w:ascii="Times New Roman" w:hAnsi="Times New Roman" w:cs="Times New Roman"/>
                <w:iCs/>
                <w:sz w:val="24"/>
                <w:szCs w:val="24"/>
              </w:rPr>
              <w:t xml:space="preserve">maksimālais naudas soda lielums – no  </w:t>
            </w:r>
            <w:r w:rsidR="001A2BB9" w:rsidRPr="00E6504B">
              <w:rPr>
                <w:rFonts w:ascii="Times New Roman" w:hAnsi="Times New Roman" w:cs="Times New Roman"/>
                <w:iCs/>
                <w:sz w:val="24"/>
                <w:szCs w:val="24"/>
              </w:rPr>
              <w:t>35</w:t>
            </w:r>
            <w:r w:rsidR="00EC623A" w:rsidRPr="00E6504B">
              <w:rPr>
                <w:rFonts w:ascii="Times New Roman" w:hAnsi="Times New Roman" w:cs="Times New Roman"/>
                <w:iCs/>
                <w:sz w:val="24"/>
                <w:szCs w:val="24"/>
              </w:rPr>
              <w:t>0 </w:t>
            </w:r>
            <w:r w:rsidR="00EC623A" w:rsidRPr="00E6504B">
              <w:rPr>
                <w:rFonts w:ascii="Times New Roman" w:hAnsi="Times New Roman" w:cs="Times New Roman"/>
                <w:i/>
                <w:iCs/>
                <w:sz w:val="24"/>
                <w:szCs w:val="24"/>
              </w:rPr>
              <w:t>euro</w:t>
            </w:r>
            <w:r w:rsidR="00BA63B1" w:rsidRPr="00E6504B">
              <w:rPr>
                <w:rFonts w:ascii="Times New Roman" w:hAnsi="Times New Roman" w:cs="Times New Roman"/>
                <w:i/>
                <w:iCs/>
                <w:sz w:val="24"/>
                <w:szCs w:val="24"/>
              </w:rPr>
              <w:t xml:space="preserve"> </w:t>
            </w:r>
            <w:r w:rsidR="001A2BB9" w:rsidRPr="00E6504B">
              <w:rPr>
                <w:rFonts w:ascii="Times New Roman" w:hAnsi="Times New Roman" w:cs="Times New Roman"/>
                <w:i/>
                <w:iCs/>
                <w:color w:val="FF0000"/>
                <w:sz w:val="24"/>
                <w:szCs w:val="24"/>
              </w:rPr>
              <w:t xml:space="preserve"> </w:t>
            </w:r>
            <w:r w:rsidR="001A2BB9" w:rsidRPr="00E6504B">
              <w:rPr>
                <w:rFonts w:ascii="Times New Roman" w:hAnsi="Times New Roman" w:cs="Times New Roman"/>
                <w:iCs/>
                <w:sz w:val="24"/>
                <w:szCs w:val="24"/>
              </w:rPr>
              <w:t>(fiziskajām un juridiskajām personām)</w:t>
            </w:r>
            <w:r w:rsidR="00401228" w:rsidRPr="00E6504B">
              <w:rPr>
                <w:rFonts w:ascii="Times New Roman" w:hAnsi="Times New Roman" w:cs="Times New Roman"/>
                <w:iCs/>
                <w:sz w:val="24"/>
                <w:szCs w:val="24"/>
              </w:rPr>
              <w:t xml:space="preserve"> uz </w:t>
            </w:r>
            <w:r w:rsidR="00983A67" w:rsidRPr="00E6504B">
              <w:rPr>
                <w:rFonts w:ascii="Times New Roman" w:hAnsi="Times New Roman" w:cs="Times New Roman"/>
                <w:iCs/>
                <w:sz w:val="24"/>
                <w:szCs w:val="24"/>
              </w:rPr>
              <w:t>140</w:t>
            </w:r>
            <w:r w:rsidR="00401228" w:rsidRPr="00E6504B">
              <w:rPr>
                <w:rFonts w:ascii="Times New Roman" w:hAnsi="Times New Roman" w:cs="Times New Roman"/>
                <w:iCs/>
                <w:sz w:val="24"/>
                <w:szCs w:val="24"/>
              </w:rPr>
              <w:t> </w:t>
            </w:r>
            <w:r w:rsidR="00EC623A" w:rsidRPr="00E6504B">
              <w:rPr>
                <w:rFonts w:ascii="Times New Roman" w:hAnsi="Times New Roman" w:cs="Times New Roman"/>
                <w:iCs/>
                <w:sz w:val="24"/>
                <w:szCs w:val="24"/>
              </w:rPr>
              <w:t>naudas</w:t>
            </w:r>
            <w:r w:rsidR="00EC623A" w:rsidRPr="00E6504B">
              <w:rPr>
                <w:rFonts w:ascii="Times New Roman" w:hAnsi="Times New Roman" w:cs="Times New Roman"/>
                <w:iCs/>
                <w:strike/>
                <w:sz w:val="24"/>
                <w:szCs w:val="24"/>
              </w:rPr>
              <w:t xml:space="preserve"> </w:t>
            </w:r>
            <w:r w:rsidR="00EC623A" w:rsidRPr="00E6504B">
              <w:rPr>
                <w:rFonts w:ascii="Times New Roman" w:hAnsi="Times New Roman" w:cs="Times New Roman"/>
                <w:iCs/>
                <w:sz w:val="24"/>
                <w:szCs w:val="24"/>
              </w:rPr>
              <w:t xml:space="preserve">soda vienībām (fiziskajām personām) un </w:t>
            </w:r>
            <w:r w:rsidR="00983A67" w:rsidRPr="00E6504B">
              <w:rPr>
                <w:rFonts w:ascii="Times New Roman" w:hAnsi="Times New Roman" w:cs="Times New Roman"/>
                <w:iCs/>
                <w:sz w:val="24"/>
                <w:szCs w:val="24"/>
              </w:rPr>
              <w:t>280</w:t>
            </w:r>
            <w:r w:rsidR="003C0F37" w:rsidRPr="00E6504B">
              <w:rPr>
                <w:rFonts w:ascii="Times New Roman" w:hAnsi="Times New Roman" w:cs="Times New Roman"/>
                <w:iCs/>
                <w:sz w:val="24"/>
                <w:szCs w:val="24"/>
              </w:rPr>
              <w:t xml:space="preserve"> </w:t>
            </w:r>
            <w:r w:rsidR="00EC623A" w:rsidRPr="00E6504B">
              <w:rPr>
                <w:rFonts w:ascii="Times New Roman" w:hAnsi="Times New Roman" w:cs="Times New Roman"/>
                <w:iCs/>
                <w:sz w:val="24"/>
                <w:szCs w:val="24"/>
              </w:rPr>
              <w:t>naudas soda</w:t>
            </w:r>
            <w:r w:rsidR="003C0F37" w:rsidRPr="00E6504B">
              <w:rPr>
                <w:rFonts w:ascii="Times New Roman" w:hAnsi="Times New Roman" w:cs="Times New Roman"/>
                <w:iCs/>
                <w:sz w:val="24"/>
                <w:szCs w:val="24"/>
              </w:rPr>
              <w:t xml:space="preserve"> </w:t>
            </w:r>
            <w:r w:rsidR="00EC623A" w:rsidRPr="00E6504B">
              <w:rPr>
                <w:rFonts w:ascii="Times New Roman" w:hAnsi="Times New Roman" w:cs="Times New Roman"/>
                <w:iCs/>
                <w:sz w:val="24"/>
                <w:szCs w:val="24"/>
              </w:rPr>
              <w:t>vienībām (juridiskajām personām)</w:t>
            </w:r>
            <w:r w:rsidR="00140979" w:rsidRPr="00E6504B">
              <w:rPr>
                <w:rFonts w:ascii="Times New Roman" w:hAnsi="Times New Roman" w:cs="Times New Roman"/>
                <w:iCs/>
                <w:sz w:val="24"/>
                <w:szCs w:val="24"/>
              </w:rPr>
              <w:t>.</w:t>
            </w:r>
            <w:r w:rsidR="008442FA" w:rsidRPr="00E6504B">
              <w:rPr>
                <w:rFonts w:ascii="Times New Roman" w:hAnsi="Times New Roman" w:cs="Times New Roman"/>
                <w:sz w:val="24"/>
                <w:szCs w:val="24"/>
              </w:rPr>
              <w:t xml:space="preserve"> </w:t>
            </w:r>
            <w:r w:rsidR="00EC623A" w:rsidRPr="00E6504B">
              <w:rPr>
                <w:rFonts w:ascii="Times New Roman" w:hAnsi="Times New Roman" w:cs="Times New Roman"/>
                <w:sz w:val="24"/>
                <w:szCs w:val="24"/>
              </w:rPr>
              <w:t xml:space="preserve">Šīs </w:t>
            </w:r>
            <w:r w:rsidR="001A2BB9" w:rsidRPr="00E6504B">
              <w:rPr>
                <w:rFonts w:ascii="Times New Roman" w:hAnsi="Times New Roman" w:cs="Times New Roman"/>
                <w:sz w:val="24"/>
                <w:szCs w:val="24"/>
              </w:rPr>
              <w:t xml:space="preserve"> </w:t>
            </w:r>
            <w:r w:rsidR="00EC623A" w:rsidRPr="00E6504B">
              <w:rPr>
                <w:rFonts w:ascii="Times New Roman" w:hAnsi="Times New Roman" w:cs="Times New Roman"/>
                <w:sz w:val="24"/>
                <w:szCs w:val="24"/>
              </w:rPr>
              <w:t>izmaiņ</w:t>
            </w:r>
            <w:r w:rsidR="00944744" w:rsidRPr="00E6504B">
              <w:rPr>
                <w:rFonts w:ascii="Times New Roman" w:hAnsi="Times New Roman" w:cs="Times New Roman"/>
                <w:sz w:val="24"/>
                <w:szCs w:val="24"/>
              </w:rPr>
              <w:t xml:space="preserve">as veiktas, pamatojoties uz VVD </w:t>
            </w:r>
            <w:r w:rsidR="00EC623A" w:rsidRPr="00E6504B">
              <w:rPr>
                <w:rFonts w:ascii="Times New Roman" w:hAnsi="Times New Roman" w:cs="Times New Roman"/>
                <w:sz w:val="24"/>
                <w:szCs w:val="24"/>
              </w:rPr>
              <w:t>ierosinājumu</w:t>
            </w:r>
            <w:r w:rsidR="00401228" w:rsidRPr="00E6504B">
              <w:rPr>
                <w:rFonts w:ascii="Times New Roman" w:hAnsi="Times New Roman" w:cs="Times New Roman"/>
                <w:sz w:val="24"/>
                <w:szCs w:val="24"/>
              </w:rPr>
              <w:t xml:space="preserve"> </w:t>
            </w:r>
            <w:r w:rsidR="008D3E39" w:rsidRPr="00E6504B">
              <w:rPr>
                <w:rFonts w:ascii="Times New Roman" w:hAnsi="Times New Roman" w:cs="Times New Roman"/>
                <w:sz w:val="24"/>
                <w:szCs w:val="24"/>
              </w:rPr>
              <w:t>palielināt</w:t>
            </w:r>
            <w:r w:rsidR="00401228" w:rsidRPr="00E6504B">
              <w:rPr>
                <w:rFonts w:ascii="Times New Roman" w:hAnsi="Times New Roman" w:cs="Times New Roman"/>
                <w:sz w:val="24"/>
                <w:szCs w:val="24"/>
              </w:rPr>
              <w:t xml:space="preserve"> piemērojam</w:t>
            </w:r>
            <w:r w:rsidR="008319C6" w:rsidRPr="00E6504B">
              <w:rPr>
                <w:rFonts w:ascii="Times New Roman" w:hAnsi="Times New Roman" w:cs="Times New Roman"/>
                <w:sz w:val="24"/>
                <w:szCs w:val="24"/>
              </w:rPr>
              <w:t>ā</w:t>
            </w:r>
            <w:r w:rsidR="00401228" w:rsidRPr="00E6504B">
              <w:rPr>
                <w:rFonts w:ascii="Times New Roman" w:hAnsi="Times New Roman" w:cs="Times New Roman"/>
                <w:sz w:val="24"/>
                <w:szCs w:val="24"/>
              </w:rPr>
              <w:t xml:space="preserve"> naudas sod</w:t>
            </w:r>
            <w:r w:rsidR="008319C6" w:rsidRPr="00E6504B">
              <w:rPr>
                <w:rFonts w:ascii="Times New Roman" w:hAnsi="Times New Roman" w:cs="Times New Roman"/>
                <w:sz w:val="24"/>
                <w:szCs w:val="24"/>
              </w:rPr>
              <w:t>a</w:t>
            </w:r>
            <w:r w:rsidR="00401228" w:rsidRPr="00E6504B">
              <w:rPr>
                <w:rFonts w:ascii="Times New Roman" w:hAnsi="Times New Roman" w:cs="Times New Roman"/>
                <w:sz w:val="24"/>
                <w:szCs w:val="24"/>
              </w:rPr>
              <w:t xml:space="preserve"> apmēr</w:t>
            </w:r>
            <w:r w:rsidR="008D3E39" w:rsidRPr="00E6504B">
              <w:rPr>
                <w:rFonts w:ascii="Times New Roman" w:hAnsi="Times New Roman" w:cs="Times New Roman"/>
                <w:sz w:val="24"/>
                <w:szCs w:val="24"/>
              </w:rPr>
              <w:t>u.</w:t>
            </w:r>
            <w:r w:rsidR="00F66ABC" w:rsidRPr="00E6504B">
              <w:rPr>
                <w:rFonts w:ascii="Times New Roman" w:hAnsi="Times New Roman" w:cs="Times New Roman"/>
                <w:sz w:val="24"/>
                <w:szCs w:val="24"/>
              </w:rPr>
              <w:t xml:space="preserve"> </w:t>
            </w:r>
            <w:r w:rsidR="00991955" w:rsidRPr="00E6504B">
              <w:rPr>
                <w:rFonts w:ascii="Times New Roman" w:hAnsi="Times New Roman" w:cs="Times New Roman"/>
                <w:sz w:val="24"/>
                <w:szCs w:val="24"/>
              </w:rPr>
              <w:t>Sankcijām par ū</w:t>
            </w:r>
            <w:r w:rsidR="00F66ABC" w:rsidRPr="00E6504B">
              <w:rPr>
                <w:rFonts w:ascii="Times New Roman" w:hAnsi="Times New Roman" w:cs="Times New Roman"/>
                <w:sz w:val="24"/>
                <w:szCs w:val="24"/>
              </w:rPr>
              <w:t>dens resursu izmantošan</w:t>
            </w:r>
            <w:r w:rsidR="002220A8" w:rsidRPr="00E6504B">
              <w:rPr>
                <w:rFonts w:ascii="Times New Roman" w:hAnsi="Times New Roman" w:cs="Times New Roman"/>
                <w:sz w:val="24"/>
                <w:szCs w:val="24"/>
              </w:rPr>
              <w:t>u</w:t>
            </w:r>
            <w:r w:rsidR="00991955" w:rsidRPr="00E6504B">
              <w:rPr>
                <w:rFonts w:ascii="Times New Roman" w:hAnsi="Times New Roman" w:cs="Times New Roman"/>
                <w:sz w:val="24"/>
                <w:szCs w:val="24"/>
              </w:rPr>
              <w:t>, neievērojot</w:t>
            </w:r>
            <w:r w:rsidR="00F66ABC" w:rsidRPr="00E6504B">
              <w:rPr>
                <w:rFonts w:ascii="Times New Roman" w:hAnsi="Times New Roman" w:cs="Times New Roman"/>
                <w:sz w:val="24"/>
                <w:szCs w:val="24"/>
              </w:rPr>
              <w:t xml:space="preserve"> </w:t>
            </w:r>
            <w:r w:rsidR="00991955" w:rsidRPr="00E6504B">
              <w:rPr>
                <w:rFonts w:ascii="Times New Roman" w:hAnsi="Times New Roman" w:cs="Times New Roman"/>
                <w:sz w:val="24"/>
                <w:szCs w:val="24"/>
              </w:rPr>
              <w:t>normatīvajos aktos noteiktās prasības par</w:t>
            </w:r>
            <w:r w:rsidR="0087586C" w:rsidRPr="00E6504B">
              <w:rPr>
                <w:rFonts w:ascii="Times New Roman" w:hAnsi="Times New Roman" w:cs="Times New Roman"/>
                <w:sz w:val="24"/>
                <w:szCs w:val="24"/>
              </w:rPr>
              <w:t xml:space="preserve"> </w:t>
            </w:r>
            <w:r w:rsidR="00991955" w:rsidRPr="00E6504B">
              <w:rPr>
                <w:rFonts w:ascii="Times New Roman" w:hAnsi="Times New Roman" w:cs="Times New Roman"/>
                <w:sz w:val="24"/>
                <w:szCs w:val="24"/>
              </w:rPr>
              <w:t xml:space="preserve">ūdens resursu lietošanas atļaujas saņemšanu, jābūt pietiekami iedarbīgām, lai atturētu no šādiem pārkāpumiem. </w:t>
            </w:r>
            <w:r w:rsidR="007839C8" w:rsidRPr="00E6504B">
              <w:rPr>
                <w:rFonts w:ascii="Times New Roman" w:hAnsi="Times New Roman" w:cs="Times New Roman"/>
                <w:sz w:val="24"/>
                <w:szCs w:val="24"/>
              </w:rPr>
              <w:t xml:space="preserve"> Ūdens resursu lietošanas atļauju izsniedz, ņemot vērā iepriekš veiktu izpēti par ūdens pietiekamību virszemes ūdeņos vai pazemes ūdens horizontos, it īpaši ja ūdens objektu jau izmanto vairāki</w:t>
            </w:r>
            <w:r w:rsidR="007839C8" w:rsidRPr="00E6504B">
              <w:rPr>
                <w:rFonts w:ascii="Times New Roman" w:hAnsi="Times New Roman" w:cs="Times New Roman"/>
                <w:sz w:val="24"/>
                <w:szCs w:val="24"/>
                <w:u w:val="single"/>
              </w:rPr>
              <w:t xml:space="preserve"> </w:t>
            </w:r>
            <w:r w:rsidR="007839C8" w:rsidRPr="00E6504B">
              <w:rPr>
                <w:rFonts w:ascii="Times New Roman" w:hAnsi="Times New Roman" w:cs="Times New Roman"/>
                <w:sz w:val="24"/>
                <w:szCs w:val="24"/>
              </w:rPr>
              <w:t xml:space="preserve">subjekti, tāpēc ūdens nesakcionēta izmantošana var radīt ūdens resursu nepietiekamību, kas savukārt ietekmē cilvēku vajadzības un </w:t>
            </w:r>
            <w:r w:rsidR="001F7EAD" w:rsidRPr="00E6504B">
              <w:rPr>
                <w:rFonts w:ascii="Times New Roman" w:hAnsi="Times New Roman" w:cs="Times New Roman"/>
                <w:sz w:val="24"/>
                <w:szCs w:val="24"/>
              </w:rPr>
              <w:t>ekosistēmas</w:t>
            </w:r>
            <w:r w:rsidR="007839C8" w:rsidRPr="00E6504B">
              <w:rPr>
                <w:rFonts w:ascii="Times New Roman" w:hAnsi="Times New Roman" w:cs="Times New Roman"/>
                <w:sz w:val="24"/>
                <w:szCs w:val="24"/>
              </w:rPr>
              <w:t xml:space="preserve">. </w:t>
            </w:r>
            <w:r w:rsidR="00127530" w:rsidRPr="00E6504B">
              <w:rPr>
                <w:rFonts w:ascii="Times New Roman" w:hAnsi="Times New Roman" w:cs="Times New Roman"/>
                <w:sz w:val="24"/>
                <w:szCs w:val="24"/>
              </w:rPr>
              <w:t xml:space="preserve"> Jāņem vērā, ka pazemes ūdens resursu izmantošan</w:t>
            </w:r>
            <w:r w:rsidR="002220A8" w:rsidRPr="00E6504B">
              <w:rPr>
                <w:rFonts w:ascii="Times New Roman" w:hAnsi="Times New Roman" w:cs="Times New Roman"/>
                <w:sz w:val="24"/>
                <w:szCs w:val="24"/>
              </w:rPr>
              <w:t>ā īpaši jāievēro ūdens ieguvei izvirzītās prasības, jo</w:t>
            </w:r>
            <w:r w:rsidR="00E00CC3" w:rsidRPr="00E6504B">
              <w:rPr>
                <w:rFonts w:ascii="Times New Roman" w:hAnsi="Times New Roman" w:cs="Times New Roman"/>
                <w:sz w:val="24"/>
                <w:szCs w:val="24"/>
              </w:rPr>
              <w:t xml:space="preserve"> pazemes ūdeņu ieguves iespējas dzeramā ūdens iegūšanai ir ierobežotas salīdzinājumā ar</w:t>
            </w:r>
            <w:r w:rsidR="002220A8" w:rsidRPr="00E6504B">
              <w:rPr>
                <w:rFonts w:ascii="Times New Roman" w:hAnsi="Times New Roman" w:cs="Times New Roman"/>
                <w:sz w:val="24"/>
                <w:szCs w:val="24"/>
              </w:rPr>
              <w:t xml:space="preserve"> </w:t>
            </w:r>
            <w:r w:rsidR="00354188" w:rsidRPr="00E6504B">
              <w:rPr>
                <w:rFonts w:ascii="Times New Roman" w:hAnsi="Times New Roman" w:cs="Times New Roman"/>
                <w:sz w:val="24"/>
                <w:szCs w:val="24"/>
              </w:rPr>
              <w:t>virszemes ūdens</w:t>
            </w:r>
            <w:r w:rsidR="00127530" w:rsidRPr="00E6504B">
              <w:rPr>
                <w:rFonts w:ascii="Times New Roman" w:hAnsi="Times New Roman" w:cs="Times New Roman"/>
                <w:sz w:val="24"/>
                <w:szCs w:val="24"/>
              </w:rPr>
              <w:t xml:space="preserve"> resursu pārpilnīb</w:t>
            </w:r>
            <w:r w:rsidR="00E00CC3" w:rsidRPr="00E6504B">
              <w:rPr>
                <w:rFonts w:ascii="Times New Roman" w:hAnsi="Times New Roman" w:cs="Times New Roman"/>
                <w:sz w:val="24"/>
                <w:szCs w:val="24"/>
              </w:rPr>
              <w:t>u</w:t>
            </w:r>
            <w:r w:rsidR="00F01EFC" w:rsidRPr="00E6504B">
              <w:rPr>
                <w:rFonts w:ascii="Times New Roman" w:hAnsi="Times New Roman" w:cs="Times New Roman"/>
                <w:sz w:val="24"/>
                <w:szCs w:val="24"/>
              </w:rPr>
              <w:t>.</w:t>
            </w:r>
            <w:r w:rsidR="00127530" w:rsidRPr="00E6504B">
              <w:rPr>
                <w:rFonts w:ascii="Times New Roman" w:hAnsi="Times New Roman" w:cs="Times New Roman"/>
                <w:sz w:val="24"/>
                <w:szCs w:val="24"/>
              </w:rPr>
              <w:t xml:space="preserve"> </w:t>
            </w:r>
            <w:r w:rsidR="00E00CC3" w:rsidRPr="00E6504B">
              <w:rPr>
                <w:rFonts w:ascii="Times New Roman" w:hAnsi="Times New Roman" w:cs="Times New Roman"/>
                <w:sz w:val="24"/>
                <w:szCs w:val="24"/>
              </w:rPr>
              <w:t xml:space="preserve">Tāpēc pārkāpumi pazemes ūdens resursu ieguvē </w:t>
            </w:r>
            <w:r w:rsidR="00726862" w:rsidRPr="00E6504B">
              <w:rPr>
                <w:rFonts w:ascii="Times New Roman" w:hAnsi="Times New Roman" w:cs="Times New Roman"/>
                <w:sz w:val="24"/>
                <w:szCs w:val="24"/>
              </w:rPr>
              <w:t>vērtējami kā videi bīstam</w:t>
            </w:r>
            <w:r w:rsidR="00354188" w:rsidRPr="00E6504B">
              <w:rPr>
                <w:rFonts w:ascii="Times New Roman" w:hAnsi="Times New Roman" w:cs="Times New Roman"/>
                <w:sz w:val="24"/>
                <w:szCs w:val="24"/>
              </w:rPr>
              <w:t xml:space="preserve">āki, par ko piemērojams lielāks administratīvais sods, </w:t>
            </w:r>
            <w:r w:rsidR="00726862" w:rsidRPr="00E6504B">
              <w:rPr>
                <w:rFonts w:ascii="Times New Roman" w:hAnsi="Times New Roman" w:cs="Times New Roman"/>
                <w:sz w:val="24"/>
                <w:szCs w:val="24"/>
              </w:rPr>
              <w:t>salīdzin</w:t>
            </w:r>
            <w:r w:rsidR="00354188" w:rsidRPr="00E6504B">
              <w:rPr>
                <w:rFonts w:ascii="Times New Roman" w:hAnsi="Times New Roman" w:cs="Times New Roman"/>
                <w:sz w:val="24"/>
                <w:szCs w:val="24"/>
              </w:rPr>
              <w:t>ot</w:t>
            </w:r>
            <w:r w:rsidR="00726862" w:rsidRPr="00E6504B">
              <w:rPr>
                <w:rFonts w:ascii="Times New Roman" w:hAnsi="Times New Roman" w:cs="Times New Roman"/>
                <w:sz w:val="24"/>
                <w:szCs w:val="24"/>
              </w:rPr>
              <w:t xml:space="preserve"> ar </w:t>
            </w:r>
            <w:r w:rsidR="00354188" w:rsidRPr="00E6504B">
              <w:rPr>
                <w:rFonts w:ascii="Times New Roman" w:hAnsi="Times New Roman" w:cs="Times New Roman"/>
                <w:sz w:val="24"/>
                <w:szCs w:val="24"/>
              </w:rPr>
              <w:t xml:space="preserve">līdzīgiem </w:t>
            </w:r>
            <w:r w:rsidR="00726862" w:rsidRPr="00E6504B">
              <w:rPr>
                <w:rFonts w:ascii="Times New Roman" w:hAnsi="Times New Roman" w:cs="Times New Roman"/>
                <w:sz w:val="24"/>
                <w:szCs w:val="24"/>
              </w:rPr>
              <w:t>pārkāpumiem virszemes ūde</w:t>
            </w:r>
            <w:r w:rsidR="00354188" w:rsidRPr="00E6504B">
              <w:rPr>
                <w:rFonts w:ascii="Times New Roman" w:hAnsi="Times New Roman" w:cs="Times New Roman"/>
                <w:sz w:val="24"/>
                <w:szCs w:val="24"/>
              </w:rPr>
              <w:t>ns resursu</w:t>
            </w:r>
            <w:r w:rsidR="00726862" w:rsidRPr="00E6504B">
              <w:rPr>
                <w:rFonts w:ascii="Times New Roman" w:hAnsi="Times New Roman" w:cs="Times New Roman"/>
                <w:sz w:val="24"/>
                <w:szCs w:val="24"/>
              </w:rPr>
              <w:t xml:space="preserve"> ieguvē.  </w:t>
            </w:r>
            <w:r w:rsidR="00E52B4C" w:rsidRPr="00E6504B">
              <w:rPr>
                <w:rFonts w:ascii="Times New Roman" w:hAnsi="Times New Roman" w:cs="Times New Roman"/>
                <w:sz w:val="24"/>
                <w:szCs w:val="24"/>
              </w:rPr>
              <w:t>Vienlaikus, ņ</w:t>
            </w:r>
            <w:r w:rsidR="00726862" w:rsidRPr="00E6504B">
              <w:rPr>
                <w:rFonts w:ascii="Times New Roman" w:hAnsi="Times New Roman" w:cs="Times New Roman"/>
                <w:sz w:val="24"/>
                <w:szCs w:val="24"/>
              </w:rPr>
              <w:t>emot vērā, ka</w:t>
            </w:r>
            <w:r w:rsidR="00354188" w:rsidRPr="00E6504B">
              <w:rPr>
                <w:rFonts w:ascii="Times New Roman" w:hAnsi="Times New Roman" w:cs="Times New Roman"/>
                <w:sz w:val="24"/>
                <w:szCs w:val="24"/>
              </w:rPr>
              <w:t xml:space="preserve"> administratīvā naudas soda apmērs par neatļautu ūdens resursu ieguvi (</w:t>
            </w:r>
            <w:r w:rsidR="00E52B4C" w:rsidRPr="00E6504B">
              <w:rPr>
                <w:rFonts w:ascii="Times New Roman" w:hAnsi="Times New Roman" w:cs="Times New Roman"/>
                <w:sz w:val="24"/>
                <w:szCs w:val="24"/>
              </w:rPr>
              <w:t>bez nepieciešamās ūdens resursu lietošanas atļaujas</w:t>
            </w:r>
            <w:r w:rsidR="00354188" w:rsidRPr="00E6504B">
              <w:rPr>
                <w:rFonts w:ascii="Times New Roman" w:hAnsi="Times New Roman" w:cs="Times New Roman"/>
                <w:sz w:val="24"/>
                <w:szCs w:val="24"/>
              </w:rPr>
              <w:t>) nav noteikts kā konstants lielums</w:t>
            </w:r>
            <w:r w:rsidR="00815E3E" w:rsidRPr="00E6504B">
              <w:rPr>
                <w:rFonts w:ascii="Times New Roman" w:hAnsi="Times New Roman" w:cs="Times New Roman"/>
                <w:sz w:val="24"/>
                <w:szCs w:val="24"/>
              </w:rPr>
              <w:t> </w:t>
            </w:r>
            <w:r w:rsidR="009E690D" w:rsidRPr="00E6504B">
              <w:rPr>
                <w:rFonts w:ascii="Times New Roman" w:hAnsi="Times New Roman" w:cs="Times New Roman"/>
                <w:sz w:val="24"/>
                <w:szCs w:val="24"/>
              </w:rPr>
              <w:t>– </w:t>
            </w:r>
            <w:r w:rsidR="00354188" w:rsidRPr="00E6504B">
              <w:rPr>
                <w:rFonts w:ascii="Times New Roman" w:hAnsi="Times New Roman" w:cs="Times New Roman"/>
                <w:sz w:val="24"/>
                <w:szCs w:val="24"/>
              </w:rPr>
              <w:t>likumprojekta 2.</w:t>
            </w:r>
            <w:r w:rsidR="00815E3E" w:rsidRPr="00E6504B">
              <w:rPr>
                <w:rFonts w:ascii="Times New Roman" w:hAnsi="Times New Roman" w:cs="Times New Roman"/>
                <w:sz w:val="24"/>
                <w:szCs w:val="24"/>
              </w:rPr>
              <w:t> </w:t>
            </w:r>
            <w:r w:rsidR="00354188" w:rsidRPr="00E6504B">
              <w:rPr>
                <w:rFonts w:ascii="Times New Roman" w:hAnsi="Times New Roman" w:cs="Times New Roman"/>
                <w:sz w:val="24"/>
                <w:szCs w:val="24"/>
              </w:rPr>
              <w:t>pantā paredzētajā</w:t>
            </w:r>
            <w:r w:rsidR="00815E3E" w:rsidRPr="00E6504B">
              <w:rPr>
                <w:rFonts w:ascii="Times New Roman" w:hAnsi="Times New Roman" w:cs="Times New Roman"/>
                <w:sz w:val="24"/>
                <w:szCs w:val="24"/>
              </w:rPr>
              <w:t xml:space="preserve"> </w:t>
            </w:r>
            <w:r w:rsidR="006410D5" w:rsidRPr="00E6504B">
              <w:rPr>
                <w:rFonts w:ascii="Times New Roman" w:hAnsi="Times New Roman" w:cs="Times New Roman"/>
                <w:sz w:val="24"/>
                <w:szCs w:val="24"/>
              </w:rPr>
              <w:t xml:space="preserve">ŪAL </w:t>
            </w:r>
            <w:r w:rsidR="00815E3E" w:rsidRPr="00E6504B">
              <w:rPr>
                <w:rFonts w:ascii="Times New Roman" w:hAnsi="Times New Roman" w:cs="Times New Roman"/>
                <w:sz w:val="24"/>
                <w:szCs w:val="24"/>
              </w:rPr>
              <w:t>27. </w:t>
            </w:r>
            <w:r w:rsidR="00354188" w:rsidRPr="00E6504B">
              <w:rPr>
                <w:rFonts w:ascii="Times New Roman" w:hAnsi="Times New Roman" w:cs="Times New Roman"/>
                <w:sz w:val="24"/>
                <w:szCs w:val="24"/>
              </w:rPr>
              <w:t xml:space="preserve">panta trešajā daļā ir noteikts minimālais un maksimālais </w:t>
            </w:r>
            <w:r w:rsidR="00815E3E" w:rsidRPr="00E6504B">
              <w:rPr>
                <w:rFonts w:ascii="Times New Roman" w:hAnsi="Times New Roman" w:cs="Times New Roman"/>
                <w:sz w:val="24"/>
                <w:szCs w:val="24"/>
              </w:rPr>
              <w:t xml:space="preserve">administratīvā </w:t>
            </w:r>
            <w:r w:rsidR="00354188" w:rsidRPr="00E6504B">
              <w:rPr>
                <w:rFonts w:ascii="Times New Roman" w:hAnsi="Times New Roman" w:cs="Times New Roman"/>
                <w:sz w:val="24"/>
                <w:szCs w:val="24"/>
              </w:rPr>
              <w:t xml:space="preserve">naudas soda apmērs, VVD konkrēta pārkāpuma gadījumā izvērtēs radītā kaitējuma ietekmi </w:t>
            </w:r>
            <w:r w:rsidR="00815E3E" w:rsidRPr="00E6504B">
              <w:rPr>
                <w:rFonts w:ascii="Times New Roman" w:hAnsi="Times New Roman" w:cs="Times New Roman"/>
                <w:sz w:val="24"/>
                <w:szCs w:val="24"/>
              </w:rPr>
              <w:t xml:space="preserve">uz virszemes vai pazemes ūdens resursiem </w:t>
            </w:r>
            <w:r w:rsidR="00354188" w:rsidRPr="00E6504B">
              <w:rPr>
                <w:rFonts w:ascii="Times New Roman" w:hAnsi="Times New Roman" w:cs="Times New Roman"/>
                <w:sz w:val="24"/>
                <w:szCs w:val="24"/>
              </w:rPr>
              <w:t>un piemēros tam atbilstošas soda sankcijas.</w:t>
            </w:r>
            <w:r w:rsidR="00815E3E" w:rsidRPr="00E6504B">
              <w:rPr>
                <w:rFonts w:ascii="Times New Roman" w:hAnsi="Times New Roman" w:cs="Times New Roman"/>
                <w:sz w:val="24"/>
                <w:szCs w:val="24"/>
              </w:rPr>
              <w:t xml:space="preserve"> </w:t>
            </w:r>
          </w:p>
          <w:p w14:paraId="5B572858" w14:textId="3A663A1E" w:rsidR="001F7EAD" w:rsidRPr="00E6504B" w:rsidRDefault="001F7EAD" w:rsidP="00F4434D">
            <w:pPr>
              <w:pStyle w:val="NoSpacing"/>
              <w:jc w:val="both"/>
              <w:rPr>
                <w:rFonts w:ascii="Times New Roman" w:hAnsi="Times New Roman"/>
                <w:sz w:val="24"/>
                <w:szCs w:val="24"/>
                <w:lang w:val="lv-LV"/>
              </w:rPr>
            </w:pPr>
            <w:r w:rsidRPr="00E6504B">
              <w:rPr>
                <w:rFonts w:ascii="Times New Roman" w:hAnsi="Times New Roman"/>
                <w:sz w:val="24"/>
                <w:szCs w:val="24"/>
                <w:lang w:val="lv-LV"/>
              </w:rPr>
              <w:t xml:space="preserve">Administratīvā atbildība par atļaujas neesamību tiek piemērota gadījumos, kad atļauja kā dokuments nav pieprasīta vai nav izsniegta vai arī atļauja ir izsniegta, bet </w:t>
            </w:r>
          </w:p>
          <w:p w14:paraId="0864DC36" w14:textId="79279280" w:rsidR="007839C8" w:rsidRPr="00E6504B" w:rsidRDefault="001F7EAD" w:rsidP="00F4434D">
            <w:pPr>
              <w:pStyle w:val="tv213"/>
              <w:shd w:val="clear" w:color="auto" w:fill="FFFFFF"/>
              <w:spacing w:before="0" w:beforeAutospacing="0" w:after="0" w:afterAutospacing="0"/>
              <w:jc w:val="both"/>
              <w:rPr>
                <w:lang w:val="lv-LV"/>
              </w:rPr>
            </w:pPr>
            <w:r w:rsidRPr="00E6504B">
              <w:rPr>
                <w:lang w:val="lv-LV"/>
              </w:rPr>
              <w:t>pieteiktā darbība tiek veikta citā adresē.</w:t>
            </w:r>
          </w:p>
          <w:p w14:paraId="1150205E" w14:textId="1FDDCD1D" w:rsidR="00167FEB" w:rsidRPr="00E6504B" w:rsidRDefault="00991955" w:rsidP="00F4434D">
            <w:pPr>
              <w:pStyle w:val="tv213"/>
              <w:shd w:val="clear" w:color="auto" w:fill="FFFFFF"/>
              <w:spacing w:before="0" w:beforeAutospacing="0" w:after="0" w:afterAutospacing="0"/>
              <w:jc w:val="both"/>
              <w:rPr>
                <w:bCs/>
                <w:lang w:val="lv-LV"/>
              </w:rPr>
            </w:pPr>
            <w:r w:rsidRPr="00E6504B">
              <w:rPr>
                <w:lang w:val="lv-LV"/>
              </w:rPr>
              <w:t xml:space="preserve">Šobrīd saskaņā ar Ministru kabineta </w:t>
            </w:r>
            <w:r w:rsidR="004F11BB" w:rsidRPr="00E6504B">
              <w:rPr>
                <w:lang w:val="lv-LV"/>
              </w:rPr>
              <w:t xml:space="preserve">2011. gada 21. jūnija </w:t>
            </w:r>
            <w:r w:rsidRPr="00E6504B">
              <w:rPr>
                <w:lang w:val="lv-LV"/>
              </w:rPr>
              <w:t xml:space="preserve"> noteikumiem Nr. 469</w:t>
            </w:r>
            <w:r w:rsidR="004F11BB" w:rsidRPr="00E6504B">
              <w:rPr>
                <w:lang w:val="lv-LV"/>
              </w:rPr>
              <w:t xml:space="preserve"> “Noteikumi par valsts nodevas apmēru un maksāšanas kārtību par ūdens resursu lietošanas atļaujas izsniegšanu” valsts nodevas apmērs par min</w:t>
            </w:r>
            <w:r w:rsidR="00932BE8" w:rsidRPr="00E6504B">
              <w:rPr>
                <w:lang w:val="lv-LV"/>
              </w:rPr>
              <w:t>ētās atļaujas izsniegšanu ir 78,</w:t>
            </w:r>
            <w:r w:rsidR="004F11BB" w:rsidRPr="00E6504B">
              <w:rPr>
                <w:lang w:val="lv-LV"/>
              </w:rPr>
              <w:t>26 </w:t>
            </w:r>
            <w:r w:rsidR="00167FEB" w:rsidRPr="00E6504B">
              <w:rPr>
                <w:i/>
                <w:lang w:val="lv-LV"/>
              </w:rPr>
              <w:t>euro</w:t>
            </w:r>
            <w:r w:rsidR="00167FEB" w:rsidRPr="00E6504B">
              <w:rPr>
                <w:lang w:val="lv-LV"/>
              </w:rPr>
              <w:t xml:space="preserve">, </w:t>
            </w:r>
            <w:r w:rsidR="004F11BB" w:rsidRPr="00E6504B">
              <w:rPr>
                <w:lang w:val="lv-LV"/>
              </w:rPr>
              <w:t>pārsniedz</w:t>
            </w:r>
            <w:r w:rsidR="00167FEB" w:rsidRPr="00E6504B">
              <w:rPr>
                <w:lang w:val="lv-LV"/>
              </w:rPr>
              <w:t>ot</w:t>
            </w:r>
            <w:r w:rsidR="004F11BB" w:rsidRPr="00E6504B">
              <w:rPr>
                <w:lang w:val="lv-LV"/>
              </w:rPr>
              <w:t xml:space="preserve"> Kodeksa 62. pantā noteikto minimālo naudas soda lielumu. Turklāt jāņem vērā, ka ūdeņu nesankcionēta lietošana bez</w:t>
            </w:r>
            <w:r w:rsidR="0087586C" w:rsidRPr="00E6504B">
              <w:rPr>
                <w:lang w:val="lv-LV"/>
              </w:rPr>
              <w:t xml:space="preserve"> </w:t>
            </w:r>
            <w:r w:rsidR="004F11BB" w:rsidRPr="00E6504B">
              <w:rPr>
                <w:lang w:val="lv-LV"/>
              </w:rPr>
              <w:t>jebkādiem nosacījumiem vides resursu saudzējošai un racionālai izmantošanai var radīt kaitējumu ar ilglaicīgām sekām</w:t>
            </w:r>
            <w:r w:rsidR="0087586C" w:rsidRPr="00E6504B">
              <w:rPr>
                <w:lang w:val="lv-LV"/>
              </w:rPr>
              <w:t xml:space="preserve"> ne tikai konkrētā vietā</w:t>
            </w:r>
            <w:r w:rsidR="00167FEB" w:rsidRPr="00E6504B">
              <w:rPr>
                <w:lang w:val="lv-LV"/>
              </w:rPr>
              <w:t xml:space="preserve"> (vienā īpašumā), bet, </w:t>
            </w:r>
            <w:r w:rsidR="0087586C" w:rsidRPr="00E6504B">
              <w:rPr>
                <w:lang w:val="lv-LV"/>
              </w:rPr>
              <w:t xml:space="preserve">piemēram, </w:t>
            </w:r>
            <w:r w:rsidR="00DA095D" w:rsidRPr="00E6504B">
              <w:rPr>
                <w:lang w:val="lv-LV"/>
              </w:rPr>
              <w:t>veicināt pazemes ūdens resursu izsīkšanu</w:t>
            </w:r>
            <w:r w:rsidR="00167FEB" w:rsidRPr="00E6504B">
              <w:rPr>
                <w:lang w:val="lv-LV"/>
              </w:rPr>
              <w:t xml:space="preserve"> </w:t>
            </w:r>
            <w:r w:rsidR="00DA095D" w:rsidRPr="00E6504B">
              <w:rPr>
                <w:lang w:val="lv-LV"/>
              </w:rPr>
              <w:t xml:space="preserve"> atradnē un dzeramā ūdens ņemšanai nepiemērotu ūdeņu ieplūšanu attiecīgajā pazemes ūdens horizontā.</w:t>
            </w:r>
            <w:r w:rsidR="00167FEB" w:rsidRPr="00E6504B">
              <w:rPr>
                <w:bCs/>
                <w:lang w:val="lv-LV"/>
              </w:rPr>
              <w:t xml:space="preserve"> </w:t>
            </w:r>
            <w:r w:rsidR="00167FEB" w:rsidRPr="00E6504B">
              <w:rPr>
                <w:lang w:val="lv-LV" w:eastAsia="lv-LV"/>
              </w:rPr>
              <w:t>Papildus jāatzīmē, ka saskaņā ar Ekonomiskās sadarbības un attīstības organizācijas (turpmāk – ESAO) 2019. gada Vides raksturlielumu pārskatā minētajām rekomendācijām Latvijai ir jānosaka administratīvie naudas sodi, pamatojoties uz pārkāpuma smagumu un saimniecisko labumu, kas tie</w:t>
            </w:r>
            <w:r w:rsidR="00E940E8" w:rsidRPr="00E6504B">
              <w:rPr>
                <w:lang w:val="lv-LV" w:eastAsia="lv-LV"/>
              </w:rPr>
              <w:t>k gūts no prasību neievērošanas</w:t>
            </w:r>
            <w:r w:rsidR="00167FEB" w:rsidRPr="00E6504B">
              <w:rPr>
                <w:rStyle w:val="FootnoteReference"/>
                <w:lang w:val="lv-LV" w:eastAsia="lv-LV"/>
              </w:rPr>
              <w:footnoteReference w:id="2"/>
            </w:r>
            <w:r w:rsidR="00167FEB" w:rsidRPr="00E6504B">
              <w:rPr>
                <w:lang w:val="lv-LV" w:eastAsia="lv-LV"/>
              </w:rPr>
              <w:t xml:space="preserve">. </w:t>
            </w:r>
            <w:r w:rsidR="008D3E39" w:rsidRPr="00E6504B">
              <w:rPr>
                <w:lang w:val="lv-LV"/>
              </w:rPr>
              <w:t xml:space="preserve"> </w:t>
            </w:r>
            <w:r w:rsidR="009E690D" w:rsidRPr="00E6504B">
              <w:rPr>
                <w:lang w:val="lv-LV"/>
              </w:rPr>
              <w:t>Turklāt</w:t>
            </w:r>
            <w:r w:rsidR="008D3E39" w:rsidRPr="00E6504B">
              <w:rPr>
                <w:lang w:val="lv-LV"/>
              </w:rPr>
              <w:t xml:space="preserve"> ir ņemts vērā</w:t>
            </w:r>
            <w:r w:rsidR="00401228" w:rsidRPr="00E6504B">
              <w:rPr>
                <w:lang w:val="lv-LV"/>
              </w:rPr>
              <w:t xml:space="preserve">, </w:t>
            </w:r>
            <w:r w:rsidR="00EC623A" w:rsidRPr="00E6504B">
              <w:rPr>
                <w:lang w:val="lv-LV"/>
              </w:rPr>
              <w:t xml:space="preserve">ka </w:t>
            </w:r>
            <w:r w:rsidR="001A2BB9" w:rsidRPr="00E6504B">
              <w:rPr>
                <w:lang w:val="lv-LV"/>
              </w:rPr>
              <w:t xml:space="preserve">Piesārņojuma likumā ir </w:t>
            </w:r>
            <w:r w:rsidR="00EC623A" w:rsidRPr="00E6504B">
              <w:rPr>
                <w:lang w:val="lv-LV"/>
              </w:rPr>
              <w:t>plānot</w:t>
            </w:r>
            <w:r w:rsidR="00401228" w:rsidRPr="00E6504B">
              <w:rPr>
                <w:lang w:val="lv-LV"/>
              </w:rPr>
              <w:t xml:space="preserve">s paaugstināt administratīvā soda sankcijas par </w:t>
            </w:r>
            <w:r w:rsidR="008319C6" w:rsidRPr="00E6504B">
              <w:rPr>
                <w:lang w:val="lv-LV"/>
              </w:rPr>
              <w:t xml:space="preserve">piesārņojošas darbības veikšanu bez </w:t>
            </w:r>
            <w:r w:rsidR="008D3E39" w:rsidRPr="00E6504B">
              <w:rPr>
                <w:lang w:val="lv-LV"/>
              </w:rPr>
              <w:t>A vai B</w:t>
            </w:r>
            <w:r w:rsidR="008319C6" w:rsidRPr="00E6504B">
              <w:rPr>
                <w:lang w:val="lv-LV"/>
              </w:rPr>
              <w:t xml:space="preserve"> kategorijas</w:t>
            </w:r>
            <w:r w:rsidR="008D3E39" w:rsidRPr="00E6504B">
              <w:rPr>
                <w:lang w:val="lv-LV"/>
              </w:rPr>
              <w:t xml:space="preserve"> piesārņojošās darbības</w:t>
            </w:r>
            <w:r w:rsidR="008319C6" w:rsidRPr="00E6504B">
              <w:rPr>
                <w:lang w:val="lv-LV"/>
              </w:rPr>
              <w:t xml:space="preserve"> atļaujas vai</w:t>
            </w:r>
            <w:r w:rsidR="008D3E39" w:rsidRPr="00E6504B">
              <w:rPr>
                <w:lang w:val="lv-LV"/>
              </w:rPr>
              <w:t xml:space="preserve"> </w:t>
            </w:r>
            <w:r w:rsidR="0080534C" w:rsidRPr="00E6504B">
              <w:rPr>
                <w:lang w:val="lv-LV"/>
              </w:rPr>
              <w:t xml:space="preserve">par </w:t>
            </w:r>
            <w:r w:rsidR="008D3E39" w:rsidRPr="00E6504B">
              <w:rPr>
                <w:lang w:val="lv-LV"/>
              </w:rPr>
              <w:t>C kategorijas piesārņojošās darb</w:t>
            </w:r>
            <w:r w:rsidR="002838D7" w:rsidRPr="00E6504B">
              <w:rPr>
                <w:lang w:val="lv-LV"/>
              </w:rPr>
              <w:t>ības</w:t>
            </w:r>
            <w:r w:rsidR="0080534C" w:rsidRPr="00E6504B">
              <w:rPr>
                <w:lang w:val="lv-LV"/>
              </w:rPr>
              <w:t xml:space="preserve"> veikšanas bez</w:t>
            </w:r>
            <w:r w:rsidR="008319C6" w:rsidRPr="00E6504B">
              <w:rPr>
                <w:lang w:val="lv-LV"/>
              </w:rPr>
              <w:t xml:space="preserve"> paziņošanas</w:t>
            </w:r>
            <w:r w:rsidR="00401228" w:rsidRPr="00E6504B">
              <w:rPr>
                <w:lang w:val="lv-LV"/>
              </w:rPr>
              <w:t xml:space="preserve">. Līdz ar to ir nepieciešams </w:t>
            </w:r>
            <w:r w:rsidR="007724BB" w:rsidRPr="00E6504B">
              <w:rPr>
                <w:lang w:val="lv-LV"/>
              </w:rPr>
              <w:t>paaug</w:t>
            </w:r>
            <w:r w:rsidR="00944744" w:rsidRPr="00E6504B">
              <w:rPr>
                <w:lang w:val="lv-LV"/>
              </w:rPr>
              <w:t>s</w:t>
            </w:r>
            <w:r w:rsidR="007724BB" w:rsidRPr="00E6504B">
              <w:rPr>
                <w:lang w:val="lv-LV"/>
              </w:rPr>
              <w:t>tināt</w:t>
            </w:r>
            <w:r w:rsidR="00401228" w:rsidRPr="00E6504B">
              <w:rPr>
                <w:lang w:val="lv-LV"/>
              </w:rPr>
              <w:t xml:space="preserve"> </w:t>
            </w:r>
            <w:r w:rsidR="008319C6" w:rsidRPr="00E6504B">
              <w:rPr>
                <w:lang w:val="lv-LV"/>
              </w:rPr>
              <w:t>soda</w:t>
            </w:r>
            <w:r w:rsidR="00401228" w:rsidRPr="00E6504B">
              <w:rPr>
                <w:lang w:val="lv-LV"/>
              </w:rPr>
              <w:t xml:space="preserve"> sankcijas arī par pārkāpumiem dabas resursu izmantošanā.</w:t>
            </w:r>
            <w:r w:rsidR="00167FEB" w:rsidRPr="00E6504B">
              <w:rPr>
                <w:bCs/>
                <w:lang w:val="lv-LV"/>
              </w:rPr>
              <w:t xml:space="preserve"> </w:t>
            </w:r>
          </w:p>
          <w:p w14:paraId="3327015D" w14:textId="52C9E0AF" w:rsidR="0024709D" w:rsidRPr="00E6504B" w:rsidRDefault="0024709D" w:rsidP="00F4434D">
            <w:pPr>
              <w:pStyle w:val="tv2132"/>
              <w:spacing w:line="240" w:lineRule="auto"/>
              <w:ind w:firstLine="0"/>
              <w:jc w:val="both"/>
              <w:rPr>
                <w:color w:val="auto"/>
                <w:sz w:val="24"/>
                <w:szCs w:val="24"/>
                <w:lang w:val="lv-LV"/>
              </w:rPr>
            </w:pPr>
            <w:r w:rsidRPr="00E6504B">
              <w:rPr>
                <w:color w:val="auto"/>
                <w:sz w:val="24"/>
                <w:szCs w:val="24"/>
                <w:lang w:val="lv-LV"/>
              </w:rPr>
              <w:t>Tiesības piemērot administratīvos sodus par  virszemes vai pazemes ūdens resursu lietošanu bez ūdens resursu lietošanas atļaujas</w:t>
            </w:r>
            <w:r w:rsidR="00F84B4C" w:rsidRPr="00E6504B">
              <w:rPr>
                <w:color w:val="auto"/>
                <w:sz w:val="24"/>
                <w:szCs w:val="24"/>
                <w:lang w:val="lv-LV"/>
              </w:rPr>
              <w:t xml:space="preserve"> </w:t>
            </w:r>
            <w:r w:rsidRPr="00E6504B">
              <w:rPr>
                <w:color w:val="auto"/>
                <w:sz w:val="24"/>
                <w:szCs w:val="24"/>
                <w:lang w:val="lv-LV"/>
              </w:rPr>
              <w:t xml:space="preserve">ir saglabātas līdzšinējai kompetentajai iestādei – VVD, kas atbilstoši Kodeksa 231. pantam izskata administratīvo pārkāpumu lietas atbilstoši Kodeksa 62. un 64. pantam. VVD kompetence </w:t>
            </w:r>
            <w:r w:rsidR="008D4BA5" w:rsidRPr="00E6504B">
              <w:rPr>
                <w:color w:val="auto"/>
                <w:sz w:val="24"/>
                <w:szCs w:val="24"/>
                <w:lang w:val="lv-LV"/>
              </w:rPr>
              <w:t>administratīvo pārkāpumu procesā</w:t>
            </w:r>
            <w:r w:rsidRPr="00E6504B">
              <w:rPr>
                <w:color w:val="auto"/>
                <w:sz w:val="24"/>
                <w:szCs w:val="24"/>
                <w:lang w:val="lv-LV"/>
              </w:rPr>
              <w:t xml:space="preserve"> par šo pārkāpumu sastāvu ir noteikta </w:t>
            </w:r>
            <w:r w:rsidR="00496833" w:rsidRPr="00E6504B">
              <w:rPr>
                <w:color w:val="auto"/>
                <w:sz w:val="24"/>
                <w:szCs w:val="24"/>
                <w:lang w:val="lv-LV"/>
              </w:rPr>
              <w:t>likumprojekta</w:t>
            </w:r>
            <w:r w:rsidR="00931E4F" w:rsidRPr="00E6504B">
              <w:rPr>
                <w:color w:val="auto"/>
                <w:sz w:val="24"/>
                <w:szCs w:val="24"/>
                <w:lang w:val="lv-LV"/>
              </w:rPr>
              <w:t xml:space="preserve"> 2. pantā paredzētajā</w:t>
            </w:r>
            <w:r w:rsidR="00496833" w:rsidRPr="00E6504B">
              <w:rPr>
                <w:color w:val="auto"/>
                <w:sz w:val="24"/>
                <w:szCs w:val="24"/>
                <w:lang w:val="lv-LV"/>
              </w:rPr>
              <w:t xml:space="preserve"> </w:t>
            </w:r>
            <w:r w:rsidR="006410D5" w:rsidRPr="00E6504B">
              <w:rPr>
                <w:color w:val="auto"/>
                <w:sz w:val="24"/>
                <w:szCs w:val="24"/>
                <w:lang w:val="lv-LV"/>
              </w:rPr>
              <w:t>ŪAL</w:t>
            </w:r>
            <w:r w:rsidR="00931E4F" w:rsidRPr="00E6504B">
              <w:rPr>
                <w:color w:val="auto"/>
                <w:sz w:val="24"/>
                <w:szCs w:val="24"/>
                <w:lang w:val="lv-LV"/>
              </w:rPr>
              <w:t xml:space="preserve"> </w:t>
            </w:r>
            <w:r w:rsidRPr="00E6504B">
              <w:rPr>
                <w:color w:val="auto"/>
                <w:sz w:val="24"/>
                <w:szCs w:val="24"/>
                <w:lang w:val="lv-LV"/>
              </w:rPr>
              <w:t xml:space="preserve">28. panta </w:t>
            </w:r>
            <w:r w:rsidR="008D4BA5" w:rsidRPr="00E6504B">
              <w:rPr>
                <w:color w:val="auto"/>
                <w:sz w:val="24"/>
                <w:szCs w:val="24"/>
                <w:lang w:val="lv-LV"/>
              </w:rPr>
              <w:t xml:space="preserve">otrajā </w:t>
            </w:r>
            <w:r w:rsidRPr="00E6504B">
              <w:rPr>
                <w:color w:val="auto"/>
                <w:sz w:val="24"/>
                <w:szCs w:val="24"/>
                <w:lang w:val="lv-LV"/>
              </w:rPr>
              <w:t>daļā.</w:t>
            </w:r>
          </w:p>
          <w:p w14:paraId="6DEC42D6" w14:textId="5ED5CE5A" w:rsidR="00EB4173" w:rsidRPr="00E6504B" w:rsidRDefault="006410D5" w:rsidP="00F4434D">
            <w:pPr>
              <w:spacing w:after="0" w:line="240" w:lineRule="auto"/>
              <w:jc w:val="both"/>
              <w:rPr>
                <w:rFonts w:ascii="Times New Roman" w:hAnsi="Times New Roman" w:cs="Times New Roman"/>
                <w:sz w:val="24"/>
                <w:szCs w:val="24"/>
              </w:rPr>
            </w:pPr>
            <w:r w:rsidRPr="00E6504B">
              <w:rPr>
                <w:rFonts w:ascii="Times New Roman" w:hAnsi="Times New Roman" w:cs="Times New Roman"/>
                <w:sz w:val="24"/>
                <w:szCs w:val="24"/>
              </w:rPr>
              <w:t>ŪAL</w:t>
            </w:r>
            <w:r w:rsidRPr="00E6504B">
              <w:rPr>
                <w:rFonts w:ascii="Times New Roman" w:eastAsia="Times New Roman" w:hAnsi="Times New Roman" w:cs="Times New Roman"/>
                <w:sz w:val="24"/>
                <w:szCs w:val="24"/>
              </w:rPr>
              <w:t xml:space="preserve"> </w:t>
            </w:r>
            <w:r w:rsidR="00EE2686" w:rsidRPr="00E6504B">
              <w:rPr>
                <w:rFonts w:ascii="Times New Roman" w:eastAsia="Times New Roman" w:hAnsi="Times New Roman" w:cs="Times New Roman"/>
                <w:sz w:val="24"/>
                <w:szCs w:val="24"/>
              </w:rPr>
              <w:t>6.</w:t>
            </w:r>
            <w:r w:rsidR="003D16E1" w:rsidRPr="00E6504B">
              <w:rPr>
                <w:rFonts w:ascii="Times New Roman" w:eastAsia="Times New Roman" w:hAnsi="Times New Roman" w:cs="Times New Roman"/>
                <w:sz w:val="24"/>
                <w:szCs w:val="24"/>
              </w:rPr>
              <w:t> </w:t>
            </w:r>
            <w:r w:rsidR="009B50A8" w:rsidRPr="00E6504B">
              <w:rPr>
                <w:rFonts w:ascii="Times New Roman" w:eastAsia="Times New Roman" w:hAnsi="Times New Roman" w:cs="Times New Roman"/>
                <w:sz w:val="24"/>
                <w:szCs w:val="24"/>
              </w:rPr>
              <w:t xml:space="preserve">pantā </w:t>
            </w:r>
            <w:r w:rsidR="00DD2890" w:rsidRPr="00E6504B">
              <w:rPr>
                <w:rFonts w:ascii="Times New Roman" w:eastAsia="Times New Roman" w:hAnsi="Times New Roman" w:cs="Times New Roman"/>
                <w:sz w:val="24"/>
                <w:szCs w:val="24"/>
              </w:rPr>
              <w:t xml:space="preserve">ir </w:t>
            </w:r>
            <w:r w:rsidR="009B50A8" w:rsidRPr="00E6504B">
              <w:rPr>
                <w:rFonts w:ascii="Times New Roman" w:eastAsia="Times New Roman" w:hAnsi="Times New Roman" w:cs="Times New Roman"/>
                <w:sz w:val="24"/>
                <w:szCs w:val="24"/>
              </w:rPr>
              <w:t xml:space="preserve">noteiktas </w:t>
            </w:r>
            <w:r w:rsidR="00EE2686" w:rsidRPr="00E6504B">
              <w:rPr>
                <w:rFonts w:ascii="Times New Roman" w:eastAsia="Times New Roman" w:hAnsi="Times New Roman" w:cs="Times New Roman"/>
                <w:sz w:val="24"/>
                <w:szCs w:val="24"/>
              </w:rPr>
              <w:t>ūdens resursu lietotāja tiesības</w:t>
            </w:r>
            <w:r w:rsidR="00A66037" w:rsidRPr="00E6504B">
              <w:rPr>
                <w:rFonts w:ascii="Times New Roman" w:eastAsia="Times New Roman" w:hAnsi="Times New Roman" w:cs="Times New Roman"/>
                <w:sz w:val="24"/>
                <w:szCs w:val="24"/>
              </w:rPr>
              <w:t>, tai skaitā a</w:t>
            </w:r>
            <w:r w:rsidR="009B50A8" w:rsidRPr="00E6504B">
              <w:rPr>
                <w:rFonts w:ascii="Times New Roman" w:eastAsia="Times New Roman" w:hAnsi="Times New Roman" w:cs="Times New Roman"/>
                <w:sz w:val="24"/>
                <w:szCs w:val="24"/>
              </w:rPr>
              <w:t>tbilstoši</w:t>
            </w:r>
            <w:r w:rsidR="00496833" w:rsidRPr="00E6504B">
              <w:rPr>
                <w:rFonts w:ascii="Times New Roman" w:eastAsia="Times New Roman" w:hAnsi="Times New Roman" w:cs="Times New Roman"/>
                <w:sz w:val="24"/>
                <w:szCs w:val="24"/>
              </w:rPr>
              <w:t xml:space="preserve"> minētā panta</w:t>
            </w:r>
            <w:r w:rsidRPr="00E6504B">
              <w:rPr>
                <w:rFonts w:ascii="Times New Roman" w:eastAsia="Times New Roman" w:hAnsi="Times New Roman" w:cs="Times New Roman"/>
                <w:sz w:val="24"/>
                <w:szCs w:val="24"/>
              </w:rPr>
              <w:t xml:space="preserve"> 3. </w:t>
            </w:r>
            <w:r w:rsidR="009B50A8" w:rsidRPr="00E6504B">
              <w:rPr>
                <w:rFonts w:ascii="Times New Roman" w:eastAsia="Times New Roman" w:hAnsi="Times New Roman" w:cs="Times New Roman"/>
                <w:sz w:val="24"/>
                <w:szCs w:val="24"/>
              </w:rPr>
              <w:t xml:space="preserve">punktam </w:t>
            </w:r>
            <w:r w:rsidR="007A2840" w:rsidRPr="00E6504B">
              <w:rPr>
                <w:rFonts w:ascii="Times New Roman" w:eastAsia="Times New Roman" w:hAnsi="Times New Roman" w:cs="Times New Roman"/>
                <w:sz w:val="24"/>
                <w:szCs w:val="24"/>
              </w:rPr>
              <w:t xml:space="preserve">ir </w:t>
            </w:r>
            <w:r w:rsidR="009B50A8" w:rsidRPr="00E6504B">
              <w:rPr>
                <w:rFonts w:ascii="Times New Roman" w:eastAsia="Times New Roman" w:hAnsi="Times New Roman" w:cs="Times New Roman"/>
                <w:sz w:val="24"/>
                <w:szCs w:val="24"/>
              </w:rPr>
              <w:t>atļauts</w:t>
            </w:r>
            <w:r w:rsidR="00EE2686" w:rsidRPr="00E6504B">
              <w:rPr>
                <w:rFonts w:ascii="Times New Roman" w:eastAsia="Times New Roman" w:hAnsi="Times New Roman" w:cs="Times New Roman"/>
                <w:sz w:val="24"/>
                <w:szCs w:val="24"/>
              </w:rPr>
              <w:t xml:space="preserve"> veikt </w:t>
            </w:r>
            <w:r w:rsidR="005B3C79" w:rsidRPr="00E6504B">
              <w:rPr>
                <w:rFonts w:ascii="Times New Roman" w:eastAsia="Times New Roman" w:hAnsi="Times New Roman" w:cs="Times New Roman"/>
                <w:sz w:val="24"/>
                <w:szCs w:val="24"/>
              </w:rPr>
              <w:t xml:space="preserve">arī tādas </w:t>
            </w:r>
            <w:r w:rsidR="00EE2686" w:rsidRPr="00E6504B">
              <w:rPr>
                <w:rFonts w:ascii="Times New Roman" w:eastAsia="Times New Roman" w:hAnsi="Times New Roman" w:cs="Times New Roman"/>
                <w:sz w:val="24"/>
                <w:szCs w:val="24"/>
              </w:rPr>
              <w:t>darbības, kas ietekmē ūdensobjektus,</w:t>
            </w:r>
            <w:r w:rsidR="0025260B" w:rsidRPr="00E6504B">
              <w:rPr>
                <w:rFonts w:ascii="Times New Roman" w:eastAsia="Times New Roman" w:hAnsi="Times New Roman" w:cs="Times New Roman"/>
                <w:sz w:val="24"/>
                <w:szCs w:val="24"/>
              </w:rPr>
              <w:t xml:space="preserve"> </w:t>
            </w:r>
            <w:r w:rsidR="009B50A8" w:rsidRPr="00E6504B">
              <w:rPr>
                <w:rFonts w:ascii="Times New Roman" w:eastAsia="Times New Roman" w:hAnsi="Times New Roman" w:cs="Times New Roman"/>
                <w:sz w:val="24"/>
                <w:szCs w:val="24"/>
              </w:rPr>
              <w:t>ja</w:t>
            </w:r>
            <w:r w:rsidR="00862E23" w:rsidRPr="00E6504B">
              <w:rPr>
                <w:rFonts w:ascii="Times New Roman" w:eastAsia="Times New Roman" w:hAnsi="Times New Roman" w:cs="Times New Roman"/>
                <w:sz w:val="24"/>
                <w:szCs w:val="24"/>
              </w:rPr>
              <w:t xml:space="preserve"> </w:t>
            </w:r>
            <w:r w:rsidR="009B50A8" w:rsidRPr="00E6504B">
              <w:rPr>
                <w:rFonts w:ascii="Times New Roman" w:eastAsia="Times New Roman" w:hAnsi="Times New Roman" w:cs="Times New Roman"/>
                <w:sz w:val="24"/>
                <w:szCs w:val="24"/>
              </w:rPr>
              <w:t xml:space="preserve">tās </w:t>
            </w:r>
            <w:r w:rsidR="00EE2686" w:rsidRPr="00E6504B">
              <w:rPr>
                <w:rFonts w:ascii="Times New Roman" w:eastAsia="Times New Roman" w:hAnsi="Times New Roman" w:cs="Times New Roman"/>
                <w:sz w:val="24"/>
                <w:szCs w:val="24"/>
              </w:rPr>
              <w:t>atbilst</w:t>
            </w:r>
            <w:r w:rsidR="00862E23" w:rsidRPr="00E6504B">
              <w:rPr>
                <w:rFonts w:ascii="Times New Roman" w:eastAsia="Times New Roman" w:hAnsi="Times New Roman" w:cs="Times New Roman"/>
                <w:sz w:val="24"/>
                <w:szCs w:val="24"/>
              </w:rPr>
              <w:t xml:space="preserve"> </w:t>
            </w:r>
            <w:r w:rsidR="00EC4525" w:rsidRPr="00E6504B">
              <w:rPr>
                <w:rFonts w:ascii="Times New Roman" w:eastAsia="Times New Roman" w:hAnsi="Times New Roman" w:cs="Times New Roman"/>
                <w:sz w:val="24"/>
                <w:szCs w:val="24"/>
              </w:rPr>
              <w:t>atļauj</w:t>
            </w:r>
            <w:r w:rsidR="00862E23" w:rsidRPr="00E6504B">
              <w:rPr>
                <w:rFonts w:ascii="Times New Roman" w:eastAsia="Times New Roman" w:hAnsi="Times New Roman" w:cs="Times New Roman"/>
                <w:sz w:val="24"/>
                <w:szCs w:val="24"/>
              </w:rPr>
              <w:t>u</w:t>
            </w:r>
            <w:r w:rsidR="00EC4525" w:rsidRPr="00E6504B">
              <w:rPr>
                <w:rFonts w:ascii="Times New Roman" w:eastAsia="Times New Roman" w:hAnsi="Times New Roman" w:cs="Times New Roman"/>
                <w:sz w:val="24"/>
                <w:szCs w:val="24"/>
              </w:rPr>
              <w:t xml:space="preserve"> un </w:t>
            </w:r>
            <w:r w:rsidR="00EE2686" w:rsidRPr="00E6504B">
              <w:rPr>
                <w:rFonts w:ascii="Times New Roman" w:eastAsia="Times New Roman" w:hAnsi="Times New Roman" w:cs="Times New Roman"/>
                <w:sz w:val="24"/>
                <w:szCs w:val="24"/>
              </w:rPr>
              <w:t>normatīvo akt</w:t>
            </w:r>
            <w:r w:rsidR="00862E23" w:rsidRPr="00E6504B">
              <w:rPr>
                <w:rFonts w:ascii="Times New Roman" w:eastAsia="Times New Roman" w:hAnsi="Times New Roman" w:cs="Times New Roman"/>
                <w:sz w:val="24"/>
                <w:szCs w:val="24"/>
              </w:rPr>
              <w:t>u</w:t>
            </w:r>
            <w:r w:rsidR="00EE2686" w:rsidRPr="00E6504B">
              <w:rPr>
                <w:rFonts w:ascii="Times New Roman" w:eastAsia="Times New Roman" w:hAnsi="Times New Roman" w:cs="Times New Roman"/>
                <w:sz w:val="24"/>
                <w:szCs w:val="24"/>
              </w:rPr>
              <w:t xml:space="preserve"> </w:t>
            </w:r>
            <w:r w:rsidR="00862E23" w:rsidRPr="00E6504B">
              <w:rPr>
                <w:rFonts w:ascii="Times New Roman" w:eastAsia="Times New Roman" w:hAnsi="Times New Roman" w:cs="Times New Roman"/>
                <w:sz w:val="24"/>
                <w:szCs w:val="24"/>
              </w:rPr>
              <w:t>nosacījumiem</w:t>
            </w:r>
            <w:r w:rsidR="00F87FBE" w:rsidRPr="00E6504B">
              <w:rPr>
                <w:rFonts w:ascii="Times New Roman" w:eastAsia="Times New Roman" w:hAnsi="Times New Roman" w:cs="Times New Roman"/>
                <w:sz w:val="24"/>
                <w:szCs w:val="24"/>
              </w:rPr>
              <w:t xml:space="preserve">. </w:t>
            </w:r>
            <w:r w:rsidR="00D61ED0" w:rsidRPr="00E6504B">
              <w:rPr>
                <w:rFonts w:ascii="Times New Roman" w:eastAsia="Times New Roman" w:hAnsi="Times New Roman" w:cs="Times New Roman"/>
                <w:sz w:val="24"/>
                <w:szCs w:val="24"/>
              </w:rPr>
              <w:t>Savukārt</w:t>
            </w:r>
            <w:r w:rsidR="00362F0A" w:rsidRPr="00E6504B">
              <w:rPr>
                <w:rFonts w:ascii="Times New Roman" w:eastAsia="Times New Roman" w:hAnsi="Times New Roman" w:cs="Times New Roman"/>
                <w:sz w:val="24"/>
                <w:szCs w:val="24"/>
              </w:rPr>
              <w:t xml:space="preserve">  Ū</w:t>
            </w:r>
            <w:r w:rsidRPr="00E6504B">
              <w:rPr>
                <w:rFonts w:ascii="Times New Roman" w:eastAsia="Times New Roman" w:hAnsi="Times New Roman" w:cs="Times New Roman"/>
                <w:sz w:val="24"/>
                <w:szCs w:val="24"/>
              </w:rPr>
              <w:t xml:space="preserve">AL </w:t>
            </w:r>
            <w:r w:rsidR="00362F0A" w:rsidRPr="00E6504B">
              <w:rPr>
                <w:rFonts w:ascii="Times New Roman" w:eastAsia="Times New Roman" w:hAnsi="Times New Roman" w:cs="Times New Roman"/>
                <w:sz w:val="24"/>
                <w:szCs w:val="24"/>
              </w:rPr>
              <w:t>jaunais</w:t>
            </w:r>
            <w:r w:rsidR="00847BCC" w:rsidRPr="00E6504B">
              <w:rPr>
                <w:rFonts w:ascii="Times New Roman" w:eastAsia="Times New Roman" w:hAnsi="Times New Roman" w:cs="Times New Roman"/>
                <w:sz w:val="24"/>
                <w:szCs w:val="24"/>
              </w:rPr>
              <w:t>,</w:t>
            </w:r>
            <w:r w:rsidR="00362F0A" w:rsidRPr="00E6504B">
              <w:rPr>
                <w:rFonts w:ascii="Times New Roman" w:eastAsia="Times New Roman" w:hAnsi="Times New Roman" w:cs="Times New Roman"/>
                <w:sz w:val="24"/>
                <w:szCs w:val="24"/>
              </w:rPr>
              <w:t xml:space="preserve"> 7.</w:t>
            </w:r>
            <w:r w:rsidR="00DD2890" w:rsidRPr="00E6504B">
              <w:rPr>
                <w:rFonts w:ascii="Times New Roman" w:eastAsia="Times New Roman" w:hAnsi="Times New Roman" w:cs="Times New Roman"/>
                <w:sz w:val="24"/>
                <w:szCs w:val="24"/>
              </w:rPr>
              <w:t> </w:t>
            </w:r>
            <w:r w:rsidR="00362F0A" w:rsidRPr="00E6504B">
              <w:rPr>
                <w:rFonts w:ascii="Times New Roman" w:eastAsia="Times New Roman" w:hAnsi="Times New Roman" w:cs="Times New Roman"/>
                <w:sz w:val="24"/>
                <w:szCs w:val="24"/>
              </w:rPr>
              <w:t>pant</w:t>
            </w:r>
            <w:r w:rsidR="00DD2890" w:rsidRPr="00E6504B">
              <w:rPr>
                <w:rFonts w:ascii="Times New Roman" w:eastAsia="Times New Roman" w:hAnsi="Times New Roman" w:cs="Times New Roman"/>
                <w:sz w:val="24"/>
                <w:szCs w:val="24"/>
              </w:rPr>
              <w:t>a 13.</w:t>
            </w:r>
            <w:r w:rsidR="00847BCC" w:rsidRPr="00E6504B">
              <w:rPr>
                <w:rFonts w:ascii="Times New Roman" w:eastAsia="Times New Roman" w:hAnsi="Times New Roman" w:cs="Times New Roman"/>
                <w:sz w:val="24"/>
                <w:szCs w:val="24"/>
              </w:rPr>
              <w:t> </w:t>
            </w:r>
            <w:r w:rsidR="00DD2890" w:rsidRPr="00E6504B">
              <w:rPr>
                <w:rFonts w:ascii="Times New Roman" w:eastAsia="Times New Roman" w:hAnsi="Times New Roman" w:cs="Times New Roman"/>
                <w:sz w:val="24"/>
                <w:szCs w:val="24"/>
              </w:rPr>
              <w:t>punkts</w:t>
            </w:r>
            <w:r w:rsidRPr="00E6504B">
              <w:rPr>
                <w:rFonts w:ascii="Times New Roman" w:eastAsia="Times New Roman" w:hAnsi="Times New Roman" w:cs="Times New Roman"/>
                <w:sz w:val="24"/>
                <w:szCs w:val="24"/>
              </w:rPr>
              <w:t>,</w:t>
            </w:r>
            <w:r w:rsidR="00362F0A" w:rsidRPr="00E6504B">
              <w:rPr>
                <w:rFonts w:ascii="Times New Roman" w:eastAsia="Times New Roman" w:hAnsi="Times New Roman" w:cs="Times New Roman"/>
                <w:sz w:val="24"/>
                <w:szCs w:val="24"/>
              </w:rPr>
              <w:t xml:space="preserve"> nosaka aizliegumu </w:t>
            </w:r>
            <w:r w:rsidR="00571873" w:rsidRPr="00E6504B">
              <w:rPr>
                <w:rFonts w:ascii="Times New Roman" w:eastAsia="Times New Roman" w:hAnsi="Times New Roman" w:cs="Times New Roman"/>
                <w:sz w:val="24"/>
                <w:szCs w:val="24"/>
              </w:rPr>
              <w:t>–</w:t>
            </w:r>
            <w:r w:rsidR="00362F0A" w:rsidRPr="00E6504B">
              <w:rPr>
                <w:rFonts w:ascii="Times New Roman" w:eastAsia="Times New Roman" w:hAnsi="Times New Roman" w:cs="Times New Roman"/>
                <w:sz w:val="24"/>
                <w:szCs w:val="24"/>
              </w:rPr>
              <w:t xml:space="preserve"> </w:t>
            </w:r>
            <w:r w:rsidR="00DD2890" w:rsidRPr="00E6504B">
              <w:rPr>
                <w:rFonts w:ascii="Times New Roman" w:hAnsi="Times New Roman" w:cs="Times New Roman"/>
                <w:sz w:val="24"/>
                <w:szCs w:val="24"/>
              </w:rPr>
              <w:t>neveikt</w:t>
            </w:r>
            <w:r w:rsidR="00571873" w:rsidRPr="00E6504B">
              <w:rPr>
                <w:rFonts w:ascii="Times New Roman" w:hAnsi="Times New Roman" w:cs="Times New Roman"/>
                <w:sz w:val="24"/>
                <w:szCs w:val="24"/>
              </w:rPr>
              <w:t xml:space="preserve"> </w:t>
            </w:r>
            <w:r w:rsidR="00005BBA" w:rsidRPr="00E6504B">
              <w:rPr>
                <w:rFonts w:ascii="Times New Roman" w:hAnsi="Times New Roman" w:cs="Times New Roman"/>
                <w:sz w:val="24"/>
                <w:szCs w:val="24"/>
              </w:rPr>
              <w:t>ūdens objekta hidroloģiskā režīma maiņu,</w:t>
            </w:r>
            <w:r w:rsidR="00571873" w:rsidRPr="00E6504B">
              <w:rPr>
                <w:rFonts w:ascii="Times New Roman" w:hAnsi="Times New Roman" w:cs="Times New Roman"/>
                <w:sz w:val="24"/>
                <w:szCs w:val="24"/>
              </w:rPr>
              <w:t xml:space="preserve"> ūdensteces vai ūdenstilpes krastu un gultnes izmaiņu</w:t>
            </w:r>
            <w:r w:rsidR="00571873" w:rsidRPr="00E6504B">
              <w:rPr>
                <w:rFonts w:ascii="Times New Roman" w:hAnsi="Times New Roman" w:cs="Times New Roman"/>
                <w:bCs/>
                <w:sz w:val="24"/>
                <w:szCs w:val="24"/>
              </w:rPr>
              <w:t xml:space="preserve">, </w:t>
            </w:r>
            <w:r w:rsidR="00571873" w:rsidRPr="00E6504B">
              <w:rPr>
                <w:rFonts w:ascii="Times New Roman" w:hAnsi="Times New Roman" w:cs="Times New Roman"/>
                <w:sz w:val="24"/>
                <w:szCs w:val="24"/>
              </w:rPr>
              <w:t>izņemot gadījumu, ja šīs darbības tiek veiktas normatīvajos aktos paredzētajā kārtībā</w:t>
            </w:r>
            <w:r w:rsidR="00571873" w:rsidRPr="00E6504B">
              <w:rPr>
                <w:rFonts w:ascii="Times New Roman" w:hAnsi="Times New Roman" w:cs="Times New Roman"/>
                <w:bCs/>
                <w:sz w:val="24"/>
                <w:szCs w:val="24"/>
              </w:rPr>
              <w:t>.</w:t>
            </w:r>
            <w:r w:rsidR="00DD2890" w:rsidRPr="00E6504B">
              <w:rPr>
                <w:rFonts w:ascii="Times New Roman" w:hAnsi="Times New Roman" w:cs="Times New Roman"/>
                <w:sz w:val="24"/>
                <w:szCs w:val="24"/>
              </w:rPr>
              <w:t xml:space="preserve"> </w:t>
            </w:r>
            <w:r w:rsidR="0025260B" w:rsidRPr="00E6504B">
              <w:rPr>
                <w:rFonts w:ascii="Times New Roman" w:eastAsia="Times New Roman" w:hAnsi="Times New Roman" w:cs="Times New Roman"/>
                <w:sz w:val="24"/>
                <w:szCs w:val="24"/>
              </w:rPr>
              <w:t xml:space="preserve">Pamatojoties uz minēto, </w:t>
            </w:r>
            <w:r w:rsidR="00496833" w:rsidRPr="00E6504B">
              <w:rPr>
                <w:rFonts w:ascii="Times New Roman" w:eastAsia="Times New Roman" w:hAnsi="Times New Roman" w:cs="Times New Roman"/>
                <w:sz w:val="24"/>
                <w:szCs w:val="24"/>
              </w:rPr>
              <w:t xml:space="preserve">likumprojekta </w:t>
            </w:r>
            <w:r w:rsidR="00E533A8" w:rsidRPr="00E6504B">
              <w:rPr>
                <w:rFonts w:ascii="Times New Roman" w:hAnsi="Times New Roman" w:cs="Times New Roman"/>
                <w:sz w:val="24"/>
                <w:szCs w:val="24"/>
              </w:rPr>
              <w:t xml:space="preserve">2. pantā paredzētā </w:t>
            </w:r>
            <w:r w:rsidRPr="00E6504B">
              <w:rPr>
                <w:rFonts w:ascii="Times New Roman" w:hAnsi="Times New Roman" w:cs="Times New Roman"/>
                <w:sz w:val="24"/>
                <w:szCs w:val="24"/>
              </w:rPr>
              <w:t>ŪAL</w:t>
            </w:r>
            <w:r w:rsidR="00E533A8" w:rsidRPr="00E6504B">
              <w:rPr>
                <w:rFonts w:ascii="Times New Roman" w:hAnsi="Times New Roman" w:cs="Times New Roman"/>
                <w:sz w:val="24"/>
                <w:szCs w:val="24"/>
              </w:rPr>
              <w:t xml:space="preserve"> </w:t>
            </w:r>
            <w:r w:rsidR="005F648B" w:rsidRPr="00E6504B">
              <w:rPr>
                <w:rFonts w:ascii="Times New Roman" w:eastAsia="Times New Roman" w:hAnsi="Times New Roman" w:cs="Times New Roman"/>
                <w:sz w:val="24"/>
                <w:szCs w:val="24"/>
                <w:u w:val="single"/>
              </w:rPr>
              <w:t>27. </w:t>
            </w:r>
            <w:r w:rsidR="00C1285A" w:rsidRPr="00E6504B">
              <w:rPr>
                <w:rFonts w:ascii="Times New Roman" w:eastAsia="Times New Roman" w:hAnsi="Times New Roman" w:cs="Times New Roman"/>
                <w:sz w:val="24"/>
                <w:szCs w:val="24"/>
                <w:u w:val="single"/>
              </w:rPr>
              <w:t xml:space="preserve">panta </w:t>
            </w:r>
            <w:r w:rsidR="00B51C5D" w:rsidRPr="00E6504B">
              <w:rPr>
                <w:rFonts w:ascii="Times New Roman" w:eastAsia="Times New Roman" w:hAnsi="Times New Roman" w:cs="Times New Roman"/>
                <w:sz w:val="24"/>
                <w:szCs w:val="24"/>
                <w:u w:val="single"/>
              </w:rPr>
              <w:t xml:space="preserve">ceturtā </w:t>
            </w:r>
            <w:r w:rsidR="00C1285A" w:rsidRPr="00E6504B">
              <w:rPr>
                <w:rFonts w:ascii="Times New Roman" w:eastAsia="Times New Roman" w:hAnsi="Times New Roman" w:cs="Times New Roman"/>
                <w:sz w:val="24"/>
                <w:szCs w:val="24"/>
                <w:u w:val="single"/>
              </w:rPr>
              <w:t>daļa</w:t>
            </w:r>
            <w:r w:rsidR="00C1285A" w:rsidRPr="00E6504B">
              <w:rPr>
                <w:rFonts w:ascii="Times New Roman" w:eastAsia="Times New Roman" w:hAnsi="Times New Roman" w:cs="Times New Roman"/>
                <w:sz w:val="24"/>
                <w:szCs w:val="24"/>
              </w:rPr>
              <w:t xml:space="preserve"> nosaka administratīvo atbildību </w:t>
            </w:r>
            <w:r w:rsidR="005A145A" w:rsidRPr="00E6504B">
              <w:rPr>
                <w:rFonts w:ascii="Times New Roman" w:eastAsia="Times New Roman" w:hAnsi="Times New Roman" w:cs="Times New Roman"/>
                <w:sz w:val="24"/>
                <w:szCs w:val="24"/>
              </w:rPr>
              <w:t>p</w:t>
            </w:r>
            <w:r w:rsidR="002F1EE4" w:rsidRPr="00E6504B">
              <w:rPr>
                <w:rFonts w:ascii="Times New Roman" w:eastAsia="Times New Roman" w:hAnsi="Times New Roman" w:cs="Times New Roman"/>
                <w:sz w:val="24"/>
                <w:szCs w:val="24"/>
              </w:rPr>
              <w:t xml:space="preserve">ar patvaļīgu darbu veikšanu </w:t>
            </w:r>
            <w:r w:rsidR="00571873" w:rsidRPr="00E6504B">
              <w:rPr>
                <w:rFonts w:ascii="Times New Roman" w:eastAsia="Times New Roman" w:hAnsi="Times New Roman" w:cs="Times New Roman"/>
                <w:sz w:val="24"/>
                <w:szCs w:val="24"/>
              </w:rPr>
              <w:t xml:space="preserve">- </w:t>
            </w:r>
            <w:r w:rsidR="00571873" w:rsidRPr="00E6504B">
              <w:rPr>
                <w:rFonts w:ascii="Times New Roman" w:hAnsi="Times New Roman" w:cs="Times New Roman"/>
                <w:sz w:val="24"/>
                <w:szCs w:val="24"/>
              </w:rPr>
              <w:t>ūdensobjekta</w:t>
            </w:r>
            <w:r w:rsidR="007F7040" w:rsidRPr="00E6504B">
              <w:rPr>
                <w:rFonts w:ascii="Times New Roman" w:hAnsi="Times New Roman" w:cs="Times New Roman"/>
                <w:sz w:val="24"/>
                <w:szCs w:val="24"/>
              </w:rPr>
              <w:t xml:space="preserve"> hidroloģiskā</w:t>
            </w:r>
            <w:r w:rsidR="00571873" w:rsidRPr="00E6504B">
              <w:rPr>
                <w:rFonts w:ascii="Times New Roman" w:hAnsi="Times New Roman" w:cs="Times New Roman"/>
                <w:sz w:val="24"/>
                <w:szCs w:val="24"/>
              </w:rPr>
              <w:t xml:space="preserve"> re</w:t>
            </w:r>
            <w:r w:rsidRPr="00E6504B">
              <w:rPr>
                <w:rFonts w:ascii="Times New Roman" w:hAnsi="Times New Roman" w:cs="Times New Roman"/>
                <w:sz w:val="24"/>
                <w:szCs w:val="24"/>
              </w:rPr>
              <w:t>ž</w:t>
            </w:r>
            <w:r w:rsidR="00571873" w:rsidRPr="00E6504B">
              <w:rPr>
                <w:rFonts w:ascii="Times New Roman" w:hAnsi="Times New Roman" w:cs="Times New Roman"/>
                <w:sz w:val="24"/>
                <w:szCs w:val="24"/>
              </w:rPr>
              <w:t>īma maiņu, ūdens ieguvi, ūdensteces vai ūdenstilpes krastu un gultnes izmaiņu</w:t>
            </w:r>
            <w:r w:rsidR="00862E23" w:rsidRPr="00E6504B">
              <w:rPr>
                <w:rFonts w:ascii="Times New Roman" w:eastAsia="Times New Roman" w:hAnsi="Times New Roman" w:cs="Times New Roman"/>
                <w:sz w:val="24"/>
                <w:szCs w:val="24"/>
              </w:rPr>
              <w:t>.</w:t>
            </w:r>
            <w:r w:rsidR="008D3E39" w:rsidRPr="00E6504B">
              <w:rPr>
                <w:rFonts w:ascii="Times New Roman" w:eastAsia="Times New Roman" w:hAnsi="Times New Roman" w:cs="Times New Roman"/>
                <w:sz w:val="24"/>
                <w:szCs w:val="24"/>
              </w:rPr>
              <w:t xml:space="preserve"> </w:t>
            </w:r>
            <w:r w:rsidR="005B3C79" w:rsidRPr="00E6504B">
              <w:rPr>
                <w:rFonts w:ascii="Times New Roman" w:eastAsia="Times New Roman" w:hAnsi="Times New Roman" w:cs="Times New Roman"/>
                <w:sz w:val="24"/>
                <w:szCs w:val="24"/>
              </w:rPr>
              <w:t>Kodeks</w:t>
            </w:r>
            <w:r w:rsidR="00862E23" w:rsidRPr="00E6504B">
              <w:rPr>
                <w:rFonts w:ascii="Times New Roman" w:eastAsia="Times New Roman" w:hAnsi="Times New Roman" w:cs="Times New Roman"/>
                <w:sz w:val="24"/>
                <w:szCs w:val="24"/>
              </w:rPr>
              <w:t xml:space="preserve">ā </w:t>
            </w:r>
            <w:r w:rsidR="00862E23" w:rsidRPr="00E6504B">
              <w:rPr>
                <w:rFonts w:ascii="Times New Roman" w:hAnsi="Times New Roman" w:cs="Times New Roman"/>
                <w:sz w:val="24"/>
                <w:szCs w:val="24"/>
              </w:rPr>
              <w:t>šāds administratīvo pārkāpumu sastāvs ir noteikts 60.</w:t>
            </w:r>
            <w:r w:rsidR="0025260B" w:rsidRPr="00E6504B">
              <w:rPr>
                <w:rFonts w:ascii="Times New Roman" w:hAnsi="Times New Roman" w:cs="Times New Roman"/>
                <w:sz w:val="24"/>
                <w:szCs w:val="24"/>
              </w:rPr>
              <w:t> </w:t>
            </w:r>
            <w:r w:rsidR="00862E23" w:rsidRPr="00E6504B">
              <w:rPr>
                <w:rFonts w:ascii="Times New Roman" w:hAnsi="Times New Roman" w:cs="Times New Roman"/>
                <w:sz w:val="24"/>
                <w:szCs w:val="24"/>
              </w:rPr>
              <w:t>pant</w:t>
            </w:r>
            <w:r w:rsidR="00E533A8" w:rsidRPr="00E6504B">
              <w:rPr>
                <w:rFonts w:ascii="Times New Roman" w:hAnsi="Times New Roman" w:cs="Times New Roman"/>
                <w:sz w:val="24"/>
                <w:szCs w:val="24"/>
              </w:rPr>
              <w:t>ā</w:t>
            </w:r>
            <w:r w:rsidR="004C1C45" w:rsidRPr="00E6504B">
              <w:rPr>
                <w:rFonts w:ascii="Times New Roman" w:hAnsi="Times New Roman" w:cs="Times New Roman"/>
                <w:sz w:val="24"/>
                <w:szCs w:val="24"/>
              </w:rPr>
              <w:t xml:space="preserve"> </w:t>
            </w:r>
            <w:r w:rsidR="00862E23" w:rsidRPr="00E6504B">
              <w:rPr>
                <w:rFonts w:ascii="Times New Roman" w:hAnsi="Times New Roman" w:cs="Times New Roman"/>
                <w:sz w:val="24"/>
                <w:szCs w:val="24"/>
              </w:rPr>
              <w:t>u</w:t>
            </w:r>
            <w:r w:rsidR="007C6E52" w:rsidRPr="00E6504B">
              <w:rPr>
                <w:rFonts w:ascii="Times New Roman" w:hAnsi="Times New Roman" w:cs="Times New Roman"/>
                <w:sz w:val="24"/>
                <w:szCs w:val="24"/>
              </w:rPr>
              <w:t>n 64.</w:t>
            </w:r>
            <w:r w:rsidR="0025260B" w:rsidRPr="00E6504B">
              <w:rPr>
                <w:rFonts w:ascii="Times New Roman" w:hAnsi="Times New Roman" w:cs="Times New Roman"/>
                <w:sz w:val="24"/>
                <w:szCs w:val="24"/>
              </w:rPr>
              <w:t> </w:t>
            </w:r>
            <w:r w:rsidR="007C6E52" w:rsidRPr="00E6504B">
              <w:rPr>
                <w:rFonts w:ascii="Times New Roman" w:hAnsi="Times New Roman" w:cs="Times New Roman"/>
                <w:sz w:val="24"/>
                <w:szCs w:val="24"/>
              </w:rPr>
              <w:t>pant</w:t>
            </w:r>
            <w:r w:rsidR="00E533A8" w:rsidRPr="00E6504B">
              <w:rPr>
                <w:rFonts w:ascii="Times New Roman" w:hAnsi="Times New Roman" w:cs="Times New Roman"/>
                <w:sz w:val="24"/>
                <w:szCs w:val="24"/>
              </w:rPr>
              <w:t>ā</w:t>
            </w:r>
            <w:r w:rsidR="00862E23" w:rsidRPr="00E6504B">
              <w:rPr>
                <w:rFonts w:ascii="Times New Roman" w:hAnsi="Times New Roman" w:cs="Times New Roman"/>
                <w:sz w:val="24"/>
                <w:szCs w:val="24"/>
              </w:rPr>
              <w:t>.</w:t>
            </w:r>
            <w:r w:rsidR="006C3734" w:rsidRPr="00E6504B">
              <w:rPr>
                <w:rFonts w:ascii="Times New Roman" w:hAnsi="Times New Roman" w:cs="Times New Roman"/>
                <w:sz w:val="24"/>
                <w:szCs w:val="24"/>
              </w:rPr>
              <w:t xml:space="preserve"> </w:t>
            </w:r>
            <w:r w:rsidR="0071689C" w:rsidRPr="00E6504B">
              <w:rPr>
                <w:rFonts w:ascii="Times New Roman" w:eastAsia="Times New Roman" w:hAnsi="Times New Roman" w:cs="Times New Roman"/>
                <w:sz w:val="24"/>
                <w:szCs w:val="24"/>
              </w:rPr>
              <w:t>Administratīv</w:t>
            </w:r>
            <w:r w:rsidR="003E6848" w:rsidRPr="00E6504B">
              <w:rPr>
                <w:rFonts w:ascii="Times New Roman" w:eastAsia="Times New Roman" w:hAnsi="Times New Roman" w:cs="Times New Roman"/>
                <w:sz w:val="24"/>
                <w:szCs w:val="24"/>
              </w:rPr>
              <w:t>ā</w:t>
            </w:r>
            <w:r w:rsidR="0071689C" w:rsidRPr="00E6504B">
              <w:rPr>
                <w:rFonts w:ascii="Times New Roman" w:eastAsia="Times New Roman" w:hAnsi="Times New Roman" w:cs="Times New Roman"/>
                <w:sz w:val="24"/>
                <w:szCs w:val="24"/>
              </w:rPr>
              <w:t xml:space="preserve"> pārkāpum</w:t>
            </w:r>
            <w:r w:rsidR="003E6848" w:rsidRPr="00E6504B">
              <w:rPr>
                <w:rFonts w:ascii="Times New Roman" w:eastAsia="Times New Roman" w:hAnsi="Times New Roman" w:cs="Times New Roman"/>
                <w:sz w:val="24"/>
                <w:szCs w:val="24"/>
              </w:rPr>
              <w:t>a</w:t>
            </w:r>
            <w:r w:rsidR="0071689C" w:rsidRPr="00E6504B">
              <w:rPr>
                <w:rFonts w:ascii="Times New Roman" w:eastAsia="Times New Roman" w:hAnsi="Times New Roman" w:cs="Times New Roman"/>
                <w:sz w:val="24"/>
                <w:szCs w:val="24"/>
              </w:rPr>
              <w:t xml:space="preserve"> process tiek uzsākts visos minētajos gadījumos,</w:t>
            </w:r>
            <w:r w:rsidR="00954E66" w:rsidRPr="00E6504B">
              <w:rPr>
                <w:rFonts w:ascii="Times New Roman" w:eastAsia="Times New Roman" w:hAnsi="Times New Roman" w:cs="Times New Roman"/>
                <w:sz w:val="24"/>
                <w:szCs w:val="24"/>
              </w:rPr>
              <w:t xml:space="preserve"> jo</w:t>
            </w:r>
            <w:r w:rsidR="0071689C" w:rsidRPr="00E6504B">
              <w:rPr>
                <w:rFonts w:ascii="Times New Roman" w:eastAsia="Times New Roman" w:hAnsi="Times New Roman" w:cs="Times New Roman"/>
                <w:sz w:val="24"/>
                <w:szCs w:val="24"/>
              </w:rPr>
              <w:t xml:space="preserve"> </w:t>
            </w:r>
            <w:r w:rsidR="000C3E23" w:rsidRPr="00E6504B">
              <w:rPr>
                <w:rFonts w:ascii="Times New Roman" w:eastAsia="Times New Roman" w:hAnsi="Times New Roman" w:cs="Times New Roman"/>
                <w:sz w:val="24"/>
                <w:szCs w:val="24"/>
              </w:rPr>
              <w:t xml:space="preserve">kaitējums ūdens resursiem vai videi </w:t>
            </w:r>
            <w:r w:rsidR="0071689C" w:rsidRPr="00E6504B">
              <w:rPr>
                <w:rFonts w:ascii="Times New Roman" w:eastAsia="Times New Roman" w:hAnsi="Times New Roman" w:cs="Times New Roman"/>
                <w:sz w:val="24"/>
                <w:szCs w:val="24"/>
              </w:rPr>
              <w:t>jau ir radī</w:t>
            </w:r>
            <w:r w:rsidR="00903250" w:rsidRPr="00E6504B">
              <w:rPr>
                <w:rFonts w:ascii="Times New Roman" w:eastAsia="Times New Roman" w:hAnsi="Times New Roman" w:cs="Times New Roman"/>
                <w:sz w:val="24"/>
                <w:szCs w:val="24"/>
              </w:rPr>
              <w:t>ts</w:t>
            </w:r>
            <w:r w:rsidR="004C2896" w:rsidRPr="00E6504B">
              <w:rPr>
                <w:rFonts w:ascii="Times New Roman" w:eastAsia="Times New Roman" w:hAnsi="Times New Roman" w:cs="Times New Roman"/>
                <w:sz w:val="24"/>
                <w:szCs w:val="24"/>
              </w:rPr>
              <w:t>,</w:t>
            </w:r>
            <w:r w:rsidR="00903250" w:rsidRPr="00E6504B">
              <w:rPr>
                <w:rFonts w:ascii="Times New Roman" w:eastAsia="Times New Roman" w:hAnsi="Times New Roman" w:cs="Times New Roman"/>
                <w:sz w:val="24"/>
                <w:szCs w:val="24"/>
              </w:rPr>
              <w:t xml:space="preserve"> un tā sekas nav vienkārši</w:t>
            </w:r>
            <w:r w:rsidR="000E3201" w:rsidRPr="00E6504B">
              <w:rPr>
                <w:rFonts w:ascii="Times New Roman" w:eastAsia="Times New Roman" w:hAnsi="Times New Roman" w:cs="Times New Roman"/>
                <w:sz w:val="24"/>
                <w:szCs w:val="24"/>
              </w:rPr>
              <w:t xml:space="preserve"> un ātri</w:t>
            </w:r>
            <w:r w:rsidR="00903250" w:rsidRPr="00E6504B">
              <w:rPr>
                <w:rFonts w:ascii="Times New Roman" w:eastAsia="Times New Roman" w:hAnsi="Times New Roman" w:cs="Times New Roman"/>
                <w:sz w:val="24"/>
                <w:szCs w:val="24"/>
              </w:rPr>
              <w:t xml:space="preserve"> novēršamas</w:t>
            </w:r>
            <w:r w:rsidR="000E3201" w:rsidRPr="00E6504B">
              <w:rPr>
                <w:rFonts w:ascii="Times New Roman" w:eastAsia="Times New Roman" w:hAnsi="Times New Roman" w:cs="Times New Roman"/>
                <w:sz w:val="24"/>
                <w:szCs w:val="24"/>
              </w:rPr>
              <w:t xml:space="preserve">, ja </w:t>
            </w:r>
            <w:r w:rsidR="004C2896" w:rsidRPr="00E6504B">
              <w:rPr>
                <w:rFonts w:ascii="Times New Roman" w:eastAsia="Times New Roman" w:hAnsi="Times New Roman" w:cs="Times New Roman"/>
                <w:sz w:val="24"/>
                <w:szCs w:val="24"/>
              </w:rPr>
              <w:t xml:space="preserve">vien </w:t>
            </w:r>
            <w:r w:rsidR="000E3201" w:rsidRPr="00E6504B">
              <w:rPr>
                <w:rFonts w:ascii="Times New Roman" w:eastAsia="Times New Roman" w:hAnsi="Times New Roman" w:cs="Times New Roman"/>
                <w:sz w:val="24"/>
                <w:szCs w:val="24"/>
              </w:rPr>
              <w:t>tās vispār iespējams novērst</w:t>
            </w:r>
            <w:r w:rsidR="00D943A2" w:rsidRPr="00E6504B">
              <w:rPr>
                <w:rFonts w:ascii="Times New Roman" w:eastAsia="Times New Roman" w:hAnsi="Times New Roman" w:cs="Times New Roman"/>
                <w:sz w:val="24"/>
                <w:szCs w:val="24"/>
              </w:rPr>
              <w:t xml:space="preserve">. Kā tipiskākos piemērus patvaļīgām rīcībām, kad tiek ignorētas vides aizsardzības normatīvajos aktos noteiktās prasības par ūdeņu aizsardzību un izmantošanu, varētu minēt </w:t>
            </w:r>
            <w:r w:rsidR="00815E3E" w:rsidRPr="00E6504B">
              <w:rPr>
                <w:rFonts w:ascii="Times New Roman" w:eastAsia="Times New Roman" w:hAnsi="Times New Roman" w:cs="Times New Roman"/>
                <w:sz w:val="24"/>
                <w:szCs w:val="24"/>
              </w:rPr>
              <w:t>dažādu</w:t>
            </w:r>
            <w:r w:rsidR="00434A62" w:rsidRPr="00E6504B">
              <w:rPr>
                <w:rFonts w:ascii="Times New Roman" w:eastAsia="Times New Roman" w:hAnsi="Times New Roman" w:cs="Times New Roman"/>
                <w:sz w:val="24"/>
                <w:szCs w:val="24"/>
                <w:u w:val="single"/>
              </w:rPr>
              <w:t xml:space="preserve"> </w:t>
            </w:r>
            <w:r w:rsidR="00434A62" w:rsidRPr="00E6504B">
              <w:rPr>
                <w:rFonts w:ascii="Times New Roman" w:eastAsia="Times New Roman" w:hAnsi="Times New Roman" w:cs="Times New Roman"/>
                <w:sz w:val="24"/>
                <w:szCs w:val="24"/>
              </w:rPr>
              <w:t>mehānisku šķēršļu ievietošan</w:t>
            </w:r>
            <w:r w:rsidR="00815E3E" w:rsidRPr="00E6504B">
              <w:rPr>
                <w:rFonts w:ascii="Times New Roman" w:eastAsia="Times New Roman" w:hAnsi="Times New Roman" w:cs="Times New Roman"/>
                <w:sz w:val="24"/>
                <w:szCs w:val="24"/>
              </w:rPr>
              <w:t>u</w:t>
            </w:r>
            <w:r w:rsidR="00434A62" w:rsidRPr="00E6504B">
              <w:rPr>
                <w:rFonts w:ascii="Times New Roman" w:eastAsia="Times New Roman" w:hAnsi="Times New Roman" w:cs="Times New Roman"/>
                <w:sz w:val="24"/>
                <w:szCs w:val="24"/>
              </w:rPr>
              <w:t xml:space="preserve"> ūdenstecē, mainot tas dabisko tecējumu vai, piemēram, ar nolūku uzkrāt ūdeni personīgajā īpašumā esoša dīķa ierīkošanai vai peldvietas izveidošanai, patvaļīgu</w:t>
            </w:r>
            <w:r w:rsidR="003169A7" w:rsidRPr="00E6504B">
              <w:rPr>
                <w:rFonts w:ascii="Times New Roman" w:eastAsia="Times New Roman" w:hAnsi="Times New Roman" w:cs="Times New Roman"/>
                <w:sz w:val="24"/>
                <w:szCs w:val="24"/>
              </w:rPr>
              <w:t xml:space="preserve"> </w:t>
            </w:r>
            <w:r w:rsidR="002D2713" w:rsidRPr="00E6504B">
              <w:rPr>
                <w:rFonts w:ascii="Times New Roman" w:eastAsia="Times New Roman" w:hAnsi="Times New Roman" w:cs="Times New Roman"/>
                <w:sz w:val="24"/>
                <w:szCs w:val="24"/>
              </w:rPr>
              <w:t xml:space="preserve">zemes </w:t>
            </w:r>
            <w:r w:rsidR="00D943A2" w:rsidRPr="00E6504B">
              <w:rPr>
                <w:rFonts w:ascii="Times New Roman" w:eastAsia="Times New Roman" w:hAnsi="Times New Roman" w:cs="Times New Roman"/>
                <w:sz w:val="24"/>
                <w:szCs w:val="24"/>
              </w:rPr>
              <w:t>īpašumā esoša ūdensob</w:t>
            </w:r>
            <w:r w:rsidR="00983A67" w:rsidRPr="00E6504B">
              <w:rPr>
                <w:rFonts w:ascii="Times New Roman" w:eastAsia="Times New Roman" w:hAnsi="Times New Roman" w:cs="Times New Roman"/>
                <w:sz w:val="24"/>
                <w:szCs w:val="24"/>
              </w:rPr>
              <w:t xml:space="preserve">jekta krasta līnijas izmaiņu un </w:t>
            </w:r>
            <w:r w:rsidR="00766332" w:rsidRPr="00E6504B">
              <w:rPr>
                <w:rFonts w:ascii="Times New Roman" w:eastAsia="Times New Roman" w:hAnsi="Times New Roman" w:cs="Times New Roman"/>
                <w:sz w:val="24"/>
                <w:szCs w:val="24"/>
              </w:rPr>
              <w:t>vai ūdensobjekta daļas</w:t>
            </w:r>
            <w:r w:rsidR="00D943A2" w:rsidRPr="00E6504B">
              <w:rPr>
                <w:rFonts w:ascii="Times New Roman" w:eastAsia="Times New Roman" w:hAnsi="Times New Roman" w:cs="Times New Roman"/>
                <w:sz w:val="24"/>
                <w:szCs w:val="24"/>
              </w:rPr>
              <w:t xml:space="preserve"> </w:t>
            </w:r>
            <w:r w:rsidR="00766332" w:rsidRPr="00E6504B">
              <w:rPr>
                <w:rFonts w:ascii="Times New Roman" w:eastAsia="Times New Roman" w:hAnsi="Times New Roman" w:cs="Times New Roman"/>
                <w:sz w:val="24"/>
                <w:szCs w:val="24"/>
              </w:rPr>
              <w:t>ai</w:t>
            </w:r>
            <w:r w:rsidR="00D943A2" w:rsidRPr="00E6504B">
              <w:rPr>
                <w:rFonts w:ascii="Times New Roman" w:eastAsia="Times New Roman" w:hAnsi="Times New Roman" w:cs="Times New Roman"/>
                <w:sz w:val="24"/>
                <w:szCs w:val="24"/>
              </w:rPr>
              <w:t>zbēršanu</w:t>
            </w:r>
            <w:r w:rsidR="00766332" w:rsidRPr="00E6504B">
              <w:rPr>
                <w:rFonts w:ascii="Times New Roman" w:eastAsia="Times New Roman" w:hAnsi="Times New Roman" w:cs="Times New Roman"/>
                <w:sz w:val="24"/>
                <w:szCs w:val="24"/>
              </w:rPr>
              <w:t>;</w:t>
            </w:r>
            <w:r w:rsidR="00675ABF" w:rsidRPr="00E6504B">
              <w:rPr>
                <w:rFonts w:ascii="Times New Roman" w:eastAsia="Times New Roman" w:hAnsi="Times New Roman" w:cs="Times New Roman"/>
                <w:sz w:val="24"/>
                <w:szCs w:val="24"/>
              </w:rPr>
              <w:t xml:space="preserve"> patvaļīgu</w:t>
            </w:r>
            <w:r w:rsidR="00D943A2" w:rsidRPr="00E6504B">
              <w:rPr>
                <w:rFonts w:ascii="Times New Roman" w:eastAsia="Times New Roman" w:hAnsi="Times New Roman" w:cs="Times New Roman"/>
                <w:sz w:val="24"/>
                <w:szCs w:val="24"/>
              </w:rPr>
              <w:t xml:space="preserve"> ūdensobjekta padziļināšanu un tā gultnes izmaiņu,</w:t>
            </w:r>
            <w:r w:rsidR="00EB4173" w:rsidRPr="00E6504B">
              <w:rPr>
                <w:rFonts w:ascii="Times New Roman" w:eastAsia="Times New Roman" w:hAnsi="Times New Roman" w:cs="Times New Roman"/>
                <w:sz w:val="24"/>
                <w:szCs w:val="24"/>
              </w:rPr>
              <w:t xml:space="preserve"> </w:t>
            </w:r>
            <w:r w:rsidR="00BA7C76" w:rsidRPr="00E6504B">
              <w:rPr>
                <w:rFonts w:ascii="Times New Roman" w:eastAsia="Times New Roman" w:hAnsi="Times New Roman" w:cs="Times New Roman"/>
                <w:sz w:val="24"/>
                <w:szCs w:val="24"/>
              </w:rPr>
              <w:t xml:space="preserve">papildus </w:t>
            </w:r>
            <w:r w:rsidR="00EB4173" w:rsidRPr="00E6504B">
              <w:rPr>
                <w:rFonts w:ascii="Times New Roman" w:eastAsia="Times New Roman" w:hAnsi="Times New Roman" w:cs="Times New Roman"/>
                <w:sz w:val="24"/>
                <w:szCs w:val="24"/>
              </w:rPr>
              <w:t>norobežo</w:t>
            </w:r>
            <w:r w:rsidR="00BA7C76" w:rsidRPr="00E6504B">
              <w:rPr>
                <w:rFonts w:ascii="Times New Roman" w:eastAsia="Times New Roman" w:hAnsi="Times New Roman" w:cs="Times New Roman"/>
                <w:sz w:val="24"/>
                <w:szCs w:val="24"/>
              </w:rPr>
              <w:t>jo</w:t>
            </w:r>
            <w:r w:rsidR="00EB4173" w:rsidRPr="00E6504B">
              <w:rPr>
                <w:rFonts w:ascii="Times New Roman" w:eastAsia="Times New Roman" w:hAnsi="Times New Roman" w:cs="Times New Roman"/>
                <w:sz w:val="24"/>
                <w:szCs w:val="24"/>
              </w:rPr>
              <w:t>t daļu ūdensobje</w:t>
            </w:r>
            <w:r w:rsidR="00496833" w:rsidRPr="00E6504B">
              <w:rPr>
                <w:rFonts w:ascii="Times New Roman" w:eastAsia="Times New Roman" w:hAnsi="Times New Roman" w:cs="Times New Roman"/>
                <w:sz w:val="24"/>
                <w:szCs w:val="24"/>
              </w:rPr>
              <w:t>k</w:t>
            </w:r>
            <w:r w:rsidR="00EB4173" w:rsidRPr="00E6504B">
              <w:rPr>
                <w:rFonts w:ascii="Times New Roman" w:eastAsia="Times New Roman" w:hAnsi="Times New Roman" w:cs="Times New Roman"/>
                <w:sz w:val="24"/>
                <w:szCs w:val="24"/>
              </w:rPr>
              <w:t>ta no pārējās</w:t>
            </w:r>
            <w:r w:rsidR="00BA7C76" w:rsidRPr="00E6504B">
              <w:rPr>
                <w:rFonts w:ascii="Times New Roman" w:eastAsia="Times New Roman" w:hAnsi="Times New Roman" w:cs="Times New Roman"/>
                <w:sz w:val="24"/>
                <w:szCs w:val="24"/>
              </w:rPr>
              <w:t xml:space="preserve"> tā</w:t>
            </w:r>
            <w:r w:rsidR="00EB4173" w:rsidRPr="00E6504B">
              <w:rPr>
                <w:rFonts w:ascii="Times New Roman" w:eastAsia="Times New Roman" w:hAnsi="Times New Roman" w:cs="Times New Roman"/>
                <w:sz w:val="24"/>
                <w:szCs w:val="24"/>
              </w:rPr>
              <w:t xml:space="preserve"> daļas;</w:t>
            </w:r>
            <w:r w:rsidR="00EB4173" w:rsidRPr="00E6504B">
              <w:rPr>
                <w:rFonts w:ascii="Times New Roman" w:hAnsi="Times New Roman" w:cs="Times New Roman"/>
                <w:sz w:val="24"/>
                <w:szCs w:val="24"/>
              </w:rPr>
              <w:t xml:space="preserve"> ūdensobjekta </w:t>
            </w:r>
            <w:r w:rsidR="00E6504B" w:rsidRPr="00E6504B">
              <w:rPr>
                <w:rFonts w:ascii="Times New Roman" w:hAnsi="Times New Roman" w:cs="Times New Roman"/>
                <w:sz w:val="24"/>
                <w:szCs w:val="24"/>
              </w:rPr>
              <w:t>paplašināšanu</w:t>
            </w:r>
            <w:r w:rsidR="00766332" w:rsidRPr="00E6504B">
              <w:rPr>
                <w:rFonts w:ascii="Times New Roman" w:hAnsi="Times New Roman" w:cs="Times New Roman"/>
                <w:sz w:val="24"/>
                <w:szCs w:val="24"/>
              </w:rPr>
              <w:t>, norokot grunti krastā;</w:t>
            </w:r>
            <w:r w:rsidR="00EB4173" w:rsidRPr="00E6504B">
              <w:rPr>
                <w:rFonts w:ascii="Times New Roman" w:hAnsi="Times New Roman" w:cs="Times New Roman"/>
                <w:sz w:val="24"/>
                <w:szCs w:val="24"/>
              </w:rPr>
              <w:t xml:space="preserve"> </w:t>
            </w:r>
            <w:r w:rsidR="00BA7C76" w:rsidRPr="00E6504B">
              <w:rPr>
                <w:rFonts w:ascii="Times New Roman" w:hAnsi="Times New Roman" w:cs="Times New Roman"/>
                <w:sz w:val="24"/>
                <w:szCs w:val="24"/>
              </w:rPr>
              <w:t xml:space="preserve">ūdensteces dabisko loku </w:t>
            </w:r>
            <w:r w:rsidR="00EB4173" w:rsidRPr="00E6504B">
              <w:rPr>
                <w:rFonts w:ascii="Times New Roman" w:hAnsi="Times New Roman" w:cs="Times New Roman"/>
                <w:sz w:val="24"/>
                <w:szCs w:val="24"/>
              </w:rPr>
              <w:t>iztaisnošan</w:t>
            </w:r>
            <w:r w:rsidR="00BA7C76" w:rsidRPr="00E6504B">
              <w:rPr>
                <w:rFonts w:ascii="Times New Roman" w:hAnsi="Times New Roman" w:cs="Times New Roman"/>
                <w:sz w:val="24"/>
                <w:szCs w:val="24"/>
              </w:rPr>
              <w:t>u</w:t>
            </w:r>
            <w:r w:rsidR="00434A62" w:rsidRPr="00E6504B">
              <w:rPr>
                <w:rFonts w:ascii="Times New Roman" w:hAnsi="Times New Roman" w:cs="Times New Roman"/>
                <w:color w:val="203864"/>
                <w:sz w:val="24"/>
                <w:szCs w:val="24"/>
              </w:rPr>
              <w:t xml:space="preserve">. </w:t>
            </w:r>
            <w:r w:rsidR="00434A62" w:rsidRPr="00E6504B">
              <w:rPr>
                <w:rFonts w:ascii="Times New Roman" w:hAnsi="Times New Roman" w:cs="Times New Roman"/>
                <w:sz w:val="24"/>
                <w:szCs w:val="24"/>
              </w:rPr>
              <w:t xml:space="preserve">Katrs gadījums tiks izskatīts individuāli, </w:t>
            </w:r>
            <w:r w:rsidR="00255402" w:rsidRPr="00E6504B">
              <w:rPr>
                <w:rFonts w:ascii="Times New Roman" w:hAnsi="Times New Roman" w:cs="Times New Roman"/>
                <w:sz w:val="24"/>
                <w:szCs w:val="24"/>
              </w:rPr>
              <w:t>izvērtējot</w:t>
            </w:r>
            <w:r w:rsidR="00434A62" w:rsidRPr="00E6504B">
              <w:rPr>
                <w:rFonts w:ascii="Times New Roman" w:hAnsi="Times New Roman" w:cs="Times New Roman"/>
                <w:sz w:val="24"/>
                <w:szCs w:val="24"/>
              </w:rPr>
              <w:t xml:space="preserve"> videi rad</w:t>
            </w:r>
            <w:r w:rsidR="00E328BE" w:rsidRPr="00E6504B">
              <w:rPr>
                <w:rFonts w:ascii="Times New Roman" w:hAnsi="Times New Roman" w:cs="Times New Roman"/>
                <w:sz w:val="24"/>
                <w:szCs w:val="24"/>
              </w:rPr>
              <w:t>īt</w:t>
            </w:r>
            <w:r w:rsidR="00434A62" w:rsidRPr="00E6504B">
              <w:rPr>
                <w:rFonts w:ascii="Times New Roman" w:hAnsi="Times New Roman" w:cs="Times New Roman"/>
                <w:sz w:val="24"/>
                <w:szCs w:val="24"/>
              </w:rPr>
              <w:t xml:space="preserve">o kaitējumu. Dažkārt arī it kā </w:t>
            </w:r>
            <w:r w:rsidR="00C058EC" w:rsidRPr="00E6504B">
              <w:rPr>
                <w:rFonts w:ascii="Times New Roman" w:hAnsi="Times New Roman" w:cs="Times New Roman"/>
                <w:sz w:val="24"/>
                <w:szCs w:val="24"/>
              </w:rPr>
              <w:t>nelielam</w:t>
            </w:r>
            <w:r w:rsidR="00434A62" w:rsidRPr="00E6504B">
              <w:rPr>
                <w:rFonts w:ascii="Times New Roman" w:hAnsi="Times New Roman" w:cs="Times New Roman"/>
                <w:sz w:val="24"/>
                <w:szCs w:val="24"/>
              </w:rPr>
              <w:t xml:space="preserve"> pārkāpumam var būt </w:t>
            </w:r>
            <w:r w:rsidR="009E144E" w:rsidRPr="00E6504B">
              <w:rPr>
                <w:rFonts w:ascii="Times New Roman" w:hAnsi="Times New Roman" w:cs="Times New Roman"/>
                <w:sz w:val="24"/>
                <w:szCs w:val="24"/>
              </w:rPr>
              <w:t>neatgriezeniska</w:t>
            </w:r>
            <w:r w:rsidR="009E144E" w:rsidRPr="00E6504B">
              <w:rPr>
                <w:rFonts w:ascii="Times New Roman" w:hAnsi="Times New Roman" w:cs="Times New Roman"/>
                <w:sz w:val="24"/>
                <w:szCs w:val="24"/>
                <w:u w:val="single"/>
              </w:rPr>
              <w:t xml:space="preserve"> </w:t>
            </w:r>
            <w:r w:rsidR="009E144E" w:rsidRPr="00E6504B">
              <w:rPr>
                <w:rFonts w:ascii="Times New Roman" w:hAnsi="Times New Roman" w:cs="Times New Roman"/>
                <w:sz w:val="24"/>
                <w:szCs w:val="24"/>
              </w:rPr>
              <w:t xml:space="preserve">ietekme </w:t>
            </w:r>
            <w:r w:rsidR="00434A62" w:rsidRPr="00E6504B">
              <w:rPr>
                <w:rFonts w:ascii="Times New Roman" w:hAnsi="Times New Roman" w:cs="Times New Roman"/>
                <w:sz w:val="24"/>
                <w:szCs w:val="24"/>
              </w:rPr>
              <w:t xml:space="preserve">uz </w:t>
            </w:r>
            <w:r w:rsidR="00E328BE" w:rsidRPr="00E6504B">
              <w:rPr>
                <w:rFonts w:ascii="Times New Roman" w:hAnsi="Times New Roman" w:cs="Times New Roman"/>
                <w:sz w:val="24"/>
                <w:szCs w:val="24"/>
              </w:rPr>
              <w:t>ūden</w:t>
            </w:r>
            <w:r w:rsidR="00010349" w:rsidRPr="00E6504B">
              <w:rPr>
                <w:rFonts w:ascii="Times New Roman" w:hAnsi="Times New Roman" w:cs="Times New Roman"/>
                <w:sz w:val="24"/>
                <w:szCs w:val="24"/>
              </w:rPr>
              <w:t>s</w:t>
            </w:r>
            <w:r w:rsidR="00E328BE" w:rsidRPr="00E6504B">
              <w:rPr>
                <w:rFonts w:ascii="Times New Roman" w:hAnsi="Times New Roman" w:cs="Times New Roman"/>
                <w:sz w:val="24"/>
                <w:szCs w:val="24"/>
              </w:rPr>
              <w:t>teces ekoloģ</w:t>
            </w:r>
            <w:r w:rsidR="009E144E" w:rsidRPr="00E6504B">
              <w:rPr>
                <w:rFonts w:ascii="Times New Roman" w:hAnsi="Times New Roman" w:cs="Times New Roman"/>
                <w:sz w:val="24"/>
                <w:szCs w:val="24"/>
              </w:rPr>
              <w:t>isko stāvokli. Piemēram, meh</w:t>
            </w:r>
            <w:r w:rsidR="00E328BE" w:rsidRPr="00E6504B">
              <w:rPr>
                <w:rFonts w:ascii="Times New Roman" w:hAnsi="Times New Roman" w:cs="Times New Roman"/>
                <w:sz w:val="24"/>
                <w:szCs w:val="24"/>
              </w:rPr>
              <w:t xml:space="preserve">ānisko šķēršļu vai aizsprostojumu veidošana uz nelielām upītēm </w:t>
            </w:r>
            <w:r w:rsidR="00010349" w:rsidRPr="00E6504B">
              <w:rPr>
                <w:rFonts w:ascii="Times New Roman" w:hAnsi="Times New Roman" w:cs="Times New Roman"/>
                <w:sz w:val="24"/>
                <w:szCs w:val="24"/>
              </w:rPr>
              <w:t xml:space="preserve"> vai </w:t>
            </w:r>
            <w:r w:rsidR="00E328BE" w:rsidRPr="00E6504B">
              <w:rPr>
                <w:rFonts w:ascii="Times New Roman" w:hAnsi="Times New Roman" w:cs="Times New Roman"/>
                <w:sz w:val="24"/>
                <w:szCs w:val="24"/>
              </w:rPr>
              <w:t>strautiem var pilnībā izmainīt vai</w:t>
            </w:r>
            <w:r w:rsidR="00C058EC" w:rsidRPr="00E6504B">
              <w:rPr>
                <w:rFonts w:ascii="Times New Roman" w:hAnsi="Times New Roman" w:cs="Times New Roman"/>
                <w:sz w:val="24"/>
                <w:szCs w:val="24"/>
              </w:rPr>
              <w:t xml:space="preserve"> pat</w:t>
            </w:r>
            <w:r w:rsidR="00E328BE" w:rsidRPr="00E6504B">
              <w:rPr>
                <w:rFonts w:ascii="Times New Roman" w:hAnsi="Times New Roman" w:cs="Times New Roman"/>
                <w:sz w:val="24"/>
                <w:szCs w:val="24"/>
              </w:rPr>
              <w:t xml:space="preserve"> iznīcināt floru un faunu lejpus aizsprostojuma, jo īpaši maz</w:t>
            </w:r>
            <w:r w:rsidR="009E144E" w:rsidRPr="00E6504B">
              <w:rPr>
                <w:rFonts w:ascii="Times New Roman" w:hAnsi="Times New Roman" w:cs="Times New Roman"/>
                <w:sz w:val="24"/>
                <w:szCs w:val="24"/>
              </w:rPr>
              <w:t>ū</w:t>
            </w:r>
            <w:r w:rsidR="00E328BE" w:rsidRPr="00E6504B">
              <w:rPr>
                <w:rFonts w:ascii="Times New Roman" w:hAnsi="Times New Roman" w:cs="Times New Roman"/>
                <w:sz w:val="24"/>
                <w:szCs w:val="24"/>
              </w:rPr>
              <w:t>d</w:t>
            </w:r>
            <w:r w:rsidR="00010349" w:rsidRPr="00E6504B">
              <w:rPr>
                <w:rFonts w:ascii="Times New Roman" w:hAnsi="Times New Roman" w:cs="Times New Roman"/>
                <w:sz w:val="24"/>
                <w:szCs w:val="24"/>
              </w:rPr>
              <w:t>e</w:t>
            </w:r>
            <w:r w:rsidR="00E328BE" w:rsidRPr="00E6504B">
              <w:rPr>
                <w:rFonts w:ascii="Times New Roman" w:hAnsi="Times New Roman" w:cs="Times New Roman"/>
                <w:sz w:val="24"/>
                <w:szCs w:val="24"/>
              </w:rPr>
              <w:t xml:space="preserve">ns periodā. </w:t>
            </w:r>
            <w:r w:rsidR="00B129A9" w:rsidRPr="00E6504B">
              <w:rPr>
                <w:rFonts w:ascii="Times New Roman" w:hAnsi="Times New Roman" w:cs="Times New Roman"/>
                <w:sz w:val="24"/>
                <w:szCs w:val="24"/>
              </w:rPr>
              <w:t>Par</w:t>
            </w:r>
            <w:r w:rsidR="003169A7" w:rsidRPr="00E6504B">
              <w:rPr>
                <w:rFonts w:ascii="Times New Roman" w:eastAsia="Times New Roman" w:hAnsi="Times New Roman" w:cs="Times New Roman"/>
                <w:sz w:val="24"/>
                <w:szCs w:val="24"/>
              </w:rPr>
              <w:t xml:space="preserve"> patvaļīgām </w:t>
            </w:r>
            <w:r w:rsidR="00E328BE" w:rsidRPr="00E6504B">
              <w:rPr>
                <w:rFonts w:ascii="Times New Roman" w:eastAsia="Times New Roman" w:hAnsi="Times New Roman" w:cs="Times New Roman"/>
                <w:sz w:val="24"/>
                <w:szCs w:val="24"/>
              </w:rPr>
              <w:t xml:space="preserve">iepriekš norādītās </w:t>
            </w:r>
            <w:r w:rsidR="003169A7" w:rsidRPr="00E6504B">
              <w:rPr>
                <w:rFonts w:ascii="Times New Roman" w:eastAsia="Times New Roman" w:hAnsi="Times New Roman" w:cs="Times New Roman"/>
                <w:sz w:val="24"/>
                <w:szCs w:val="24"/>
              </w:rPr>
              <w:t>rīcības tiks uzskatītas gadījumā</w:t>
            </w:r>
            <w:r w:rsidR="009E5529" w:rsidRPr="00E6504B">
              <w:rPr>
                <w:rFonts w:ascii="Times New Roman" w:eastAsia="Times New Roman" w:hAnsi="Times New Roman" w:cs="Times New Roman"/>
                <w:sz w:val="24"/>
                <w:szCs w:val="24"/>
              </w:rPr>
              <w:t>, kad</w:t>
            </w:r>
            <w:r w:rsidR="00BE41CE" w:rsidRPr="00E6504B">
              <w:rPr>
                <w:rFonts w:ascii="Times New Roman" w:eastAsia="Times New Roman" w:hAnsi="Times New Roman" w:cs="Times New Roman"/>
                <w:sz w:val="24"/>
                <w:szCs w:val="24"/>
              </w:rPr>
              <w:t xml:space="preserve"> </w:t>
            </w:r>
            <w:r w:rsidR="00010349" w:rsidRPr="00E6504B">
              <w:rPr>
                <w:rFonts w:ascii="Times New Roman" w:hAnsi="Times New Roman" w:cs="Times New Roman"/>
                <w:sz w:val="24"/>
                <w:szCs w:val="24"/>
              </w:rPr>
              <w:t xml:space="preserve">darbība būs veikta pēc personas </w:t>
            </w:r>
            <w:r w:rsidR="00BE41CE" w:rsidRPr="00E6504B">
              <w:rPr>
                <w:rFonts w:ascii="Times New Roman" w:hAnsi="Times New Roman" w:cs="Times New Roman"/>
                <w:sz w:val="24"/>
                <w:szCs w:val="24"/>
              </w:rPr>
              <w:t xml:space="preserve">uzskatiem un iegribām, neievērojot </w:t>
            </w:r>
            <w:r w:rsidR="009E5529" w:rsidRPr="00E6504B">
              <w:rPr>
                <w:rFonts w:ascii="Times New Roman" w:eastAsia="Times New Roman" w:hAnsi="Times New Roman" w:cs="Times New Roman"/>
                <w:sz w:val="24"/>
                <w:szCs w:val="24"/>
              </w:rPr>
              <w:t>normatīvajos aktos paredzēt</w:t>
            </w:r>
            <w:r w:rsidR="00BE41CE" w:rsidRPr="00E6504B">
              <w:rPr>
                <w:rFonts w:ascii="Times New Roman" w:eastAsia="Times New Roman" w:hAnsi="Times New Roman" w:cs="Times New Roman"/>
                <w:sz w:val="24"/>
                <w:szCs w:val="24"/>
              </w:rPr>
              <w:t>o</w:t>
            </w:r>
            <w:r w:rsidR="009E5529" w:rsidRPr="00E6504B">
              <w:rPr>
                <w:rFonts w:ascii="Times New Roman" w:eastAsia="Times New Roman" w:hAnsi="Times New Roman" w:cs="Times New Roman"/>
                <w:sz w:val="24"/>
                <w:szCs w:val="24"/>
              </w:rPr>
              <w:t xml:space="preserve"> kārtīb</w:t>
            </w:r>
            <w:r w:rsidR="00BE41CE" w:rsidRPr="00E6504B">
              <w:rPr>
                <w:rFonts w:ascii="Times New Roman" w:eastAsia="Times New Roman" w:hAnsi="Times New Roman" w:cs="Times New Roman"/>
                <w:sz w:val="24"/>
                <w:szCs w:val="24"/>
              </w:rPr>
              <w:t>u.</w:t>
            </w:r>
            <w:r w:rsidR="00DB44D6" w:rsidRPr="00E6504B">
              <w:rPr>
                <w:rFonts w:ascii="Times New Roman" w:eastAsia="Times New Roman" w:hAnsi="Times New Roman" w:cs="Times New Roman"/>
                <w:sz w:val="24"/>
                <w:szCs w:val="24"/>
              </w:rPr>
              <w:t xml:space="preserve"> </w:t>
            </w:r>
          </w:p>
          <w:p w14:paraId="282E8B20" w14:textId="77BFDA0A" w:rsidR="0071689C" w:rsidRPr="00E6504B" w:rsidRDefault="00903250" w:rsidP="00F4434D">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 xml:space="preserve">Būtiskiem pārkāpumiem, kas radījuši nozīmīgu kaitējumu ar ilglaicīgām sekām, </w:t>
            </w:r>
            <w:r w:rsidR="002F5790" w:rsidRPr="00E6504B">
              <w:rPr>
                <w:rFonts w:ascii="Times New Roman" w:eastAsia="Times New Roman" w:hAnsi="Times New Roman" w:cs="Times New Roman"/>
                <w:sz w:val="24"/>
                <w:szCs w:val="24"/>
              </w:rPr>
              <w:t>brīdinājuma</w:t>
            </w:r>
            <w:r w:rsidR="00BA2579" w:rsidRPr="00E6504B">
              <w:rPr>
                <w:rFonts w:ascii="Times New Roman" w:eastAsia="Times New Roman" w:hAnsi="Times New Roman" w:cs="Times New Roman"/>
                <w:sz w:val="24"/>
                <w:szCs w:val="24"/>
              </w:rPr>
              <w:t xml:space="preserve"> izteikšana</w:t>
            </w:r>
            <w:r w:rsidR="003E6848" w:rsidRPr="00E6504B">
              <w:rPr>
                <w:rFonts w:ascii="Times New Roman" w:eastAsia="Times New Roman" w:hAnsi="Times New Roman" w:cs="Times New Roman"/>
                <w:sz w:val="24"/>
                <w:szCs w:val="24"/>
              </w:rPr>
              <w:t xml:space="preserve"> </w:t>
            </w:r>
            <w:r w:rsidRPr="00E6504B">
              <w:rPr>
                <w:rFonts w:ascii="Times New Roman" w:eastAsia="Times New Roman" w:hAnsi="Times New Roman" w:cs="Times New Roman"/>
                <w:sz w:val="24"/>
                <w:szCs w:val="24"/>
              </w:rPr>
              <w:t xml:space="preserve">nav </w:t>
            </w:r>
            <w:r w:rsidR="0057665A" w:rsidRPr="00E6504B">
              <w:rPr>
                <w:rFonts w:ascii="Times New Roman" w:eastAsia="Times New Roman" w:hAnsi="Times New Roman" w:cs="Times New Roman"/>
                <w:sz w:val="24"/>
                <w:szCs w:val="24"/>
              </w:rPr>
              <w:t xml:space="preserve">nodarījumam </w:t>
            </w:r>
            <w:r w:rsidR="000E3201" w:rsidRPr="00E6504B">
              <w:rPr>
                <w:rFonts w:ascii="Times New Roman" w:eastAsia="Times New Roman" w:hAnsi="Times New Roman" w:cs="Times New Roman"/>
                <w:sz w:val="24"/>
                <w:szCs w:val="24"/>
              </w:rPr>
              <w:t>atbilstošs</w:t>
            </w:r>
            <w:r w:rsidR="00FB74E7" w:rsidRPr="00E6504B">
              <w:rPr>
                <w:rFonts w:ascii="Times New Roman" w:eastAsia="Times New Roman" w:hAnsi="Times New Roman" w:cs="Times New Roman"/>
                <w:sz w:val="24"/>
                <w:szCs w:val="24"/>
              </w:rPr>
              <w:t xml:space="preserve"> soda veids</w:t>
            </w:r>
            <w:r w:rsidR="00B46818" w:rsidRPr="00E6504B">
              <w:rPr>
                <w:rFonts w:ascii="Times New Roman" w:eastAsia="Times New Roman" w:hAnsi="Times New Roman" w:cs="Times New Roman"/>
                <w:sz w:val="24"/>
                <w:szCs w:val="24"/>
              </w:rPr>
              <w:t>, tāpēc</w:t>
            </w:r>
            <w:r w:rsidR="000E3201" w:rsidRPr="00E6504B">
              <w:rPr>
                <w:rFonts w:ascii="Times New Roman" w:eastAsia="Times New Roman" w:hAnsi="Times New Roman" w:cs="Times New Roman"/>
                <w:sz w:val="24"/>
                <w:szCs w:val="24"/>
              </w:rPr>
              <w:t xml:space="preserve"> minētajos gadījumos</w:t>
            </w:r>
            <w:r w:rsidRPr="00E6504B">
              <w:rPr>
                <w:rFonts w:ascii="Times New Roman" w:eastAsia="Times New Roman" w:hAnsi="Times New Roman" w:cs="Times New Roman"/>
                <w:sz w:val="24"/>
                <w:szCs w:val="24"/>
              </w:rPr>
              <w:t xml:space="preserve"> </w:t>
            </w:r>
            <w:r w:rsidR="00B46818" w:rsidRPr="00E6504B">
              <w:rPr>
                <w:rFonts w:ascii="Times New Roman" w:eastAsia="Times New Roman" w:hAnsi="Times New Roman" w:cs="Times New Roman"/>
                <w:sz w:val="24"/>
                <w:szCs w:val="24"/>
              </w:rPr>
              <w:t>to nav paredzēts</w:t>
            </w:r>
            <w:r w:rsidR="000E3201" w:rsidRPr="00E6504B">
              <w:rPr>
                <w:rFonts w:ascii="Times New Roman" w:eastAsia="Times New Roman" w:hAnsi="Times New Roman" w:cs="Times New Roman"/>
                <w:sz w:val="24"/>
                <w:szCs w:val="24"/>
              </w:rPr>
              <w:t xml:space="preserve"> piemēro</w:t>
            </w:r>
            <w:r w:rsidR="00B46818" w:rsidRPr="00E6504B">
              <w:rPr>
                <w:rFonts w:ascii="Times New Roman" w:eastAsia="Times New Roman" w:hAnsi="Times New Roman" w:cs="Times New Roman"/>
                <w:sz w:val="24"/>
                <w:szCs w:val="24"/>
              </w:rPr>
              <w:t>t</w:t>
            </w:r>
            <w:r w:rsidR="000E3201" w:rsidRPr="00E6504B">
              <w:rPr>
                <w:rFonts w:ascii="Times New Roman" w:eastAsia="Times New Roman" w:hAnsi="Times New Roman" w:cs="Times New Roman"/>
                <w:sz w:val="24"/>
                <w:szCs w:val="24"/>
              </w:rPr>
              <w:t xml:space="preserve">. </w:t>
            </w:r>
            <w:r w:rsidR="00A356C6" w:rsidRPr="00E6504B">
              <w:rPr>
                <w:rFonts w:ascii="Times New Roman" w:eastAsia="Times New Roman" w:hAnsi="Times New Roman" w:cs="Times New Roman"/>
                <w:sz w:val="24"/>
                <w:szCs w:val="24"/>
              </w:rPr>
              <w:t xml:space="preserve"> </w:t>
            </w:r>
          </w:p>
          <w:p w14:paraId="40B156DA" w14:textId="36C70562" w:rsidR="009E5529" w:rsidRPr="00E6504B" w:rsidRDefault="009E5529" w:rsidP="00F4434D">
            <w:pPr>
              <w:pStyle w:val="tv213"/>
              <w:shd w:val="clear" w:color="auto" w:fill="FFFFFF"/>
              <w:spacing w:before="0" w:beforeAutospacing="0" w:after="0" w:afterAutospacing="0"/>
              <w:jc w:val="both"/>
              <w:rPr>
                <w:lang w:val="lv-LV"/>
              </w:rPr>
            </w:pPr>
            <w:r w:rsidRPr="00E6504B">
              <w:rPr>
                <w:lang w:val="lv-LV"/>
              </w:rPr>
              <w:t>L</w:t>
            </w:r>
            <w:r w:rsidR="00496833" w:rsidRPr="00E6504B">
              <w:rPr>
                <w:lang w:val="lv-LV"/>
              </w:rPr>
              <w:t>ikumprojekta</w:t>
            </w:r>
            <w:r w:rsidR="00D455A2" w:rsidRPr="00E6504B">
              <w:rPr>
                <w:lang w:val="lv-LV"/>
              </w:rPr>
              <w:t xml:space="preserve"> 2. pantā paredzētā </w:t>
            </w:r>
            <w:r w:rsidR="006410D5" w:rsidRPr="00E6504B">
              <w:rPr>
                <w:lang w:val="lv-LV"/>
              </w:rPr>
              <w:t xml:space="preserve">ŪAL </w:t>
            </w:r>
            <w:r w:rsidR="007C6E52" w:rsidRPr="00E6504B">
              <w:rPr>
                <w:lang w:val="lv-LV"/>
              </w:rPr>
              <w:t>27.</w:t>
            </w:r>
            <w:r w:rsidR="00382717" w:rsidRPr="00E6504B">
              <w:rPr>
                <w:lang w:val="lv-LV"/>
              </w:rPr>
              <w:t> </w:t>
            </w:r>
            <w:r w:rsidR="007C6E52" w:rsidRPr="00E6504B">
              <w:rPr>
                <w:lang w:val="lv-LV"/>
              </w:rPr>
              <w:t xml:space="preserve">panta </w:t>
            </w:r>
            <w:r w:rsidR="00274D18" w:rsidRPr="00E6504B">
              <w:rPr>
                <w:lang w:val="lv-LV"/>
              </w:rPr>
              <w:t xml:space="preserve">ceturtajā </w:t>
            </w:r>
            <w:r w:rsidR="007C6E52" w:rsidRPr="00E6504B">
              <w:rPr>
                <w:lang w:val="lv-LV"/>
              </w:rPr>
              <w:t>daļā noteiktie pārkāpumi ir būtiski,</w:t>
            </w:r>
            <w:r w:rsidR="00DC70DD" w:rsidRPr="00E6504B">
              <w:rPr>
                <w:lang w:val="lv-LV"/>
              </w:rPr>
              <w:t xml:space="preserve"> tāpēc par šāda veida pārkāpumiem tiek paaugstināts maksimālais </w:t>
            </w:r>
            <w:r w:rsidR="007C6E52" w:rsidRPr="00E6504B">
              <w:rPr>
                <w:lang w:val="lv-LV"/>
              </w:rPr>
              <w:t>naudas soda apmērs gan fiziskajām, gan juridiskajām</w:t>
            </w:r>
            <w:r w:rsidR="00DC70DD" w:rsidRPr="00E6504B">
              <w:rPr>
                <w:lang w:val="lv-LV"/>
              </w:rPr>
              <w:t>.</w:t>
            </w:r>
            <w:r w:rsidR="007C6E52" w:rsidRPr="00E6504B">
              <w:rPr>
                <w:lang w:val="lv-LV"/>
              </w:rPr>
              <w:t xml:space="preserve"> </w:t>
            </w:r>
          </w:p>
          <w:p w14:paraId="1FB8C422" w14:textId="375D1E5A" w:rsidR="007C6E52" w:rsidRPr="00E6504B" w:rsidRDefault="00E0711B" w:rsidP="00F4434D">
            <w:pPr>
              <w:pStyle w:val="tv213"/>
              <w:shd w:val="clear" w:color="auto" w:fill="FFFFFF"/>
              <w:spacing w:before="0" w:beforeAutospacing="0" w:after="0" w:afterAutospacing="0"/>
              <w:jc w:val="both"/>
              <w:rPr>
                <w:lang w:val="lv-LV"/>
              </w:rPr>
            </w:pPr>
            <w:r w:rsidRPr="00E6504B">
              <w:rPr>
                <w:lang w:val="lv-LV"/>
              </w:rPr>
              <w:t>L</w:t>
            </w:r>
            <w:r w:rsidR="00496833" w:rsidRPr="00E6504B">
              <w:rPr>
                <w:lang w:val="lv-LV"/>
              </w:rPr>
              <w:t>ikumprojekta</w:t>
            </w:r>
            <w:r w:rsidR="00D455A2" w:rsidRPr="00E6504B">
              <w:rPr>
                <w:lang w:val="lv-LV"/>
              </w:rPr>
              <w:t xml:space="preserve"> 2</w:t>
            </w:r>
            <w:r w:rsidR="00302C11" w:rsidRPr="00E6504B">
              <w:rPr>
                <w:lang w:val="lv-LV"/>
              </w:rPr>
              <w:t xml:space="preserve">. pantā paredzētajā </w:t>
            </w:r>
            <w:r w:rsidR="006410D5" w:rsidRPr="00E6504B">
              <w:rPr>
                <w:lang w:val="lv-LV"/>
              </w:rPr>
              <w:t xml:space="preserve">ŪAL </w:t>
            </w:r>
            <w:r w:rsidR="007C6E52" w:rsidRPr="00E6504B">
              <w:rPr>
                <w:lang w:val="lv-LV"/>
              </w:rPr>
              <w:t>27.</w:t>
            </w:r>
            <w:r w:rsidR="00382717" w:rsidRPr="00E6504B">
              <w:rPr>
                <w:lang w:val="lv-LV"/>
              </w:rPr>
              <w:t> </w:t>
            </w:r>
            <w:r w:rsidR="007C6E52" w:rsidRPr="00E6504B">
              <w:rPr>
                <w:lang w:val="lv-LV"/>
              </w:rPr>
              <w:t xml:space="preserve">panta </w:t>
            </w:r>
            <w:r w:rsidR="003C2407" w:rsidRPr="00E6504B">
              <w:rPr>
                <w:lang w:val="lv-LV"/>
              </w:rPr>
              <w:t xml:space="preserve">ceturtajā </w:t>
            </w:r>
            <w:r w:rsidR="007C6E52" w:rsidRPr="00E6504B">
              <w:rPr>
                <w:lang w:val="lv-LV"/>
              </w:rPr>
              <w:t>daļā noteikt</w:t>
            </w:r>
            <w:r w:rsidRPr="00E6504B">
              <w:rPr>
                <w:lang w:val="lv-LV"/>
              </w:rPr>
              <w:t>s, ka</w:t>
            </w:r>
            <w:r w:rsidR="007C6E52" w:rsidRPr="00E6504B">
              <w:rPr>
                <w:lang w:val="lv-LV"/>
              </w:rPr>
              <w:t xml:space="preserve"> fiziskajām personām piemēro naudas sodu no</w:t>
            </w:r>
            <w:r w:rsidR="00AC44B2" w:rsidRPr="00E6504B">
              <w:rPr>
                <w:lang w:val="lv-LV"/>
              </w:rPr>
              <w:t xml:space="preserve"> </w:t>
            </w:r>
            <w:r w:rsidR="00DC70DD" w:rsidRPr="00E6504B">
              <w:rPr>
                <w:lang w:val="lv-LV"/>
              </w:rPr>
              <w:t>56</w:t>
            </w:r>
            <w:r w:rsidR="007C6E52" w:rsidRPr="00E6504B">
              <w:rPr>
                <w:lang w:val="lv-LV"/>
              </w:rPr>
              <w:t xml:space="preserve"> līdz </w:t>
            </w:r>
            <w:r w:rsidR="00DC70DD" w:rsidRPr="00E6504B">
              <w:rPr>
                <w:lang w:val="lv-LV"/>
              </w:rPr>
              <w:t>200</w:t>
            </w:r>
            <w:r w:rsidR="007C6E52" w:rsidRPr="00E6504B">
              <w:rPr>
                <w:lang w:val="lv-LV"/>
              </w:rPr>
              <w:t xml:space="preserve"> naudas </w:t>
            </w:r>
            <w:r w:rsidR="00DF1D5D" w:rsidRPr="00E6504B">
              <w:rPr>
                <w:lang w:val="lv-LV"/>
              </w:rPr>
              <w:t xml:space="preserve">soda </w:t>
            </w:r>
            <w:r w:rsidR="007C6E52" w:rsidRPr="00E6504B">
              <w:rPr>
                <w:lang w:val="lv-LV"/>
              </w:rPr>
              <w:t>vienībām, bet juridiskajām personām no</w:t>
            </w:r>
            <w:r w:rsidR="00AC44B2" w:rsidRPr="00E6504B">
              <w:rPr>
                <w:lang w:val="lv-LV"/>
              </w:rPr>
              <w:t xml:space="preserve"> </w:t>
            </w:r>
            <w:r w:rsidR="00DC70DD" w:rsidRPr="00E6504B">
              <w:rPr>
                <w:lang w:val="lv-LV"/>
              </w:rPr>
              <w:t>86</w:t>
            </w:r>
            <w:r w:rsidR="007C6E52" w:rsidRPr="00E6504B">
              <w:rPr>
                <w:lang w:val="lv-LV"/>
              </w:rPr>
              <w:t xml:space="preserve"> līdz </w:t>
            </w:r>
            <w:r w:rsidR="00323839" w:rsidRPr="00E6504B">
              <w:rPr>
                <w:lang w:val="lv-LV"/>
              </w:rPr>
              <w:t>400</w:t>
            </w:r>
            <w:r w:rsidR="002E7573" w:rsidRPr="00E6504B">
              <w:rPr>
                <w:lang w:val="lv-LV"/>
              </w:rPr>
              <w:t xml:space="preserve"> </w:t>
            </w:r>
            <w:r w:rsidR="007C6E52" w:rsidRPr="00E6504B">
              <w:rPr>
                <w:lang w:val="lv-LV"/>
              </w:rPr>
              <w:t>naudas soda vienībām. Salīdzinājumam: Kodeksa 60. pantā par šāda veida pārkāpumiem noteiktais naudas sods fiziskajām personām ir no 210  līdz 700</w:t>
            </w:r>
            <w:r w:rsidR="007C6E52" w:rsidRPr="00E6504B">
              <w:rPr>
                <w:rStyle w:val="apple-converted-space"/>
                <w:lang w:val="lv-LV"/>
              </w:rPr>
              <w:t> </w:t>
            </w:r>
            <w:r w:rsidR="007C6E52" w:rsidRPr="00E6504B">
              <w:rPr>
                <w:i/>
                <w:iCs/>
                <w:lang w:val="lv-LV"/>
              </w:rPr>
              <w:t>euro</w:t>
            </w:r>
            <w:r w:rsidR="007C6E52" w:rsidRPr="00E6504B">
              <w:rPr>
                <w:lang w:val="lv-LV"/>
              </w:rPr>
              <w:t>, bet juridiskajām personām no 430 līdz 1400</w:t>
            </w:r>
            <w:r w:rsidR="007C6E52" w:rsidRPr="00E6504B">
              <w:rPr>
                <w:rStyle w:val="apple-converted-space"/>
                <w:lang w:val="lv-LV"/>
              </w:rPr>
              <w:t> </w:t>
            </w:r>
            <w:r w:rsidR="007C6E52" w:rsidRPr="00E6504B">
              <w:rPr>
                <w:i/>
                <w:iCs/>
                <w:lang w:val="lv-LV"/>
              </w:rPr>
              <w:t>euro</w:t>
            </w:r>
            <w:r w:rsidR="007C6E52" w:rsidRPr="00E6504B">
              <w:rPr>
                <w:lang w:val="lv-LV"/>
              </w:rPr>
              <w:t>. Kodeksa 64. pantā noteikts, ka par patvaļīgu darbu veikšanu ūdens objektā vai ūdens objekta aizsargjoslā, kuri var izraisīt ūdens objekta hidroloģiskā režīma maiņu, piemērojams naudas sods fiziskajām personām no 280 līdz 700</w:t>
            </w:r>
            <w:r w:rsidR="007C6E52" w:rsidRPr="00E6504B">
              <w:rPr>
                <w:rStyle w:val="apple-converted-space"/>
                <w:lang w:val="lv-LV"/>
              </w:rPr>
              <w:t> </w:t>
            </w:r>
            <w:r w:rsidR="007C6E52" w:rsidRPr="00E6504B">
              <w:rPr>
                <w:i/>
                <w:iCs/>
                <w:lang w:val="lv-LV"/>
              </w:rPr>
              <w:t>euro</w:t>
            </w:r>
            <w:r w:rsidR="007C6E52" w:rsidRPr="00E6504B">
              <w:rPr>
                <w:lang w:val="lv-LV"/>
              </w:rPr>
              <w:t xml:space="preserve">, bet juridiskajām personām </w:t>
            </w:r>
            <w:r w:rsidR="009E690D" w:rsidRPr="00E6504B">
              <w:rPr>
                <w:lang w:val="lv-LV"/>
              </w:rPr>
              <w:t xml:space="preserve">– </w:t>
            </w:r>
            <w:r w:rsidR="007C6E52" w:rsidRPr="00E6504B">
              <w:rPr>
                <w:lang w:val="lv-LV"/>
              </w:rPr>
              <w:t>no 280 līdz 1400</w:t>
            </w:r>
            <w:r w:rsidR="007C6E52" w:rsidRPr="00E6504B">
              <w:rPr>
                <w:rStyle w:val="apple-converted-space"/>
                <w:lang w:val="lv-LV"/>
              </w:rPr>
              <w:t> </w:t>
            </w:r>
            <w:r w:rsidR="007C6E52" w:rsidRPr="00E6504B">
              <w:rPr>
                <w:i/>
                <w:iCs/>
                <w:lang w:val="lv-LV"/>
              </w:rPr>
              <w:t>euro</w:t>
            </w:r>
            <w:r w:rsidR="007C6E52" w:rsidRPr="00E6504B">
              <w:rPr>
                <w:lang w:val="lv-LV"/>
              </w:rPr>
              <w:t>.</w:t>
            </w:r>
          </w:p>
          <w:p w14:paraId="1D59F92C" w14:textId="0BE845D6" w:rsidR="007C6E52" w:rsidRPr="00E6504B" w:rsidRDefault="007C6E52" w:rsidP="00F4434D">
            <w:pPr>
              <w:pStyle w:val="tv2132"/>
              <w:spacing w:line="240" w:lineRule="auto"/>
              <w:ind w:firstLine="0"/>
              <w:jc w:val="both"/>
              <w:rPr>
                <w:sz w:val="24"/>
                <w:szCs w:val="24"/>
                <w:lang w:val="lv-LV"/>
              </w:rPr>
            </w:pPr>
            <w:r w:rsidRPr="00E6504B">
              <w:rPr>
                <w:color w:val="auto"/>
                <w:sz w:val="24"/>
                <w:szCs w:val="24"/>
                <w:lang w:val="lv-LV"/>
              </w:rPr>
              <w:t>Tiesības piemērot administratīvos sodus par patvaļīg</w:t>
            </w:r>
            <w:r w:rsidR="0025260B" w:rsidRPr="00E6504B">
              <w:rPr>
                <w:color w:val="auto"/>
                <w:sz w:val="24"/>
                <w:szCs w:val="24"/>
                <w:lang w:val="lv-LV"/>
              </w:rPr>
              <w:t xml:space="preserve">ām rīcībām ūdensobjektā </w:t>
            </w:r>
            <w:r w:rsidRPr="00E6504B">
              <w:rPr>
                <w:color w:val="auto"/>
                <w:sz w:val="24"/>
                <w:szCs w:val="24"/>
                <w:lang w:val="lv-LV"/>
              </w:rPr>
              <w:t>ir saglabātas līdzšinējai kompetentajai iestādei – VVD, kas atbilstoši Kodeksa 231.</w:t>
            </w:r>
            <w:r w:rsidR="00382717" w:rsidRPr="00E6504B">
              <w:rPr>
                <w:color w:val="auto"/>
                <w:sz w:val="24"/>
                <w:szCs w:val="24"/>
                <w:lang w:val="lv-LV"/>
              </w:rPr>
              <w:t> </w:t>
            </w:r>
            <w:r w:rsidRPr="00E6504B">
              <w:rPr>
                <w:color w:val="auto"/>
                <w:sz w:val="24"/>
                <w:szCs w:val="24"/>
                <w:lang w:val="lv-LV"/>
              </w:rPr>
              <w:t>pantam izskata administratīvo pārkāpumu lietas atbilstoši Kodeksa 6</w:t>
            </w:r>
            <w:r w:rsidR="0005321B" w:rsidRPr="00E6504B">
              <w:rPr>
                <w:color w:val="auto"/>
                <w:sz w:val="24"/>
                <w:szCs w:val="24"/>
                <w:lang w:val="lv-LV"/>
              </w:rPr>
              <w:t>0</w:t>
            </w:r>
            <w:r w:rsidRPr="00E6504B">
              <w:rPr>
                <w:color w:val="auto"/>
                <w:sz w:val="24"/>
                <w:szCs w:val="24"/>
                <w:lang w:val="lv-LV"/>
              </w:rPr>
              <w:t>.</w:t>
            </w:r>
            <w:r w:rsidR="00C93594" w:rsidRPr="00E6504B">
              <w:rPr>
                <w:color w:val="auto"/>
                <w:sz w:val="24"/>
                <w:szCs w:val="24"/>
                <w:lang w:val="lv-LV"/>
              </w:rPr>
              <w:t> </w:t>
            </w:r>
            <w:r w:rsidR="0005321B" w:rsidRPr="00E6504B">
              <w:rPr>
                <w:color w:val="auto"/>
                <w:sz w:val="24"/>
                <w:szCs w:val="24"/>
                <w:lang w:val="lv-LV"/>
              </w:rPr>
              <w:t>un 64.</w:t>
            </w:r>
            <w:r w:rsidR="00C93594" w:rsidRPr="00E6504B">
              <w:rPr>
                <w:color w:val="auto"/>
                <w:sz w:val="24"/>
                <w:szCs w:val="24"/>
                <w:lang w:val="lv-LV"/>
              </w:rPr>
              <w:t> </w:t>
            </w:r>
            <w:r w:rsidR="0005321B" w:rsidRPr="00E6504B">
              <w:rPr>
                <w:color w:val="auto"/>
                <w:sz w:val="24"/>
                <w:szCs w:val="24"/>
                <w:lang w:val="lv-LV"/>
              </w:rPr>
              <w:t>pantam</w:t>
            </w:r>
            <w:r w:rsidRPr="00E6504B">
              <w:rPr>
                <w:color w:val="auto"/>
                <w:sz w:val="24"/>
                <w:szCs w:val="24"/>
                <w:lang w:val="lv-LV"/>
              </w:rPr>
              <w:t xml:space="preserve">. VVD kompetence </w:t>
            </w:r>
            <w:r w:rsidR="00394EFE" w:rsidRPr="00E6504B">
              <w:rPr>
                <w:color w:val="auto"/>
                <w:sz w:val="24"/>
                <w:szCs w:val="24"/>
                <w:lang w:val="lv-LV"/>
              </w:rPr>
              <w:t>administratīvo pārkāpumu procesā</w:t>
            </w:r>
            <w:r w:rsidRPr="00E6504B">
              <w:rPr>
                <w:color w:val="auto"/>
                <w:sz w:val="24"/>
                <w:szCs w:val="24"/>
                <w:lang w:val="lv-LV"/>
              </w:rPr>
              <w:t xml:space="preserve"> par </w:t>
            </w:r>
            <w:r w:rsidR="0005321B" w:rsidRPr="00E6504B">
              <w:rPr>
                <w:color w:val="auto"/>
                <w:sz w:val="24"/>
                <w:szCs w:val="24"/>
                <w:lang w:val="lv-LV"/>
              </w:rPr>
              <w:t>patvaļīgu darbu veikšanu</w:t>
            </w:r>
            <w:r w:rsidR="00800D32" w:rsidRPr="00E6504B">
              <w:rPr>
                <w:color w:val="auto"/>
                <w:sz w:val="24"/>
                <w:szCs w:val="24"/>
                <w:lang w:val="lv-LV"/>
              </w:rPr>
              <w:t xml:space="preserve"> ūdensobjekt</w:t>
            </w:r>
            <w:r w:rsidR="00DF1D5D" w:rsidRPr="00E6504B">
              <w:rPr>
                <w:color w:val="auto"/>
                <w:sz w:val="24"/>
                <w:szCs w:val="24"/>
                <w:lang w:val="lv-LV"/>
              </w:rPr>
              <w:t xml:space="preserve">ā </w:t>
            </w:r>
            <w:r w:rsidRPr="00E6504B">
              <w:rPr>
                <w:color w:val="auto"/>
                <w:sz w:val="24"/>
                <w:szCs w:val="24"/>
                <w:lang w:val="lv-LV"/>
              </w:rPr>
              <w:t xml:space="preserve">ir noteikta </w:t>
            </w:r>
            <w:r w:rsidR="00496833" w:rsidRPr="00E6504B">
              <w:rPr>
                <w:color w:val="auto"/>
                <w:sz w:val="24"/>
                <w:szCs w:val="24"/>
                <w:lang w:val="lv-LV"/>
              </w:rPr>
              <w:t>likumprojekta</w:t>
            </w:r>
            <w:r w:rsidR="00D455A2" w:rsidRPr="00E6504B">
              <w:rPr>
                <w:color w:val="auto"/>
                <w:sz w:val="24"/>
                <w:szCs w:val="24"/>
                <w:lang w:val="lv-LV"/>
              </w:rPr>
              <w:t xml:space="preserve"> 2. pantā paredzētajā </w:t>
            </w:r>
            <w:r w:rsidR="00302C11" w:rsidRPr="00E6504B">
              <w:rPr>
                <w:lang w:val="lv-LV"/>
              </w:rPr>
              <w:t xml:space="preserve"> </w:t>
            </w:r>
            <w:r w:rsidR="00302C11" w:rsidRPr="00E6504B">
              <w:rPr>
                <w:color w:val="auto"/>
                <w:sz w:val="24"/>
                <w:szCs w:val="24"/>
                <w:lang w:val="lv-LV"/>
              </w:rPr>
              <w:t>ŪAL</w:t>
            </w:r>
            <w:r w:rsidR="00496833" w:rsidRPr="00E6504B">
              <w:rPr>
                <w:color w:val="auto"/>
                <w:sz w:val="24"/>
                <w:szCs w:val="24"/>
                <w:lang w:val="lv-LV"/>
              </w:rPr>
              <w:t xml:space="preserve"> </w:t>
            </w:r>
            <w:r w:rsidRPr="00E6504B">
              <w:rPr>
                <w:color w:val="auto"/>
                <w:sz w:val="24"/>
                <w:szCs w:val="24"/>
                <w:lang w:val="lv-LV"/>
              </w:rPr>
              <w:t>28.</w:t>
            </w:r>
            <w:r w:rsidR="00C93594" w:rsidRPr="00E6504B">
              <w:rPr>
                <w:color w:val="auto"/>
                <w:sz w:val="24"/>
                <w:szCs w:val="24"/>
                <w:lang w:val="lv-LV"/>
              </w:rPr>
              <w:t> </w:t>
            </w:r>
            <w:r w:rsidRPr="00E6504B">
              <w:rPr>
                <w:color w:val="auto"/>
                <w:sz w:val="24"/>
                <w:szCs w:val="24"/>
                <w:lang w:val="lv-LV"/>
              </w:rPr>
              <w:t xml:space="preserve">panta </w:t>
            </w:r>
            <w:r w:rsidR="00A45DB4" w:rsidRPr="00E6504B">
              <w:rPr>
                <w:color w:val="auto"/>
                <w:sz w:val="24"/>
                <w:szCs w:val="24"/>
                <w:lang w:val="lv-LV"/>
              </w:rPr>
              <w:t xml:space="preserve">otrajā </w:t>
            </w:r>
            <w:r w:rsidRPr="00E6504B">
              <w:rPr>
                <w:color w:val="auto"/>
                <w:sz w:val="24"/>
                <w:szCs w:val="24"/>
                <w:lang w:val="lv-LV"/>
              </w:rPr>
              <w:t>daļā.</w:t>
            </w:r>
          </w:p>
          <w:p w14:paraId="218C979C" w14:textId="3476CC7C" w:rsidR="00910A47" w:rsidRPr="00E6504B" w:rsidRDefault="00D3799C" w:rsidP="00E6504B">
            <w:pPr>
              <w:pStyle w:val="tv213"/>
              <w:shd w:val="clear" w:color="auto" w:fill="FFFFFF"/>
              <w:spacing w:before="0" w:beforeAutospacing="0" w:after="0" w:afterAutospacing="0"/>
              <w:jc w:val="both"/>
              <w:rPr>
                <w:lang w:val="lv-LV"/>
              </w:rPr>
            </w:pPr>
            <w:r w:rsidRPr="00E6504B">
              <w:rPr>
                <w:lang w:val="lv-LV"/>
              </w:rPr>
              <w:t>Ņemot vērā to, ka Administratīv</w:t>
            </w:r>
            <w:r w:rsidR="00675ABF" w:rsidRPr="00E6504B">
              <w:rPr>
                <w:lang w:val="lv-LV"/>
              </w:rPr>
              <w:t>ās atbildības</w:t>
            </w:r>
            <w:r w:rsidRPr="00E6504B">
              <w:rPr>
                <w:lang w:val="lv-LV"/>
              </w:rPr>
              <w:t xml:space="preserve"> likums</w:t>
            </w:r>
            <w:r w:rsidR="003421A7" w:rsidRPr="00E6504B">
              <w:rPr>
                <w:lang w:val="lv-LV"/>
              </w:rPr>
              <w:t xml:space="preserve"> </w:t>
            </w:r>
            <w:r w:rsidRPr="00E6504B">
              <w:rPr>
                <w:lang w:val="lv-LV"/>
              </w:rPr>
              <w:t>ir saistīt</w:t>
            </w:r>
            <w:r w:rsidR="005C304A" w:rsidRPr="00E6504B">
              <w:rPr>
                <w:lang w:val="lv-LV"/>
              </w:rPr>
              <w:t>s ar šo likumprojektu</w:t>
            </w:r>
            <w:r w:rsidRPr="00E6504B">
              <w:rPr>
                <w:lang w:val="lv-LV"/>
              </w:rPr>
              <w:t>, noteikt</w:t>
            </w:r>
            <w:r w:rsidR="001409CC" w:rsidRPr="00E6504B">
              <w:rPr>
                <w:lang w:val="lv-LV"/>
              </w:rPr>
              <w:t>s</w:t>
            </w:r>
            <w:r w:rsidRPr="00E6504B">
              <w:rPr>
                <w:lang w:val="lv-LV"/>
              </w:rPr>
              <w:t>, ka likumprojekts</w:t>
            </w:r>
            <w:r w:rsidR="006A347D" w:rsidRPr="00E6504B">
              <w:rPr>
                <w:lang w:val="lv-LV"/>
              </w:rPr>
              <w:t xml:space="preserve"> </w:t>
            </w:r>
            <w:r w:rsidRPr="00E6504B">
              <w:rPr>
                <w:lang w:val="lv-LV"/>
              </w:rPr>
              <w:t>stājas spēkā vienlaicīgi ar Administratīv</w:t>
            </w:r>
            <w:r w:rsidR="00675ABF" w:rsidRPr="00E6504B">
              <w:rPr>
                <w:lang w:val="lv-LV"/>
              </w:rPr>
              <w:t>ās</w:t>
            </w:r>
            <w:r w:rsidRPr="00E6504B">
              <w:rPr>
                <w:lang w:val="lv-LV"/>
              </w:rPr>
              <w:t xml:space="preserve"> </w:t>
            </w:r>
            <w:r w:rsidR="00675ABF" w:rsidRPr="00E6504B">
              <w:rPr>
                <w:lang w:val="lv-LV"/>
              </w:rPr>
              <w:t>atbildības</w:t>
            </w:r>
            <w:r w:rsidRPr="00E6504B">
              <w:rPr>
                <w:lang w:val="lv-LV"/>
              </w:rPr>
              <w:t xml:space="preserve"> likum</w:t>
            </w:r>
            <w:r w:rsidR="00675ABF" w:rsidRPr="00E6504B">
              <w:rPr>
                <w:lang w:val="lv-LV"/>
              </w:rPr>
              <w:t>u</w:t>
            </w:r>
            <w:r w:rsidRPr="00E6504B">
              <w:rPr>
                <w:lang w:val="lv-LV"/>
              </w:rPr>
              <w:t>.</w:t>
            </w:r>
          </w:p>
        </w:tc>
      </w:tr>
      <w:tr w:rsidR="00A26C08" w:rsidRPr="00E6504B" w14:paraId="41C896A1" w14:textId="77777777" w:rsidTr="00847BCC">
        <w:tc>
          <w:tcPr>
            <w:tcW w:w="396" w:type="dxa"/>
          </w:tcPr>
          <w:p w14:paraId="2289C25C" w14:textId="5856F4D7" w:rsidR="00A26C08" w:rsidRPr="00E6504B"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lastRenderedPageBreak/>
              <w:t>3.</w:t>
            </w:r>
          </w:p>
        </w:tc>
        <w:tc>
          <w:tcPr>
            <w:tcW w:w="2794" w:type="dxa"/>
          </w:tcPr>
          <w:p w14:paraId="19F211A6" w14:textId="5B82687A" w:rsidR="00A26C08" w:rsidRPr="00E6504B"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Projekta izstrādē iesaistītās institūcijas</w:t>
            </w:r>
            <w:r w:rsidR="00EF5231" w:rsidRPr="00E6504B">
              <w:rPr>
                <w:rFonts w:ascii="Times New Roman" w:eastAsia="Times New Roman" w:hAnsi="Times New Roman" w:cs="Times New Roman"/>
                <w:sz w:val="24"/>
                <w:szCs w:val="24"/>
              </w:rPr>
              <w:t xml:space="preserve"> un publiskas personas kapitālsabiedrības</w:t>
            </w:r>
          </w:p>
        </w:tc>
        <w:tc>
          <w:tcPr>
            <w:tcW w:w="5707" w:type="dxa"/>
          </w:tcPr>
          <w:p w14:paraId="769BD90E" w14:textId="6DACD581" w:rsidR="00A26C08" w:rsidRPr="00E6504B" w:rsidRDefault="00C470E7" w:rsidP="001D0ECA">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Vides aizsardzības un reģionālās attīstības ministrija, V</w:t>
            </w:r>
            <w:r w:rsidR="007876B4" w:rsidRPr="00E6504B">
              <w:rPr>
                <w:rFonts w:ascii="Times New Roman" w:eastAsia="Times New Roman" w:hAnsi="Times New Roman" w:cs="Times New Roman"/>
                <w:sz w:val="24"/>
                <w:szCs w:val="24"/>
              </w:rPr>
              <w:t>VD</w:t>
            </w:r>
            <w:r w:rsidRPr="00E6504B">
              <w:rPr>
                <w:rFonts w:ascii="Times New Roman" w:eastAsia="Times New Roman" w:hAnsi="Times New Roman" w:cs="Times New Roman"/>
                <w:sz w:val="24"/>
                <w:szCs w:val="24"/>
              </w:rPr>
              <w:t xml:space="preserve">, </w:t>
            </w:r>
            <w:r w:rsidR="005872C0" w:rsidRPr="00E6504B">
              <w:rPr>
                <w:rFonts w:ascii="Times New Roman" w:eastAsia="Times New Roman" w:hAnsi="Times New Roman" w:cs="Times New Roman"/>
                <w:sz w:val="24"/>
                <w:szCs w:val="24"/>
              </w:rPr>
              <w:t>Inspekcija</w:t>
            </w:r>
            <w:r w:rsidR="00540BAD" w:rsidRPr="00E6504B">
              <w:rPr>
                <w:rFonts w:ascii="Times New Roman" w:eastAsia="Times New Roman" w:hAnsi="Times New Roman" w:cs="Times New Roman"/>
                <w:sz w:val="24"/>
                <w:szCs w:val="24"/>
              </w:rPr>
              <w:t>, Latvijas Pašvaldību savienīb</w:t>
            </w:r>
            <w:r w:rsidR="002154E1" w:rsidRPr="00E6504B">
              <w:rPr>
                <w:rFonts w:ascii="Times New Roman" w:eastAsia="Times New Roman" w:hAnsi="Times New Roman" w:cs="Times New Roman"/>
                <w:sz w:val="24"/>
                <w:szCs w:val="24"/>
              </w:rPr>
              <w:t>a</w:t>
            </w:r>
            <w:r w:rsidR="00696618" w:rsidRPr="00E6504B">
              <w:rPr>
                <w:rFonts w:ascii="Times New Roman" w:eastAsia="Times New Roman" w:hAnsi="Times New Roman" w:cs="Times New Roman"/>
                <w:sz w:val="24"/>
                <w:szCs w:val="24"/>
              </w:rPr>
              <w:t>.</w:t>
            </w:r>
          </w:p>
          <w:p w14:paraId="53E2E06D" w14:textId="409346CB" w:rsidR="007B3F7F" w:rsidRPr="00E6504B" w:rsidRDefault="007B3F7F" w:rsidP="00010349">
            <w:pPr>
              <w:spacing w:after="0" w:line="240" w:lineRule="auto"/>
              <w:jc w:val="both"/>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Likumprojekts</w:t>
            </w:r>
            <w:r w:rsidR="00453356" w:rsidRPr="00E6504B">
              <w:rPr>
                <w:rFonts w:ascii="Times New Roman" w:eastAsia="Times New Roman" w:hAnsi="Times New Roman" w:cs="Times New Roman"/>
                <w:sz w:val="24"/>
                <w:szCs w:val="24"/>
              </w:rPr>
              <w:t xml:space="preserve"> </w:t>
            </w:r>
            <w:r w:rsidR="005E7284" w:rsidRPr="00E6504B">
              <w:rPr>
                <w:rFonts w:ascii="Times New Roman" w:eastAsia="Times New Roman" w:hAnsi="Times New Roman" w:cs="Times New Roman"/>
                <w:sz w:val="24"/>
                <w:szCs w:val="24"/>
              </w:rPr>
              <w:t>2017. gada 7</w:t>
            </w:r>
            <w:r w:rsidR="00453356" w:rsidRPr="00E6504B">
              <w:rPr>
                <w:rFonts w:ascii="Times New Roman" w:eastAsia="Times New Roman" w:hAnsi="Times New Roman" w:cs="Times New Roman"/>
                <w:sz w:val="24"/>
                <w:szCs w:val="24"/>
              </w:rPr>
              <w:t>.</w:t>
            </w:r>
            <w:r w:rsidR="005E7284" w:rsidRPr="00E6504B">
              <w:rPr>
                <w:rFonts w:ascii="Times New Roman" w:eastAsia="Times New Roman" w:hAnsi="Times New Roman" w:cs="Times New Roman"/>
                <w:sz w:val="24"/>
                <w:szCs w:val="24"/>
              </w:rPr>
              <w:t> decembrī</w:t>
            </w:r>
            <w:r w:rsidR="00F9694A" w:rsidRPr="00E6504B">
              <w:rPr>
                <w:rFonts w:ascii="Times New Roman" w:eastAsia="Times New Roman" w:hAnsi="Times New Roman" w:cs="Times New Roman"/>
                <w:sz w:val="24"/>
                <w:szCs w:val="24"/>
              </w:rPr>
              <w:t xml:space="preserve"> un </w:t>
            </w:r>
            <w:r w:rsidR="00010349" w:rsidRPr="00E6504B">
              <w:rPr>
                <w:rFonts w:ascii="Times New Roman" w:eastAsia="Times New Roman" w:hAnsi="Times New Roman" w:cs="Times New Roman"/>
                <w:sz w:val="24"/>
                <w:szCs w:val="24"/>
              </w:rPr>
              <w:t xml:space="preserve">2019. gada </w:t>
            </w:r>
            <w:r w:rsidR="00F9694A" w:rsidRPr="00E6504B">
              <w:rPr>
                <w:rFonts w:ascii="Times New Roman" w:eastAsia="Times New Roman" w:hAnsi="Times New Roman" w:cs="Times New Roman"/>
                <w:sz w:val="24"/>
                <w:szCs w:val="24"/>
              </w:rPr>
              <w:t>4. jūlijā</w:t>
            </w:r>
            <w:r w:rsidR="000212C0" w:rsidRPr="00E6504B">
              <w:rPr>
                <w:rFonts w:ascii="Times New Roman" w:eastAsia="Times New Roman" w:hAnsi="Times New Roman" w:cs="Times New Roman"/>
                <w:sz w:val="24"/>
                <w:szCs w:val="24"/>
              </w:rPr>
              <w:t xml:space="preserve"> </w:t>
            </w:r>
            <w:r w:rsidR="00453356" w:rsidRPr="00E6504B">
              <w:rPr>
                <w:rFonts w:ascii="Times New Roman" w:eastAsia="Times New Roman" w:hAnsi="Times New Roman" w:cs="Times New Roman"/>
                <w:sz w:val="24"/>
                <w:szCs w:val="24"/>
              </w:rPr>
              <w:t xml:space="preserve">tika </w:t>
            </w:r>
            <w:r w:rsidRPr="00E6504B">
              <w:rPr>
                <w:rFonts w:ascii="Times New Roman" w:eastAsia="Times New Roman" w:hAnsi="Times New Roman" w:cs="Times New Roman"/>
                <w:sz w:val="24"/>
                <w:szCs w:val="24"/>
              </w:rPr>
              <w:t xml:space="preserve">izvērtēts </w:t>
            </w:r>
            <w:r w:rsidR="00453356" w:rsidRPr="00E6504B">
              <w:rPr>
                <w:rFonts w:ascii="Times New Roman" w:eastAsia="Times New Roman" w:hAnsi="Times New Roman" w:cs="Times New Roman"/>
                <w:sz w:val="24"/>
                <w:szCs w:val="24"/>
              </w:rPr>
              <w:t xml:space="preserve">darba grupas </w:t>
            </w:r>
            <w:r w:rsidR="00997719" w:rsidRPr="00E6504B">
              <w:rPr>
                <w:rFonts w:ascii="Times New Roman" w:eastAsia="Times New Roman" w:hAnsi="Times New Roman" w:cs="Times New Roman"/>
                <w:sz w:val="24"/>
                <w:szCs w:val="24"/>
              </w:rPr>
              <w:t>sēd</w:t>
            </w:r>
            <w:r w:rsidR="003D4376" w:rsidRPr="00E6504B">
              <w:rPr>
                <w:rFonts w:ascii="Times New Roman" w:eastAsia="Times New Roman" w:hAnsi="Times New Roman" w:cs="Times New Roman"/>
                <w:sz w:val="24"/>
                <w:szCs w:val="24"/>
              </w:rPr>
              <w:t>ē.</w:t>
            </w:r>
          </w:p>
        </w:tc>
      </w:tr>
      <w:tr w:rsidR="00A26C08" w:rsidRPr="00E6504B" w14:paraId="21D816B6" w14:textId="77777777" w:rsidTr="00847BCC">
        <w:tc>
          <w:tcPr>
            <w:tcW w:w="396" w:type="dxa"/>
          </w:tcPr>
          <w:p w14:paraId="474780F2" w14:textId="77777777" w:rsidR="00A26C08" w:rsidRPr="00E6504B"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4.</w:t>
            </w:r>
          </w:p>
        </w:tc>
        <w:tc>
          <w:tcPr>
            <w:tcW w:w="2794" w:type="dxa"/>
          </w:tcPr>
          <w:p w14:paraId="1D2A9151" w14:textId="77777777" w:rsidR="00A26C08" w:rsidRPr="00E6504B"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Cita informācija</w:t>
            </w:r>
          </w:p>
        </w:tc>
        <w:tc>
          <w:tcPr>
            <w:tcW w:w="5707" w:type="dxa"/>
          </w:tcPr>
          <w:p w14:paraId="4A7B0DB1" w14:textId="7DC067CE" w:rsidR="003D007C" w:rsidRPr="00E6504B" w:rsidRDefault="003D007C" w:rsidP="003D007C">
            <w:pPr>
              <w:pStyle w:val="FootnoteText"/>
              <w:ind w:firstLine="122"/>
              <w:jc w:val="both"/>
              <w:rPr>
                <w:sz w:val="24"/>
                <w:szCs w:val="24"/>
              </w:rPr>
            </w:pPr>
            <w:r w:rsidRPr="00E6504B">
              <w:rPr>
                <w:sz w:val="24"/>
                <w:szCs w:val="24"/>
              </w:rPr>
              <w:t xml:space="preserve">Saskaņā ar pieejamo statistiku, VVD </w:t>
            </w:r>
            <w:r w:rsidR="005B049D" w:rsidRPr="00E6504B">
              <w:rPr>
                <w:sz w:val="24"/>
                <w:szCs w:val="24"/>
              </w:rPr>
              <w:t>piemērojis administratīvos naudas sodus</w:t>
            </w:r>
            <w:r w:rsidR="002F7759" w:rsidRPr="00E6504B">
              <w:rPr>
                <w:sz w:val="24"/>
                <w:szCs w:val="24"/>
              </w:rPr>
              <w:t xml:space="preserve"> par Kodeksa 60., 62., 64. panta pārkāpumiem</w:t>
            </w:r>
            <w:r w:rsidR="005B049D" w:rsidRPr="00E6504B">
              <w:rPr>
                <w:sz w:val="24"/>
                <w:szCs w:val="24"/>
              </w:rPr>
              <w:t>:</w:t>
            </w:r>
          </w:p>
          <w:p w14:paraId="4A823667" w14:textId="561421D3" w:rsidR="005B049D" w:rsidRPr="00E6504B" w:rsidRDefault="005B049D" w:rsidP="003D007C">
            <w:pPr>
              <w:pStyle w:val="FootnoteText"/>
              <w:ind w:firstLine="122"/>
              <w:jc w:val="both"/>
              <w:rPr>
                <w:i/>
                <w:sz w:val="24"/>
                <w:szCs w:val="24"/>
                <w:u w:val="single"/>
              </w:rPr>
            </w:pPr>
            <w:r w:rsidRPr="00E6504B">
              <w:rPr>
                <w:i/>
                <w:sz w:val="24"/>
                <w:szCs w:val="24"/>
                <w:u w:val="single"/>
              </w:rPr>
              <w:t>Fiziskām personām</w:t>
            </w:r>
          </w:p>
          <w:tbl>
            <w:tblPr>
              <w:tblW w:w="443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7"/>
              <w:gridCol w:w="895"/>
              <w:gridCol w:w="895"/>
              <w:gridCol w:w="895"/>
              <w:gridCol w:w="910"/>
            </w:tblGrid>
            <w:tr w:rsidR="0069280D" w:rsidRPr="00E6504B" w14:paraId="4291DDC2" w14:textId="77777777" w:rsidTr="002F7759">
              <w:trPr>
                <w:trHeight w:val="890"/>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DFC4F8"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Gads/Pants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944B6B"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60.pants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1DFBDE"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62.pants pirmā daļa</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54761A"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62.pants otrā daļa</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437FFE"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64.pants</w:t>
                  </w:r>
                </w:p>
              </w:tc>
            </w:tr>
            <w:tr w:rsidR="0069280D" w:rsidRPr="00E6504B" w14:paraId="6AE0CEA9" w14:textId="77777777" w:rsidTr="002F7759">
              <w:trPr>
                <w:trHeight w:val="356"/>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0F534F0" w14:textId="73554A69"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2017</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FCD6BF" w14:textId="77777777" w:rsidR="005B049D" w:rsidRPr="00E6504B" w:rsidRDefault="005B049D"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3C72518"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E6DD0A"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BAA1E0"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5B049D" w:rsidRPr="00E6504B" w14:paraId="65064850"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D6523C0"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196E6B"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ADC767"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3C78DAA"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928507"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r w:rsidR="005B049D" w:rsidRPr="00E6504B" w14:paraId="1CA9B3BA"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111F0C"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E0DE1C"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1B5AE57"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1EE1519"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AC4396"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r w:rsidR="005B049D" w:rsidRPr="00E6504B" w14:paraId="0A944358"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161DC4" w14:textId="7A791B25" w:rsidR="005B049D"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2018</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180C63E" w14:textId="77777777" w:rsidR="005B049D" w:rsidRPr="00E6504B" w:rsidRDefault="005B049D"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41EA6C"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CB3063"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10C292C"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5B049D" w:rsidRPr="00E6504B" w14:paraId="7CB31AE4"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E84FF2"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F4FF3F9"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4F5115"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E639E4"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547C090"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r w:rsidR="005B049D" w:rsidRPr="00E6504B" w14:paraId="772D79ED"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1BA113"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FF46AC"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46F632"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D5FC177"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8DE23F"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r w:rsidR="005B049D" w:rsidRPr="00E6504B" w14:paraId="4A6A5BA5"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2A2C31F" w14:textId="733A2161" w:rsidR="005B049D"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2019</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243030" w14:textId="77777777" w:rsidR="005B049D" w:rsidRPr="00E6504B" w:rsidRDefault="005B049D"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59768F"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26239D"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312BCF" w14:textId="77777777" w:rsidR="005B049D" w:rsidRPr="00E6504B" w:rsidRDefault="005B049D"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5B049D" w:rsidRPr="00E6504B" w14:paraId="423D5079"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4AB2AA"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B508E9"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23B4E0"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DED43D"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80DA23"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r w:rsidR="005B049D" w:rsidRPr="00E6504B" w14:paraId="4F8FFC50"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45110B"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AB99BB"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3356065"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1BFC4C7"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4ECE813" w14:textId="77777777" w:rsidR="005B049D" w:rsidRPr="00E6504B" w:rsidRDefault="005B049D"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r>
          </w:tbl>
          <w:p w14:paraId="0715C4F5" w14:textId="4AD827FD" w:rsidR="005B049D" w:rsidRPr="00E6504B" w:rsidRDefault="005B049D" w:rsidP="003D007C">
            <w:pPr>
              <w:pStyle w:val="FootnoteText"/>
              <w:ind w:firstLine="122"/>
              <w:jc w:val="both"/>
              <w:rPr>
                <w:sz w:val="24"/>
                <w:szCs w:val="24"/>
              </w:rPr>
            </w:pPr>
          </w:p>
          <w:p w14:paraId="6182F4BE" w14:textId="03F3F328" w:rsidR="002F7759" w:rsidRPr="00E6504B" w:rsidRDefault="002F7759" w:rsidP="003D007C">
            <w:pPr>
              <w:pStyle w:val="FootnoteText"/>
              <w:ind w:firstLine="122"/>
              <w:jc w:val="both"/>
              <w:rPr>
                <w:i/>
                <w:sz w:val="24"/>
                <w:szCs w:val="24"/>
                <w:u w:val="single"/>
              </w:rPr>
            </w:pPr>
            <w:r w:rsidRPr="00E6504B">
              <w:rPr>
                <w:i/>
                <w:sz w:val="24"/>
                <w:szCs w:val="24"/>
                <w:u w:val="single"/>
              </w:rPr>
              <w:t>Juridiskām personām</w:t>
            </w:r>
          </w:p>
          <w:tbl>
            <w:tblPr>
              <w:tblW w:w="443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7"/>
              <w:gridCol w:w="895"/>
              <w:gridCol w:w="895"/>
              <w:gridCol w:w="895"/>
              <w:gridCol w:w="910"/>
            </w:tblGrid>
            <w:tr w:rsidR="002F7759" w:rsidRPr="00E6504B" w14:paraId="1CA91E87"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428DC1"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Gads/Pants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6450B78"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60.pants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D5B2B6"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62.pants pirmā daļa</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35F232"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62.pants otrā daļa</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699283A"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64.pants</w:t>
                  </w:r>
                </w:p>
              </w:tc>
            </w:tr>
            <w:tr w:rsidR="002F7759" w:rsidRPr="00E6504B" w14:paraId="5C5648AE"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04D246" w14:textId="29081B41"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2017</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0387DF" w14:textId="77777777" w:rsidR="002F7759" w:rsidRPr="00E6504B" w:rsidRDefault="002F7759"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803194"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FAE41E"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0E155C"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2F7759" w:rsidRPr="00E6504B" w14:paraId="004D6BE8" w14:textId="77777777" w:rsidTr="002F7759">
              <w:trPr>
                <w:trHeight w:val="697"/>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2F2861"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2D0408"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0064E0"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5</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12AA12B"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3</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75C683"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4</w:t>
                  </w:r>
                </w:p>
              </w:tc>
            </w:tr>
            <w:tr w:rsidR="002F7759" w:rsidRPr="00E6504B" w14:paraId="5E1AA004"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5314E5E"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9830A2"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8E9FD3"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1020,00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6964DDA"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230,00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3562C3"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1 380,00</w:t>
                  </w:r>
                </w:p>
              </w:tc>
            </w:tr>
            <w:tr w:rsidR="002F7759" w:rsidRPr="00E6504B" w14:paraId="765B7AEE"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10E1AC" w14:textId="750273C6"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2018</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3AE7A06" w14:textId="77777777" w:rsidR="002F7759" w:rsidRPr="00E6504B" w:rsidRDefault="002F7759"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8BF970"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FED45E8"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9FB7CF"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2F7759" w:rsidRPr="00E6504B" w14:paraId="4A4F4E66"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87EA88"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3D36CE"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6C36AE"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4</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7A93BF"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82B464"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9</w:t>
                  </w:r>
                </w:p>
              </w:tc>
            </w:tr>
            <w:tr w:rsidR="002F7759" w:rsidRPr="00E6504B" w14:paraId="6172930E"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7F7273"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5685FC"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5EF715"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1 100,00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F398EA3"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250,00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21CAEC"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2 295,00</w:t>
                  </w:r>
                </w:p>
              </w:tc>
            </w:tr>
            <w:tr w:rsidR="002F7759" w:rsidRPr="00E6504B" w14:paraId="284FF4DE"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33AF5C" w14:textId="722FF2E5"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b/>
                      <w:bCs/>
                      <w:u w:val="single"/>
                    </w:rPr>
                    <w:t>2019</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DB20D5" w14:textId="77777777" w:rsidR="002F7759" w:rsidRPr="00E6504B" w:rsidRDefault="002F7759" w:rsidP="00E6504B">
                  <w:pPr>
                    <w:framePr w:hSpace="180" w:wrap="around" w:vAnchor="text" w:hAnchor="text" w:y="1"/>
                    <w:suppressOverlap/>
                    <w:rPr>
                      <w:rFonts w:ascii="Times New Roman" w:hAnsi="Times New Roman" w:cs="Times New Roman"/>
                      <w:u w:val="single"/>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875EFF"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5451C1"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2D108EC" w14:textId="77777777" w:rsidR="002F7759" w:rsidRPr="00E6504B" w:rsidRDefault="002F7759" w:rsidP="00E6504B">
                  <w:pPr>
                    <w:framePr w:hSpace="180" w:wrap="around" w:vAnchor="text" w:hAnchor="text" w:y="1"/>
                    <w:suppressOverlap/>
                    <w:rPr>
                      <w:rFonts w:ascii="Times New Roman" w:eastAsia="Times New Roman" w:hAnsi="Times New Roman" w:cs="Times New Roman"/>
                      <w:sz w:val="20"/>
                      <w:szCs w:val="20"/>
                      <w:u w:val="single"/>
                      <w:lang w:eastAsia="lv-LV"/>
                    </w:rPr>
                  </w:pPr>
                </w:p>
              </w:tc>
            </w:tr>
            <w:tr w:rsidR="002F7759" w:rsidRPr="00E6504B" w14:paraId="275AFBD8"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71A5CB"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 xml:space="preserve">Protokolu skaits </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F22F9F"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E199631"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2</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6A3AED1"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2</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7659AD"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4</w:t>
                  </w:r>
                </w:p>
              </w:tc>
            </w:tr>
            <w:tr w:rsidR="002F7759" w:rsidRPr="00E6504B" w14:paraId="5734BACA" w14:textId="77777777" w:rsidTr="002F7759">
              <w:trPr>
                <w:tblCellSpacing w:w="15" w:type="dxa"/>
              </w:trPr>
              <w:tc>
                <w:tcPr>
                  <w:tcW w:w="12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87C5792"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i/>
                      <w:iCs/>
                      <w:u w:val="single"/>
                    </w:rPr>
                    <w:t>Piemērots sods</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386E89"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0F51FDC"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1 200,00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D42D90"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1 000,00</w:t>
                  </w:r>
                </w:p>
              </w:tc>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E4C3B5" w14:textId="77777777" w:rsidR="002F7759" w:rsidRPr="00E6504B" w:rsidRDefault="002F7759" w:rsidP="00E6504B">
                  <w:pPr>
                    <w:framePr w:hSpace="180" w:wrap="around" w:vAnchor="text" w:hAnchor="text" w:y="1"/>
                    <w:suppressOverlap/>
                    <w:rPr>
                      <w:rFonts w:ascii="Times New Roman" w:hAnsi="Times New Roman" w:cs="Times New Roman"/>
                      <w:u w:val="single"/>
                    </w:rPr>
                  </w:pPr>
                  <w:r w:rsidRPr="00E6504B">
                    <w:rPr>
                      <w:rFonts w:ascii="Times New Roman" w:hAnsi="Times New Roman" w:cs="Times New Roman"/>
                      <w:u w:val="single"/>
                    </w:rPr>
                    <w:t>1 850,00</w:t>
                  </w:r>
                </w:p>
              </w:tc>
            </w:tr>
          </w:tbl>
          <w:p w14:paraId="40C3EAB2" w14:textId="77777777" w:rsidR="002F7759" w:rsidRPr="00E6504B" w:rsidRDefault="002F7759" w:rsidP="003D007C">
            <w:pPr>
              <w:pStyle w:val="FootnoteText"/>
              <w:ind w:firstLine="122"/>
              <w:jc w:val="both"/>
              <w:rPr>
                <w:i/>
                <w:sz w:val="24"/>
                <w:szCs w:val="24"/>
              </w:rPr>
            </w:pPr>
          </w:p>
          <w:p w14:paraId="1E379A50" w14:textId="77777777" w:rsidR="005B049D" w:rsidRPr="00E6504B" w:rsidRDefault="005B049D" w:rsidP="003D007C">
            <w:pPr>
              <w:pStyle w:val="FootnoteText"/>
              <w:ind w:firstLine="122"/>
              <w:jc w:val="both"/>
              <w:rPr>
                <w:sz w:val="24"/>
                <w:szCs w:val="24"/>
              </w:rPr>
            </w:pPr>
          </w:p>
          <w:p w14:paraId="29183C90" w14:textId="7EBEE4FC" w:rsidR="00A26C08" w:rsidRPr="00E6504B" w:rsidRDefault="00A26C08" w:rsidP="008118B8">
            <w:pPr>
              <w:spacing w:after="0" w:line="240" w:lineRule="auto"/>
              <w:jc w:val="both"/>
              <w:rPr>
                <w:rFonts w:ascii="Times New Roman" w:eastAsia="Times New Roman" w:hAnsi="Times New Roman" w:cs="Times New Roman"/>
                <w:sz w:val="24"/>
                <w:szCs w:val="24"/>
              </w:rPr>
            </w:pPr>
          </w:p>
        </w:tc>
      </w:tr>
      <w:tr w:rsidR="00BE41CE" w:rsidRPr="00E6504B" w14:paraId="4E64E7CD" w14:textId="77777777" w:rsidTr="00847BCC">
        <w:tc>
          <w:tcPr>
            <w:tcW w:w="396" w:type="dxa"/>
          </w:tcPr>
          <w:p w14:paraId="526C8635" w14:textId="1B6CE8EC" w:rsidR="00BE41CE" w:rsidRPr="00E6504B" w:rsidRDefault="00BE41CE"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6504B">
              <w:rPr>
                <w:rFonts w:ascii="Times New Roman" w:eastAsia="Times New Roman" w:hAnsi="Times New Roman" w:cs="Times New Roman"/>
                <w:sz w:val="24"/>
                <w:szCs w:val="24"/>
              </w:rPr>
              <w:t xml:space="preserve"> </w:t>
            </w:r>
          </w:p>
        </w:tc>
        <w:tc>
          <w:tcPr>
            <w:tcW w:w="2794" w:type="dxa"/>
          </w:tcPr>
          <w:p w14:paraId="2865860F" w14:textId="77777777" w:rsidR="00BE41CE" w:rsidRPr="00E6504B" w:rsidRDefault="00BE41CE" w:rsidP="001D0ECA">
            <w:pPr>
              <w:spacing w:beforeAutospacing="1" w:after="0" w:afterAutospacing="1" w:line="240" w:lineRule="auto"/>
              <w:jc w:val="both"/>
              <w:outlineLvl w:val="0"/>
              <w:rPr>
                <w:rFonts w:ascii="Times New Roman" w:eastAsia="Times New Roman" w:hAnsi="Times New Roman" w:cs="Times New Roman"/>
                <w:sz w:val="24"/>
                <w:szCs w:val="24"/>
              </w:rPr>
            </w:pPr>
          </w:p>
        </w:tc>
        <w:tc>
          <w:tcPr>
            <w:tcW w:w="5707" w:type="dxa"/>
          </w:tcPr>
          <w:p w14:paraId="59D4A904" w14:textId="77777777" w:rsidR="00BE41CE" w:rsidRPr="00E6504B" w:rsidRDefault="00BE41CE" w:rsidP="003D007C">
            <w:pPr>
              <w:pStyle w:val="FootnoteText"/>
              <w:ind w:firstLine="122"/>
              <w:jc w:val="both"/>
              <w:rPr>
                <w:sz w:val="24"/>
                <w:szCs w:val="24"/>
              </w:rPr>
            </w:pPr>
          </w:p>
        </w:tc>
      </w:tr>
    </w:tbl>
    <w:p w14:paraId="79EC1902" w14:textId="04AAB7BB" w:rsidR="00A26C08" w:rsidRPr="00E6504B" w:rsidRDefault="00A26C08"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977"/>
        <w:gridCol w:w="5528"/>
      </w:tblGrid>
      <w:tr w:rsidR="00A26C08" w:rsidRPr="00E6504B" w14:paraId="02738C15" w14:textId="77777777" w:rsidTr="00D50077">
        <w:trPr>
          <w:trHeight w:val="278"/>
        </w:trPr>
        <w:tc>
          <w:tcPr>
            <w:tcW w:w="8794" w:type="dxa"/>
            <w:gridSpan w:val="3"/>
            <w:vAlign w:val="center"/>
          </w:tcPr>
          <w:p w14:paraId="71885A35" w14:textId="77777777" w:rsidR="00A26C08" w:rsidRPr="00E6504B" w:rsidRDefault="00A26C08" w:rsidP="00CA57A6">
            <w:pPr>
              <w:spacing w:after="0" w:line="240" w:lineRule="auto"/>
              <w:ind w:right="57"/>
              <w:jc w:val="center"/>
              <w:rPr>
                <w:rFonts w:ascii="Times New Roman" w:eastAsia="Calibri" w:hAnsi="Times New Roman" w:cs="Times New Roman"/>
                <w:b/>
                <w:sz w:val="24"/>
                <w:szCs w:val="24"/>
                <w:lang w:eastAsia="lv-LV"/>
              </w:rPr>
            </w:pPr>
            <w:r w:rsidRPr="00E6504B">
              <w:rPr>
                <w:rFonts w:ascii="Times New Roman" w:eastAsia="Times New Roman" w:hAnsi="Times New Roman" w:cs="Times New Roman"/>
                <w:b/>
                <w:bCs/>
                <w:sz w:val="24"/>
                <w:szCs w:val="24"/>
                <w:lang w:eastAsia="lv-LV"/>
              </w:rPr>
              <w:t>II. Tiesību akta projekta ietekme uz sabiedrību</w:t>
            </w:r>
            <w:r w:rsidRPr="00E6504B">
              <w:rPr>
                <w:rFonts w:ascii="Times New Roman" w:eastAsia="Calibri" w:hAnsi="Times New Roman" w:cs="Times New Roman"/>
                <w:b/>
                <w:sz w:val="24"/>
                <w:szCs w:val="24"/>
                <w:lang w:eastAsia="lv-LV"/>
              </w:rPr>
              <w:t>, tautsaimniecības attīstību</w:t>
            </w:r>
          </w:p>
          <w:p w14:paraId="16F9A675" w14:textId="77777777" w:rsidR="00A26C08" w:rsidRPr="00E6504B" w:rsidRDefault="00A26C08" w:rsidP="00CA57A6">
            <w:pPr>
              <w:spacing w:after="0" w:line="240" w:lineRule="auto"/>
              <w:jc w:val="center"/>
              <w:rPr>
                <w:rFonts w:ascii="Times New Roman" w:eastAsia="Times New Roman" w:hAnsi="Times New Roman" w:cs="Times New Roman"/>
                <w:b/>
                <w:bCs/>
                <w:sz w:val="24"/>
                <w:szCs w:val="24"/>
                <w:lang w:eastAsia="lv-LV"/>
              </w:rPr>
            </w:pPr>
            <w:r w:rsidRPr="00E6504B">
              <w:rPr>
                <w:rFonts w:ascii="Times New Roman" w:eastAsia="Calibri" w:hAnsi="Times New Roman" w:cs="Times New Roman"/>
                <w:b/>
                <w:sz w:val="24"/>
                <w:szCs w:val="24"/>
              </w:rPr>
              <w:t>un administratīvo slogu</w:t>
            </w:r>
          </w:p>
        </w:tc>
      </w:tr>
      <w:tr w:rsidR="00A26C08" w:rsidRPr="00E6504B" w14:paraId="28E43410" w14:textId="77777777" w:rsidTr="00B829AB">
        <w:trPr>
          <w:trHeight w:val="482"/>
        </w:trPr>
        <w:tc>
          <w:tcPr>
            <w:tcW w:w="289" w:type="dxa"/>
          </w:tcPr>
          <w:p w14:paraId="25D1B03C" w14:textId="77777777" w:rsidR="00A26C08" w:rsidRPr="00E6504B"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1.</w:t>
            </w:r>
          </w:p>
        </w:tc>
        <w:tc>
          <w:tcPr>
            <w:tcW w:w="2977" w:type="dxa"/>
          </w:tcPr>
          <w:p w14:paraId="7862C6E3" w14:textId="34EEFCE4" w:rsidR="00A26C08" w:rsidRPr="00E6504B" w:rsidRDefault="00A26C08" w:rsidP="00B829AB">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Sabiedrības mērķgrupa</w:t>
            </w:r>
            <w:r w:rsidR="00EF5231" w:rsidRPr="00E6504B">
              <w:rPr>
                <w:rFonts w:ascii="Times New Roman" w:eastAsia="Times New Roman" w:hAnsi="Times New Roman" w:cs="Times New Roman"/>
                <w:sz w:val="24"/>
                <w:szCs w:val="24"/>
                <w:lang w:eastAsia="lv-LV"/>
              </w:rPr>
              <w:t>s</w:t>
            </w:r>
            <w:r w:rsidRPr="00E6504B">
              <w:rPr>
                <w:rFonts w:ascii="Times New Roman" w:eastAsia="Calibri" w:hAnsi="Times New Roman" w:cs="Times New Roman"/>
                <w:sz w:val="24"/>
                <w:szCs w:val="24"/>
              </w:rPr>
              <w:t>, kuras tiesiskais regulējums ietekmē vai varētu ietekmēt</w:t>
            </w:r>
          </w:p>
        </w:tc>
        <w:tc>
          <w:tcPr>
            <w:tcW w:w="5528" w:type="dxa"/>
          </w:tcPr>
          <w:p w14:paraId="0074E230" w14:textId="10F814AB" w:rsidR="00A26C08" w:rsidRPr="00E6504B" w:rsidRDefault="00A26C08"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E6504B">
              <w:rPr>
                <w:rFonts w:ascii="Times New Roman" w:eastAsia="Times New Roman" w:hAnsi="Times New Roman"/>
                <w:sz w:val="24"/>
                <w:szCs w:val="24"/>
                <w:lang w:eastAsia="lv-LV"/>
              </w:rPr>
              <w:t xml:space="preserve">Aptuveni </w:t>
            </w:r>
            <w:r w:rsidR="00C470E7" w:rsidRPr="00E6504B">
              <w:rPr>
                <w:rFonts w:ascii="Times New Roman" w:eastAsia="Times New Roman" w:hAnsi="Times New Roman"/>
                <w:sz w:val="24"/>
                <w:szCs w:val="24"/>
                <w:lang w:eastAsia="lv-LV"/>
              </w:rPr>
              <w:t>1</w:t>
            </w:r>
            <w:r w:rsidR="00AB7678" w:rsidRPr="00E6504B">
              <w:rPr>
                <w:rFonts w:ascii="Times New Roman" w:eastAsia="Times New Roman" w:hAnsi="Times New Roman"/>
                <w:sz w:val="24"/>
                <w:szCs w:val="24"/>
                <w:lang w:eastAsia="lv-LV"/>
              </w:rPr>
              <w:t>7</w:t>
            </w:r>
            <w:r w:rsidR="00A8532D" w:rsidRPr="00E6504B">
              <w:rPr>
                <w:rFonts w:ascii="Times New Roman" w:eastAsia="Times New Roman" w:hAnsi="Times New Roman"/>
                <w:sz w:val="24"/>
                <w:szCs w:val="24"/>
                <w:lang w:eastAsia="lv-LV"/>
              </w:rPr>
              <w:t>50</w:t>
            </w:r>
            <w:r w:rsidRPr="00E6504B">
              <w:rPr>
                <w:rFonts w:ascii="Times New Roman" w:eastAsia="Times New Roman" w:hAnsi="Times New Roman"/>
                <w:sz w:val="24"/>
                <w:szCs w:val="24"/>
                <w:lang w:eastAsia="lv-LV"/>
              </w:rPr>
              <w:t xml:space="preserve"> </w:t>
            </w:r>
            <w:r w:rsidR="00C470E7" w:rsidRPr="00E6504B">
              <w:rPr>
                <w:rFonts w:ascii="Times New Roman" w:eastAsia="Times New Roman" w:hAnsi="Times New Roman"/>
                <w:sz w:val="24"/>
                <w:szCs w:val="24"/>
                <w:lang w:eastAsia="lv-LV"/>
              </w:rPr>
              <w:t>ūdens resursu lietotāju, kuriem izsniegtas ūdens resursu lietošanas atļaujas.</w:t>
            </w:r>
          </w:p>
          <w:p w14:paraId="5C094DDC" w14:textId="77777777" w:rsidR="000F6CA5" w:rsidRPr="00E6504B" w:rsidRDefault="004C1C45"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E6504B">
              <w:rPr>
                <w:rFonts w:ascii="Times New Roman" w:eastAsia="Times New Roman" w:hAnsi="Times New Roman"/>
                <w:sz w:val="24"/>
                <w:szCs w:val="24"/>
                <w:lang w:eastAsia="lv-LV"/>
              </w:rPr>
              <w:t>VVD un</w:t>
            </w:r>
            <w:r w:rsidR="00CE45A8" w:rsidRPr="00E6504B">
              <w:rPr>
                <w:rFonts w:ascii="Times New Roman" w:eastAsia="Times New Roman" w:hAnsi="Times New Roman"/>
                <w:sz w:val="24"/>
                <w:szCs w:val="24"/>
                <w:lang w:eastAsia="lv-LV"/>
              </w:rPr>
              <w:t xml:space="preserve"> Inspekcija.</w:t>
            </w:r>
            <w:r w:rsidRPr="00E6504B">
              <w:rPr>
                <w:rFonts w:ascii="Times New Roman" w:eastAsia="Times New Roman" w:hAnsi="Times New Roman"/>
                <w:sz w:val="24"/>
                <w:szCs w:val="24"/>
                <w:lang w:eastAsia="lv-LV"/>
              </w:rPr>
              <w:t xml:space="preserve"> </w:t>
            </w:r>
          </w:p>
          <w:p w14:paraId="1F15F852" w14:textId="041E5D36" w:rsidR="00C470E7" w:rsidRPr="00E6504B" w:rsidRDefault="00B829AB"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E6504B">
              <w:rPr>
                <w:rFonts w:ascii="Times New Roman" w:eastAsia="Times New Roman" w:hAnsi="Times New Roman"/>
                <w:sz w:val="24"/>
                <w:szCs w:val="24"/>
                <w:lang w:eastAsia="lv-LV"/>
              </w:rPr>
              <w:t>J</w:t>
            </w:r>
            <w:r w:rsidR="00004FBC" w:rsidRPr="00E6504B">
              <w:rPr>
                <w:rFonts w:ascii="Times New Roman" w:eastAsia="Times New Roman" w:hAnsi="Times New Roman"/>
                <w:sz w:val="24"/>
                <w:szCs w:val="24"/>
                <w:lang w:eastAsia="lv-LV"/>
              </w:rPr>
              <w:t xml:space="preserve">ebkura </w:t>
            </w:r>
            <w:r w:rsidR="00731C56" w:rsidRPr="00E6504B">
              <w:rPr>
                <w:rFonts w:ascii="Times New Roman" w:eastAsia="Times New Roman" w:hAnsi="Times New Roman"/>
                <w:sz w:val="24"/>
                <w:szCs w:val="24"/>
                <w:lang w:eastAsia="lv-LV"/>
              </w:rPr>
              <w:t xml:space="preserve">fiziska </w:t>
            </w:r>
            <w:r w:rsidR="00004FBC" w:rsidRPr="00E6504B">
              <w:rPr>
                <w:rFonts w:ascii="Times New Roman" w:eastAsia="Times New Roman" w:hAnsi="Times New Roman"/>
                <w:sz w:val="24"/>
                <w:szCs w:val="24"/>
                <w:lang w:eastAsia="lv-LV"/>
              </w:rPr>
              <w:t xml:space="preserve">persona </w:t>
            </w:r>
            <w:r w:rsidR="003C412D" w:rsidRPr="00E6504B">
              <w:rPr>
                <w:rFonts w:ascii="Times New Roman" w:eastAsia="Times New Roman" w:hAnsi="Times New Roman"/>
                <w:sz w:val="24"/>
                <w:szCs w:val="24"/>
                <w:lang w:eastAsia="lv-LV"/>
              </w:rPr>
              <w:t>vai</w:t>
            </w:r>
            <w:r w:rsidR="00004FBC" w:rsidRPr="00E6504B">
              <w:rPr>
                <w:rFonts w:ascii="Times New Roman" w:eastAsia="Times New Roman" w:hAnsi="Times New Roman"/>
                <w:sz w:val="24"/>
                <w:szCs w:val="24"/>
                <w:lang w:eastAsia="lv-LV"/>
              </w:rPr>
              <w:t xml:space="preserve"> juridiska persona, kuras darbība vai bezdarbība ir ietekmējusi</w:t>
            </w:r>
            <w:r w:rsidR="00696618" w:rsidRPr="00E6504B">
              <w:rPr>
                <w:rFonts w:ascii="Times New Roman" w:eastAsia="Times New Roman" w:hAnsi="Times New Roman"/>
                <w:sz w:val="24"/>
                <w:szCs w:val="24"/>
                <w:lang w:eastAsia="lv-LV"/>
              </w:rPr>
              <w:t xml:space="preserve"> vai varējusi ietekmēt</w:t>
            </w:r>
            <w:r w:rsidR="00004FBC" w:rsidRPr="00E6504B">
              <w:rPr>
                <w:rFonts w:ascii="Times New Roman" w:eastAsia="Times New Roman" w:hAnsi="Times New Roman"/>
                <w:sz w:val="24"/>
                <w:szCs w:val="24"/>
                <w:lang w:eastAsia="lv-LV"/>
              </w:rPr>
              <w:t xml:space="preserve"> ūde</w:t>
            </w:r>
            <w:r w:rsidR="003C412D" w:rsidRPr="00E6504B">
              <w:rPr>
                <w:rFonts w:ascii="Times New Roman" w:eastAsia="Times New Roman" w:hAnsi="Times New Roman"/>
                <w:sz w:val="24"/>
                <w:szCs w:val="24"/>
                <w:lang w:eastAsia="lv-LV"/>
              </w:rPr>
              <w:t>ns objektu stāvokli</w:t>
            </w:r>
            <w:r w:rsidR="00004FBC" w:rsidRPr="00E6504B">
              <w:rPr>
                <w:rFonts w:ascii="Times New Roman" w:eastAsia="Times New Roman" w:hAnsi="Times New Roman"/>
                <w:sz w:val="24"/>
                <w:szCs w:val="24"/>
                <w:lang w:eastAsia="lv-LV"/>
              </w:rPr>
              <w:t xml:space="preserve"> un izraisījusi</w:t>
            </w:r>
            <w:r w:rsidR="00696618" w:rsidRPr="00E6504B">
              <w:rPr>
                <w:rFonts w:ascii="Times New Roman" w:eastAsia="Times New Roman" w:hAnsi="Times New Roman"/>
                <w:sz w:val="24"/>
                <w:szCs w:val="24"/>
                <w:lang w:eastAsia="lv-LV"/>
              </w:rPr>
              <w:t xml:space="preserve"> vai varējusi izraisīt</w:t>
            </w:r>
            <w:r w:rsidR="00004FBC" w:rsidRPr="00E6504B">
              <w:rPr>
                <w:rFonts w:ascii="Times New Roman" w:eastAsia="Times New Roman" w:hAnsi="Times New Roman"/>
                <w:sz w:val="24"/>
                <w:szCs w:val="24"/>
                <w:lang w:eastAsia="lv-LV"/>
              </w:rPr>
              <w:t xml:space="preserve"> nevēlamas sekas</w:t>
            </w:r>
            <w:r w:rsidR="003C412D" w:rsidRPr="00E6504B">
              <w:rPr>
                <w:rFonts w:ascii="Times New Roman" w:eastAsia="Times New Roman" w:hAnsi="Times New Roman"/>
                <w:sz w:val="24"/>
                <w:szCs w:val="24"/>
                <w:lang w:eastAsia="lv-LV"/>
              </w:rPr>
              <w:t xml:space="preserve"> ūde</w:t>
            </w:r>
            <w:r w:rsidR="0024470A" w:rsidRPr="00E6504B">
              <w:rPr>
                <w:rFonts w:ascii="Times New Roman" w:eastAsia="Times New Roman" w:hAnsi="Times New Roman"/>
                <w:sz w:val="24"/>
                <w:szCs w:val="24"/>
                <w:lang w:eastAsia="lv-LV"/>
              </w:rPr>
              <w:t>ns</w:t>
            </w:r>
            <w:r w:rsidR="003C412D" w:rsidRPr="00E6504B">
              <w:rPr>
                <w:rFonts w:ascii="Times New Roman" w:eastAsia="Times New Roman" w:hAnsi="Times New Roman"/>
                <w:sz w:val="24"/>
                <w:szCs w:val="24"/>
                <w:lang w:eastAsia="lv-LV"/>
              </w:rPr>
              <w:t xml:space="preserve"> kvalitātē, kvantitātē </w:t>
            </w:r>
            <w:r w:rsidR="00731C56" w:rsidRPr="00E6504B">
              <w:rPr>
                <w:rFonts w:ascii="Times New Roman" w:eastAsia="Times New Roman" w:hAnsi="Times New Roman"/>
                <w:sz w:val="24"/>
                <w:szCs w:val="24"/>
                <w:lang w:eastAsia="lv-LV"/>
              </w:rPr>
              <w:t>vai</w:t>
            </w:r>
            <w:r w:rsidR="003C412D" w:rsidRPr="00E6504B">
              <w:rPr>
                <w:rFonts w:ascii="Times New Roman" w:eastAsia="Times New Roman" w:hAnsi="Times New Roman"/>
                <w:sz w:val="24"/>
                <w:szCs w:val="24"/>
                <w:lang w:eastAsia="lv-LV"/>
              </w:rPr>
              <w:t xml:space="preserve"> hidroloģiskajā režīmā</w:t>
            </w:r>
            <w:r w:rsidRPr="00E6504B">
              <w:rPr>
                <w:rFonts w:ascii="Times New Roman" w:eastAsia="Times New Roman" w:hAnsi="Times New Roman"/>
                <w:sz w:val="24"/>
                <w:szCs w:val="24"/>
                <w:lang w:eastAsia="lv-LV"/>
              </w:rPr>
              <w:t>.</w:t>
            </w:r>
          </w:p>
        </w:tc>
      </w:tr>
      <w:tr w:rsidR="00A26C08" w:rsidRPr="00E6504B" w14:paraId="5012730F" w14:textId="77777777" w:rsidTr="00B829AB">
        <w:trPr>
          <w:trHeight w:val="539"/>
        </w:trPr>
        <w:tc>
          <w:tcPr>
            <w:tcW w:w="289" w:type="dxa"/>
          </w:tcPr>
          <w:p w14:paraId="55AE19B9" w14:textId="77777777" w:rsidR="00A26C08" w:rsidRPr="00E6504B"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2.</w:t>
            </w:r>
          </w:p>
        </w:tc>
        <w:tc>
          <w:tcPr>
            <w:tcW w:w="2977" w:type="dxa"/>
          </w:tcPr>
          <w:p w14:paraId="131DB07B" w14:textId="77777777" w:rsidR="00A26C08" w:rsidRPr="00E6504B" w:rsidRDefault="00A26C08" w:rsidP="00B829AB">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E6504B">
              <w:rPr>
                <w:rFonts w:ascii="Times New Roman" w:eastAsia="Calibri" w:hAnsi="Times New Roman" w:cs="Times New Roman"/>
                <w:sz w:val="24"/>
                <w:szCs w:val="24"/>
              </w:rPr>
              <w:t>Tiesiskā regulējuma ietekme uz tautsaimniecību un administratīvo slogu</w:t>
            </w:r>
          </w:p>
        </w:tc>
        <w:tc>
          <w:tcPr>
            <w:tcW w:w="5528" w:type="dxa"/>
          </w:tcPr>
          <w:p w14:paraId="75080771" w14:textId="2671EF01" w:rsidR="00A26C08" w:rsidRPr="00E6504B" w:rsidRDefault="00F66928" w:rsidP="00CE45A8">
            <w:pPr>
              <w:spacing w:after="0" w:line="240" w:lineRule="auto"/>
              <w:ind w:left="57" w:right="57"/>
              <w:jc w:val="both"/>
              <w:rPr>
                <w:rFonts w:ascii="Times New Roman" w:eastAsia="Times New Roman" w:hAnsi="Times New Roman" w:cs="Times New Roman"/>
                <w:sz w:val="24"/>
                <w:szCs w:val="24"/>
                <w:lang w:eastAsia="lv-LV"/>
              </w:rPr>
            </w:pPr>
            <w:r w:rsidRPr="00E6504B">
              <w:rPr>
                <w:rFonts w:ascii="Times New Roman" w:eastAsia="Calibri" w:hAnsi="Times New Roman" w:cs="Times New Roman"/>
                <w:sz w:val="24"/>
                <w:szCs w:val="24"/>
                <w:lang w:eastAsia="lv-LV"/>
              </w:rPr>
              <w:t>Likump</w:t>
            </w:r>
            <w:r w:rsidR="005A145A" w:rsidRPr="00E6504B">
              <w:rPr>
                <w:rFonts w:ascii="Times New Roman" w:eastAsia="Calibri" w:hAnsi="Times New Roman" w:cs="Times New Roman"/>
                <w:sz w:val="24"/>
                <w:szCs w:val="24"/>
                <w:lang w:eastAsia="lv-LV"/>
              </w:rPr>
              <w:t>rojekta tiesiskais regulējums nemainīs tiesības, pienākumu</w:t>
            </w:r>
            <w:r w:rsidR="00696618" w:rsidRPr="00E6504B">
              <w:rPr>
                <w:rFonts w:ascii="Times New Roman" w:eastAsia="Calibri" w:hAnsi="Times New Roman" w:cs="Times New Roman"/>
                <w:sz w:val="24"/>
                <w:szCs w:val="24"/>
                <w:lang w:eastAsia="lv-LV"/>
              </w:rPr>
              <w:t>s</w:t>
            </w:r>
            <w:r w:rsidR="005A145A" w:rsidRPr="00E6504B">
              <w:rPr>
                <w:rFonts w:ascii="Times New Roman" w:eastAsia="Calibri" w:hAnsi="Times New Roman" w:cs="Times New Roman"/>
                <w:sz w:val="24"/>
                <w:szCs w:val="24"/>
                <w:lang w:eastAsia="lv-LV"/>
              </w:rPr>
              <w:t xml:space="preserve"> un veicamās darbības </w:t>
            </w:r>
            <w:r w:rsidR="005A145A" w:rsidRPr="00E6504B">
              <w:rPr>
                <w:rFonts w:ascii="Times New Roman" w:hAnsi="Times New Roman" w:cs="Times New Roman"/>
                <w:sz w:val="24"/>
                <w:szCs w:val="24"/>
              </w:rPr>
              <w:t>sabiedrības grupām un institūcijām.</w:t>
            </w:r>
            <w:r w:rsidR="00A26C08" w:rsidRPr="00E6504B">
              <w:rPr>
                <w:rFonts w:ascii="Times New Roman" w:eastAsia="Calibri" w:hAnsi="Times New Roman" w:cs="Times New Roman"/>
                <w:sz w:val="24"/>
                <w:szCs w:val="24"/>
                <w:lang w:eastAsia="lv-LV"/>
              </w:rPr>
              <w:t xml:space="preserve"> </w:t>
            </w:r>
            <w:r w:rsidR="005F1174" w:rsidRPr="00E6504B">
              <w:rPr>
                <w:rFonts w:ascii="Times New Roman" w:eastAsia="Calibri" w:hAnsi="Times New Roman" w:cs="Times New Roman"/>
                <w:sz w:val="24"/>
                <w:szCs w:val="24"/>
                <w:lang w:eastAsia="lv-LV"/>
              </w:rPr>
              <w:t>Ņemot vērā, ka atbilstoši MK noteikumu Nr. 692 7. punkta nosacījumam  šo noteikumu izpildi kontrolē</w:t>
            </w:r>
            <w:r w:rsidR="00CF7F53" w:rsidRPr="00E6504B">
              <w:rPr>
                <w:rFonts w:ascii="Times New Roman" w:eastAsia="Calibri" w:hAnsi="Times New Roman" w:cs="Times New Roman"/>
                <w:sz w:val="24"/>
                <w:szCs w:val="24"/>
                <w:lang w:eastAsia="lv-LV"/>
              </w:rPr>
              <w:t xml:space="preserve"> </w:t>
            </w:r>
            <w:r w:rsidR="00CE45A8" w:rsidRPr="00E6504B">
              <w:rPr>
                <w:rFonts w:ascii="Times New Roman" w:eastAsia="Calibri" w:hAnsi="Times New Roman" w:cs="Times New Roman"/>
                <w:sz w:val="24"/>
                <w:szCs w:val="24"/>
                <w:lang w:eastAsia="lv-LV"/>
              </w:rPr>
              <w:t>Inspekcija</w:t>
            </w:r>
            <w:r w:rsidR="005F1174" w:rsidRPr="00E6504B">
              <w:rPr>
                <w:rFonts w:ascii="Times New Roman" w:eastAsia="Calibri" w:hAnsi="Times New Roman" w:cs="Times New Roman"/>
                <w:sz w:val="24"/>
                <w:szCs w:val="24"/>
                <w:lang w:eastAsia="lv-LV"/>
              </w:rPr>
              <w:t xml:space="preserve">, </w:t>
            </w:r>
            <w:r w:rsidR="00125185" w:rsidRPr="00E6504B">
              <w:rPr>
                <w:rFonts w:ascii="Times New Roman" w:eastAsia="Calibri" w:hAnsi="Times New Roman" w:cs="Times New Roman"/>
                <w:sz w:val="24"/>
                <w:szCs w:val="24"/>
                <w:lang w:eastAsia="lv-LV"/>
              </w:rPr>
              <w:t xml:space="preserve">minētajai institūcijai </w:t>
            </w:r>
            <w:r w:rsidR="005F1174" w:rsidRPr="00E6504B">
              <w:rPr>
                <w:rFonts w:ascii="Times New Roman" w:eastAsia="Calibri" w:hAnsi="Times New Roman" w:cs="Times New Roman"/>
                <w:sz w:val="24"/>
                <w:szCs w:val="24"/>
                <w:lang w:eastAsia="lv-LV"/>
              </w:rPr>
              <w:t>tas neradīs papildu administratīvo slogu</w:t>
            </w:r>
            <w:r w:rsidR="00125185" w:rsidRPr="00E6504B">
              <w:rPr>
                <w:rFonts w:ascii="Times New Roman" w:eastAsia="Calibri" w:hAnsi="Times New Roman" w:cs="Times New Roman"/>
                <w:sz w:val="24"/>
                <w:szCs w:val="24"/>
                <w:lang w:eastAsia="lv-LV"/>
              </w:rPr>
              <w:t>.</w:t>
            </w:r>
          </w:p>
        </w:tc>
      </w:tr>
      <w:tr w:rsidR="00A26C08" w:rsidRPr="00E6504B" w14:paraId="763B915B" w14:textId="77777777" w:rsidTr="00B829AB">
        <w:trPr>
          <w:trHeight w:val="533"/>
        </w:trPr>
        <w:tc>
          <w:tcPr>
            <w:tcW w:w="289" w:type="dxa"/>
          </w:tcPr>
          <w:p w14:paraId="6ED4EDC6" w14:textId="77777777" w:rsidR="00A26C08" w:rsidRPr="00E6504B"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3.</w:t>
            </w:r>
          </w:p>
        </w:tc>
        <w:tc>
          <w:tcPr>
            <w:tcW w:w="2977" w:type="dxa"/>
          </w:tcPr>
          <w:p w14:paraId="79B2B146" w14:textId="77777777" w:rsidR="00A26C08" w:rsidRPr="00E6504B" w:rsidRDefault="00A26C08" w:rsidP="00B829AB">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E6504B">
              <w:rPr>
                <w:rFonts w:ascii="Times New Roman" w:eastAsia="Calibri" w:hAnsi="Times New Roman" w:cs="Times New Roman"/>
                <w:sz w:val="24"/>
                <w:szCs w:val="24"/>
              </w:rPr>
              <w:t>Administratīvo izmaksu monetārs novērtējums</w:t>
            </w:r>
          </w:p>
        </w:tc>
        <w:tc>
          <w:tcPr>
            <w:tcW w:w="5528" w:type="dxa"/>
          </w:tcPr>
          <w:p w14:paraId="5747BD72" w14:textId="22138EC6" w:rsidR="00A26C08" w:rsidRPr="00E6504B" w:rsidRDefault="00F66928" w:rsidP="008959A0">
            <w:pPr>
              <w:spacing w:after="0" w:line="240" w:lineRule="auto"/>
              <w:ind w:left="57" w:right="57"/>
              <w:jc w:val="both"/>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Likump</w:t>
            </w:r>
            <w:r w:rsidR="00A26C08" w:rsidRPr="00E6504B">
              <w:rPr>
                <w:rFonts w:ascii="Times New Roman" w:eastAsia="Times New Roman" w:hAnsi="Times New Roman" w:cs="Times New Roman"/>
                <w:sz w:val="24"/>
                <w:szCs w:val="24"/>
                <w:lang w:eastAsia="lv-LV"/>
              </w:rPr>
              <w:t xml:space="preserve">rojekts šo jomu neskar. </w:t>
            </w:r>
          </w:p>
        </w:tc>
      </w:tr>
      <w:tr w:rsidR="00D77EAC" w:rsidRPr="00E6504B" w14:paraId="118AAC54" w14:textId="77777777" w:rsidTr="00B829AB">
        <w:trPr>
          <w:trHeight w:val="533"/>
        </w:trPr>
        <w:tc>
          <w:tcPr>
            <w:tcW w:w="289" w:type="dxa"/>
          </w:tcPr>
          <w:p w14:paraId="3D42F8C9" w14:textId="4FCC8D8A" w:rsidR="00D77EAC" w:rsidRPr="00E6504B" w:rsidRDefault="00D77EAC" w:rsidP="00CA57A6">
            <w:pPr>
              <w:spacing w:beforeAutospacing="1" w:after="0" w:afterAutospacing="1" w:line="240" w:lineRule="auto"/>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4.</w:t>
            </w:r>
          </w:p>
        </w:tc>
        <w:tc>
          <w:tcPr>
            <w:tcW w:w="2977" w:type="dxa"/>
          </w:tcPr>
          <w:p w14:paraId="4D4F0984" w14:textId="1EB5AA74" w:rsidR="00D77EAC" w:rsidRPr="00E6504B" w:rsidRDefault="00D77EAC" w:rsidP="00B829AB">
            <w:pPr>
              <w:spacing w:before="100" w:beforeAutospacing="1" w:after="100" w:afterAutospacing="1" w:line="240" w:lineRule="auto"/>
              <w:ind w:left="142" w:right="113"/>
              <w:jc w:val="both"/>
              <w:rPr>
                <w:rFonts w:ascii="Times New Roman" w:eastAsia="Calibri" w:hAnsi="Times New Roman" w:cs="Times New Roman"/>
                <w:sz w:val="24"/>
                <w:szCs w:val="24"/>
              </w:rPr>
            </w:pPr>
            <w:r w:rsidRPr="00E6504B">
              <w:rPr>
                <w:rFonts w:ascii="Times New Roman" w:eastAsia="Calibri" w:hAnsi="Times New Roman" w:cs="Times New Roman"/>
                <w:sz w:val="24"/>
                <w:szCs w:val="24"/>
              </w:rPr>
              <w:t xml:space="preserve">Atbilstības izmaksu </w:t>
            </w:r>
            <w:r w:rsidR="009027D8" w:rsidRPr="00E6504B">
              <w:rPr>
                <w:rFonts w:ascii="Times New Roman" w:eastAsia="Calibri" w:hAnsi="Times New Roman" w:cs="Times New Roman"/>
                <w:sz w:val="24"/>
                <w:szCs w:val="24"/>
              </w:rPr>
              <w:t xml:space="preserve">monetārs </w:t>
            </w:r>
            <w:r w:rsidRPr="00E6504B">
              <w:rPr>
                <w:rFonts w:ascii="Times New Roman" w:eastAsia="Calibri" w:hAnsi="Times New Roman" w:cs="Times New Roman"/>
                <w:sz w:val="24"/>
                <w:szCs w:val="24"/>
              </w:rPr>
              <w:t>novērtējums</w:t>
            </w:r>
          </w:p>
        </w:tc>
        <w:tc>
          <w:tcPr>
            <w:tcW w:w="5528" w:type="dxa"/>
          </w:tcPr>
          <w:p w14:paraId="6C2CE644" w14:textId="3F0FB999" w:rsidR="00D77EAC" w:rsidRPr="00E6504B" w:rsidRDefault="00D77EAC" w:rsidP="008959A0">
            <w:pPr>
              <w:spacing w:after="0" w:line="240" w:lineRule="auto"/>
              <w:ind w:left="57" w:right="57"/>
              <w:jc w:val="both"/>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Likumprojekts šo jomu neskar.</w:t>
            </w:r>
          </w:p>
        </w:tc>
      </w:tr>
      <w:tr w:rsidR="00A26C08" w:rsidRPr="00E6504B" w14:paraId="5C9D3099" w14:textId="77777777" w:rsidTr="00B829AB">
        <w:trPr>
          <w:trHeight w:val="293"/>
        </w:trPr>
        <w:tc>
          <w:tcPr>
            <w:tcW w:w="289" w:type="dxa"/>
          </w:tcPr>
          <w:p w14:paraId="6644532E" w14:textId="57DC9A2F" w:rsidR="00A26C08" w:rsidRPr="00E6504B" w:rsidRDefault="00D77EAC" w:rsidP="00CA57A6">
            <w:pPr>
              <w:spacing w:beforeAutospacing="1" w:after="0" w:afterAutospacing="1" w:line="240" w:lineRule="auto"/>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5.</w:t>
            </w:r>
          </w:p>
        </w:tc>
        <w:tc>
          <w:tcPr>
            <w:tcW w:w="2977" w:type="dxa"/>
          </w:tcPr>
          <w:p w14:paraId="6638071E" w14:textId="77777777" w:rsidR="00A26C08" w:rsidRPr="00E6504B" w:rsidRDefault="00A26C08" w:rsidP="00B829AB">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E6504B">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E6504B" w:rsidRDefault="005A145A" w:rsidP="008959A0">
            <w:pPr>
              <w:spacing w:after="0" w:line="240" w:lineRule="auto"/>
              <w:ind w:left="57" w:right="57"/>
              <w:rPr>
                <w:rFonts w:ascii="Times New Roman" w:eastAsia="Times New Roman" w:hAnsi="Times New Roman" w:cs="Times New Roman"/>
                <w:sz w:val="24"/>
                <w:szCs w:val="24"/>
                <w:lang w:eastAsia="lv-LV"/>
              </w:rPr>
            </w:pPr>
            <w:r w:rsidRPr="00E6504B">
              <w:rPr>
                <w:rFonts w:ascii="Times New Roman" w:eastAsia="Calibri" w:hAnsi="Times New Roman" w:cs="Times New Roman"/>
                <w:sz w:val="24"/>
                <w:szCs w:val="24"/>
                <w:lang w:eastAsia="lv-LV"/>
              </w:rPr>
              <w:t>Nav</w:t>
            </w:r>
          </w:p>
        </w:tc>
      </w:tr>
    </w:tbl>
    <w:p w14:paraId="31296AE7" w14:textId="77777777" w:rsidR="006D1B2C" w:rsidRDefault="006D1B2C" w:rsidP="006C4E33">
      <w:pPr>
        <w:spacing w:after="0" w:line="240" w:lineRule="auto"/>
        <w:ind w:left="142" w:firstLine="158"/>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655"/>
        <w:gridCol w:w="1026"/>
        <w:gridCol w:w="1117"/>
        <w:gridCol w:w="1014"/>
        <w:gridCol w:w="992"/>
        <w:gridCol w:w="1025"/>
        <w:gridCol w:w="1026"/>
        <w:gridCol w:w="1200"/>
      </w:tblGrid>
      <w:tr w:rsidR="00227D4E" w:rsidRPr="00E6504B" w14:paraId="7FF8F5DE" w14:textId="77777777" w:rsidTr="009027D8">
        <w:trPr>
          <w:trHeight w:val="336"/>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E6504B" w:rsidRDefault="00227D4E" w:rsidP="00D07338">
            <w:pPr>
              <w:spacing w:after="0" w:line="293" w:lineRule="atLeast"/>
              <w:rPr>
                <w:rFonts w:ascii="Times New Roman" w:eastAsia="Times New Roman" w:hAnsi="Times New Roman" w:cs="Times New Roman"/>
                <w:b/>
                <w:bCs/>
                <w:sz w:val="24"/>
                <w:szCs w:val="24"/>
                <w:lang w:eastAsia="lv-LV"/>
              </w:rPr>
            </w:pPr>
            <w:r w:rsidRPr="00E6504B">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227D4E" w:rsidRPr="00E6504B" w14:paraId="21751217"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val="restart"/>
            <w:tcBorders>
              <w:top w:val="outset" w:sz="8" w:space="0" w:color="auto"/>
              <w:left w:val="outset" w:sz="8" w:space="0" w:color="auto"/>
              <w:bottom w:val="outset" w:sz="8" w:space="0" w:color="auto"/>
              <w:right w:val="outset" w:sz="8" w:space="0" w:color="auto"/>
            </w:tcBorders>
            <w:vAlign w:val="center"/>
          </w:tcPr>
          <w:p w14:paraId="0CFD458E" w14:textId="77777777" w:rsidR="00227D4E" w:rsidRPr="00E6504B" w:rsidRDefault="00227D4E" w:rsidP="00D07338">
            <w:pPr>
              <w:pStyle w:val="naisf"/>
              <w:spacing w:before="0" w:after="0"/>
              <w:ind w:firstLine="0"/>
              <w:jc w:val="center"/>
              <w:rPr>
                <w:b/>
              </w:rPr>
            </w:pPr>
            <w:r w:rsidRPr="00E6504B">
              <w:rPr>
                <w:b/>
              </w:rPr>
              <w:t>Rādītāji</w:t>
            </w:r>
          </w:p>
        </w:tc>
        <w:tc>
          <w:tcPr>
            <w:tcW w:w="2143" w:type="dxa"/>
            <w:gridSpan w:val="2"/>
            <w:vMerge w:val="restart"/>
            <w:tcBorders>
              <w:top w:val="outset" w:sz="8" w:space="0" w:color="auto"/>
              <w:left w:val="outset" w:sz="8" w:space="0" w:color="auto"/>
              <w:bottom w:val="outset" w:sz="8" w:space="0" w:color="auto"/>
              <w:right w:val="outset" w:sz="8" w:space="0" w:color="auto"/>
            </w:tcBorders>
            <w:vAlign w:val="center"/>
          </w:tcPr>
          <w:p w14:paraId="6B620E75" w14:textId="70E328B7" w:rsidR="00227D4E" w:rsidRPr="00E6504B" w:rsidRDefault="00227D4E" w:rsidP="00227D4E">
            <w:pPr>
              <w:pStyle w:val="naisf"/>
              <w:spacing w:before="0" w:after="0"/>
              <w:ind w:firstLine="0"/>
              <w:jc w:val="center"/>
              <w:rPr>
                <w:b/>
              </w:rPr>
            </w:pPr>
            <w:r w:rsidRPr="00E6504B">
              <w:rPr>
                <w:b/>
              </w:rPr>
              <w:t>2020. gads</w:t>
            </w:r>
          </w:p>
        </w:tc>
        <w:tc>
          <w:tcPr>
            <w:tcW w:w="5257" w:type="dxa"/>
            <w:gridSpan w:val="5"/>
            <w:tcBorders>
              <w:top w:val="outset" w:sz="8" w:space="0" w:color="auto"/>
              <w:left w:val="outset" w:sz="8" w:space="0" w:color="auto"/>
              <w:bottom w:val="outset" w:sz="8" w:space="0" w:color="auto"/>
              <w:right w:val="outset" w:sz="8" w:space="0" w:color="auto"/>
            </w:tcBorders>
            <w:vAlign w:val="center"/>
          </w:tcPr>
          <w:p w14:paraId="2BD18F59" w14:textId="77777777" w:rsidR="00227D4E" w:rsidRPr="00E6504B" w:rsidRDefault="00227D4E" w:rsidP="00D07338">
            <w:pPr>
              <w:pStyle w:val="naisf"/>
              <w:spacing w:before="0" w:after="0"/>
              <w:ind w:firstLine="0"/>
              <w:jc w:val="center"/>
              <w:rPr>
                <w:b/>
                <w:i/>
              </w:rPr>
            </w:pPr>
            <w:r w:rsidRPr="00E6504B">
              <w:t>Turpmākie trīs gadi (</w:t>
            </w:r>
            <w:r w:rsidRPr="00E6504B">
              <w:rPr>
                <w:i/>
              </w:rPr>
              <w:t>euro</w:t>
            </w:r>
            <w:r w:rsidRPr="00E6504B">
              <w:t>)</w:t>
            </w:r>
          </w:p>
        </w:tc>
      </w:tr>
      <w:tr w:rsidR="00227D4E" w:rsidRPr="00E6504B" w14:paraId="54381453"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tcBorders>
              <w:top w:val="outset" w:sz="8" w:space="0" w:color="auto"/>
              <w:left w:val="outset" w:sz="8" w:space="0" w:color="auto"/>
              <w:bottom w:val="outset" w:sz="8" w:space="0" w:color="auto"/>
              <w:right w:val="outset" w:sz="8" w:space="0" w:color="auto"/>
            </w:tcBorders>
            <w:vAlign w:val="center"/>
          </w:tcPr>
          <w:p w14:paraId="2343BE25" w14:textId="77777777" w:rsidR="00227D4E" w:rsidRPr="00E6504B" w:rsidRDefault="00227D4E" w:rsidP="00D07338">
            <w:pPr>
              <w:pStyle w:val="naisf"/>
              <w:spacing w:before="0" w:after="0"/>
              <w:ind w:firstLine="0"/>
              <w:jc w:val="center"/>
              <w:rPr>
                <w:b/>
                <w:i/>
              </w:rPr>
            </w:pPr>
          </w:p>
        </w:tc>
        <w:tc>
          <w:tcPr>
            <w:tcW w:w="2143" w:type="dxa"/>
            <w:gridSpan w:val="2"/>
            <w:vMerge/>
            <w:tcBorders>
              <w:top w:val="outset" w:sz="8" w:space="0" w:color="auto"/>
              <w:left w:val="outset" w:sz="8" w:space="0" w:color="auto"/>
              <w:bottom w:val="outset" w:sz="8" w:space="0" w:color="auto"/>
              <w:right w:val="outset" w:sz="8" w:space="0" w:color="auto"/>
            </w:tcBorders>
            <w:vAlign w:val="center"/>
          </w:tcPr>
          <w:p w14:paraId="78E25759" w14:textId="77777777" w:rsidR="00227D4E" w:rsidRPr="00E6504B" w:rsidRDefault="00227D4E" w:rsidP="00D07338">
            <w:pPr>
              <w:pStyle w:val="naisf"/>
              <w:spacing w:before="0" w:after="0"/>
              <w:ind w:firstLine="0"/>
              <w:jc w:val="center"/>
              <w:rPr>
                <w:b/>
                <w:i/>
              </w:rPr>
            </w:pPr>
          </w:p>
        </w:tc>
        <w:tc>
          <w:tcPr>
            <w:tcW w:w="2006" w:type="dxa"/>
            <w:gridSpan w:val="2"/>
            <w:tcBorders>
              <w:top w:val="outset" w:sz="8" w:space="0" w:color="auto"/>
              <w:left w:val="outset" w:sz="8" w:space="0" w:color="auto"/>
              <w:bottom w:val="outset" w:sz="8" w:space="0" w:color="auto"/>
              <w:right w:val="outset" w:sz="8" w:space="0" w:color="auto"/>
            </w:tcBorders>
            <w:vAlign w:val="center"/>
          </w:tcPr>
          <w:p w14:paraId="1E3DDD3B" w14:textId="720C58BD" w:rsidR="00227D4E" w:rsidRPr="00E6504B" w:rsidRDefault="00227D4E" w:rsidP="00227D4E">
            <w:pPr>
              <w:pStyle w:val="naisf"/>
              <w:spacing w:before="0" w:after="0"/>
              <w:ind w:firstLine="0"/>
              <w:jc w:val="center"/>
              <w:rPr>
                <w:b/>
              </w:rPr>
            </w:pPr>
            <w:r w:rsidRPr="00E6504B">
              <w:rPr>
                <w:b/>
              </w:rPr>
              <w:t>2021.</w:t>
            </w:r>
          </w:p>
        </w:tc>
        <w:tc>
          <w:tcPr>
            <w:tcW w:w="2051" w:type="dxa"/>
            <w:gridSpan w:val="2"/>
            <w:tcBorders>
              <w:top w:val="outset" w:sz="8" w:space="0" w:color="auto"/>
              <w:left w:val="outset" w:sz="8" w:space="0" w:color="auto"/>
              <w:bottom w:val="outset" w:sz="8" w:space="0" w:color="auto"/>
              <w:right w:val="outset" w:sz="8" w:space="0" w:color="auto"/>
            </w:tcBorders>
            <w:vAlign w:val="center"/>
          </w:tcPr>
          <w:p w14:paraId="465CE97D" w14:textId="618256F9" w:rsidR="00227D4E" w:rsidRPr="00E6504B" w:rsidRDefault="00227D4E" w:rsidP="00227D4E">
            <w:pPr>
              <w:pStyle w:val="naisf"/>
              <w:spacing w:before="0" w:after="0"/>
              <w:ind w:firstLine="0"/>
              <w:jc w:val="center"/>
              <w:rPr>
                <w:b/>
              </w:rPr>
            </w:pPr>
            <w:r w:rsidRPr="00E6504B">
              <w:rPr>
                <w:b/>
              </w:rPr>
              <w:t>2022.</w:t>
            </w:r>
          </w:p>
        </w:tc>
        <w:tc>
          <w:tcPr>
            <w:tcW w:w="1200" w:type="dxa"/>
            <w:tcBorders>
              <w:top w:val="outset" w:sz="8" w:space="0" w:color="auto"/>
              <w:left w:val="outset" w:sz="8" w:space="0" w:color="auto"/>
              <w:bottom w:val="outset" w:sz="8" w:space="0" w:color="auto"/>
              <w:right w:val="outset" w:sz="8" w:space="0" w:color="auto"/>
            </w:tcBorders>
            <w:vAlign w:val="center"/>
          </w:tcPr>
          <w:p w14:paraId="75763E11" w14:textId="50B1832E" w:rsidR="00227D4E" w:rsidRPr="00E6504B" w:rsidRDefault="00227D4E" w:rsidP="00227D4E">
            <w:pPr>
              <w:pStyle w:val="naisf"/>
              <w:spacing w:before="0" w:after="0"/>
              <w:ind w:firstLine="0"/>
              <w:jc w:val="center"/>
              <w:rPr>
                <w:b/>
                <w:i/>
              </w:rPr>
            </w:pPr>
            <w:r w:rsidRPr="00E6504B">
              <w:rPr>
                <w:b/>
                <w:bCs/>
              </w:rPr>
              <w:t>2023.</w:t>
            </w:r>
          </w:p>
        </w:tc>
      </w:tr>
      <w:tr w:rsidR="00916323" w:rsidRPr="00E6504B" w14:paraId="6461EE85"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tcBorders>
              <w:top w:val="outset" w:sz="8" w:space="0" w:color="auto"/>
              <w:left w:val="outset" w:sz="8" w:space="0" w:color="auto"/>
              <w:bottom w:val="outset" w:sz="8" w:space="0" w:color="auto"/>
              <w:right w:val="outset" w:sz="8" w:space="0" w:color="auto"/>
            </w:tcBorders>
            <w:vAlign w:val="center"/>
          </w:tcPr>
          <w:p w14:paraId="0670A1A0" w14:textId="77777777" w:rsidR="00916323" w:rsidRPr="00E6504B" w:rsidRDefault="00916323" w:rsidP="00D07338">
            <w:pPr>
              <w:pStyle w:val="naisf"/>
              <w:spacing w:before="0" w:after="0"/>
              <w:ind w:firstLine="0"/>
              <w:jc w:val="center"/>
              <w:rPr>
                <w:b/>
                <w:i/>
              </w:rPr>
            </w:pPr>
          </w:p>
        </w:tc>
        <w:tc>
          <w:tcPr>
            <w:tcW w:w="1026" w:type="dxa"/>
            <w:tcBorders>
              <w:top w:val="outset" w:sz="8" w:space="0" w:color="auto"/>
              <w:left w:val="outset" w:sz="8" w:space="0" w:color="auto"/>
              <w:bottom w:val="outset" w:sz="8" w:space="0" w:color="auto"/>
              <w:right w:val="outset" w:sz="8" w:space="0" w:color="auto"/>
            </w:tcBorders>
            <w:vAlign w:val="center"/>
          </w:tcPr>
          <w:p w14:paraId="29F53910" w14:textId="77777777" w:rsidR="00916323" w:rsidRPr="00E6504B" w:rsidRDefault="00916323" w:rsidP="009027D8">
            <w:pPr>
              <w:pStyle w:val="naisf"/>
              <w:spacing w:before="0" w:after="0"/>
              <w:ind w:left="-113" w:right="-113" w:firstLine="0"/>
              <w:jc w:val="center"/>
              <w:rPr>
                <w:b/>
                <w:i/>
              </w:rPr>
            </w:pPr>
            <w:r w:rsidRPr="00E6504B">
              <w:t>saskaņā ar valsts budžetu kārtējam gadam</w:t>
            </w:r>
          </w:p>
        </w:tc>
        <w:tc>
          <w:tcPr>
            <w:tcW w:w="1117" w:type="dxa"/>
            <w:tcBorders>
              <w:top w:val="outset" w:sz="8" w:space="0" w:color="auto"/>
              <w:left w:val="outset" w:sz="8" w:space="0" w:color="auto"/>
              <w:bottom w:val="outset" w:sz="8" w:space="0" w:color="auto"/>
              <w:right w:val="outset" w:sz="8" w:space="0" w:color="auto"/>
            </w:tcBorders>
            <w:vAlign w:val="center"/>
          </w:tcPr>
          <w:p w14:paraId="3F9AEEA8" w14:textId="77777777" w:rsidR="00916323" w:rsidRPr="00E6504B" w:rsidRDefault="00916323" w:rsidP="009027D8">
            <w:pPr>
              <w:pStyle w:val="naisf"/>
              <w:spacing w:before="0" w:after="0"/>
              <w:ind w:left="-113" w:right="-113" w:firstLine="0"/>
              <w:jc w:val="center"/>
              <w:rPr>
                <w:b/>
                <w:i/>
              </w:rPr>
            </w:pPr>
            <w:r w:rsidRPr="00E6504B">
              <w:t>izmaiņas kārtējā gadā, salīdzinot ar budžetu kārtējam gadam</w:t>
            </w:r>
          </w:p>
        </w:tc>
        <w:tc>
          <w:tcPr>
            <w:tcW w:w="1014" w:type="dxa"/>
            <w:tcBorders>
              <w:top w:val="outset" w:sz="8" w:space="0" w:color="auto"/>
              <w:left w:val="outset" w:sz="8" w:space="0" w:color="auto"/>
              <w:right w:val="outset" w:sz="8" w:space="0" w:color="auto"/>
            </w:tcBorders>
            <w:vAlign w:val="center"/>
          </w:tcPr>
          <w:p w14:paraId="2E7B89B4" w14:textId="5CCC4DBA" w:rsidR="00916323" w:rsidRPr="00E6504B" w:rsidRDefault="00916323" w:rsidP="009027D8">
            <w:pPr>
              <w:pStyle w:val="naisf"/>
              <w:spacing w:before="0" w:after="0"/>
              <w:ind w:left="-113" w:right="-113" w:firstLine="0"/>
              <w:jc w:val="center"/>
            </w:pPr>
            <w:r w:rsidRPr="00E6504B">
              <w:t>saskaņā ar vidēja termiņa budžeta ietvaru</w:t>
            </w:r>
          </w:p>
        </w:tc>
        <w:tc>
          <w:tcPr>
            <w:tcW w:w="992" w:type="dxa"/>
            <w:tcBorders>
              <w:top w:val="outset" w:sz="8" w:space="0" w:color="auto"/>
              <w:left w:val="outset" w:sz="8" w:space="0" w:color="auto"/>
              <w:right w:val="outset" w:sz="8" w:space="0" w:color="auto"/>
            </w:tcBorders>
            <w:vAlign w:val="center"/>
          </w:tcPr>
          <w:p w14:paraId="73C14B70" w14:textId="34954175" w:rsidR="00916323" w:rsidRPr="00E6504B" w:rsidRDefault="00916323" w:rsidP="009027D8">
            <w:pPr>
              <w:pStyle w:val="naisf"/>
              <w:spacing w:before="0" w:after="0"/>
              <w:ind w:left="-113" w:right="-113" w:firstLine="0"/>
              <w:jc w:val="center"/>
              <w:rPr>
                <w:b/>
                <w:i/>
              </w:rPr>
            </w:pPr>
            <w:r w:rsidRPr="00E6504B">
              <w:t xml:space="preserve">izmaiņas, salīdzinot ar kārtējo </w:t>
            </w:r>
            <w:r w:rsidRPr="00E6504B">
              <w:rPr>
                <w:b/>
              </w:rPr>
              <w:t xml:space="preserve">2021. </w:t>
            </w:r>
            <w:r w:rsidRPr="00E6504B">
              <w:t>gadu</w:t>
            </w:r>
          </w:p>
          <w:p w14:paraId="35C286B0" w14:textId="53B8DD6B" w:rsidR="00916323" w:rsidRPr="00E6504B" w:rsidRDefault="00916323" w:rsidP="009027D8">
            <w:pPr>
              <w:spacing w:after="0"/>
              <w:ind w:left="-113" w:right="-113"/>
              <w:jc w:val="center"/>
              <w:rPr>
                <w:rFonts w:ascii="Times New Roman" w:hAnsi="Times New Roman" w:cs="Times New Roman"/>
                <w:b/>
                <w:i/>
              </w:rPr>
            </w:pPr>
          </w:p>
        </w:tc>
        <w:tc>
          <w:tcPr>
            <w:tcW w:w="1025" w:type="dxa"/>
            <w:tcBorders>
              <w:top w:val="outset" w:sz="8" w:space="0" w:color="auto"/>
              <w:left w:val="outset" w:sz="8" w:space="0" w:color="auto"/>
              <w:right w:val="outset" w:sz="8" w:space="0" w:color="auto"/>
            </w:tcBorders>
            <w:vAlign w:val="center"/>
          </w:tcPr>
          <w:p w14:paraId="7B504BE5" w14:textId="40166E0E" w:rsidR="00916323" w:rsidRPr="00E6504B" w:rsidRDefault="00916323" w:rsidP="009027D8">
            <w:pPr>
              <w:spacing w:after="0"/>
              <w:ind w:left="-113" w:right="-113"/>
              <w:jc w:val="center"/>
              <w:rPr>
                <w:rFonts w:ascii="Times New Roman" w:hAnsi="Times New Roman" w:cs="Times New Roman"/>
                <w:sz w:val="24"/>
                <w:szCs w:val="24"/>
              </w:rPr>
            </w:pPr>
            <w:r w:rsidRPr="00E6504B">
              <w:rPr>
                <w:rFonts w:ascii="Times New Roman" w:hAnsi="Times New Roman" w:cs="Times New Roman"/>
              </w:rPr>
              <w:t>saskaņā ar vidēja termiņa budžeta ietvaru</w:t>
            </w:r>
          </w:p>
        </w:tc>
        <w:tc>
          <w:tcPr>
            <w:tcW w:w="1026" w:type="dxa"/>
            <w:tcBorders>
              <w:top w:val="outset" w:sz="8" w:space="0" w:color="auto"/>
              <w:left w:val="outset" w:sz="8" w:space="0" w:color="auto"/>
              <w:right w:val="outset" w:sz="8" w:space="0" w:color="auto"/>
            </w:tcBorders>
            <w:vAlign w:val="center"/>
          </w:tcPr>
          <w:p w14:paraId="4BA49CE9" w14:textId="6894661A" w:rsidR="00916323" w:rsidRPr="00E6504B" w:rsidRDefault="00916323" w:rsidP="009027D8">
            <w:pPr>
              <w:pStyle w:val="naisf"/>
              <w:spacing w:before="0" w:after="0"/>
              <w:ind w:left="-113" w:right="-113" w:firstLine="0"/>
              <w:jc w:val="center"/>
              <w:rPr>
                <w:b/>
                <w:i/>
              </w:rPr>
            </w:pPr>
            <w:r w:rsidRPr="00E6504B">
              <w:t xml:space="preserve">izmaiņas, salīdzinot ar kārtējo </w:t>
            </w:r>
            <w:r w:rsidRPr="00E6504B">
              <w:rPr>
                <w:b/>
              </w:rPr>
              <w:t>2022.</w:t>
            </w:r>
            <w:r w:rsidRPr="00E6504B">
              <w:t xml:space="preserve"> gadu</w:t>
            </w:r>
          </w:p>
          <w:p w14:paraId="02B5D7BF" w14:textId="6D33DB76" w:rsidR="00916323" w:rsidRPr="00E6504B" w:rsidRDefault="00916323" w:rsidP="009027D8">
            <w:pPr>
              <w:spacing w:after="0"/>
              <w:ind w:left="-113" w:right="-113"/>
              <w:jc w:val="center"/>
              <w:rPr>
                <w:rFonts w:ascii="Times New Roman" w:hAnsi="Times New Roman" w:cs="Times New Roman"/>
                <w:b/>
                <w:i/>
              </w:rPr>
            </w:pPr>
          </w:p>
        </w:tc>
        <w:tc>
          <w:tcPr>
            <w:tcW w:w="1200" w:type="dxa"/>
            <w:tcBorders>
              <w:top w:val="outset" w:sz="8" w:space="0" w:color="auto"/>
              <w:left w:val="outset" w:sz="8" w:space="0" w:color="auto"/>
              <w:bottom w:val="outset" w:sz="8" w:space="0" w:color="auto"/>
              <w:right w:val="outset" w:sz="8" w:space="0" w:color="auto"/>
            </w:tcBorders>
            <w:vAlign w:val="center"/>
          </w:tcPr>
          <w:p w14:paraId="15226AA5" w14:textId="797736B9" w:rsidR="00916323" w:rsidRPr="00E6504B" w:rsidRDefault="00916323" w:rsidP="009027D8">
            <w:pPr>
              <w:pStyle w:val="naisf"/>
              <w:spacing w:before="0" w:after="0"/>
              <w:ind w:left="-113" w:right="-113" w:firstLine="0"/>
              <w:jc w:val="center"/>
              <w:rPr>
                <w:b/>
                <w:i/>
              </w:rPr>
            </w:pPr>
            <w:r w:rsidRPr="00E6504B">
              <w:t xml:space="preserve">izmaiņas, salīdzinot ar kārtējo </w:t>
            </w:r>
            <w:r w:rsidRPr="00E6504B">
              <w:rPr>
                <w:b/>
              </w:rPr>
              <w:t>2022.</w:t>
            </w:r>
            <w:r w:rsidRPr="00E6504B">
              <w:t xml:space="preserve"> gadu</w:t>
            </w:r>
          </w:p>
        </w:tc>
      </w:tr>
      <w:tr w:rsidR="00916323" w:rsidRPr="00E6504B" w14:paraId="3C812A86"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vAlign w:val="center"/>
          </w:tcPr>
          <w:p w14:paraId="1C08461A" w14:textId="77777777" w:rsidR="00916323" w:rsidRPr="00E6504B" w:rsidRDefault="00916323" w:rsidP="00D07338">
            <w:pPr>
              <w:pStyle w:val="naisf"/>
              <w:spacing w:before="0" w:after="0"/>
              <w:ind w:firstLine="0"/>
              <w:jc w:val="center"/>
              <w:rPr>
                <w:bCs/>
              </w:rPr>
            </w:pPr>
            <w:r w:rsidRPr="00E6504B">
              <w:rPr>
                <w:bCs/>
              </w:rPr>
              <w:t>1</w:t>
            </w:r>
          </w:p>
        </w:tc>
        <w:tc>
          <w:tcPr>
            <w:tcW w:w="1026" w:type="dxa"/>
            <w:tcBorders>
              <w:top w:val="outset" w:sz="8" w:space="0" w:color="auto"/>
              <w:left w:val="outset" w:sz="8" w:space="0" w:color="auto"/>
              <w:bottom w:val="outset" w:sz="8" w:space="0" w:color="auto"/>
              <w:right w:val="outset" w:sz="8" w:space="0" w:color="auto"/>
            </w:tcBorders>
            <w:vAlign w:val="center"/>
          </w:tcPr>
          <w:p w14:paraId="04760880" w14:textId="77777777" w:rsidR="00916323" w:rsidRPr="00E6504B" w:rsidRDefault="00916323" w:rsidP="00D07338">
            <w:pPr>
              <w:pStyle w:val="naisf"/>
              <w:spacing w:before="0" w:after="0"/>
              <w:ind w:firstLine="0"/>
              <w:jc w:val="center"/>
              <w:rPr>
                <w:bCs/>
              </w:rPr>
            </w:pPr>
            <w:r w:rsidRPr="00E6504B">
              <w:rPr>
                <w:bCs/>
              </w:rPr>
              <w:t>2</w:t>
            </w:r>
          </w:p>
        </w:tc>
        <w:tc>
          <w:tcPr>
            <w:tcW w:w="1117" w:type="dxa"/>
            <w:tcBorders>
              <w:top w:val="outset" w:sz="8" w:space="0" w:color="auto"/>
              <w:left w:val="outset" w:sz="8" w:space="0" w:color="auto"/>
              <w:bottom w:val="outset" w:sz="8" w:space="0" w:color="auto"/>
              <w:right w:val="outset" w:sz="8" w:space="0" w:color="auto"/>
            </w:tcBorders>
            <w:vAlign w:val="center"/>
          </w:tcPr>
          <w:p w14:paraId="3F30BAB1" w14:textId="77777777" w:rsidR="00916323" w:rsidRPr="00E6504B" w:rsidRDefault="00916323" w:rsidP="00D07338">
            <w:pPr>
              <w:pStyle w:val="naisf"/>
              <w:spacing w:before="0" w:after="0"/>
              <w:ind w:firstLine="0"/>
              <w:jc w:val="center"/>
              <w:rPr>
                <w:bCs/>
              </w:rPr>
            </w:pPr>
            <w:r w:rsidRPr="00E6504B">
              <w:rPr>
                <w:bCs/>
              </w:rPr>
              <w:t>3</w:t>
            </w:r>
          </w:p>
        </w:tc>
        <w:tc>
          <w:tcPr>
            <w:tcW w:w="1014" w:type="dxa"/>
            <w:tcBorders>
              <w:left w:val="outset" w:sz="8" w:space="0" w:color="auto"/>
              <w:right w:val="outset" w:sz="8" w:space="0" w:color="auto"/>
            </w:tcBorders>
            <w:vAlign w:val="center"/>
          </w:tcPr>
          <w:p w14:paraId="4F5F151D" w14:textId="5CFCF06E" w:rsidR="00916323" w:rsidRPr="00E6504B" w:rsidRDefault="00916323" w:rsidP="00D07338">
            <w:pPr>
              <w:spacing w:after="0"/>
              <w:jc w:val="center"/>
              <w:rPr>
                <w:rFonts w:ascii="Times New Roman" w:hAnsi="Times New Roman" w:cs="Times New Roman"/>
                <w:bCs/>
                <w:sz w:val="24"/>
                <w:szCs w:val="24"/>
              </w:rPr>
            </w:pPr>
            <w:r w:rsidRPr="00E6504B">
              <w:rPr>
                <w:rFonts w:ascii="Times New Roman" w:hAnsi="Times New Roman" w:cs="Times New Roman"/>
                <w:bCs/>
                <w:sz w:val="24"/>
                <w:szCs w:val="24"/>
              </w:rPr>
              <w:t>4</w:t>
            </w:r>
          </w:p>
        </w:tc>
        <w:tc>
          <w:tcPr>
            <w:tcW w:w="992" w:type="dxa"/>
            <w:tcBorders>
              <w:left w:val="outset" w:sz="8" w:space="0" w:color="auto"/>
              <w:right w:val="outset" w:sz="8" w:space="0" w:color="auto"/>
            </w:tcBorders>
            <w:vAlign w:val="center"/>
          </w:tcPr>
          <w:p w14:paraId="4B76E7E0" w14:textId="6EA09E60" w:rsidR="00916323" w:rsidRPr="00E6504B" w:rsidRDefault="00916323" w:rsidP="00D07338">
            <w:pPr>
              <w:spacing w:after="0"/>
              <w:jc w:val="center"/>
              <w:rPr>
                <w:rFonts w:ascii="Times New Roman" w:hAnsi="Times New Roman" w:cs="Times New Roman"/>
                <w:bCs/>
                <w:sz w:val="24"/>
                <w:szCs w:val="24"/>
              </w:rPr>
            </w:pPr>
            <w:r w:rsidRPr="00E6504B">
              <w:rPr>
                <w:rFonts w:ascii="Times New Roman" w:hAnsi="Times New Roman" w:cs="Times New Roman"/>
                <w:bCs/>
                <w:sz w:val="24"/>
                <w:szCs w:val="24"/>
              </w:rPr>
              <w:t>5</w:t>
            </w:r>
          </w:p>
        </w:tc>
        <w:tc>
          <w:tcPr>
            <w:tcW w:w="1025" w:type="dxa"/>
            <w:tcBorders>
              <w:left w:val="outset" w:sz="8" w:space="0" w:color="auto"/>
              <w:right w:val="outset" w:sz="8" w:space="0" w:color="auto"/>
            </w:tcBorders>
            <w:vAlign w:val="center"/>
          </w:tcPr>
          <w:p w14:paraId="5115F8A6" w14:textId="22E8B0BA" w:rsidR="00916323" w:rsidRPr="00E6504B" w:rsidRDefault="00916323" w:rsidP="00D07338">
            <w:pPr>
              <w:spacing w:after="0"/>
              <w:jc w:val="center"/>
              <w:rPr>
                <w:rFonts w:ascii="Times New Roman" w:hAnsi="Times New Roman" w:cs="Times New Roman"/>
                <w:bCs/>
                <w:sz w:val="24"/>
                <w:szCs w:val="24"/>
              </w:rPr>
            </w:pPr>
            <w:r w:rsidRPr="00E6504B">
              <w:rPr>
                <w:rFonts w:ascii="Times New Roman" w:hAnsi="Times New Roman" w:cs="Times New Roman"/>
                <w:bCs/>
                <w:sz w:val="24"/>
                <w:szCs w:val="24"/>
              </w:rPr>
              <w:t>6</w:t>
            </w:r>
          </w:p>
        </w:tc>
        <w:tc>
          <w:tcPr>
            <w:tcW w:w="1026" w:type="dxa"/>
            <w:tcBorders>
              <w:left w:val="outset" w:sz="8" w:space="0" w:color="auto"/>
              <w:right w:val="outset" w:sz="8" w:space="0" w:color="auto"/>
            </w:tcBorders>
            <w:vAlign w:val="center"/>
          </w:tcPr>
          <w:p w14:paraId="2BAA5278" w14:textId="53D0A01E" w:rsidR="00916323" w:rsidRPr="00E6504B" w:rsidRDefault="00916323" w:rsidP="00D07338">
            <w:pPr>
              <w:spacing w:after="0"/>
              <w:jc w:val="center"/>
              <w:rPr>
                <w:rFonts w:ascii="Times New Roman" w:hAnsi="Times New Roman" w:cs="Times New Roman"/>
                <w:bCs/>
                <w:sz w:val="24"/>
                <w:szCs w:val="24"/>
              </w:rPr>
            </w:pPr>
            <w:r w:rsidRPr="00E6504B">
              <w:rPr>
                <w:rFonts w:ascii="Times New Roman" w:hAnsi="Times New Roman" w:cs="Times New Roman"/>
                <w:bCs/>
                <w:sz w:val="24"/>
                <w:szCs w:val="24"/>
              </w:rPr>
              <w:t>7</w:t>
            </w:r>
          </w:p>
        </w:tc>
        <w:tc>
          <w:tcPr>
            <w:tcW w:w="1200" w:type="dxa"/>
            <w:tcBorders>
              <w:top w:val="outset" w:sz="8" w:space="0" w:color="auto"/>
              <w:left w:val="outset" w:sz="8" w:space="0" w:color="auto"/>
              <w:bottom w:val="outset" w:sz="8" w:space="0" w:color="auto"/>
              <w:right w:val="outset" w:sz="8" w:space="0" w:color="auto"/>
            </w:tcBorders>
            <w:vAlign w:val="center"/>
          </w:tcPr>
          <w:p w14:paraId="402A941E" w14:textId="6D7B56F5" w:rsidR="00916323" w:rsidRPr="00E6504B" w:rsidRDefault="00916323" w:rsidP="00D07338">
            <w:pPr>
              <w:pStyle w:val="naisf"/>
              <w:spacing w:before="0" w:after="0"/>
              <w:ind w:firstLine="0"/>
              <w:jc w:val="center"/>
              <w:rPr>
                <w:bCs/>
              </w:rPr>
            </w:pPr>
            <w:r w:rsidRPr="00E6504B">
              <w:rPr>
                <w:bCs/>
              </w:rPr>
              <w:t>8</w:t>
            </w:r>
          </w:p>
        </w:tc>
      </w:tr>
      <w:tr w:rsidR="00721653" w:rsidRPr="00E6504B" w14:paraId="3F2A25C3"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42493889" w14:textId="77777777" w:rsidR="00721653" w:rsidRPr="00E6504B" w:rsidRDefault="00721653" w:rsidP="00721653">
            <w:pPr>
              <w:pStyle w:val="naisf"/>
              <w:spacing w:before="0" w:after="0"/>
              <w:ind w:firstLine="0"/>
              <w:rPr>
                <w:i/>
              </w:rPr>
            </w:pPr>
            <w:r w:rsidRPr="00E6504B">
              <w:t>1. Budžeta ieņēmumi (kopā):</w:t>
            </w:r>
          </w:p>
        </w:tc>
        <w:tc>
          <w:tcPr>
            <w:tcW w:w="1026" w:type="dxa"/>
            <w:tcBorders>
              <w:top w:val="outset" w:sz="8" w:space="0" w:color="auto"/>
              <w:left w:val="outset" w:sz="8" w:space="0" w:color="auto"/>
              <w:bottom w:val="outset" w:sz="8" w:space="0" w:color="auto"/>
              <w:right w:val="outset" w:sz="8" w:space="0" w:color="auto"/>
            </w:tcBorders>
          </w:tcPr>
          <w:p w14:paraId="0E0AC227" w14:textId="5BBA96B2" w:rsidR="00721653" w:rsidRPr="00E6504B" w:rsidRDefault="00721653" w:rsidP="00393993">
            <w:pPr>
              <w:pStyle w:val="naisf"/>
              <w:spacing w:before="0" w:after="0"/>
              <w:ind w:firstLine="0"/>
              <w:jc w:val="center"/>
            </w:pPr>
            <w:r w:rsidRPr="00E6504B">
              <w:t>Nav precīzi aprēķināms</w:t>
            </w:r>
          </w:p>
        </w:tc>
        <w:tc>
          <w:tcPr>
            <w:tcW w:w="1117" w:type="dxa"/>
            <w:tcBorders>
              <w:top w:val="outset" w:sz="8" w:space="0" w:color="auto"/>
              <w:left w:val="outset" w:sz="8" w:space="0" w:color="auto"/>
              <w:bottom w:val="outset" w:sz="8" w:space="0" w:color="auto"/>
              <w:right w:val="outset" w:sz="8" w:space="0" w:color="auto"/>
            </w:tcBorders>
          </w:tcPr>
          <w:p w14:paraId="4DC7189A" w14:textId="28C27A9D" w:rsidR="00721653" w:rsidRPr="00E6504B" w:rsidRDefault="00721653" w:rsidP="00393993">
            <w:pPr>
              <w:pStyle w:val="naisf"/>
              <w:spacing w:before="0" w:after="0"/>
              <w:ind w:firstLine="0"/>
              <w:jc w:val="center"/>
            </w:pPr>
            <w:r w:rsidRPr="00E6504B">
              <w:t>Nav precīzi aprēķināms</w:t>
            </w:r>
          </w:p>
        </w:tc>
        <w:tc>
          <w:tcPr>
            <w:tcW w:w="1014" w:type="dxa"/>
            <w:tcBorders>
              <w:left w:val="outset" w:sz="8" w:space="0" w:color="auto"/>
              <w:right w:val="outset" w:sz="8" w:space="0" w:color="auto"/>
            </w:tcBorders>
          </w:tcPr>
          <w:p w14:paraId="53358928" w14:textId="6CA82BDD"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992" w:type="dxa"/>
            <w:tcBorders>
              <w:left w:val="outset" w:sz="8" w:space="0" w:color="auto"/>
              <w:right w:val="outset" w:sz="8" w:space="0" w:color="auto"/>
            </w:tcBorders>
          </w:tcPr>
          <w:p w14:paraId="6A079BE4" w14:textId="04EE5047"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5" w:type="dxa"/>
            <w:tcBorders>
              <w:left w:val="outset" w:sz="8" w:space="0" w:color="auto"/>
              <w:right w:val="outset" w:sz="8" w:space="0" w:color="auto"/>
            </w:tcBorders>
          </w:tcPr>
          <w:p w14:paraId="2B45AD16" w14:textId="26C1105F"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6" w:type="dxa"/>
            <w:tcBorders>
              <w:left w:val="outset" w:sz="8" w:space="0" w:color="auto"/>
              <w:right w:val="outset" w:sz="8" w:space="0" w:color="auto"/>
            </w:tcBorders>
          </w:tcPr>
          <w:p w14:paraId="40F472C3" w14:textId="5548E192"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200" w:type="dxa"/>
            <w:tcBorders>
              <w:top w:val="outset" w:sz="8" w:space="0" w:color="auto"/>
              <w:left w:val="outset" w:sz="8" w:space="0" w:color="auto"/>
              <w:bottom w:val="outset" w:sz="8" w:space="0" w:color="auto"/>
              <w:right w:val="outset" w:sz="8" w:space="0" w:color="auto"/>
            </w:tcBorders>
          </w:tcPr>
          <w:p w14:paraId="7CE3831F" w14:textId="01C8C74E" w:rsidR="00721653" w:rsidRPr="00E6504B" w:rsidRDefault="00721653" w:rsidP="00393993">
            <w:pPr>
              <w:pStyle w:val="naisf"/>
              <w:spacing w:before="0" w:after="0"/>
              <w:ind w:firstLine="0"/>
              <w:jc w:val="center"/>
            </w:pPr>
            <w:r w:rsidRPr="00E6504B">
              <w:t>Nav precīzi aprēķināms</w:t>
            </w:r>
          </w:p>
        </w:tc>
      </w:tr>
      <w:tr w:rsidR="00721653" w:rsidRPr="00E6504B" w14:paraId="0402309F"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4EF77A16" w14:textId="77777777" w:rsidR="00721653" w:rsidRPr="00E6504B" w:rsidRDefault="00721653" w:rsidP="00721653">
            <w:pPr>
              <w:pStyle w:val="naisf"/>
              <w:spacing w:before="0" w:after="0"/>
              <w:ind w:firstLine="0"/>
            </w:pPr>
            <w:r w:rsidRPr="00E6504B">
              <w:t>1.1. valsts pamatbudžets, tai skaitā ieņēmumi no maksas pakalpojumiem un citi pašu ieņēmumi</w:t>
            </w:r>
          </w:p>
        </w:tc>
        <w:tc>
          <w:tcPr>
            <w:tcW w:w="1026" w:type="dxa"/>
            <w:tcBorders>
              <w:top w:val="outset" w:sz="8" w:space="0" w:color="auto"/>
              <w:left w:val="outset" w:sz="8" w:space="0" w:color="auto"/>
              <w:bottom w:val="outset" w:sz="8" w:space="0" w:color="auto"/>
              <w:right w:val="outset" w:sz="8" w:space="0" w:color="auto"/>
            </w:tcBorders>
          </w:tcPr>
          <w:p w14:paraId="07138C71" w14:textId="0DB7B41A" w:rsidR="00721653" w:rsidRPr="00E6504B" w:rsidRDefault="00721653" w:rsidP="00393993">
            <w:pPr>
              <w:pStyle w:val="naisf"/>
              <w:spacing w:before="0" w:after="0"/>
              <w:ind w:firstLine="0"/>
              <w:jc w:val="center"/>
              <w:rPr>
                <w:b/>
              </w:rPr>
            </w:pPr>
            <w:r w:rsidRPr="00E6504B">
              <w:t>Nav precīzi aprēķināms</w:t>
            </w:r>
          </w:p>
        </w:tc>
        <w:tc>
          <w:tcPr>
            <w:tcW w:w="1117" w:type="dxa"/>
            <w:tcBorders>
              <w:top w:val="outset" w:sz="8" w:space="0" w:color="auto"/>
              <w:left w:val="outset" w:sz="8" w:space="0" w:color="auto"/>
              <w:bottom w:val="outset" w:sz="8" w:space="0" w:color="auto"/>
              <w:right w:val="outset" w:sz="8" w:space="0" w:color="auto"/>
            </w:tcBorders>
          </w:tcPr>
          <w:p w14:paraId="13FF747D" w14:textId="1B31F584" w:rsidR="00721653" w:rsidRPr="00E6504B" w:rsidRDefault="00721653" w:rsidP="00393993">
            <w:pPr>
              <w:pStyle w:val="naisf"/>
              <w:spacing w:before="0" w:after="0"/>
              <w:ind w:firstLine="0"/>
              <w:jc w:val="center"/>
              <w:rPr>
                <w:b/>
              </w:rPr>
            </w:pPr>
            <w:r w:rsidRPr="00E6504B">
              <w:t>Nav precīzi aprēķināms</w:t>
            </w:r>
          </w:p>
        </w:tc>
        <w:tc>
          <w:tcPr>
            <w:tcW w:w="1014" w:type="dxa"/>
            <w:tcBorders>
              <w:left w:val="outset" w:sz="8" w:space="0" w:color="auto"/>
              <w:right w:val="outset" w:sz="8" w:space="0" w:color="auto"/>
            </w:tcBorders>
          </w:tcPr>
          <w:p w14:paraId="0D391C03" w14:textId="523A579F"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992" w:type="dxa"/>
            <w:tcBorders>
              <w:left w:val="outset" w:sz="8" w:space="0" w:color="auto"/>
              <w:right w:val="outset" w:sz="8" w:space="0" w:color="auto"/>
            </w:tcBorders>
          </w:tcPr>
          <w:p w14:paraId="4A24A40B" w14:textId="72A9FF13"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5" w:type="dxa"/>
            <w:tcBorders>
              <w:left w:val="outset" w:sz="8" w:space="0" w:color="auto"/>
              <w:right w:val="outset" w:sz="8" w:space="0" w:color="auto"/>
            </w:tcBorders>
          </w:tcPr>
          <w:p w14:paraId="46FB5FFB" w14:textId="10D6AB63"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6" w:type="dxa"/>
            <w:tcBorders>
              <w:left w:val="outset" w:sz="8" w:space="0" w:color="auto"/>
              <w:right w:val="outset" w:sz="8" w:space="0" w:color="auto"/>
            </w:tcBorders>
          </w:tcPr>
          <w:p w14:paraId="7AB62285" w14:textId="567EAEDB"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200" w:type="dxa"/>
            <w:tcBorders>
              <w:top w:val="outset" w:sz="8" w:space="0" w:color="auto"/>
              <w:left w:val="outset" w:sz="8" w:space="0" w:color="auto"/>
              <w:bottom w:val="outset" w:sz="8" w:space="0" w:color="auto"/>
              <w:right w:val="outset" w:sz="8" w:space="0" w:color="auto"/>
            </w:tcBorders>
          </w:tcPr>
          <w:p w14:paraId="38573111" w14:textId="06E7765D" w:rsidR="00721653" w:rsidRPr="00E6504B" w:rsidRDefault="00721653" w:rsidP="0039399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r>
      <w:tr w:rsidR="00721653" w:rsidRPr="00E6504B" w14:paraId="0E2D6517"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30FF643" w14:textId="77777777" w:rsidR="00721653" w:rsidRPr="00E6504B" w:rsidRDefault="00721653" w:rsidP="00721653">
            <w:pPr>
              <w:pStyle w:val="naisf"/>
              <w:spacing w:before="0" w:after="0"/>
              <w:ind w:firstLine="0"/>
              <w:rPr>
                <w:i/>
              </w:rPr>
            </w:pPr>
            <w:r w:rsidRPr="00E6504B">
              <w:t>1.2. valsts speciālais budžets</w:t>
            </w:r>
          </w:p>
        </w:tc>
        <w:tc>
          <w:tcPr>
            <w:tcW w:w="1026" w:type="dxa"/>
            <w:tcBorders>
              <w:top w:val="outset" w:sz="8" w:space="0" w:color="auto"/>
              <w:left w:val="outset" w:sz="8" w:space="0" w:color="auto"/>
              <w:bottom w:val="outset" w:sz="8" w:space="0" w:color="auto"/>
              <w:right w:val="outset" w:sz="8" w:space="0" w:color="auto"/>
            </w:tcBorders>
          </w:tcPr>
          <w:p w14:paraId="76675283" w14:textId="77777777" w:rsidR="00721653" w:rsidRPr="00E6504B" w:rsidRDefault="00721653" w:rsidP="00721653">
            <w:pPr>
              <w:pStyle w:val="naisf"/>
              <w:spacing w:before="0" w:after="0"/>
              <w:ind w:firstLine="0"/>
              <w:jc w:val="center"/>
              <w:rPr>
                <w:b/>
              </w:rPr>
            </w:pPr>
            <w:r w:rsidRPr="00E6504B">
              <w:t>0</w:t>
            </w:r>
          </w:p>
        </w:tc>
        <w:tc>
          <w:tcPr>
            <w:tcW w:w="1117" w:type="dxa"/>
            <w:tcBorders>
              <w:top w:val="outset" w:sz="8" w:space="0" w:color="auto"/>
              <w:left w:val="outset" w:sz="8" w:space="0" w:color="auto"/>
              <w:bottom w:val="outset" w:sz="8" w:space="0" w:color="auto"/>
              <w:right w:val="outset" w:sz="8" w:space="0" w:color="auto"/>
            </w:tcBorders>
          </w:tcPr>
          <w:p w14:paraId="74D55430" w14:textId="20E443CA" w:rsidR="00721653" w:rsidRPr="00E6504B" w:rsidRDefault="00E6504B" w:rsidP="00E6504B">
            <w:pPr>
              <w:pStyle w:val="naisf"/>
              <w:tabs>
                <w:tab w:val="left" w:pos="300"/>
                <w:tab w:val="center" w:pos="450"/>
              </w:tabs>
              <w:spacing w:before="0" w:after="0"/>
              <w:ind w:firstLine="0"/>
              <w:jc w:val="left"/>
              <w:rPr>
                <w:b/>
              </w:rPr>
            </w:pPr>
            <w:r>
              <w:tab/>
            </w:r>
            <w:r>
              <w:tab/>
            </w:r>
            <w:r w:rsidR="00721653" w:rsidRPr="00E6504B">
              <w:t>0</w:t>
            </w:r>
          </w:p>
        </w:tc>
        <w:tc>
          <w:tcPr>
            <w:tcW w:w="1014" w:type="dxa"/>
            <w:tcBorders>
              <w:left w:val="outset" w:sz="8" w:space="0" w:color="auto"/>
              <w:right w:val="outset" w:sz="8" w:space="0" w:color="auto"/>
            </w:tcBorders>
          </w:tcPr>
          <w:p w14:paraId="55E002C4" w14:textId="3FF1E648"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370BA528" w14:textId="3E1C299B"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731890DE" w14:textId="5974E3CB"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54CBC2C7" w14:textId="7453BD55"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7FC1E91" w14:textId="77777777" w:rsidR="00721653" w:rsidRPr="00E6504B" w:rsidRDefault="00721653" w:rsidP="00721653">
            <w:pPr>
              <w:pStyle w:val="naisf"/>
              <w:spacing w:before="0" w:after="0"/>
              <w:ind w:firstLine="0"/>
              <w:jc w:val="center"/>
            </w:pPr>
            <w:r w:rsidRPr="00E6504B">
              <w:t>0</w:t>
            </w:r>
          </w:p>
        </w:tc>
      </w:tr>
      <w:tr w:rsidR="00721653" w:rsidRPr="00E6504B" w14:paraId="1D979D99"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E8BD09C" w14:textId="77777777" w:rsidR="00721653" w:rsidRPr="00E6504B" w:rsidRDefault="00721653" w:rsidP="00721653">
            <w:pPr>
              <w:pStyle w:val="naisf"/>
              <w:spacing w:before="0" w:after="0"/>
              <w:ind w:firstLine="0"/>
            </w:pPr>
            <w:r w:rsidRPr="00E6504B">
              <w:t>1.3. pašvaldību budžets</w:t>
            </w:r>
          </w:p>
        </w:tc>
        <w:tc>
          <w:tcPr>
            <w:tcW w:w="1026" w:type="dxa"/>
            <w:tcBorders>
              <w:top w:val="outset" w:sz="8" w:space="0" w:color="auto"/>
              <w:left w:val="outset" w:sz="8" w:space="0" w:color="auto"/>
              <w:bottom w:val="outset" w:sz="8" w:space="0" w:color="auto"/>
              <w:right w:val="outset" w:sz="8" w:space="0" w:color="auto"/>
            </w:tcBorders>
          </w:tcPr>
          <w:p w14:paraId="54CEE5C9" w14:textId="77777777" w:rsidR="00721653" w:rsidRPr="00E6504B" w:rsidRDefault="00721653" w:rsidP="00721653">
            <w:pPr>
              <w:pStyle w:val="naisf"/>
              <w:spacing w:before="0" w:after="0"/>
              <w:ind w:firstLine="0"/>
              <w:jc w:val="center"/>
              <w:rPr>
                <w:b/>
              </w:rPr>
            </w:pPr>
            <w:r w:rsidRPr="00E6504B">
              <w:t>0</w:t>
            </w:r>
          </w:p>
        </w:tc>
        <w:tc>
          <w:tcPr>
            <w:tcW w:w="1117" w:type="dxa"/>
            <w:tcBorders>
              <w:top w:val="outset" w:sz="8" w:space="0" w:color="auto"/>
              <w:left w:val="outset" w:sz="8" w:space="0" w:color="auto"/>
              <w:bottom w:val="outset" w:sz="8" w:space="0" w:color="auto"/>
              <w:right w:val="outset" w:sz="8" w:space="0" w:color="auto"/>
            </w:tcBorders>
          </w:tcPr>
          <w:p w14:paraId="20522644" w14:textId="77777777" w:rsidR="00721653" w:rsidRPr="00E6504B" w:rsidRDefault="00721653" w:rsidP="00721653">
            <w:pPr>
              <w:pStyle w:val="naisf"/>
              <w:spacing w:before="0" w:after="0"/>
              <w:ind w:firstLine="0"/>
              <w:jc w:val="center"/>
              <w:rPr>
                <w:b/>
              </w:rPr>
            </w:pPr>
            <w:r w:rsidRPr="00E6504B">
              <w:t>0</w:t>
            </w:r>
          </w:p>
        </w:tc>
        <w:tc>
          <w:tcPr>
            <w:tcW w:w="1014" w:type="dxa"/>
            <w:tcBorders>
              <w:left w:val="outset" w:sz="8" w:space="0" w:color="auto"/>
              <w:right w:val="outset" w:sz="8" w:space="0" w:color="auto"/>
            </w:tcBorders>
          </w:tcPr>
          <w:p w14:paraId="17BFA722" w14:textId="799A08FF"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0A92B4CE" w14:textId="1FC23C8F"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10ACFF46" w14:textId="6E787F8D"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392EFBDB" w14:textId="4B9356DF"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5A80E32A" w14:textId="77777777" w:rsidR="00721653" w:rsidRPr="00E6504B" w:rsidRDefault="00721653" w:rsidP="00721653">
            <w:pPr>
              <w:pStyle w:val="naisf"/>
              <w:spacing w:before="0" w:after="0"/>
              <w:ind w:firstLine="0"/>
              <w:jc w:val="center"/>
            </w:pPr>
            <w:r w:rsidRPr="00E6504B">
              <w:t>0</w:t>
            </w:r>
          </w:p>
        </w:tc>
      </w:tr>
      <w:tr w:rsidR="00721653" w:rsidRPr="00E6504B" w14:paraId="698B9ECF"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C85BA2A"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2. Budžeta izdevumi:</w:t>
            </w:r>
          </w:p>
        </w:tc>
        <w:tc>
          <w:tcPr>
            <w:tcW w:w="1026" w:type="dxa"/>
            <w:tcBorders>
              <w:top w:val="outset" w:sz="8" w:space="0" w:color="auto"/>
              <w:left w:val="outset" w:sz="8" w:space="0" w:color="auto"/>
              <w:bottom w:val="outset" w:sz="8" w:space="0" w:color="auto"/>
              <w:right w:val="outset" w:sz="8" w:space="0" w:color="auto"/>
            </w:tcBorders>
          </w:tcPr>
          <w:p w14:paraId="1143D752" w14:textId="77777777" w:rsidR="00721653" w:rsidRPr="00E6504B" w:rsidRDefault="00721653" w:rsidP="00721653">
            <w:pPr>
              <w:pStyle w:val="naisf"/>
              <w:spacing w:before="0" w:after="0"/>
              <w:ind w:firstLine="0"/>
              <w:jc w:val="center"/>
            </w:pPr>
            <w:r w:rsidRPr="00E6504B">
              <w:t>0</w:t>
            </w:r>
          </w:p>
        </w:tc>
        <w:tc>
          <w:tcPr>
            <w:tcW w:w="1117" w:type="dxa"/>
            <w:tcBorders>
              <w:top w:val="outset" w:sz="8" w:space="0" w:color="auto"/>
              <w:left w:val="outset" w:sz="8" w:space="0" w:color="auto"/>
              <w:bottom w:val="outset" w:sz="8" w:space="0" w:color="auto"/>
              <w:right w:val="outset" w:sz="8" w:space="0" w:color="auto"/>
            </w:tcBorders>
          </w:tcPr>
          <w:p w14:paraId="72A81424" w14:textId="77777777" w:rsidR="00721653" w:rsidRPr="00E6504B" w:rsidRDefault="00721653" w:rsidP="00721653">
            <w:pPr>
              <w:pStyle w:val="naisf"/>
              <w:spacing w:before="0" w:after="0"/>
              <w:ind w:firstLine="0"/>
              <w:jc w:val="center"/>
            </w:pPr>
            <w:r w:rsidRPr="00E6504B">
              <w:t>0</w:t>
            </w:r>
          </w:p>
        </w:tc>
        <w:tc>
          <w:tcPr>
            <w:tcW w:w="1014" w:type="dxa"/>
            <w:tcBorders>
              <w:left w:val="outset" w:sz="8" w:space="0" w:color="auto"/>
              <w:right w:val="outset" w:sz="8" w:space="0" w:color="auto"/>
            </w:tcBorders>
          </w:tcPr>
          <w:p w14:paraId="07EBBA21" w14:textId="76E7AF82"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3519A17D" w14:textId="3144F9FA"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1368BB34" w14:textId="3E36A71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33550E5B" w14:textId="51B4EAD5"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611479A5" w14:textId="37D1A594" w:rsidR="00721653" w:rsidRPr="00E6504B" w:rsidRDefault="00721653" w:rsidP="00721653">
            <w:pPr>
              <w:pStyle w:val="naisf"/>
              <w:spacing w:before="0" w:after="0"/>
              <w:ind w:firstLine="0"/>
              <w:jc w:val="center"/>
            </w:pPr>
            <w:r w:rsidRPr="00E6504B">
              <w:t>0</w:t>
            </w:r>
          </w:p>
        </w:tc>
      </w:tr>
      <w:tr w:rsidR="00721653" w:rsidRPr="00E6504B" w14:paraId="3198B548"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2C584C4F"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2.1. valsts pamatbudžets</w:t>
            </w:r>
          </w:p>
        </w:tc>
        <w:tc>
          <w:tcPr>
            <w:tcW w:w="1026" w:type="dxa"/>
            <w:tcBorders>
              <w:top w:val="outset" w:sz="8" w:space="0" w:color="auto"/>
              <w:left w:val="outset" w:sz="8" w:space="0" w:color="auto"/>
              <w:bottom w:val="outset" w:sz="8" w:space="0" w:color="auto"/>
              <w:right w:val="outset" w:sz="8" w:space="0" w:color="auto"/>
            </w:tcBorders>
          </w:tcPr>
          <w:p w14:paraId="527435C2" w14:textId="77777777" w:rsidR="00721653" w:rsidRPr="00E6504B" w:rsidRDefault="00721653" w:rsidP="00721653">
            <w:pPr>
              <w:pStyle w:val="naisf"/>
              <w:spacing w:before="0" w:after="0"/>
              <w:ind w:firstLine="0"/>
              <w:jc w:val="center"/>
              <w:rPr>
                <w:b/>
              </w:rPr>
            </w:pPr>
            <w:r w:rsidRPr="00E6504B">
              <w:t>0</w:t>
            </w:r>
          </w:p>
        </w:tc>
        <w:tc>
          <w:tcPr>
            <w:tcW w:w="1117" w:type="dxa"/>
            <w:tcBorders>
              <w:top w:val="outset" w:sz="8" w:space="0" w:color="auto"/>
              <w:left w:val="outset" w:sz="8" w:space="0" w:color="auto"/>
              <w:bottom w:val="outset" w:sz="8" w:space="0" w:color="auto"/>
              <w:right w:val="outset" w:sz="8" w:space="0" w:color="auto"/>
            </w:tcBorders>
          </w:tcPr>
          <w:p w14:paraId="4F3F431E" w14:textId="77777777" w:rsidR="00721653" w:rsidRPr="00E6504B" w:rsidRDefault="00721653" w:rsidP="00721653">
            <w:pPr>
              <w:pStyle w:val="naisf"/>
              <w:spacing w:before="0" w:after="0"/>
              <w:ind w:firstLine="0"/>
              <w:jc w:val="center"/>
              <w:rPr>
                <w:b/>
              </w:rPr>
            </w:pPr>
            <w:r w:rsidRPr="00E6504B">
              <w:t>0</w:t>
            </w:r>
          </w:p>
        </w:tc>
        <w:tc>
          <w:tcPr>
            <w:tcW w:w="1014" w:type="dxa"/>
            <w:tcBorders>
              <w:left w:val="outset" w:sz="8" w:space="0" w:color="auto"/>
              <w:right w:val="outset" w:sz="8" w:space="0" w:color="auto"/>
            </w:tcBorders>
          </w:tcPr>
          <w:p w14:paraId="5FF16C71" w14:textId="73834699"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48FEC877" w14:textId="0E385C89"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581DB15C" w14:textId="2342BE7A"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715D4CA7" w14:textId="529205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3529130" w14:textId="2A5857E5" w:rsidR="00721653" w:rsidRPr="00E6504B" w:rsidRDefault="00721653" w:rsidP="00721653">
            <w:pPr>
              <w:pStyle w:val="naisf"/>
              <w:spacing w:before="0" w:after="0"/>
              <w:ind w:firstLine="0"/>
              <w:jc w:val="center"/>
            </w:pPr>
            <w:r w:rsidRPr="00E6504B">
              <w:t>0</w:t>
            </w:r>
          </w:p>
        </w:tc>
      </w:tr>
      <w:tr w:rsidR="00721653" w:rsidRPr="00E6504B" w14:paraId="54622F4E"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74"/>
          <w:jc w:val="center"/>
        </w:trPr>
        <w:tc>
          <w:tcPr>
            <w:tcW w:w="1655" w:type="dxa"/>
            <w:tcBorders>
              <w:top w:val="outset" w:sz="8" w:space="0" w:color="auto"/>
              <w:left w:val="outset" w:sz="8" w:space="0" w:color="auto"/>
              <w:bottom w:val="outset" w:sz="8" w:space="0" w:color="auto"/>
              <w:right w:val="outset" w:sz="8" w:space="0" w:color="auto"/>
            </w:tcBorders>
          </w:tcPr>
          <w:p w14:paraId="4A6F52A3"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2.2. valsts speciālais budžets</w:t>
            </w:r>
          </w:p>
        </w:tc>
        <w:tc>
          <w:tcPr>
            <w:tcW w:w="1026" w:type="dxa"/>
            <w:tcBorders>
              <w:top w:val="outset" w:sz="8" w:space="0" w:color="auto"/>
              <w:left w:val="outset" w:sz="8" w:space="0" w:color="auto"/>
              <w:bottom w:val="outset" w:sz="8" w:space="0" w:color="auto"/>
              <w:right w:val="outset" w:sz="8" w:space="0" w:color="auto"/>
            </w:tcBorders>
          </w:tcPr>
          <w:p w14:paraId="2BC21BFF"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50B8C4E0"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14" w:type="dxa"/>
            <w:tcBorders>
              <w:left w:val="outset" w:sz="8" w:space="0" w:color="auto"/>
              <w:right w:val="outset" w:sz="8" w:space="0" w:color="auto"/>
            </w:tcBorders>
          </w:tcPr>
          <w:p w14:paraId="11069707" w14:textId="0B1601E5"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5B65AAE7" w14:textId="1185C1A9"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023E6674" w14:textId="53632F42"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665A3E7A" w14:textId="1F18E00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F1BB101"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r>
      <w:tr w:rsidR="00721653" w:rsidRPr="00E6504B" w14:paraId="0C650A5C"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5BDA92A"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 xml:space="preserve">2.3. pašvaldību budžets </w:t>
            </w:r>
          </w:p>
        </w:tc>
        <w:tc>
          <w:tcPr>
            <w:tcW w:w="1026" w:type="dxa"/>
            <w:tcBorders>
              <w:top w:val="outset" w:sz="8" w:space="0" w:color="auto"/>
              <w:left w:val="outset" w:sz="8" w:space="0" w:color="auto"/>
              <w:bottom w:val="outset" w:sz="8" w:space="0" w:color="auto"/>
              <w:right w:val="outset" w:sz="8" w:space="0" w:color="auto"/>
            </w:tcBorders>
          </w:tcPr>
          <w:p w14:paraId="680F8453"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36545CB6"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14" w:type="dxa"/>
            <w:tcBorders>
              <w:left w:val="outset" w:sz="8" w:space="0" w:color="auto"/>
              <w:right w:val="outset" w:sz="8" w:space="0" w:color="auto"/>
            </w:tcBorders>
          </w:tcPr>
          <w:p w14:paraId="70173F44" w14:textId="1A4B5DFF"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992" w:type="dxa"/>
            <w:tcBorders>
              <w:left w:val="outset" w:sz="8" w:space="0" w:color="auto"/>
              <w:right w:val="outset" w:sz="8" w:space="0" w:color="auto"/>
            </w:tcBorders>
          </w:tcPr>
          <w:p w14:paraId="5D7595EC" w14:textId="48D3D080"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5" w:type="dxa"/>
            <w:tcBorders>
              <w:left w:val="outset" w:sz="8" w:space="0" w:color="auto"/>
              <w:right w:val="outset" w:sz="8" w:space="0" w:color="auto"/>
            </w:tcBorders>
          </w:tcPr>
          <w:p w14:paraId="779877AE" w14:textId="00F29C04"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026" w:type="dxa"/>
            <w:tcBorders>
              <w:left w:val="outset" w:sz="8" w:space="0" w:color="auto"/>
              <w:right w:val="outset" w:sz="8" w:space="0" w:color="auto"/>
            </w:tcBorders>
          </w:tcPr>
          <w:p w14:paraId="0305567B" w14:textId="7657ECF0"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ED354B1" w14:textId="77777777"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0</w:t>
            </w:r>
          </w:p>
        </w:tc>
      </w:tr>
      <w:tr w:rsidR="00721653" w:rsidRPr="00E6504B" w14:paraId="79BDCE6D"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shd w:val="clear" w:color="auto" w:fill="FFFFFF" w:themeFill="background1"/>
          </w:tcPr>
          <w:p w14:paraId="1B4B1FCD"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3. Finansiālā ietekme:</w:t>
            </w:r>
          </w:p>
        </w:tc>
        <w:tc>
          <w:tcPr>
            <w:tcW w:w="1026" w:type="dxa"/>
            <w:tcBorders>
              <w:top w:val="outset" w:sz="8" w:space="0" w:color="auto"/>
              <w:left w:val="outset" w:sz="8" w:space="0" w:color="auto"/>
              <w:bottom w:val="outset" w:sz="8" w:space="0" w:color="auto"/>
              <w:right w:val="outset" w:sz="8" w:space="0" w:color="auto"/>
            </w:tcBorders>
            <w:shd w:val="clear" w:color="auto" w:fill="FFFFFF" w:themeFill="background1"/>
          </w:tcPr>
          <w:p w14:paraId="2C0FADAD" w14:textId="6DEB93A6" w:rsidR="00721653" w:rsidRPr="00E6504B" w:rsidRDefault="00721653" w:rsidP="00721653">
            <w:pPr>
              <w:pStyle w:val="naisf"/>
              <w:spacing w:before="0" w:after="0"/>
              <w:ind w:firstLine="0"/>
              <w:jc w:val="center"/>
            </w:pPr>
            <w:r w:rsidRPr="00E6504B">
              <w:t>Nav precīzi aprēķināms</w:t>
            </w:r>
          </w:p>
        </w:tc>
        <w:tc>
          <w:tcPr>
            <w:tcW w:w="1117" w:type="dxa"/>
            <w:tcBorders>
              <w:top w:val="outset" w:sz="8" w:space="0" w:color="auto"/>
              <w:left w:val="outset" w:sz="8" w:space="0" w:color="auto"/>
              <w:bottom w:val="outset" w:sz="8" w:space="0" w:color="auto"/>
              <w:right w:val="outset" w:sz="8" w:space="0" w:color="auto"/>
            </w:tcBorders>
            <w:shd w:val="clear" w:color="auto" w:fill="FFFFFF" w:themeFill="background1"/>
          </w:tcPr>
          <w:p w14:paraId="70869425" w14:textId="7A7B3C2E" w:rsidR="00721653" w:rsidRPr="00E6504B" w:rsidRDefault="00721653" w:rsidP="00721653">
            <w:pPr>
              <w:pStyle w:val="naisf"/>
              <w:spacing w:before="0" w:after="0"/>
              <w:ind w:firstLine="0"/>
              <w:jc w:val="center"/>
            </w:pPr>
            <w:r w:rsidRPr="00E6504B">
              <w:t>Nav precīzi aprēķināms</w:t>
            </w:r>
          </w:p>
        </w:tc>
        <w:tc>
          <w:tcPr>
            <w:tcW w:w="1014" w:type="dxa"/>
            <w:tcBorders>
              <w:left w:val="outset" w:sz="8" w:space="0" w:color="auto"/>
              <w:right w:val="outset" w:sz="8" w:space="0" w:color="auto"/>
            </w:tcBorders>
          </w:tcPr>
          <w:p w14:paraId="45CB0D09" w14:textId="50BCEDCB"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992" w:type="dxa"/>
            <w:tcBorders>
              <w:left w:val="outset" w:sz="8" w:space="0" w:color="auto"/>
              <w:right w:val="outset" w:sz="8" w:space="0" w:color="auto"/>
            </w:tcBorders>
          </w:tcPr>
          <w:p w14:paraId="75EE4886" w14:textId="1A3CFD16"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5" w:type="dxa"/>
            <w:tcBorders>
              <w:left w:val="outset" w:sz="8" w:space="0" w:color="auto"/>
              <w:right w:val="outset" w:sz="8" w:space="0" w:color="auto"/>
            </w:tcBorders>
          </w:tcPr>
          <w:p w14:paraId="5396FFBE" w14:textId="36373574"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6" w:type="dxa"/>
            <w:tcBorders>
              <w:left w:val="outset" w:sz="8" w:space="0" w:color="auto"/>
              <w:right w:val="outset" w:sz="8" w:space="0" w:color="auto"/>
            </w:tcBorders>
          </w:tcPr>
          <w:p w14:paraId="51612AE6" w14:textId="4DE597D3"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200" w:type="dxa"/>
            <w:tcBorders>
              <w:top w:val="outset" w:sz="8" w:space="0" w:color="auto"/>
              <w:left w:val="outset" w:sz="8" w:space="0" w:color="auto"/>
              <w:bottom w:val="outset" w:sz="8" w:space="0" w:color="auto"/>
              <w:right w:val="outset" w:sz="8" w:space="0" w:color="auto"/>
            </w:tcBorders>
            <w:shd w:val="clear" w:color="auto" w:fill="FFFFFF" w:themeFill="background1"/>
          </w:tcPr>
          <w:p w14:paraId="17B79AE4" w14:textId="672656D2" w:rsidR="00721653" w:rsidRPr="00E6504B" w:rsidRDefault="00721653" w:rsidP="00721653">
            <w:pPr>
              <w:pStyle w:val="naisf"/>
              <w:spacing w:before="0" w:after="0"/>
              <w:ind w:firstLine="0"/>
              <w:jc w:val="center"/>
            </w:pPr>
            <w:r w:rsidRPr="00E6504B">
              <w:t>Nav precīzi aprēķināms</w:t>
            </w:r>
          </w:p>
        </w:tc>
      </w:tr>
      <w:tr w:rsidR="00721653" w:rsidRPr="00E6504B" w14:paraId="7B44A4A7"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01A5353F" w14:textId="77777777" w:rsidR="00721653" w:rsidRPr="00E6504B" w:rsidRDefault="00721653" w:rsidP="00721653">
            <w:pPr>
              <w:spacing w:after="0" w:line="240" w:lineRule="auto"/>
              <w:rPr>
                <w:rFonts w:ascii="Times New Roman" w:hAnsi="Times New Roman" w:cs="Times New Roman"/>
                <w:sz w:val="24"/>
                <w:szCs w:val="24"/>
              </w:rPr>
            </w:pPr>
            <w:r w:rsidRPr="00E6504B">
              <w:rPr>
                <w:rFonts w:ascii="Times New Roman" w:hAnsi="Times New Roman" w:cs="Times New Roman"/>
                <w:sz w:val="24"/>
                <w:szCs w:val="24"/>
              </w:rPr>
              <w:t>3.1. valsts pamatbudžets</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39F858ED" w14:textId="58542489"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117" w:type="dxa"/>
            <w:tcBorders>
              <w:top w:val="outset" w:sz="8" w:space="0" w:color="auto"/>
              <w:left w:val="outset" w:sz="8" w:space="0" w:color="auto"/>
              <w:bottom w:val="outset" w:sz="8" w:space="0" w:color="auto"/>
              <w:right w:val="outset" w:sz="8" w:space="0" w:color="auto"/>
            </w:tcBorders>
          </w:tcPr>
          <w:p w14:paraId="077847EE" w14:textId="3E549E98"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14" w:type="dxa"/>
            <w:tcBorders>
              <w:left w:val="outset" w:sz="8" w:space="0" w:color="auto"/>
              <w:right w:val="outset" w:sz="8" w:space="0" w:color="auto"/>
            </w:tcBorders>
          </w:tcPr>
          <w:p w14:paraId="2A99BEBC" w14:textId="0DE82602"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992" w:type="dxa"/>
            <w:tcBorders>
              <w:left w:val="outset" w:sz="8" w:space="0" w:color="auto"/>
              <w:right w:val="outset" w:sz="8" w:space="0" w:color="auto"/>
            </w:tcBorders>
          </w:tcPr>
          <w:p w14:paraId="2C6C2D82" w14:textId="09B0A992"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5" w:type="dxa"/>
            <w:tcBorders>
              <w:left w:val="outset" w:sz="8" w:space="0" w:color="auto"/>
              <w:right w:val="outset" w:sz="8" w:space="0" w:color="auto"/>
            </w:tcBorders>
          </w:tcPr>
          <w:p w14:paraId="3F66DD80" w14:textId="37C332E5"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026" w:type="dxa"/>
            <w:tcBorders>
              <w:left w:val="outset" w:sz="8" w:space="0" w:color="auto"/>
              <w:right w:val="outset" w:sz="8" w:space="0" w:color="auto"/>
            </w:tcBorders>
          </w:tcPr>
          <w:p w14:paraId="4D1AA8F8" w14:textId="2B0FE47D" w:rsidR="00721653" w:rsidRPr="00E6504B" w:rsidRDefault="00721653" w:rsidP="00721653">
            <w:pPr>
              <w:spacing w:after="0"/>
              <w:jc w:val="center"/>
              <w:rPr>
                <w:rFonts w:ascii="Times New Roman" w:hAnsi="Times New Roman" w:cs="Times New Roman"/>
                <w:sz w:val="24"/>
                <w:szCs w:val="24"/>
              </w:rPr>
            </w:pPr>
            <w:r w:rsidRPr="00E6504B">
              <w:rPr>
                <w:rFonts w:ascii="Times New Roman" w:hAnsi="Times New Roman" w:cs="Times New Roman"/>
                <w:sz w:val="24"/>
                <w:szCs w:val="24"/>
              </w:rPr>
              <w:t>Nav precīzi aprēķināms</w:t>
            </w:r>
          </w:p>
        </w:tc>
        <w:tc>
          <w:tcPr>
            <w:tcW w:w="1200" w:type="dxa"/>
            <w:tcBorders>
              <w:top w:val="outset" w:sz="8" w:space="0" w:color="auto"/>
              <w:left w:val="outset" w:sz="8" w:space="0" w:color="auto"/>
              <w:bottom w:val="outset" w:sz="8" w:space="0" w:color="auto"/>
              <w:right w:val="outset" w:sz="8" w:space="0" w:color="auto"/>
            </w:tcBorders>
          </w:tcPr>
          <w:p w14:paraId="12D11CA5" w14:textId="4A8A444B" w:rsidR="00721653" w:rsidRPr="00E6504B" w:rsidRDefault="00721653" w:rsidP="00721653">
            <w:pPr>
              <w:pStyle w:val="naisf"/>
              <w:spacing w:before="0" w:after="0"/>
              <w:ind w:firstLine="0"/>
              <w:jc w:val="center"/>
            </w:pPr>
            <w:r w:rsidRPr="00E6504B">
              <w:t>Nav precīzi aprēķināms</w:t>
            </w:r>
          </w:p>
        </w:tc>
      </w:tr>
      <w:tr w:rsidR="00721653" w:rsidRPr="00E74F23" w14:paraId="7C30BB0D"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136D9C26"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3.2.</w:t>
            </w:r>
            <w:r>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6F0C0C7C"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3C47D11B"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73846265" w14:textId="4F708D8E"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2A2DCD8E" w14:textId="2BF35E19"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66ACBAB1" w14:textId="326DB2EF"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3A3384C5" w14:textId="35764A19"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65795EA5" w14:textId="77777777" w:rsidR="00721653" w:rsidRPr="00916323" w:rsidRDefault="00721653" w:rsidP="0072165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721653" w:rsidRPr="00E74F23" w14:paraId="4A55B8C8"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484DD20"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3.3.</w:t>
            </w:r>
            <w:r>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28241B20"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0C314FE7"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17573380" w14:textId="17513474"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5AD30A03" w14:textId="215600F6"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7194D424" w14:textId="7B6FA765"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6D33FEA9" w14:textId="0575B938" w:rsidR="00721653" w:rsidRPr="00916323"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EBD96F9" w14:textId="77777777" w:rsidR="00721653" w:rsidRPr="00916323" w:rsidRDefault="00721653" w:rsidP="0072165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721653" w:rsidRPr="00E74F23" w14:paraId="1F63402D"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60"/>
          <w:jc w:val="center"/>
        </w:trPr>
        <w:tc>
          <w:tcPr>
            <w:tcW w:w="1655" w:type="dxa"/>
            <w:tcBorders>
              <w:top w:val="outset" w:sz="8" w:space="0" w:color="auto"/>
              <w:left w:val="outset" w:sz="8" w:space="0" w:color="auto"/>
              <w:bottom w:val="outset" w:sz="8" w:space="0" w:color="auto"/>
              <w:right w:val="outset" w:sz="8" w:space="0" w:color="auto"/>
            </w:tcBorders>
          </w:tcPr>
          <w:p w14:paraId="559EA0E7"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4.</w:t>
            </w:r>
            <w:r>
              <w:rPr>
                <w:rFonts w:ascii="Times New Roman" w:hAnsi="Times New Roman" w:cs="Times New Roman"/>
                <w:sz w:val="24"/>
                <w:szCs w:val="24"/>
              </w:rPr>
              <w:t> </w:t>
            </w:r>
            <w:r w:rsidRPr="00E74F23">
              <w:rPr>
                <w:rFonts w:ascii="Times New Roman" w:hAnsi="Times New Roman" w:cs="Times New Roman"/>
                <w:sz w:val="24"/>
                <w:szCs w:val="24"/>
              </w:rPr>
              <w:t>Finanšu līdzekļi papildu izdevumu finansēšanai (kompensējošu izdevumu samazinājumu norāda ar "+" zīmi)</w:t>
            </w:r>
          </w:p>
        </w:tc>
        <w:tc>
          <w:tcPr>
            <w:tcW w:w="1026" w:type="dxa"/>
            <w:tcBorders>
              <w:top w:val="outset" w:sz="8" w:space="0" w:color="auto"/>
              <w:left w:val="outset" w:sz="8" w:space="0" w:color="auto"/>
              <w:bottom w:val="outset" w:sz="8" w:space="0" w:color="auto"/>
              <w:right w:val="outset" w:sz="8" w:space="0" w:color="auto"/>
            </w:tcBorders>
          </w:tcPr>
          <w:p w14:paraId="418FAC5D" w14:textId="4E4F5CCC" w:rsidR="00721653" w:rsidRPr="00E74F23" w:rsidRDefault="00721653" w:rsidP="00721653">
            <w:pPr>
              <w:pStyle w:val="naisf"/>
              <w:spacing w:before="0" w:after="0"/>
              <w:ind w:firstLine="0"/>
              <w:jc w:val="center"/>
            </w:pPr>
            <w:r w:rsidRPr="00E74F23">
              <w:rPr>
                <w:bCs/>
                <w:iCs/>
              </w:rPr>
              <w:t>X</w:t>
            </w:r>
          </w:p>
          <w:p w14:paraId="3FD43B96" w14:textId="77777777" w:rsidR="00721653" w:rsidRPr="00E74F23" w:rsidRDefault="00721653" w:rsidP="00721653">
            <w:pPr>
              <w:pStyle w:val="naisf"/>
              <w:spacing w:before="0" w:after="0"/>
              <w:ind w:firstLine="0"/>
              <w:jc w:val="center"/>
            </w:pPr>
          </w:p>
          <w:p w14:paraId="4BFEAE20" w14:textId="2FC3E9AB" w:rsidR="00721653" w:rsidRPr="00E74F23" w:rsidRDefault="00721653" w:rsidP="00721653">
            <w:pPr>
              <w:pStyle w:val="naisf"/>
              <w:spacing w:before="0" w:after="0"/>
              <w:ind w:firstLine="0"/>
              <w:jc w:val="center"/>
            </w:pPr>
          </w:p>
        </w:tc>
        <w:tc>
          <w:tcPr>
            <w:tcW w:w="1117" w:type="dxa"/>
            <w:tcBorders>
              <w:top w:val="outset" w:sz="8" w:space="0" w:color="auto"/>
              <w:left w:val="outset" w:sz="8" w:space="0" w:color="auto"/>
              <w:right w:val="outset" w:sz="8" w:space="0" w:color="auto"/>
            </w:tcBorders>
          </w:tcPr>
          <w:p w14:paraId="4988DDAF" w14:textId="09E817EC" w:rsidR="00721653" w:rsidRPr="00E74F23" w:rsidRDefault="00721653" w:rsidP="00721653">
            <w:pPr>
              <w:spacing w:after="0"/>
              <w:jc w:val="center"/>
              <w:rPr>
                <w:rFonts w:ascii="Times New Roman" w:hAnsi="Times New Roman" w:cs="Times New Roman"/>
                <w:sz w:val="24"/>
                <w:szCs w:val="24"/>
              </w:rPr>
            </w:pPr>
            <w:r>
              <w:rPr>
                <w:rFonts w:ascii="Times New Roman" w:hAnsi="Times New Roman" w:cs="Times New Roman"/>
                <w:sz w:val="24"/>
                <w:szCs w:val="24"/>
              </w:rPr>
              <w:t>0</w:t>
            </w:r>
          </w:p>
          <w:p w14:paraId="22AD53CC" w14:textId="27EA6133" w:rsidR="00721653" w:rsidRPr="00E74F23" w:rsidRDefault="00721653" w:rsidP="00721653">
            <w:pPr>
              <w:spacing w:after="0"/>
              <w:jc w:val="center"/>
              <w:rPr>
                <w:rFonts w:ascii="Times New Roman" w:hAnsi="Times New Roman" w:cs="Times New Roman"/>
                <w:sz w:val="24"/>
                <w:szCs w:val="24"/>
              </w:rPr>
            </w:pPr>
          </w:p>
          <w:p w14:paraId="046AEA27" w14:textId="659F984C" w:rsidR="00721653" w:rsidRPr="00E74F23" w:rsidRDefault="00721653" w:rsidP="00721653">
            <w:pPr>
              <w:spacing w:after="0"/>
              <w:jc w:val="center"/>
              <w:rPr>
                <w:rFonts w:ascii="Times New Roman" w:hAnsi="Times New Roman" w:cs="Times New Roman"/>
                <w:sz w:val="24"/>
                <w:szCs w:val="24"/>
              </w:rPr>
            </w:pPr>
          </w:p>
        </w:tc>
        <w:tc>
          <w:tcPr>
            <w:tcW w:w="1014" w:type="dxa"/>
            <w:tcBorders>
              <w:left w:val="outset" w:sz="8" w:space="0" w:color="auto"/>
              <w:right w:val="outset" w:sz="8" w:space="0" w:color="auto"/>
            </w:tcBorders>
          </w:tcPr>
          <w:p w14:paraId="142B3716" w14:textId="2B56DB1C" w:rsidR="00721653" w:rsidRPr="009027D8" w:rsidRDefault="00721653" w:rsidP="0072165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outset" w:sz="8" w:space="0" w:color="auto"/>
              <w:right w:val="outset" w:sz="8" w:space="0" w:color="auto"/>
            </w:tcBorders>
          </w:tcPr>
          <w:p w14:paraId="14A59C8F" w14:textId="5B60D3F4" w:rsidR="00721653" w:rsidRPr="009027D8"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1688785F" w14:textId="5D0773DE" w:rsidR="00721653" w:rsidRPr="009027D8" w:rsidRDefault="00721653" w:rsidP="0072165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left w:val="outset" w:sz="8" w:space="0" w:color="auto"/>
              <w:right w:val="outset" w:sz="8" w:space="0" w:color="auto"/>
            </w:tcBorders>
          </w:tcPr>
          <w:p w14:paraId="3073CAE1" w14:textId="2CB01C0C" w:rsidR="00721653" w:rsidRPr="009027D8" w:rsidRDefault="00721653" w:rsidP="0072165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right w:val="outset" w:sz="8" w:space="0" w:color="auto"/>
            </w:tcBorders>
          </w:tcPr>
          <w:p w14:paraId="653AE4AA" w14:textId="1CC722E4" w:rsidR="00721653" w:rsidRPr="009027D8" w:rsidRDefault="00721653" w:rsidP="00721653">
            <w:pPr>
              <w:spacing w:after="0"/>
              <w:jc w:val="center"/>
              <w:rPr>
                <w:rFonts w:ascii="Times New Roman" w:hAnsi="Times New Roman" w:cs="Times New Roman"/>
                <w:b/>
                <w:sz w:val="24"/>
                <w:szCs w:val="24"/>
              </w:rPr>
            </w:pPr>
            <w:r>
              <w:t>0</w:t>
            </w:r>
          </w:p>
        </w:tc>
      </w:tr>
      <w:tr w:rsidR="00721653" w:rsidRPr="00E74F23" w14:paraId="367C2258"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1A034CED"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w:t>
            </w:r>
            <w:r>
              <w:rPr>
                <w:rFonts w:ascii="Times New Roman" w:hAnsi="Times New Roman" w:cs="Times New Roman"/>
                <w:sz w:val="24"/>
                <w:szCs w:val="24"/>
              </w:rPr>
              <w:t> </w:t>
            </w:r>
            <w:r w:rsidRPr="00E74F23">
              <w:rPr>
                <w:rFonts w:ascii="Times New Roman" w:hAnsi="Times New Roman" w:cs="Times New Roman"/>
                <w:sz w:val="24"/>
                <w:szCs w:val="24"/>
              </w:rPr>
              <w:t>Precizēta finansiālā ietekme:</w:t>
            </w:r>
          </w:p>
        </w:tc>
        <w:tc>
          <w:tcPr>
            <w:tcW w:w="1026" w:type="dxa"/>
            <w:vMerge w:val="restart"/>
            <w:tcBorders>
              <w:top w:val="outset" w:sz="8" w:space="0" w:color="auto"/>
              <w:left w:val="outset" w:sz="8" w:space="0" w:color="auto"/>
              <w:bottom w:val="outset" w:sz="8" w:space="0" w:color="auto"/>
              <w:right w:val="outset" w:sz="8" w:space="0" w:color="auto"/>
            </w:tcBorders>
          </w:tcPr>
          <w:p w14:paraId="33278437" w14:textId="5DED3FF6" w:rsidR="00721653" w:rsidRPr="009053ED" w:rsidRDefault="00D00B5F" w:rsidP="00721653">
            <w:pPr>
              <w:pStyle w:val="naisf"/>
              <w:spacing w:before="0" w:after="0"/>
              <w:ind w:firstLine="0"/>
              <w:jc w:val="center"/>
            </w:pPr>
            <w:r w:rsidRPr="009053ED">
              <w:t>X</w:t>
            </w:r>
          </w:p>
          <w:p w14:paraId="0E07F5CB" w14:textId="77777777" w:rsidR="00721653" w:rsidRPr="009053ED" w:rsidRDefault="00721653" w:rsidP="00721653">
            <w:pPr>
              <w:pStyle w:val="naisf"/>
              <w:spacing w:before="0" w:after="0"/>
              <w:ind w:firstLine="0"/>
              <w:jc w:val="center"/>
            </w:pPr>
          </w:p>
          <w:p w14:paraId="626D2EFB" w14:textId="1E924C03" w:rsidR="00721653" w:rsidRPr="009053ED" w:rsidRDefault="00721653" w:rsidP="0072165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7490B3C7" w14:textId="77777777" w:rsidR="00721653" w:rsidRPr="009053ED" w:rsidRDefault="00721653" w:rsidP="00721653">
            <w:pPr>
              <w:pStyle w:val="naisf"/>
              <w:spacing w:before="0" w:after="0"/>
              <w:ind w:firstLine="0"/>
              <w:jc w:val="center"/>
            </w:pPr>
            <w:r w:rsidRPr="009053ED">
              <w:rPr>
                <w:bCs/>
                <w:iCs/>
              </w:rPr>
              <w:t>Nav precīzi aprēķināms</w:t>
            </w:r>
          </w:p>
          <w:p w14:paraId="11B042E8" w14:textId="7E99FD20" w:rsidR="00721653" w:rsidRPr="009053ED" w:rsidRDefault="00721653" w:rsidP="00721653">
            <w:pPr>
              <w:spacing w:after="0"/>
              <w:jc w:val="center"/>
              <w:rPr>
                <w:rFonts w:ascii="Times New Roman" w:hAnsi="Times New Roman" w:cs="Times New Roman"/>
                <w:sz w:val="24"/>
                <w:szCs w:val="24"/>
                <w:highlight w:val="yellow"/>
              </w:rPr>
            </w:pPr>
          </w:p>
        </w:tc>
        <w:tc>
          <w:tcPr>
            <w:tcW w:w="1014" w:type="dxa"/>
            <w:vMerge w:val="restart"/>
            <w:tcBorders>
              <w:left w:val="outset" w:sz="8" w:space="0" w:color="auto"/>
              <w:right w:val="outset" w:sz="8" w:space="0" w:color="auto"/>
            </w:tcBorders>
          </w:tcPr>
          <w:p w14:paraId="07958701" w14:textId="154215B6" w:rsidR="00721653" w:rsidRPr="009053ED" w:rsidRDefault="00D00B5F" w:rsidP="00721653">
            <w:pPr>
              <w:pStyle w:val="naisf"/>
              <w:spacing w:before="0" w:after="0"/>
              <w:ind w:firstLine="0"/>
              <w:jc w:val="center"/>
            </w:pPr>
            <w:r w:rsidRPr="009053ED">
              <w:rPr>
                <w:bCs/>
                <w:iCs/>
              </w:rPr>
              <w:t>X</w:t>
            </w:r>
          </w:p>
          <w:p w14:paraId="60E7DB6F" w14:textId="690BDFCC" w:rsidR="00721653" w:rsidRPr="009053ED" w:rsidRDefault="00721653" w:rsidP="00721653">
            <w:pPr>
              <w:spacing w:after="0"/>
              <w:jc w:val="center"/>
              <w:rPr>
                <w:rFonts w:ascii="Times New Roman" w:hAnsi="Times New Roman" w:cs="Times New Roman"/>
                <w:sz w:val="24"/>
                <w:szCs w:val="24"/>
                <w:highlight w:val="yellow"/>
              </w:rPr>
            </w:pPr>
          </w:p>
        </w:tc>
        <w:tc>
          <w:tcPr>
            <w:tcW w:w="992" w:type="dxa"/>
            <w:tcBorders>
              <w:left w:val="outset" w:sz="8" w:space="0" w:color="auto"/>
              <w:right w:val="outset" w:sz="8" w:space="0" w:color="auto"/>
            </w:tcBorders>
          </w:tcPr>
          <w:p w14:paraId="7834945D" w14:textId="77777777" w:rsidR="00721653" w:rsidRPr="009053ED" w:rsidRDefault="00721653" w:rsidP="00721653">
            <w:pPr>
              <w:pStyle w:val="naisf"/>
              <w:spacing w:before="0" w:after="0"/>
              <w:ind w:firstLine="0"/>
              <w:jc w:val="center"/>
            </w:pPr>
            <w:r w:rsidRPr="009053ED">
              <w:rPr>
                <w:bCs/>
                <w:iCs/>
              </w:rPr>
              <w:t>Nav precīzi aprēķināms</w:t>
            </w:r>
          </w:p>
          <w:p w14:paraId="32036B17" w14:textId="2CACB1FA" w:rsidR="00721653" w:rsidRPr="009053ED" w:rsidRDefault="00721653" w:rsidP="00721653">
            <w:pPr>
              <w:spacing w:after="0"/>
              <w:jc w:val="center"/>
              <w:rPr>
                <w:rFonts w:ascii="Times New Roman" w:hAnsi="Times New Roman" w:cs="Times New Roman"/>
                <w:sz w:val="24"/>
                <w:szCs w:val="24"/>
                <w:highlight w:val="yellow"/>
              </w:rPr>
            </w:pPr>
          </w:p>
        </w:tc>
        <w:tc>
          <w:tcPr>
            <w:tcW w:w="1025" w:type="dxa"/>
            <w:vMerge w:val="restart"/>
            <w:tcBorders>
              <w:left w:val="outset" w:sz="8" w:space="0" w:color="auto"/>
              <w:right w:val="outset" w:sz="8" w:space="0" w:color="auto"/>
            </w:tcBorders>
          </w:tcPr>
          <w:p w14:paraId="63BA50FC" w14:textId="23479C3F" w:rsidR="00721653" w:rsidRPr="009053ED" w:rsidRDefault="00D00B5F" w:rsidP="00721653">
            <w:pPr>
              <w:pStyle w:val="naisf"/>
              <w:spacing w:before="0" w:after="0"/>
              <w:ind w:firstLine="0"/>
              <w:jc w:val="center"/>
            </w:pPr>
            <w:r w:rsidRPr="009053ED">
              <w:rPr>
                <w:bCs/>
                <w:iCs/>
              </w:rPr>
              <w:t>X</w:t>
            </w:r>
          </w:p>
          <w:p w14:paraId="7D5C66C2" w14:textId="2115FDE7" w:rsidR="00721653" w:rsidRPr="009053ED" w:rsidRDefault="00721653" w:rsidP="00721653">
            <w:pPr>
              <w:spacing w:after="0"/>
              <w:jc w:val="center"/>
              <w:rPr>
                <w:rFonts w:ascii="Times New Roman" w:hAnsi="Times New Roman" w:cs="Times New Roman"/>
                <w:sz w:val="24"/>
                <w:szCs w:val="24"/>
                <w:highlight w:val="yellow"/>
              </w:rPr>
            </w:pPr>
          </w:p>
        </w:tc>
        <w:tc>
          <w:tcPr>
            <w:tcW w:w="1026" w:type="dxa"/>
            <w:tcBorders>
              <w:left w:val="outset" w:sz="8" w:space="0" w:color="auto"/>
              <w:right w:val="outset" w:sz="8" w:space="0" w:color="auto"/>
            </w:tcBorders>
          </w:tcPr>
          <w:p w14:paraId="0E03A734" w14:textId="77777777" w:rsidR="00721653" w:rsidRPr="009053ED" w:rsidRDefault="00721653" w:rsidP="00721653">
            <w:pPr>
              <w:pStyle w:val="naisf"/>
              <w:spacing w:before="0" w:after="0"/>
              <w:ind w:firstLine="0"/>
              <w:jc w:val="center"/>
            </w:pPr>
            <w:r w:rsidRPr="009053ED">
              <w:rPr>
                <w:bCs/>
                <w:iCs/>
              </w:rPr>
              <w:t>Nav precīzi aprēķināms</w:t>
            </w:r>
          </w:p>
          <w:p w14:paraId="48301CA9" w14:textId="54E5C6AC" w:rsidR="00721653" w:rsidRPr="009053ED" w:rsidRDefault="00721653" w:rsidP="00721653">
            <w:pPr>
              <w:spacing w:after="0"/>
              <w:jc w:val="center"/>
              <w:rPr>
                <w:rFonts w:ascii="Times New Roman" w:hAnsi="Times New Roman" w:cs="Times New Roman"/>
                <w:sz w:val="24"/>
                <w:szCs w:val="24"/>
                <w:highlight w:val="yellow"/>
              </w:rPr>
            </w:pPr>
          </w:p>
        </w:tc>
        <w:tc>
          <w:tcPr>
            <w:tcW w:w="1200" w:type="dxa"/>
            <w:tcBorders>
              <w:top w:val="outset" w:sz="8" w:space="0" w:color="auto"/>
              <w:left w:val="outset" w:sz="8" w:space="0" w:color="auto"/>
              <w:bottom w:val="outset" w:sz="8" w:space="0" w:color="auto"/>
              <w:right w:val="outset" w:sz="8" w:space="0" w:color="auto"/>
            </w:tcBorders>
          </w:tcPr>
          <w:p w14:paraId="32B65F8A" w14:textId="77777777" w:rsidR="00721653" w:rsidRPr="009053ED" w:rsidRDefault="00721653" w:rsidP="00721653">
            <w:pPr>
              <w:pStyle w:val="naisf"/>
              <w:spacing w:before="0" w:after="0"/>
              <w:ind w:firstLine="0"/>
              <w:jc w:val="center"/>
            </w:pPr>
            <w:r w:rsidRPr="009053ED">
              <w:rPr>
                <w:bCs/>
                <w:iCs/>
              </w:rPr>
              <w:t>Nav precīzi aprēķināms</w:t>
            </w:r>
          </w:p>
          <w:p w14:paraId="78C847EC" w14:textId="26A212C2" w:rsidR="00721653" w:rsidRPr="009053ED" w:rsidRDefault="00721653" w:rsidP="00721653">
            <w:pPr>
              <w:pStyle w:val="naisf"/>
              <w:spacing w:before="0" w:after="0"/>
              <w:ind w:firstLine="0"/>
              <w:jc w:val="center"/>
              <w:rPr>
                <w:highlight w:val="yellow"/>
              </w:rPr>
            </w:pPr>
          </w:p>
        </w:tc>
      </w:tr>
      <w:tr w:rsidR="00721653" w:rsidRPr="00E74F23" w14:paraId="3872E804"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33E5C50"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5.1.</w:t>
            </w:r>
            <w:r>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026" w:type="dxa"/>
            <w:vMerge/>
            <w:tcBorders>
              <w:top w:val="outset" w:sz="8" w:space="0" w:color="auto"/>
              <w:left w:val="outset" w:sz="8" w:space="0" w:color="auto"/>
              <w:bottom w:val="outset" w:sz="8" w:space="0" w:color="auto"/>
              <w:right w:val="outset" w:sz="8" w:space="0" w:color="auto"/>
            </w:tcBorders>
            <w:vAlign w:val="center"/>
          </w:tcPr>
          <w:p w14:paraId="1A685ACE" w14:textId="77777777" w:rsidR="00721653" w:rsidRPr="009053ED" w:rsidRDefault="00721653" w:rsidP="0072165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4AFD64FE" w14:textId="77777777" w:rsidR="00721653" w:rsidRPr="009053ED" w:rsidRDefault="00721653" w:rsidP="00721653">
            <w:pPr>
              <w:pStyle w:val="naisf"/>
              <w:spacing w:before="0" w:after="0"/>
              <w:ind w:firstLine="0"/>
              <w:jc w:val="center"/>
            </w:pPr>
            <w:r w:rsidRPr="009053ED">
              <w:rPr>
                <w:bCs/>
                <w:iCs/>
              </w:rPr>
              <w:t>Nav precīzi aprēķināms</w:t>
            </w:r>
          </w:p>
          <w:p w14:paraId="30706056" w14:textId="51372118" w:rsidR="00721653" w:rsidRPr="009053ED" w:rsidRDefault="00721653" w:rsidP="00721653">
            <w:pPr>
              <w:spacing w:after="0"/>
              <w:jc w:val="center"/>
              <w:rPr>
                <w:rFonts w:ascii="Times New Roman" w:hAnsi="Times New Roman" w:cs="Times New Roman"/>
                <w:sz w:val="24"/>
                <w:szCs w:val="24"/>
                <w:highlight w:val="yellow"/>
              </w:rPr>
            </w:pPr>
          </w:p>
        </w:tc>
        <w:tc>
          <w:tcPr>
            <w:tcW w:w="1014" w:type="dxa"/>
            <w:vMerge/>
            <w:tcBorders>
              <w:left w:val="outset" w:sz="8" w:space="0" w:color="auto"/>
              <w:right w:val="outset" w:sz="8" w:space="0" w:color="auto"/>
            </w:tcBorders>
          </w:tcPr>
          <w:p w14:paraId="4F574604" w14:textId="77777777" w:rsidR="00721653" w:rsidRPr="009053ED" w:rsidRDefault="00721653" w:rsidP="00721653">
            <w:pPr>
              <w:spacing w:after="0"/>
              <w:jc w:val="center"/>
              <w:rPr>
                <w:rFonts w:ascii="Times New Roman" w:hAnsi="Times New Roman" w:cs="Times New Roman"/>
                <w:sz w:val="24"/>
                <w:szCs w:val="24"/>
                <w:highlight w:val="yellow"/>
              </w:rPr>
            </w:pPr>
          </w:p>
        </w:tc>
        <w:tc>
          <w:tcPr>
            <w:tcW w:w="992" w:type="dxa"/>
            <w:tcBorders>
              <w:left w:val="outset" w:sz="8" w:space="0" w:color="auto"/>
              <w:right w:val="outset" w:sz="8" w:space="0" w:color="auto"/>
            </w:tcBorders>
          </w:tcPr>
          <w:p w14:paraId="5C89DC24" w14:textId="77777777" w:rsidR="00721653" w:rsidRPr="009053ED" w:rsidRDefault="00721653" w:rsidP="00721653">
            <w:pPr>
              <w:pStyle w:val="naisf"/>
              <w:spacing w:before="0" w:after="0"/>
              <w:ind w:firstLine="0"/>
              <w:jc w:val="center"/>
            </w:pPr>
            <w:r w:rsidRPr="009053ED">
              <w:rPr>
                <w:bCs/>
                <w:iCs/>
              </w:rPr>
              <w:t>Nav precīzi aprēķināms</w:t>
            </w:r>
          </w:p>
          <w:p w14:paraId="622C925D" w14:textId="7A885DF8" w:rsidR="00721653" w:rsidRPr="009053ED" w:rsidRDefault="00721653" w:rsidP="00721653">
            <w:pPr>
              <w:spacing w:after="0"/>
              <w:jc w:val="center"/>
              <w:rPr>
                <w:rFonts w:ascii="Times New Roman" w:hAnsi="Times New Roman" w:cs="Times New Roman"/>
                <w:sz w:val="24"/>
                <w:szCs w:val="24"/>
                <w:highlight w:val="yellow"/>
              </w:rPr>
            </w:pPr>
          </w:p>
        </w:tc>
        <w:tc>
          <w:tcPr>
            <w:tcW w:w="1025" w:type="dxa"/>
            <w:vMerge/>
            <w:tcBorders>
              <w:left w:val="outset" w:sz="8" w:space="0" w:color="auto"/>
              <w:right w:val="outset" w:sz="8" w:space="0" w:color="auto"/>
            </w:tcBorders>
          </w:tcPr>
          <w:p w14:paraId="0D934EE1" w14:textId="382A3654" w:rsidR="00721653" w:rsidRPr="009053ED" w:rsidRDefault="00721653" w:rsidP="00721653">
            <w:pPr>
              <w:spacing w:after="0"/>
              <w:jc w:val="center"/>
              <w:rPr>
                <w:rFonts w:ascii="Times New Roman" w:hAnsi="Times New Roman" w:cs="Times New Roman"/>
                <w:sz w:val="24"/>
                <w:szCs w:val="24"/>
                <w:highlight w:val="yellow"/>
              </w:rPr>
            </w:pPr>
          </w:p>
        </w:tc>
        <w:tc>
          <w:tcPr>
            <w:tcW w:w="1026" w:type="dxa"/>
            <w:tcBorders>
              <w:left w:val="outset" w:sz="8" w:space="0" w:color="auto"/>
              <w:right w:val="outset" w:sz="8" w:space="0" w:color="auto"/>
            </w:tcBorders>
          </w:tcPr>
          <w:p w14:paraId="7C43BE52" w14:textId="77777777" w:rsidR="00721653" w:rsidRPr="009053ED" w:rsidRDefault="00721653" w:rsidP="00721653">
            <w:pPr>
              <w:pStyle w:val="naisf"/>
              <w:spacing w:before="0" w:after="0"/>
              <w:ind w:firstLine="0"/>
              <w:jc w:val="center"/>
            </w:pPr>
            <w:r w:rsidRPr="009053ED">
              <w:rPr>
                <w:bCs/>
                <w:iCs/>
              </w:rPr>
              <w:t>Nav precīzi aprēķināms</w:t>
            </w:r>
          </w:p>
          <w:p w14:paraId="62F7F2CB" w14:textId="4E826AB0" w:rsidR="00721653" w:rsidRPr="009053ED" w:rsidRDefault="00721653" w:rsidP="00721653">
            <w:pPr>
              <w:spacing w:after="0"/>
              <w:jc w:val="center"/>
              <w:rPr>
                <w:rFonts w:ascii="Times New Roman" w:hAnsi="Times New Roman" w:cs="Times New Roman"/>
                <w:sz w:val="24"/>
                <w:szCs w:val="24"/>
                <w:highlight w:val="yellow"/>
              </w:rPr>
            </w:pPr>
          </w:p>
        </w:tc>
        <w:tc>
          <w:tcPr>
            <w:tcW w:w="1200" w:type="dxa"/>
            <w:tcBorders>
              <w:top w:val="outset" w:sz="8" w:space="0" w:color="auto"/>
              <w:left w:val="outset" w:sz="8" w:space="0" w:color="auto"/>
              <w:bottom w:val="outset" w:sz="8" w:space="0" w:color="auto"/>
              <w:right w:val="outset" w:sz="8" w:space="0" w:color="auto"/>
            </w:tcBorders>
          </w:tcPr>
          <w:p w14:paraId="6E476BF5" w14:textId="77777777" w:rsidR="00721653" w:rsidRPr="009053ED" w:rsidRDefault="00721653" w:rsidP="00721653">
            <w:pPr>
              <w:pStyle w:val="naisf"/>
              <w:spacing w:before="0" w:after="0"/>
              <w:ind w:firstLine="0"/>
              <w:jc w:val="center"/>
            </w:pPr>
            <w:r w:rsidRPr="009053ED">
              <w:rPr>
                <w:bCs/>
                <w:iCs/>
              </w:rPr>
              <w:t>Nav precīzi aprēķināms</w:t>
            </w:r>
          </w:p>
          <w:p w14:paraId="5D2A3CFF" w14:textId="455523B3" w:rsidR="00721653" w:rsidRPr="009053ED" w:rsidRDefault="00721653" w:rsidP="00721653">
            <w:pPr>
              <w:spacing w:after="0"/>
              <w:jc w:val="center"/>
              <w:rPr>
                <w:rFonts w:ascii="Times New Roman" w:hAnsi="Times New Roman" w:cs="Times New Roman"/>
                <w:sz w:val="24"/>
                <w:szCs w:val="24"/>
                <w:highlight w:val="yellow"/>
              </w:rPr>
            </w:pPr>
          </w:p>
        </w:tc>
      </w:tr>
      <w:tr w:rsidR="00721653" w:rsidRPr="00E74F23" w14:paraId="5BD3EF92"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2B3BB214"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5.2.</w:t>
            </w:r>
            <w:r>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026" w:type="dxa"/>
            <w:vMerge/>
            <w:tcBorders>
              <w:top w:val="outset" w:sz="8" w:space="0" w:color="auto"/>
              <w:left w:val="outset" w:sz="8" w:space="0" w:color="auto"/>
              <w:bottom w:val="outset" w:sz="8" w:space="0" w:color="auto"/>
              <w:right w:val="outset" w:sz="8" w:space="0" w:color="auto"/>
            </w:tcBorders>
            <w:vAlign w:val="center"/>
          </w:tcPr>
          <w:p w14:paraId="2C2B6DD4" w14:textId="77777777" w:rsidR="00721653" w:rsidRPr="009053ED" w:rsidRDefault="00721653" w:rsidP="0072165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shd w:val="clear" w:color="auto" w:fill="FFFFFF" w:themeFill="background1"/>
          </w:tcPr>
          <w:p w14:paraId="19211936" w14:textId="77777777" w:rsidR="00721653" w:rsidRPr="009053ED" w:rsidRDefault="00721653" w:rsidP="00721653">
            <w:pPr>
              <w:spacing w:after="0"/>
              <w:jc w:val="center"/>
              <w:rPr>
                <w:rFonts w:ascii="Times New Roman" w:hAnsi="Times New Roman" w:cs="Times New Roman"/>
                <w:sz w:val="24"/>
                <w:szCs w:val="24"/>
              </w:rPr>
            </w:pPr>
            <w:r w:rsidRPr="009053ED">
              <w:rPr>
                <w:rFonts w:ascii="Times New Roman" w:hAnsi="Times New Roman" w:cs="Times New Roman"/>
                <w:sz w:val="24"/>
                <w:szCs w:val="24"/>
              </w:rPr>
              <w:t>0</w:t>
            </w:r>
          </w:p>
        </w:tc>
        <w:tc>
          <w:tcPr>
            <w:tcW w:w="1014" w:type="dxa"/>
            <w:vMerge/>
            <w:tcBorders>
              <w:left w:val="outset" w:sz="8" w:space="0" w:color="auto"/>
              <w:right w:val="outset" w:sz="8" w:space="0" w:color="auto"/>
            </w:tcBorders>
          </w:tcPr>
          <w:p w14:paraId="10BB092F" w14:textId="77777777" w:rsidR="00721653" w:rsidRPr="009053ED" w:rsidRDefault="00721653" w:rsidP="00721653">
            <w:pPr>
              <w:spacing w:after="0"/>
              <w:jc w:val="center"/>
              <w:rPr>
                <w:rFonts w:ascii="Times New Roman" w:hAnsi="Times New Roman" w:cs="Times New Roman"/>
                <w:sz w:val="24"/>
                <w:szCs w:val="24"/>
              </w:rPr>
            </w:pPr>
          </w:p>
        </w:tc>
        <w:tc>
          <w:tcPr>
            <w:tcW w:w="992" w:type="dxa"/>
            <w:tcBorders>
              <w:left w:val="outset" w:sz="8" w:space="0" w:color="auto"/>
              <w:right w:val="outset" w:sz="8" w:space="0" w:color="auto"/>
            </w:tcBorders>
          </w:tcPr>
          <w:p w14:paraId="25D0F320" w14:textId="3277E66A" w:rsidR="00721653" w:rsidRPr="009053ED" w:rsidRDefault="00721653" w:rsidP="00721653">
            <w:pPr>
              <w:spacing w:after="0"/>
              <w:jc w:val="center"/>
              <w:rPr>
                <w:rFonts w:ascii="Times New Roman" w:hAnsi="Times New Roman" w:cs="Times New Roman"/>
                <w:sz w:val="24"/>
                <w:szCs w:val="24"/>
              </w:rPr>
            </w:pPr>
            <w:r w:rsidRPr="009053ED">
              <w:rPr>
                <w:rFonts w:ascii="Times New Roman" w:hAnsi="Times New Roman" w:cs="Times New Roman"/>
                <w:sz w:val="24"/>
                <w:szCs w:val="24"/>
              </w:rPr>
              <w:t>0</w:t>
            </w:r>
          </w:p>
        </w:tc>
        <w:tc>
          <w:tcPr>
            <w:tcW w:w="1025" w:type="dxa"/>
            <w:vMerge/>
            <w:tcBorders>
              <w:left w:val="outset" w:sz="8" w:space="0" w:color="auto"/>
              <w:right w:val="outset" w:sz="8" w:space="0" w:color="auto"/>
            </w:tcBorders>
          </w:tcPr>
          <w:p w14:paraId="730F4FFA" w14:textId="07DF7928" w:rsidR="00721653" w:rsidRPr="009053ED" w:rsidRDefault="00721653" w:rsidP="00721653">
            <w:pPr>
              <w:spacing w:after="0"/>
              <w:jc w:val="center"/>
              <w:rPr>
                <w:rFonts w:ascii="Times New Roman" w:hAnsi="Times New Roman" w:cs="Times New Roman"/>
                <w:sz w:val="24"/>
                <w:szCs w:val="24"/>
              </w:rPr>
            </w:pPr>
          </w:p>
        </w:tc>
        <w:tc>
          <w:tcPr>
            <w:tcW w:w="1026" w:type="dxa"/>
            <w:tcBorders>
              <w:left w:val="outset" w:sz="8" w:space="0" w:color="auto"/>
              <w:bottom w:val="outset" w:sz="8" w:space="0" w:color="auto"/>
              <w:right w:val="outset" w:sz="8" w:space="0" w:color="auto"/>
            </w:tcBorders>
          </w:tcPr>
          <w:p w14:paraId="5C0BE98A" w14:textId="5AB7A727" w:rsidR="00721653" w:rsidRPr="009053ED" w:rsidRDefault="00721653" w:rsidP="00721653">
            <w:pPr>
              <w:spacing w:after="0"/>
              <w:jc w:val="center"/>
              <w:rPr>
                <w:rFonts w:ascii="Times New Roman" w:hAnsi="Times New Roman" w:cs="Times New Roman"/>
                <w:sz w:val="24"/>
                <w:szCs w:val="24"/>
              </w:rPr>
            </w:pPr>
            <w:r w:rsidRPr="009053ED">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shd w:val="clear" w:color="auto" w:fill="FFFFFF" w:themeFill="background1"/>
          </w:tcPr>
          <w:p w14:paraId="500B47F2" w14:textId="77777777" w:rsidR="00721653" w:rsidRPr="009053ED" w:rsidRDefault="00721653" w:rsidP="00721653">
            <w:pPr>
              <w:spacing w:after="0"/>
              <w:jc w:val="center"/>
              <w:rPr>
                <w:rFonts w:ascii="Times New Roman" w:hAnsi="Times New Roman" w:cs="Times New Roman"/>
                <w:sz w:val="24"/>
                <w:szCs w:val="24"/>
              </w:rPr>
            </w:pPr>
            <w:r w:rsidRPr="009053ED">
              <w:rPr>
                <w:rFonts w:ascii="Times New Roman" w:hAnsi="Times New Roman" w:cs="Times New Roman"/>
                <w:sz w:val="24"/>
                <w:szCs w:val="24"/>
              </w:rPr>
              <w:t>0</w:t>
            </w:r>
          </w:p>
        </w:tc>
      </w:tr>
      <w:tr w:rsidR="00721653" w:rsidRPr="00E74F23" w14:paraId="7DA948BF" w14:textId="77777777" w:rsidTr="00B5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C9A9A04"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5.3.</w:t>
            </w:r>
            <w:r>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026" w:type="dxa"/>
            <w:vMerge/>
            <w:tcBorders>
              <w:top w:val="outset" w:sz="8" w:space="0" w:color="auto"/>
              <w:left w:val="outset" w:sz="8" w:space="0" w:color="auto"/>
              <w:bottom w:val="outset" w:sz="8" w:space="0" w:color="auto"/>
              <w:right w:val="outset" w:sz="8" w:space="0" w:color="auto"/>
            </w:tcBorders>
            <w:vAlign w:val="center"/>
          </w:tcPr>
          <w:p w14:paraId="02136D77" w14:textId="77777777" w:rsidR="00721653" w:rsidRPr="00E74F23" w:rsidRDefault="00721653" w:rsidP="0072165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3E5B11D2"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vMerge/>
            <w:tcBorders>
              <w:left w:val="outset" w:sz="8" w:space="0" w:color="auto"/>
              <w:bottom w:val="outset" w:sz="8" w:space="0" w:color="auto"/>
              <w:right w:val="outset" w:sz="8" w:space="0" w:color="auto"/>
            </w:tcBorders>
          </w:tcPr>
          <w:p w14:paraId="3365E350" w14:textId="77777777" w:rsidR="00721653" w:rsidRPr="00E74F23" w:rsidRDefault="00721653" w:rsidP="00721653">
            <w:pPr>
              <w:spacing w:after="0"/>
              <w:jc w:val="center"/>
              <w:rPr>
                <w:rFonts w:ascii="Times New Roman" w:hAnsi="Times New Roman" w:cs="Times New Roman"/>
                <w:sz w:val="24"/>
                <w:szCs w:val="24"/>
              </w:rPr>
            </w:pPr>
          </w:p>
        </w:tc>
        <w:tc>
          <w:tcPr>
            <w:tcW w:w="992" w:type="dxa"/>
            <w:tcBorders>
              <w:left w:val="outset" w:sz="8" w:space="0" w:color="auto"/>
              <w:bottom w:val="outset" w:sz="8" w:space="0" w:color="auto"/>
              <w:right w:val="outset" w:sz="8" w:space="0" w:color="auto"/>
            </w:tcBorders>
          </w:tcPr>
          <w:p w14:paraId="46C789D8" w14:textId="3CCF3884" w:rsidR="00721653" w:rsidRPr="00E74F23" w:rsidRDefault="00721653" w:rsidP="0072165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vMerge/>
            <w:tcBorders>
              <w:left w:val="outset" w:sz="8" w:space="0" w:color="auto"/>
              <w:bottom w:val="outset" w:sz="8" w:space="0" w:color="auto"/>
              <w:right w:val="outset" w:sz="8" w:space="0" w:color="auto"/>
            </w:tcBorders>
          </w:tcPr>
          <w:p w14:paraId="1EC6D74A" w14:textId="59DA8144" w:rsidR="00721653" w:rsidRPr="00E74F23" w:rsidRDefault="00721653" w:rsidP="00721653">
            <w:pPr>
              <w:spacing w:after="0"/>
              <w:jc w:val="center"/>
              <w:rPr>
                <w:rFonts w:ascii="Times New Roman" w:hAnsi="Times New Roman" w:cs="Times New Roman"/>
                <w:sz w:val="24"/>
                <w:szCs w:val="24"/>
              </w:rPr>
            </w:pPr>
          </w:p>
        </w:tc>
        <w:tc>
          <w:tcPr>
            <w:tcW w:w="1026" w:type="dxa"/>
            <w:tcBorders>
              <w:top w:val="outset" w:sz="8" w:space="0" w:color="auto"/>
              <w:left w:val="outset" w:sz="8" w:space="0" w:color="auto"/>
              <w:bottom w:val="outset" w:sz="8" w:space="0" w:color="auto"/>
              <w:right w:val="outset" w:sz="8" w:space="0" w:color="auto"/>
            </w:tcBorders>
          </w:tcPr>
          <w:p w14:paraId="70000B2B" w14:textId="67F79929" w:rsidR="00721653" w:rsidRPr="00E74F23" w:rsidRDefault="00721653" w:rsidP="0072165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4CB95972" w14:textId="77777777" w:rsidR="00721653" w:rsidRPr="00E74F23" w:rsidRDefault="00721653" w:rsidP="0072165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721653" w:rsidRPr="00E74F23" w14:paraId="1B49E4C8"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258BB86"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00" w:type="dxa"/>
            <w:gridSpan w:val="7"/>
            <w:vMerge w:val="restart"/>
            <w:tcBorders>
              <w:top w:val="outset" w:sz="8" w:space="0" w:color="auto"/>
              <w:left w:val="outset" w:sz="8" w:space="0" w:color="auto"/>
              <w:bottom w:val="outset" w:sz="8" w:space="0" w:color="auto"/>
              <w:right w:val="outset" w:sz="8" w:space="0" w:color="auto"/>
            </w:tcBorders>
          </w:tcPr>
          <w:p w14:paraId="011EF281" w14:textId="465367F5" w:rsidR="00721653" w:rsidRPr="009053ED" w:rsidRDefault="00721653" w:rsidP="00721653">
            <w:pPr>
              <w:spacing w:after="0"/>
              <w:rPr>
                <w:rFonts w:ascii="Times New Roman" w:hAnsi="Times New Roman" w:cs="Times New Roman"/>
                <w:sz w:val="24"/>
                <w:szCs w:val="24"/>
              </w:rPr>
            </w:pPr>
            <w:r w:rsidRPr="009053ED">
              <w:rPr>
                <w:rFonts w:ascii="Times New Roman" w:hAnsi="Times New Roman" w:cs="Times New Roman"/>
                <w:sz w:val="24"/>
                <w:szCs w:val="24"/>
              </w:rPr>
              <w:t>Nav precīzi aprēķināms.</w:t>
            </w:r>
          </w:p>
        </w:tc>
      </w:tr>
      <w:tr w:rsidR="00721653" w:rsidRPr="00E74F23" w14:paraId="226C76C9"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CDA7CAF"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6.1. detalizēts ieņēmumu aprēķins</w:t>
            </w:r>
          </w:p>
        </w:tc>
        <w:tc>
          <w:tcPr>
            <w:tcW w:w="7400" w:type="dxa"/>
            <w:gridSpan w:val="7"/>
            <w:vMerge/>
            <w:tcBorders>
              <w:top w:val="outset" w:sz="8" w:space="0" w:color="auto"/>
              <w:left w:val="outset" w:sz="8" w:space="0" w:color="auto"/>
              <w:bottom w:val="outset" w:sz="8" w:space="0" w:color="auto"/>
              <w:right w:val="outset" w:sz="8" w:space="0" w:color="auto"/>
            </w:tcBorders>
            <w:vAlign w:val="center"/>
          </w:tcPr>
          <w:p w14:paraId="64EE3B79" w14:textId="77777777" w:rsidR="00721653" w:rsidRPr="009053ED" w:rsidRDefault="00721653" w:rsidP="00721653">
            <w:pPr>
              <w:pStyle w:val="naisf"/>
              <w:spacing w:before="0" w:after="0"/>
              <w:ind w:firstLine="0"/>
              <w:rPr>
                <w:b/>
                <w:i/>
                <w:u w:val="single"/>
              </w:rPr>
            </w:pPr>
          </w:p>
        </w:tc>
      </w:tr>
      <w:tr w:rsidR="00721653" w:rsidRPr="00E74F23" w14:paraId="5B90D207"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3615D117" w14:textId="77777777" w:rsidR="00721653" w:rsidRPr="00E74F23" w:rsidRDefault="00721653" w:rsidP="0072165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6.2.</w:t>
            </w:r>
            <w:r>
              <w:rPr>
                <w:rFonts w:ascii="Times New Roman" w:hAnsi="Times New Roman" w:cs="Times New Roman"/>
                <w:sz w:val="24"/>
                <w:szCs w:val="24"/>
              </w:rPr>
              <w:t> </w:t>
            </w:r>
            <w:r w:rsidRPr="00E74F23">
              <w:rPr>
                <w:rFonts w:ascii="Times New Roman" w:hAnsi="Times New Roman" w:cs="Times New Roman"/>
                <w:sz w:val="24"/>
                <w:szCs w:val="24"/>
              </w:rPr>
              <w:t>detalizēts izdevumu aprēķins</w:t>
            </w:r>
          </w:p>
        </w:tc>
        <w:tc>
          <w:tcPr>
            <w:tcW w:w="7400" w:type="dxa"/>
            <w:gridSpan w:val="7"/>
            <w:vMerge/>
            <w:tcBorders>
              <w:top w:val="outset" w:sz="8" w:space="0" w:color="auto"/>
              <w:left w:val="outset" w:sz="8" w:space="0" w:color="auto"/>
              <w:bottom w:val="outset" w:sz="8" w:space="0" w:color="auto"/>
              <w:right w:val="outset" w:sz="8" w:space="0" w:color="auto"/>
            </w:tcBorders>
          </w:tcPr>
          <w:p w14:paraId="7E03318C" w14:textId="77777777" w:rsidR="00721653" w:rsidRPr="009053ED" w:rsidRDefault="00721653" w:rsidP="00721653">
            <w:pPr>
              <w:pStyle w:val="naisf"/>
              <w:spacing w:before="0" w:after="0"/>
              <w:ind w:firstLine="0"/>
              <w:rPr>
                <w:b/>
                <w:i/>
                <w:u w:val="single"/>
              </w:rPr>
            </w:pPr>
          </w:p>
        </w:tc>
      </w:tr>
      <w:tr w:rsidR="00721653" w:rsidRPr="00E74F23" w14:paraId="1D95F7EA"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6"/>
          <w:jc w:val="center"/>
        </w:trPr>
        <w:tc>
          <w:tcPr>
            <w:tcW w:w="1655" w:type="dxa"/>
            <w:tcBorders>
              <w:top w:val="outset" w:sz="8" w:space="0" w:color="auto"/>
              <w:left w:val="outset" w:sz="8" w:space="0" w:color="auto"/>
              <w:bottom w:val="outset" w:sz="6" w:space="0" w:color="414142"/>
              <w:right w:val="outset" w:sz="8" w:space="0" w:color="auto"/>
            </w:tcBorders>
          </w:tcPr>
          <w:p w14:paraId="5DD62E48" w14:textId="33E49BEE" w:rsidR="00721653" w:rsidRPr="009053ED" w:rsidRDefault="00721653" w:rsidP="00B53C63">
            <w:pPr>
              <w:spacing w:after="0" w:line="240" w:lineRule="auto"/>
              <w:rPr>
                <w:rFonts w:ascii="Times New Roman" w:hAnsi="Times New Roman" w:cs="Times New Roman"/>
                <w:sz w:val="24"/>
                <w:szCs w:val="24"/>
              </w:rPr>
            </w:pPr>
            <w:r w:rsidRPr="009053ED">
              <w:rPr>
                <w:rFonts w:ascii="Times New Roman" w:hAnsi="Times New Roman" w:cs="Times New Roman"/>
                <w:sz w:val="24"/>
                <w:szCs w:val="24"/>
              </w:rPr>
              <w:t>7. </w:t>
            </w:r>
            <w:r w:rsidR="00B53C63" w:rsidRPr="009053ED">
              <w:rPr>
                <w:rFonts w:ascii="Times New Roman" w:hAnsi="Times New Roman" w:cs="Times New Roman"/>
                <w:sz w:val="24"/>
                <w:szCs w:val="24"/>
              </w:rPr>
              <w:t>Amata vietu skaita izmaiņas</w:t>
            </w:r>
          </w:p>
        </w:tc>
        <w:tc>
          <w:tcPr>
            <w:tcW w:w="7400" w:type="dxa"/>
            <w:gridSpan w:val="7"/>
            <w:tcBorders>
              <w:top w:val="outset" w:sz="8" w:space="0" w:color="auto"/>
              <w:left w:val="outset" w:sz="8" w:space="0" w:color="auto"/>
              <w:bottom w:val="outset" w:sz="6" w:space="0" w:color="414142"/>
              <w:right w:val="outset" w:sz="8" w:space="0" w:color="auto"/>
            </w:tcBorders>
          </w:tcPr>
          <w:p w14:paraId="18234EE2" w14:textId="357EC944" w:rsidR="00721653" w:rsidRPr="009053ED" w:rsidRDefault="00EC0613" w:rsidP="005C6B2D">
            <w:pPr>
              <w:spacing w:after="0" w:line="240" w:lineRule="auto"/>
              <w:jc w:val="both"/>
              <w:rPr>
                <w:rFonts w:ascii="Times New Roman" w:hAnsi="Times New Roman" w:cs="Times New Roman"/>
                <w:sz w:val="24"/>
                <w:szCs w:val="24"/>
              </w:rPr>
            </w:pPr>
            <w:r w:rsidRPr="009053ED">
              <w:rPr>
                <w:rFonts w:ascii="Times New Roman" w:hAnsi="Times New Roman" w:cs="Times New Roman"/>
                <w:sz w:val="24"/>
                <w:szCs w:val="24"/>
              </w:rPr>
              <w:t>Nav</w:t>
            </w:r>
            <w:r w:rsidR="005C6B2D" w:rsidRPr="009053ED">
              <w:rPr>
                <w:rFonts w:ascii="Times New Roman" w:hAnsi="Times New Roman" w:cs="Times New Roman"/>
                <w:sz w:val="24"/>
                <w:szCs w:val="24"/>
              </w:rPr>
              <w:t>.</w:t>
            </w:r>
          </w:p>
        </w:tc>
      </w:tr>
      <w:tr w:rsidR="00721653" w:rsidRPr="00E74F23" w14:paraId="13B31D55"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6"/>
          <w:jc w:val="center"/>
        </w:trPr>
        <w:tc>
          <w:tcPr>
            <w:tcW w:w="1655" w:type="dxa"/>
            <w:tcBorders>
              <w:top w:val="outset" w:sz="8" w:space="0" w:color="auto"/>
              <w:left w:val="outset" w:sz="8" w:space="0" w:color="auto"/>
              <w:bottom w:val="outset" w:sz="6" w:space="0" w:color="414142"/>
              <w:right w:val="outset" w:sz="8" w:space="0" w:color="auto"/>
            </w:tcBorders>
          </w:tcPr>
          <w:p w14:paraId="687A432A" w14:textId="35734C74" w:rsidR="00721653" w:rsidRPr="009053ED" w:rsidRDefault="00721653" w:rsidP="00721653">
            <w:pPr>
              <w:spacing w:after="0" w:line="240" w:lineRule="auto"/>
              <w:rPr>
                <w:rFonts w:ascii="Times New Roman" w:hAnsi="Times New Roman" w:cs="Times New Roman"/>
                <w:sz w:val="24"/>
                <w:szCs w:val="24"/>
              </w:rPr>
            </w:pPr>
            <w:r w:rsidRPr="009053ED">
              <w:rPr>
                <w:rFonts w:ascii="Times New Roman" w:hAnsi="Times New Roman" w:cs="Times New Roman"/>
                <w:sz w:val="24"/>
                <w:szCs w:val="24"/>
              </w:rPr>
              <w:t>8.</w:t>
            </w:r>
            <w:r w:rsidR="00B53C63" w:rsidRPr="009053ED">
              <w:rPr>
                <w:rFonts w:ascii="Times New Roman" w:hAnsi="Times New Roman" w:cs="Times New Roman"/>
                <w:sz w:val="24"/>
                <w:szCs w:val="24"/>
              </w:rPr>
              <w:t xml:space="preserve"> Cita informācija</w:t>
            </w:r>
          </w:p>
        </w:tc>
        <w:tc>
          <w:tcPr>
            <w:tcW w:w="7400" w:type="dxa"/>
            <w:gridSpan w:val="7"/>
            <w:tcBorders>
              <w:top w:val="outset" w:sz="8" w:space="0" w:color="auto"/>
              <w:left w:val="outset" w:sz="8" w:space="0" w:color="auto"/>
              <w:bottom w:val="outset" w:sz="6" w:space="0" w:color="414142"/>
              <w:right w:val="outset" w:sz="8" w:space="0" w:color="auto"/>
            </w:tcBorders>
          </w:tcPr>
          <w:p w14:paraId="356F8E4E" w14:textId="70842589" w:rsidR="00721653" w:rsidRPr="009053ED" w:rsidRDefault="00B53C63" w:rsidP="00B53C63">
            <w:pPr>
              <w:spacing w:after="0" w:line="240" w:lineRule="auto"/>
              <w:jc w:val="both"/>
              <w:rPr>
                <w:rFonts w:ascii="Times New Roman" w:hAnsi="Times New Roman" w:cs="Times New Roman"/>
                <w:sz w:val="24"/>
                <w:szCs w:val="24"/>
              </w:rPr>
            </w:pPr>
            <w:r w:rsidRPr="009053ED">
              <w:rPr>
                <w:rFonts w:ascii="Times New Roman" w:hAnsi="Times New Roman" w:cs="Times New Roman"/>
                <w:sz w:val="24"/>
                <w:szCs w:val="24"/>
              </w:rPr>
              <w:t>Nav precīzi aprēķināms</w:t>
            </w:r>
            <w:r w:rsidR="00EC0613" w:rsidRPr="009053ED">
              <w:rPr>
                <w:rFonts w:ascii="Times New Roman" w:hAnsi="Times New Roman" w:cs="Times New Roman"/>
                <w:sz w:val="24"/>
                <w:szCs w:val="24"/>
              </w:rPr>
              <w:t>.</w:t>
            </w:r>
            <w:r w:rsidR="00D00B5F" w:rsidRPr="009053ED">
              <w:t xml:space="preserve"> </w:t>
            </w:r>
            <w:r w:rsidR="00D00B5F" w:rsidRPr="009053ED">
              <w:rPr>
                <w:rFonts w:ascii="Times New Roman" w:hAnsi="Times New Roman" w:cs="Times New Roman"/>
                <w:sz w:val="24"/>
                <w:szCs w:val="24"/>
              </w:rPr>
              <w:t>Ņemot vērā, ka administratīvo pārkāpumu skaitu un tiem piemēroto naudas sodu apmēru nav iespējams prognozēt, nevar aprēķināt ietekmi uz valsts budžetu.</w:t>
            </w:r>
          </w:p>
        </w:tc>
      </w:tr>
      <w:tr w:rsidR="00721653" w:rsidRPr="00E74F23" w14:paraId="4FE1D03E" w14:textId="77777777" w:rsidTr="009027D8">
        <w:trPr>
          <w:trHeight w:val="336"/>
          <w:jc w:val="center"/>
        </w:trPr>
        <w:tc>
          <w:tcPr>
            <w:tcW w:w="9055" w:type="dxa"/>
            <w:gridSpan w:val="8"/>
            <w:tcBorders>
              <w:top w:val="outset" w:sz="6" w:space="0" w:color="414142"/>
              <w:left w:val="nil"/>
              <w:bottom w:val="outset" w:sz="6" w:space="0" w:color="414142"/>
              <w:right w:val="nil"/>
            </w:tcBorders>
            <w:vAlign w:val="center"/>
          </w:tcPr>
          <w:p w14:paraId="1D548E3F" w14:textId="123A70B1" w:rsidR="00721653" w:rsidRPr="00E74F23" w:rsidRDefault="00721653" w:rsidP="00721653">
            <w:pPr>
              <w:spacing w:after="0" w:line="293" w:lineRule="atLeast"/>
              <w:jc w:val="center"/>
              <w:rPr>
                <w:rFonts w:ascii="Times New Roman" w:eastAsia="Times New Roman" w:hAnsi="Times New Roman" w:cs="Times New Roman"/>
                <w:b/>
                <w:bCs/>
                <w:color w:val="414142"/>
                <w:sz w:val="24"/>
                <w:szCs w:val="24"/>
                <w:lang w:eastAsia="lv-LV"/>
              </w:rPr>
            </w:pPr>
          </w:p>
        </w:tc>
      </w:tr>
      <w:tr w:rsidR="00721653" w:rsidRPr="0073774B" w14:paraId="5D5439F5" w14:textId="77777777" w:rsidTr="009027D8">
        <w:tblPrEx>
          <w:jc w:val="left"/>
          <w:tblCellMar>
            <w:top w:w="30" w:type="dxa"/>
            <w:left w:w="30" w:type="dxa"/>
            <w:bottom w:w="30" w:type="dxa"/>
            <w:right w:w="30" w:type="dxa"/>
          </w:tblCellMar>
        </w:tblPrEx>
        <w:trPr>
          <w:trHeight w:val="328"/>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73774B"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IV. Tiesību akta projekta ietekme uz spēkā esošo tiesību normu sistēmu</w:t>
            </w:r>
          </w:p>
        </w:tc>
      </w:tr>
      <w:tr w:rsidR="00721653" w:rsidRPr="0073774B" w14:paraId="57FC5890" w14:textId="77777777" w:rsidTr="009027D8">
        <w:tblPrEx>
          <w:jc w:val="left"/>
          <w:tblCellMar>
            <w:top w:w="30" w:type="dxa"/>
            <w:left w:w="30" w:type="dxa"/>
            <w:bottom w:w="30" w:type="dxa"/>
            <w:right w:w="30" w:type="dxa"/>
          </w:tblCellMar>
        </w:tblPrEx>
        <w:trPr>
          <w:trHeight w:val="280"/>
        </w:trPr>
        <w:tc>
          <w:tcPr>
            <w:tcW w:w="9055" w:type="dxa"/>
            <w:gridSpan w:val="8"/>
            <w:tcBorders>
              <w:top w:val="outset" w:sz="6" w:space="0" w:color="414142"/>
              <w:left w:val="outset" w:sz="6" w:space="0" w:color="414142"/>
              <w:bottom w:val="outset" w:sz="6" w:space="0" w:color="414142"/>
              <w:right w:val="outset" w:sz="6" w:space="0" w:color="414142"/>
            </w:tcBorders>
            <w:vAlign w:val="center"/>
          </w:tcPr>
          <w:p w14:paraId="03406200" w14:textId="77777777" w:rsidR="00721653" w:rsidRPr="00E6504B"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E6504B">
              <w:rPr>
                <w:rFonts w:ascii="Times New Roman" w:eastAsia="Times New Roman" w:hAnsi="Times New Roman"/>
                <w:sz w:val="24"/>
                <w:szCs w:val="24"/>
                <w:lang w:eastAsia="lv-LV"/>
              </w:rPr>
              <w:t>Projekts šo jomu neskar.</w:t>
            </w:r>
          </w:p>
        </w:tc>
      </w:tr>
    </w:tbl>
    <w:p w14:paraId="0F890357" w14:textId="77777777" w:rsidR="00084B64" w:rsidRDefault="00084B64" w:rsidP="006C4E33">
      <w:pPr>
        <w:spacing w:after="0" w:line="240" w:lineRule="auto"/>
        <w:ind w:left="142" w:firstLine="158"/>
        <w:rPr>
          <w:rFonts w:ascii="Times New Roman" w:eastAsia="Times New Roman" w:hAnsi="Times New Roman"/>
          <w:sz w:val="24"/>
          <w:szCs w:val="24"/>
          <w:lang w:eastAsia="lv-LV"/>
        </w:rPr>
      </w:pPr>
    </w:p>
    <w:tbl>
      <w:tblPr>
        <w:tblW w:w="4793"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80"/>
      </w:tblGrid>
      <w:tr w:rsidR="00AF27A2" w:rsidRPr="0073774B" w14:paraId="343DBCDA" w14:textId="77777777" w:rsidTr="006076E5">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829520F" w14:textId="77777777" w:rsidR="00AF27A2" w:rsidRPr="0073774B" w:rsidRDefault="00AF27A2" w:rsidP="006076E5">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V. Tiesību akta projekta atbilstība Latvijas Republikas starptautiskajām saistībām</w:t>
            </w:r>
          </w:p>
        </w:tc>
      </w:tr>
      <w:tr w:rsidR="00AF27A2" w:rsidRPr="0073774B" w14:paraId="16557211" w14:textId="77777777" w:rsidTr="006076E5">
        <w:trPr>
          <w:trHeight w:val="276"/>
        </w:trPr>
        <w:tc>
          <w:tcPr>
            <w:tcW w:w="5000" w:type="pct"/>
            <w:tcBorders>
              <w:top w:val="outset" w:sz="6" w:space="0" w:color="414142"/>
              <w:left w:val="outset" w:sz="6" w:space="0" w:color="414142"/>
              <w:bottom w:val="outset" w:sz="6" w:space="0" w:color="414142"/>
              <w:right w:val="outset" w:sz="6" w:space="0" w:color="414142"/>
            </w:tcBorders>
          </w:tcPr>
          <w:p w14:paraId="3F82C1E6" w14:textId="77777777" w:rsidR="00AF27A2" w:rsidRPr="00E6504B" w:rsidRDefault="00AF27A2" w:rsidP="006076E5">
            <w:pPr>
              <w:spacing w:after="0" w:line="240" w:lineRule="auto"/>
              <w:ind w:left="142" w:firstLine="158"/>
              <w:jc w:val="center"/>
              <w:rPr>
                <w:rFonts w:ascii="Times New Roman" w:eastAsia="Times New Roman" w:hAnsi="Times New Roman"/>
                <w:sz w:val="24"/>
                <w:szCs w:val="24"/>
                <w:lang w:eastAsia="lv-LV"/>
              </w:rPr>
            </w:pPr>
            <w:r w:rsidRPr="00E6504B">
              <w:rPr>
                <w:rFonts w:ascii="Times New Roman" w:eastAsia="Times New Roman" w:hAnsi="Times New Roman"/>
                <w:sz w:val="24"/>
                <w:szCs w:val="24"/>
                <w:lang w:eastAsia="lv-LV"/>
              </w:rPr>
              <w:t>Projekts šo jomu neskar.</w:t>
            </w:r>
          </w:p>
        </w:tc>
      </w:tr>
    </w:tbl>
    <w:p w14:paraId="6874D044" w14:textId="77777777" w:rsidR="00AF27A2" w:rsidRDefault="00AF27A2" w:rsidP="006C4E33">
      <w:pPr>
        <w:spacing w:after="0" w:line="240" w:lineRule="auto"/>
        <w:ind w:left="142" w:firstLine="158"/>
        <w:rPr>
          <w:rFonts w:ascii="Times New Roman" w:eastAsia="Times New Roman" w:hAnsi="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3282"/>
        <w:gridCol w:w="5091"/>
      </w:tblGrid>
      <w:tr w:rsidR="00A26C08" w:rsidRPr="00A26C08" w14:paraId="60E353EC" w14:textId="77777777" w:rsidTr="00D50077">
        <w:tc>
          <w:tcPr>
            <w:tcW w:w="8789" w:type="dxa"/>
            <w:gridSpan w:val="3"/>
          </w:tcPr>
          <w:p w14:paraId="022502A6" w14:textId="522E6BBE"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VI. Sabiedrības līdzdalība un </w:t>
            </w:r>
            <w:r w:rsidRPr="00A26C08">
              <w:rPr>
                <w:rFonts w:ascii="Times New Roman" w:eastAsia="Calibri" w:hAnsi="Times New Roman" w:cs="Times New Roman"/>
                <w:b/>
                <w:bCs/>
                <w:sz w:val="24"/>
                <w:szCs w:val="24"/>
              </w:rPr>
              <w:t>komunikācijas aktivitātes</w:t>
            </w:r>
          </w:p>
        </w:tc>
      </w:tr>
      <w:tr w:rsidR="00A26C08" w:rsidRPr="00A26C08" w14:paraId="69283FBE" w14:textId="77777777" w:rsidTr="00B829AB">
        <w:trPr>
          <w:trHeight w:val="553"/>
        </w:trPr>
        <w:tc>
          <w:tcPr>
            <w:tcW w:w="247" w:type="dxa"/>
          </w:tcPr>
          <w:p w14:paraId="0C1778BB"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340" w:type="dxa"/>
          </w:tcPr>
          <w:p w14:paraId="7B7F48F0" w14:textId="77777777" w:rsidR="00A26C08" w:rsidRPr="00A26C08"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Plānotās sabiedrības līdzdalības un komunikācijas aktivitātes saistībā ar projektu</w:t>
            </w:r>
          </w:p>
        </w:tc>
        <w:tc>
          <w:tcPr>
            <w:tcW w:w="5202" w:type="dxa"/>
          </w:tcPr>
          <w:p w14:paraId="5D1E296E" w14:textId="776171A0" w:rsidR="00A26C08" w:rsidRPr="00A26C08" w:rsidRDefault="009B340D" w:rsidP="00CA678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3D4854" w:rsidRPr="00954A89">
              <w:rPr>
                <w:rFonts w:ascii="Times New Roman" w:eastAsia="Times New Roman" w:hAnsi="Times New Roman" w:cs="Times New Roman"/>
                <w:sz w:val="24"/>
                <w:szCs w:val="24"/>
                <w:lang w:eastAsia="lv-LV"/>
              </w:rPr>
              <w:t>Saskaņā ar Ministru kabineta 2009.</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gada 25.</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augusta noteikumu Nr.</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 xml:space="preserve">970 </w:t>
            </w:r>
            <w:r w:rsidR="00BA350A">
              <w:rPr>
                <w:rFonts w:ascii="Times New Roman" w:eastAsia="Times New Roman" w:hAnsi="Times New Roman" w:cs="Times New Roman"/>
                <w:sz w:val="24"/>
                <w:szCs w:val="24"/>
                <w:lang w:eastAsia="lv-LV"/>
              </w:rPr>
              <w:t>“</w:t>
            </w:r>
            <w:r w:rsidR="003D4854" w:rsidRPr="00954A89">
              <w:rPr>
                <w:rFonts w:ascii="Times New Roman" w:eastAsia="Times New Roman" w:hAnsi="Times New Roman" w:cs="Times New Roman"/>
                <w:sz w:val="24"/>
                <w:szCs w:val="24"/>
                <w:lang w:eastAsia="lv-LV"/>
              </w:rPr>
              <w:t>Sabiedrības līdzdalības kārtība attīstības plānošanas procesā</w:t>
            </w:r>
            <w:r w:rsidR="00BA350A">
              <w:rPr>
                <w:rFonts w:ascii="Times New Roman" w:eastAsia="Times New Roman" w:hAnsi="Times New Roman" w:cs="Times New Roman"/>
                <w:sz w:val="24"/>
                <w:szCs w:val="24"/>
                <w:lang w:eastAsia="lv-LV"/>
              </w:rPr>
              <w:t>”</w:t>
            </w:r>
            <w:r w:rsidR="003D4854" w:rsidRPr="00954A89">
              <w:rPr>
                <w:rFonts w:ascii="Times New Roman" w:eastAsia="Times New Roman" w:hAnsi="Times New Roman" w:cs="Times New Roman"/>
                <w:sz w:val="24"/>
                <w:szCs w:val="24"/>
                <w:lang w:eastAsia="lv-LV"/>
              </w:rPr>
              <w:t xml:space="preserve"> 7.4.</w:t>
            </w:r>
            <w:r w:rsidR="003D4854" w:rsidRPr="00954A89">
              <w:rPr>
                <w:rFonts w:ascii="Times New Roman" w:eastAsia="Times New Roman" w:hAnsi="Times New Roman" w:cs="Times New Roman"/>
                <w:sz w:val="24"/>
                <w:szCs w:val="24"/>
                <w:vertAlign w:val="superscript"/>
                <w:lang w:eastAsia="lv-LV"/>
              </w:rPr>
              <w:t>1</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 xml:space="preserve">apakšpunktu sabiedrības pārstāvji </w:t>
            </w:r>
            <w:r w:rsidR="00CA678D">
              <w:rPr>
                <w:rFonts w:ascii="Times New Roman" w:eastAsia="Times New Roman" w:hAnsi="Times New Roman" w:cs="Times New Roman"/>
                <w:sz w:val="24"/>
                <w:szCs w:val="24"/>
                <w:lang w:eastAsia="lv-LV"/>
              </w:rPr>
              <w:t>tika</w:t>
            </w:r>
            <w:r w:rsidR="00CA678D" w:rsidRPr="00954A89">
              <w:rPr>
                <w:rFonts w:ascii="Times New Roman" w:eastAsia="Times New Roman" w:hAnsi="Times New Roman" w:cs="Times New Roman"/>
                <w:sz w:val="24"/>
                <w:szCs w:val="24"/>
                <w:lang w:eastAsia="lv-LV"/>
              </w:rPr>
              <w:t xml:space="preserve"> </w:t>
            </w:r>
            <w:r w:rsidR="003D4854" w:rsidRPr="00954A89">
              <w:rPr>
                <w:rFonts w:ascii="Times New Roman" w:eastAsia="Times New Roman" w:hAnsi="Times New Roman" w:cs="Times New Roman"/>
                <w:sz w:val="24"/>
                <w:szCs w:val="24"/>
                <w:lang w:eastAsia="lv-LV"/>
              </w:rPr>
              <w:t xml:space="preserve">aicināti līdzdarboties, rakstiski sniedzot viedokli par </w:t>
            </w:r>
            <w:r w:rsidR="00B139D1">
              <w:rPr>
                <w:rFonts w:ascii="Times New Roman" w:eastAsia="Times New Roman" w:hAnsi="Times New Roman" w:cs="Times New Roman"/>
                <w:sz w:val="24"/>
                <w:szCs w:val="24"/>
                <w:lang w:eastAsia="lv-LV"/>
              </w:rPr>
              <w:t>likum</w:t>
            </w:r>
            <w:r w:rsidR="003D4854" w:rsidRPr="00954A89">
              <w:rPr>
                <w:rFonts w:ascii="Times New Roman" w:eastAsia="Times New Roman" w:hAnsi="Times New Roman" w:cs="Times New Roman"/>
                <w:sz w:val="24"/>
                <w:szCs w:val="24"/>
                <w:lang w:eastAsia="lv-LV"/>
              </w:rPr>
              <w:t xml:space="preserve">projektu tā izstrādes stadijā. Sabiedrības pārstāvji </w:t>
            </w:r>
            <w:r w:rsidR="00CA678D">
              <w:rPr>
                <w:rFonts w:ascii="Times New Roman" w:eastAsia="Times New Roman" w:hAnsi="Times New Roman" w:cs="Times New Roman"/>
                <w:sz w:val="24"/>
                <w:szCs w:val="24"/>
                <w:lang w:eastAsia="lv-LV"/>
              </w:rPr>
              <w:t>tika</w:t>
            </w:r>
            <w:r w:rsidR="00CA678D" w:rsidRPr="00954A89">
              <w:rPr>
                <w:rFonts w:ascii="Times New Roman" w:eastAsia="Times New Roman" w:hAnsi="Times New Roman" w:cs="Times New Roman"/>
                <w:sz w:val="24"/>
                <w:szCs w:val="24"/>
                <w:lang w:eastAsia="lv-LV"/>
              </w:rPr>
              <w:t xml:space="preserve"> </w:t>
            </w:r>
            <w:r w:rsidR="003D4854" w:rsidRPr="00954A89">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3D4854" w:rsidRPr="00954A89">
              <w:rPr>
                <w:rFonts w:ascii="Times New Roman" w:eastAsia="Times New Roman" w:hAnsi="Times New Roman" w:cs="Times New Roman"/>
                <w:sz w:val="24"/>
                <w:szCs w:val="24"/>
                <w:lang w:eastAsia="lv-LV"/>
              </w:rPr>
              <w:t xml:space="preserve"> tīmekļvietnē.</w:t>
            </w:r>
          </w:p>
        </w:tc>
      </w:tr>
      <w:tr w:rsidR="00A26C08" w:rsidRPr="00A26C08" w14:paraId="576C516A" w14:textId="77777777" w:rsidTr="00B829AB">
        <w:trPr>
          <w:trHeight w:val="339"/>
        </w:trPr>
        <w:tc>
          <w:tcPr>
            <w:tcW w:w="247" w:type="dxa"/>
          </w:tcPr>
          <w:p w14:paraId="4822539C"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340" w:type="dxa"/>
          </w:tcPr>
          <w:p w14:paraId="67EE5D9D"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 projekta izstrādē </w:t>
            </w:r>
          </w:p>
        </w:tc>
        <w:tc>
          <w:tcPr>
            <w:tcW w:w="5202" w:type="dxa"/>
          </w:tcPr>
          <w:p w14:paraId="3E8A36FD" w14:textId="61D36F12" w:rsidR="00A26C08" w:rsidRPr="00A26C08" w:rsidRDefault="00F66928" w:rsidP="009154C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26C08" w:rsidRPr="00A26C08">
              <w:rPr>
                <w:rFonts w:ascii="Times New Roman" w:eastAsia="Times New Roman" w:hAnsi="Times New Roman" w:cs="Times New Roman"/>
                <w:sz w:val="24"/>
                <w:szCs w:val="24"/>
                <w:lang w:eastAsia="lv-LV"/>
              </w:rPr>
              <w:t xml:space="preserve">rojekts sabiedriskai apspriešanai tika publicēts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A26C08" w:rsidRPr="00A26C08">
              <w:rPr>
                <w:rFonts w:ascii="Times New Roman" w:eastAsia="Times New Roman" w:hAnsi="Times New Roman" w:cs="Times New Roman"/>
                <w:sz w:val="24"/>
                <w:szCs w:val="24"/>
                <w:lang w:eastAsia="lv-LV"/>
              </w:rPr>
              <w:t xml:space="preserve"> tīmekļvietnē </w:t>
            </w:r>
            <w:r w:rsidR="00EF5231" w:rsidRPr="006F149A">
              <w:rPr>
                <w:rFonts w:ascii="Times New Roman" w:eastAsia="Times New Roman" w:hAnsi="Times New Roman" w:cs="Times New Roman"/>
                <w:sz w:val="24"/>
                <w:szCs w:val="24"/>
                <w:lang w:eastAsia="lv-LV"/>
              </w:rPr>
              <w:t>201</w:t>
            </w:r>
            <w:r w:rsidR="00675ABF" w:rsidRPr="006F149A">
              <w:rPr>
                <w:rFonts w:ascii="Times New Roman" w:eastAsia="Times New Roman" w:hAnsi="Times New Roman" w:cs="Times New Roman"/>
                <w:sz w:val="24"/>
                <w:szCs w:val="24"/>
                <w:lang w:eastAsia="lv-LV"/>
              </w:rPr>
              <w:t>9</w:t>
            </w:r>
            <w:r w:rsidR="007F7040">
              <w:rPr>
                <w:rFonts w:ascii="Times New Roman" w:eastAsia="Times New Roman" w:hAnsi="Times New Roman" w:cs="Times New Roman"/>
                <w:sz w:val="24"/>
                <w:szCs w:val="24"/>
                <w:lang w:eastAsia="lv-LV"/>
              </w:rPr>
              <w:t>.</w:t>
            </w:r>
            <w:r w:rsidR="00CA678D">
              <w:rPr>
                <w:rFonts w:ascii="Times New Roman" w:eastAsia="Times New Roman" w:hAnsi="Times New Roman" w:cs="Times New Roman"/>
                <w:sz w:val="24"/>
                <w:szCs w:val="24"/>
                <w:lang w:eastAsia="lv-LV"/>
              </w:rPr>
              <w:t> </w:t>
            </w:r>
            <w:r w:rsidR="007F7040">
              <w:rPr>
                <w:rFonts w:ascii="Times New Roman" w:eastAsia="Times New Roman" w:hAnsi="Times New Roman" w:cs="Times New Roman"/>
                <w:sz w:val="24"/>
                <w:szCs w:val="24"/>
                <w:lang w:eastAsia="lv-LV"/>
              </w:rPr>
              <w:t>gada 9. jūlijā</w:t>
            </w:r>
            <w:r w:rsidR="004B6359">
              <w:rPr>
                <w:rFonts w:ascii="Times New Roman" w:eastAsia="Times New Roman" w:hAnsi="Times New Roman" w:cs="Times New Roman"/>
                <w:sz w:val="24"/>
                <w:szCs w:val="24"/>
                <w:lang w:eastAsia="lv-LV"/>
              </w:rPr>
              <w:t>. Likumprojekts Valsts kancelejas tīmekļvietnē ievietots 2019.</w:t>
            </w:r>
            <w:r w:rsidR="00A701FB">
              <w:rPr>
                <w:rFonts w:ascii="Times New Roman" w:eastAsia="Times New Roman" w:hAnsi="Times New Roman" w:cs="Times New Roman"/>
                <w:sz w:val="24"/>
                <w:szCs w:val="24"/>
                <w:lang w:eastAsia="lv-LV"/>
              </w:rPr>
              <w:t> </w:t>
            </w:r>
            <w:r w:rsidR="004B6359">
              <w:rPr>
                <w:rFonts w:ascii="Times New Roman" w:eastAsia="Times New Roman" w:hAnsi="Times New Roman" w:cs="Times New Roman"/>
                <w:sz w:val="24"/>
                <w:szCs w:val="24"/>
                <w:lang w:eastAsia="lv-LV"/>
              </w:rPr>
              <w:t xml:space="preserve">gada </w:t>
            </w:r>
            <w:r w:rsidR="009154CB">
              <w:rPr>
                <w:rFonts w:ascii="Times New Roman" w:eastAsia="Times New Roman" w:hAnsi="Times New Roman" w:cs="Times New Roman"/>
                <w:sz w:val="24"/>
                <w:szCs w:val="24"/>
                <w:lang w:eastAsia="lv-LV"/>
              </w:rPr>
              <w:t>7</w:t>
            </w:r>
            <w:r w:rsidR="00951DAF">
              <w:rPr>
                <w:rFonts w:ascii="Times New Roman" w:eastAsia="Times New Roman" w:hAnsi="Times New Roman" w:cs="Times New Roman"/>
                <w:sz w:val="24"/>
                <w:szCs w:val="24"/>
                <w:lang w:eastAsia="lv-LV"/>
              </w:rPr>
              <w:t xml:space="preserve">. </w:t>
            </w:r>
            <w:r w:rsidR="009154CB">
              <w:rPr>
                <w:rFonts w:ascii="Times New Roman" w:eastAsia="Times New Roman" w:hAnsi="Times New Roman" w:cs="Times New Roman"/>
                <w:sz w:val="24"/>
                <w:szCs w:val="24"/>
                <w:lang w:eastAsia="lv-LV"/>
              </w:rPr>
              <w:t>oktobrī</w:t>
            </w:r>
            <w:r w:rsidR="00951DAF">
              <w:rPr>
                <w:rFonts w:ascii="Times New Roman" w:eastAsia="Times New Roman" w:hAnsi="Times New Roman" w:cs="Times New Roman"/>
                <w:sz w:val="24"/>
                <w:szCs w:val="24"/>
                <w:lang w:eastAsia="lv-LV"/>
              </w:rPr>
              <w:t>.</w:t>
            </w:r>
          </w:p>
        </w:tc>
      </w:tr>
      <w:tr w:rsidR="00A26C08" w:rsidRPr="00A26C08" w14:paraId="0E2FD5E1" w14:textId="77777777" w:rsidTr="00B829AB">
        <w:trPr>
          <w:trHeight w:val="375"/>
        </w:trPr>
        <w:tc>
          <w:tcPr>
            <w:tcW w:w="247" w:type="dxa"/>
          </w:tcPr>
          <w:p w14:paraId="717C309D"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3.</w:t>
            </w:r>
          </w:p>
        </w:tc>
        <w:tc>
          <w:tcPr>
            <w:tcW w:w="3340" w:type="dxa"/>
          </w:tcPr>
          <w:p w14:paraId="4461E076"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līdzdalības rezultāti </w:t>
            </w:r>
          </w:p>
        </w:tc>
        <w:tc>
          <w:tcPr>
            <w:tcW w:w="5202" w:type="dxa"/>
          </w:tcPr>
          <w:p w14:paraId="79ECD838" w14:textId="33E8CA6E" w:rsidR="00A26C08" w:rsidRPr="00A26C08" w:rsidRDefault="00A26C08" w:rsidP="004B6359">
            <w:pPr>
              <w:spacing w:after="0" w:line="240" w:lineRule="auto"/>
              <w:ind w:left="113" w:right="113"/>
              <w:jc w:val="both"/>
              <w:rPr>
                <w:rFonts w:ascii="Calibri" w:eastAsia="Calibri" w:hAnsi="Calibri" w:cs="Times New Roman"/>
                <w:sz w:val="24"/>
                <w:szCs w:val="24"/>
                <w:lang w:eastAsia="lv-LV"/>
              </w:rPr>
            </w:pPr>
            <w:r w:rsidRPr="00A26C08">
              <w:rPr>
                <w:rFonts w:ascii="Times New Roman" w:eastAsia="Calibri" w:hAnsi="Times New Roman" w:cs="Times New Roman"/>
                <w:sz w:val="24"/>
                <w:szCs w:val="24"/>
                <w:lang w:eastAsia="lv-LV"/>
              </w:rPr>
              <w:t xml:space="preserve">Pēc </w:t>
            </w:r>
            <w:r w:rsidR="00F66928">
              <w:rPr>
                <w:rFonts w:ascii="Times New Roman" w:eastAsia="Calibri" w:hAnsi="Times New Roman" w:cs="Times New Roman"/>
                <w:sz w:val="24"/>
                <w:szCs w:val="24"/>
                <w:lang w:eastAsia="lv-LV"/>
              </w:rPr>
              <w:t>likum</w:t>
            </w:r>
            <w:r w:rsidRPr="00A26C08">
              <w:rPr>
                <w:rFonts w:ascii="Times New Roman" w:eastAsia="Times New Roman" w:hAnsi="Times New Roman" w:cs="Times New Roman"/>
                <w:sz w:val="24"/>
                <w:szCs w:val="24"/>
                <w:lang w:eastAsia="lv-LV"/>
              </w:rPr>
              <w:t>projekta publicēšanas</w:t>
            </w:r>
            <w:r w:rsidR="003C412D">
              <w:rPr>
                <w:rFonts w:ascii="Times New Roman" w:eastAsia="Times New Roman" w:hAnsi="Times New Roman" w:cs="Times New Roman"/>
                <w:sz w:val="24"/>
                <w:szCs w:val="24"/>
                <w:lang w:eastAsia="lv-LV"/>
              </w:rPr>
              <w:t xml:space="preserve">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A356C6">
              <w:rPr>
                <w:rFonts w:ascii="Times New Roman" w:eastAsia="Times New Roman" w:hAnsi="Times New Roman" w:cs="Times New Roman"/>
                <w:sz w:val="24"/>
                <w:szCs w:val="24"/>
                <w:lang w:eastAsia="lv-LV"/>
              </w:rPr>
              <w:t xml:space="preserve"> un Valsts kancelejas</w:t>
            </w:r>
            <w:r w:rsidRPr="00A26C08">
              <w:rPr>
                <w:rFonts w:ascii="Times New Roman" w:eastAsia="Times New Roman" w:hAnsi="Times New Roman" w:cs="Times New Roman"/>
                <w:sz w:val="24"/>
                <w:szCs w:val="24"/>
                <w:lang w:eastAsia="lv-LV"/>
              </w:rPr>
              <w:t xml:space="preserve"> tīmekļvietnē atsauksmes, iebildumi</w:t>
            </w:r>
            <w:r w:rsidR="00DF1231">
              <w:rPr>
                <w:rFonts w:ascii="Times New Roman" w:eastAsia="Times New Roman" w:hAnsi="Times New Roman" w:cs="Times New Roman"/>
                <w:sz w:val="24"/>
                <w:szCs w:val="24"/>
                <w:lang w:eastAsia="lv-LV"/>
              </w:rPr>
              <w:t xml:space="preserve"> vai</w:t>
            </w:r>
            <w:r w:rsidRPr="00A26C08">
              <w:rPr>
                <w:rFonts w:ascii="Times New Roman" w:eastAsia="Times New Roman" w:hAnsi="Times New Roman" w:cs="Times New Roman"/>
                <w:sz w:val="24"/>
                <w:szCs w:val="24"/>
                <w:lang w:eastAsia="lv-LV"/>
              </w:rPr>
              <w:t xml:space="preserve"> priekšlikumi </w:t>
            </w:r>
            <w:r w:rsidR="004B6359">
              <w:rPr>
                <w:rFonts w:ascii="Times New Roman" w:eastAsia="Times New Roman" w:hAnsi="Times New Roman" w:cs="Times New Roman"/>
                <w:sz w:val="24"/>
                <w:szCs w:val="24"/>
                <w:lang w:eastAsia="lv-LV"/>
              </w:rPr>
              <w:t>nav saņemti</w:t>
            </w:r>
            <w:r w:rsidR="00E6504B">
              <w:rPr>
                <w:rFonts w:ascii="Times New Roman" w:eastAsia="Times New Roman" w:hAnsi="Times New Roman" w:cs="Times New Roman"/>
                <w:sz w:val="24"/>
                <w:szCs w:val="24"/>
                <w:lang w:eastAsia="lv-LV"/>
              </w:rPr>
              <w:t>.</w:t>
            </w:r>
          </w:p>
        </w:tc>
      </w:tr>
      <w:tr w:rsidR="00A26C08" w:rsidRPr="00A26C08" w14:paraId="27517190" w14:textId="77777777" w:rsidTr="00B829AB">
        <w:trPr>
          <w:trHeight w:val="476"/>
        </w:trPr>
        <w:tc>
          <w:tcPr>
            <w:tcW w:w="247" w:type="dxa"/>
          </w:tcPr>
          <w:p w14:paraId="5C2CE431"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4.</w:t>
            </w:r>
          </w:p>
        </w:tc>
        <w:tc>
          <w:tcPr>
            <w:tcW w:w="3340" w:type="dxa"/>
          </w:tcPr>
          <w:p w14:paraId="413B0245"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202" w:type="dxa"/>
          </w:tcPr>
          <w:p w14:paraId="0FD2DC13" w14:textId="77777777" w:rsidR="00A26C08" w:rsidRPr="00A26C08"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14:paraId="7A7E5EAD" w14:textId="77777777" w:rsidR="00A26C08" w:rsidRPr="00A26C08" w:rsidRDefault="00A26C08" w:rsidP="00A26C08">
      <w:pPr>
        <w:spacing w:line="240" w:lineRule="auto"/>
        <w:rPr>
          <w:rFonts w:ascii="Calibri" w:eastAsia="Calibri" w:hAnsi="Calibri" w:cs="Times New Roman"/>
          <w:sz w:val="24"/>
          <w:szCs w:val="24"/>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357"/>
        <w:gridCol w:w="5103"/>
      </w:tblGrid>
      <w:tr w:rsidR="00A26C08" w:rsidRPr="00A26C08" w14:paraId="58A2DB31" w14:textId="77777777" w:rsidTr="00D50077">
        <w:trPr>
          <w:trHeight w:val="279"/>
        </w:trPr>
        <w:tc>
          <w:tcPr>
            <w:tcW w:w="8789" w:type="dxa"/>
            <w:gridSpan w:val="3"/>
            <w:tcBorders>
              <w:top w:val="single" w:sz="4" w:space="0" w:color="auto"/>
            </w:tcBorders>
          </w:tcPr>
          <w:p w14:paraId="5D0309FB" w14:textId="77777777"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26C08" w14:paraId="4FF712F8" w14:textId="77777777" w:rsidTr="007F2285">
        <w:trPr>
          <w:trHeight w:val="442"/>
        </w:trPr>
        <w:tc>
          <w:tcPr>
            <w:tcW w:w="329" w:type="dxa"/>
          </w:tcPr>
          <w:p w14:paraId="7ABFCE0C"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357" w:type="dxa"/>
          </w:tcPr>
          <w:p w14:paraId="2B50AE1A" w14:textId="77777777" w:rsidR="00A26C08" w:rsidRPr="00A26C08" w:rsidRDefault="00A26C08" w:rsidP="00CA57A6">
            <w:pPr>
              <w:spacing w:after="0"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2E89298B" w:rsidR="00A26C08" w:rsidRPr="003C412D" w:rsidRDefault="003C412D" w:rsidP="00EF5231">
            <w:pPr>
              <w:spacing w:after="0" w:line="240" w:lineRule="auto"/>
              <w:jc w:val="both"/>
              <w:rPr>
                <w:rFonts w:ascii="Times New Roman" w:eastAsia="Times New Roman" w:hAnsi="Times New Roman" w:cs="Times New Roman"/>
                <w:sz w:val="24"/>
                <w:szCs w:val="24"/>
              </w:rPr>
            </w:pPr>
            <w:r w:rsidRPr="003C412D">
              <w:rPr>
                <w:rFonts w:ascii="Times New Roman" w:eastAsia="Times New Roman" w:hAnsi="Times New Roman" w:cs="Times New Roman"/>
                <w:iCs/>
                <w:sz w:val="24"/>
                <w:szCs w:val="24"/>
              </w:rPr>
              <w:t>V</w:t>
            </w:r>
            <w:r w:rsidR="007876B4">
              <w:rPr>
                <w:rFonts w:ascii="Times New Roman" w:eastAsia="Times New Roman" w:hAnsi="Times New Roman" w:cs="Times New Roman"/>
                <w:iCs/>
                <w:sz w:val="24"/>
                <w:szCs w:val="24"/>
              </w:rPr>
              <w:t>VD</w:t>
            </w:r>
            <w:r w:rsidRPr="003C412D">
              <w:rPr>
                <w:rFonts w:ascii="Times New Roman" w:eastAsia="Times New Roman" w:hAnsi="Times New Roman" w:cs="Times New Roman"/>
                <w:iCs/>
                <w:sz w:val="24"/>
                <w:szCs w:val="24"/>
              </w:rPr>
              <w:t xml:space="preserve">, </w:t>
            </w:r>
            <w:r w:rsidR="00696618">
              <w:rPr>
                <w:rFonts w:ascii="Times New Roman" w:eastAsia="Times New Roman" w:hAnsi="Times New Roman" w:cs="Times New Roman"/>
                <w:iCs/>
                <w:sz w:val="24"/>
                <w:szCs w:val="24"/>
              </w:rPr>
              <w:t>Inspekcija</w:t>
            </w:r>
            <w:r w:rsidR="0007141A">
              <w:rPr>
                <w:rFonts w:ascii="Times New Roman" w:eastAsia="Times New Roman" w:hAnsi="Times New Roman" w:cs="Times New Roman"/>
                <w:iCs/>
                <w:sz w:val="24"/>
                <w:szCs w:val="24"/>
              </w:rPr>
              <w:t>.</w:t>
            </w:r>
            <w:r w:rsidRPr="003C412D">
              <w:rPr>
                <w:rFonts w:ascii="Times New Roman" w:eastAsia="Times New Roman" w:hAnsi="Times New Roman" w:cs="Times New Roman"/>
                <w:iCs/>
                <w:sz w:val="24"/>
                <w:szCs w:val="24"/>
              </w:rPr>
              <w:t xml:space="preserve"> </w:t>
            </w:r>
          </w:p>
        </w:tc>
      </w:tr>
      <w:tr w:rsidR="00A26C08" w:rsidRPr="00A26C08" w14:paraId="1BEC6ADA" w14:textId="77777777" w:rsidTr="007F2285">
        <w:trPr>
          <w:trHeight w:val="478"/>
        </w:trPr>
        <w:tc>
          <w:tcPr>
            <w:tcW w:w="329" w:type="dxa"/>
          </w:tcPr>
          <w:p w14:paraId="549F9187"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357" w:type="dxa"/>
          </w:tcPr>
          <w:p w14:paraId="089ED54B" w14:textId="77777777" w:rsidR="00A26C08" w:rsidRPr="0045167A" w:rsidRDefault="00A26C08" w:rsidP="00CA57A6">
            <w:pPr>
              <w:spacing w:after="0" w:line="240" w:lineRule="auto"/>
              <w:jc w:val="both"/>
              <w:rPr>
                <w:rFonts w:ascii="Times New Roman" w:eastAsia="Calibri" w:hAnsi="Times New Roman" w:cs="Times New Roman"/>
                <w:sz w:val="24"/>
                <w:szCs w:val="24"/>
              </w:rPr>
            </w:pPr>
            <w:r w:rsidRPr="0045167A">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45167A" w:rsidRDefault="00A26C08" w:rsidP="00CA57A6">
            <w:pPr>
              <w:spacing w:after="0" w:line="240" w:lineRule="auto"/>
              <w:jc w:val="both"/>
              <w:rPr>
                <w:rFonts w:ascii="Times New Roman" w:eastAsia="Times New Roman" w:hAnsi="Times New Roman" w:cs="Times New Roman"/>
                <w:sz w:val="24"/>
                <w:szCs w:val="24"/>
                <w:lang w:eastAsia="lv-LV"/>
              </w:rPr>
            </w:pPr>
            <w:r w:rsidRPr="0045167A">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0E6AE4C3" w:rsidR="00A26C08" w:rsidRPr="0045167A" w:rsidRDefault="00F66928" w:rsidP="00CA57A6">
            <w:pPr>
              <w:spacing w:after="0" w:line="240" w:lineRule="auto"/>
              <w:jc w:val="both"/>
              <w:rPr>
                <w:rFonts w:ascii="Times New Roman" w:eastAsia="Calibri" w:hAnsi="Times New Roman" w:cs="Times New Roman"/>
                <w:sz w:val="24"/>
                <w:szCs w:val="24"/>
                <w:lang w:eastAsia="lv-LV"/>
              </w:rPr>
            </w:pPr>
            <w:r w:rsidRPr="009E690D">
              <w:rPr>
                <w:rFonts w:ascii="Times New Roman" w:eastAsia="Times New Roman" w:hAnsi="Times New Roman" w:cs="Times New Roman"/>
                <w:bCs/>
                <w:sz w:val="24"/>
                <w:szCs w:val="24"/>
                <w:lang w:eastAsia="lv-LV"/>
              </w:rPr>
              <w:t>Likump</w:t>
            </w:r>
            <w:r w:rsidR="00721D94" w:rsidRPr="00302C11">
              <w:rPr>
                <w:rFonts w:ascii="Times New Roman" w:eastAsia="Times New Roman" w:hAnsi="Times New Roman" w:cs="Times New Roman"/>
                <w:bCs/>
                <w:sz w:val="24"/>
                <w:szCs w:val="24"/>
                <w:lang w:eastAsia="lv-LV"/>
              </w:rPr>
              <w:t>rojekts</w:t>
            </w:r>
            <w:r w:rsidR="00A26C08" w:rsidRPr="0045167A">
              <w:rPr>
                <w:rFonts w:ascii="Times New Roman" w:eastAsia="Times New Roman" w:hAnsi="Times New Roman" w:cs="Times New Roman"/>
                <w:bCs/>
                <w:sz w:val="24"/>
                <w:szCs w:val="24"/>
                <w:lang w:val="x-none" w:eastAsia="lv-LV"/>
              </w:rPr>
              <w:t xml:space="preserve"> nerada institucionālas izmaiņas attiecībā uz izpildē iesaistītajām valsts pārvaldes institūcijām. </w:t>
            </w:r>
          </w:p>
          <w:p w14:paraId="443AB988" w14:textId="77777777" w:rsidR="00A26C08" w:rsidRPr="0045167A"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45167A">
              <w:rPr>
                <w:rFonts w:ascii="Times New Roman" w:hAnsi="Times New Roman" w:cs="Times New Roman"/>
                <w:sz w:val="24"/>
                <w:szCs w:val="24"/>
              </w:rPr>
              <w:t>Jaunu institūciju izveide, esošu institūciju likvidācija vai reorganizācija netiek paredzēta.</w:t>
            </w:r>
          </w:p>
        </w:tc>
      </w:tr>
      <w:tr w:rsidR="00A26C08" w:rsidRPr="00A26C08" w14:paraId="3FA8B890" w14:textId="77777777" w:rsidTr="007F2285">
        <w:trPr>
          <w:trHeight w:val="491"/>
        </w:trPr>
        <w:tc>
          <w:tcPr>
            <w:tcW w:w="329" w:type="dxa"/>
          </w:tcPr>
          <w:p w14:paraId="57CBFBDE"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3357" w:type="dxa"/>
          </w:tcPr>
          <w:p w14:paraId="478A6936"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103" w:type="dxa"/>
          </w:tcPr>
          <w:p w14:paraId="23F3163C"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14:paraId="6576285C" w14:textId="77777777" w:rsidR="00B7710F" w:rsidRPr="00B7710F" w:rsidRDefault="00B7710F" w:rsidP="00A26C08">
      <w:pPr>
        <w:spacing w:after="0" w:line="240" w:lineRule="auto"/>
        <w:jc w:val="both"/>
        <w:rPr>
          <w:rFonts w:ascii="Times New Roman" w:eastAsia="Times New Roman" w:hAnsi="Times New Roman" w:cs="Times New Roman"/>
          <w:b/>
          <w:sz w:val="24"/>
          <w:szCs w:val="24"/>
          <w:lang w:eastAsia="lv-LV"/>
        </w:rPr>
      </w:pPr>
    </w:p>
    <w:p w14:paraId="3510311D" w14:textId="77777777" w:rsidR="00F91D30" w:rsidRPr="00F91D30" w:rsidRDefault="00F91D30" w:rsidP="00540BAD">
      <w:pPr>
        <w:spacing w:after="0"/>
        <w:rPr>
          <w:rFonts w:ascii="Times New Roman" w:eastAsia="Calibri" w:hAnsi="Times New Roman" w:cs="Times New Roman"/>
          <w:sz w:val="24"/>
          <w:szCs w:val="24"/>
        </w:rPr>
      </w:pPr>
      <w:r w:rsidRPr="00F91D30">
        <w:rPr>
          <w:rFonts w:ascii="Times New Roman" w:eastAsia="Calibri" w:hAnsi="Times New Roman" w:cs="Times New Roman"/>
          <w:sz w:val="24"/>
          <w:szCs w:val="24"/>
        </w:rPr>
        <w:t xml:space="preserve">Vides aizsardzības un </w:t>
      </w:r>
    </w:p>
    <w:p w14:paraId="4938E29A" w14:textId="196926BA" w:rsidR="00F91D30" w:rsidRPr="00F91D30" w:rsidRDefault="00F91D30" w:rsidP="00540BAD">
      <w:pPr>
        <w:tabs>
          <w:tab w:val="right" w:pos="7938"/>
        </w:tabs>
        <w:spacing w:after="0"/>
        <w:rPr>
          <w:rFonts w:ascii="Times New Roman" w:eastAsia="Calibri" w:hAnsi="Times New Roman" w:cs="Times New Roman"/>
          <w:sz w:val="24"/>
          <w:szCs w:val="24"/>
        </w:rPr>
      </w:pPr>
      <w:r w:rsidRPr="00F91D30">
        <w:rPr>
          <w:rFonts w:ascii="Times New Roman" w:eastAsia="Calibri" w:hAnsi="Times New Roman" w:cs="Times New Roman"/>
          <w:sz w:val="24"/>
          <w:szCs w:val="24"/>
        </w:rPr>
        <w:t>reģionālās attīstības ministrs</w:t>
      </w:r>
      <w:r w:rsidRPr="00F91D30">
        <w:rPr>
          <w:rFonts w:ascii="Times New Roman" w:eastAsia="Calibri" w:hAnsi="Times New Roman" w:cs="Times New Roman"/>
          <w:sz w:val="24"/>
          <w:szCs w:val="24"/>
        </w:rPr>
        <w:tab/>
      </w:r>
      <w:r w:rsidR="00675ABF">
        <w:rPr>
          <w:rFonts w:ascii="Times New Roman" w:eastAsia="Calibri" w:hAnsi="Times New Roman" w:cs="Times New Roman"/>
          <w:sz w:val="24"/>
          <w:szCs w:val="24"/>
        </w:rPr>
        <w:t>J.</w:t>
      </w:r>
      <w:r w:rsidR="009E690D">
        <w:rPr>
          <w:rFonts w:ascii="Times New Roman" w:eastAsia="Calibri" w:hAnsi="Times New Roman" w:cs="Times New Roman"/>
          <w:sz w:val="24"/>
          <w:szCs w:val="24"/>
        </w:rPr>
        <w:t> </w:t>
      </w:r>
      <w:r w:rsidR="00675ABF">
        <w:rPr>
          <w:rFonts w:ascii="Times New Roman" w:eastAsia="Calibri" w:hAnsi="Times New Roman" w:cs="Times New Roman"/>
          <w:sz w:val="24"/>
          <w:szCs w:val="24"/>
        </w:rPr>
        <w:t>Pūce</w:t>
      </w:r>
    </w:p>
    <w:p w14:paraId="24C64011" w14:textId="77777777" w:rsidR="00E6504B" w:rsidRDefault="00E6504B" w:rsidP="00B64C34">
      <w:pPr>
        <w:spacing w:after="0" w:line="240" w:lineRule="auto"/>
        <w:jc w:val="both"/>
        <w:rPr>
          <w:rFonts w:ascii="Times New Roman" w:eastAsia="Times New Roman" w:hAnsi="Times New Roman" w:cs="Times New Roman"/>
          <w:sz w:val="24"/>
          <w:szCs w:val="24"/>
          <w:lang w:eastAsia="x-none"/>
        </w:rPr>
      </w:pPr>
    </w:p>
    <w:p w14:paraId="01595E62" w14:textId="77777777" w:rsidR="00CE6315" w:rsidRDefault="00CE6315" w:rsidP="00B64C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p>
    <w:p w14:paraId="630ADA3C" w14:textId="77777777" w:rsidR="00E6504B" w:rsidRDefault="00E6504B" w:rsidP="00A26C08">
      <w:pPr>
        <w:spacing w:after="0" w:line="240" w:lineRule="auto"/>
        <w:jc w:val="both"/>
        <w:rPr>
          <w:rFonts w:ascii="Times New Roman" w:eastAsia="Times New Roman" w:hAnsi="Times New Roman" w:cs="Times New Roman"/>
          <w:color w:val="000000"/>
          <w:sz w:val="20"/>
          <w:szCs w:val="20"/>
        </w:rPr>
      </w:pPr>
    </w:p>
    <w:p w14:paraId="32632882" w14:textId="77777777" w:rsidR="00E6504B" w:rsidRDefault="00E6504B" w:rsidP="00A26C08">
      <w:pPr>
        <w:spacing w:after="0" w:line="240" w:lineRule="auto"/>
        <w:jc w:val="both"/>
        <w:rPr>
          <w:rFonts w:ascii="Times New Roman" w:eastAsia="Times New Roman" w:hAnsi="Times New Roman" w:cs="Times New Roman"/>
          <w:color w:val="000000"/>
          <w:sz w:val="20"/>
          <w:szCs w:val="20"/>
        </w:rPr>
      </w:pPr>
    </w:p>
    <w:p w14:paraId="649EE238" w14:textId="038DD00D" w:rsidR="008000F6" w:rsidRPr="00847BCC" w:rsidRDefault="003B0C42" w:rsidP="00A26C08">
      <w:pPr>
        <w:spacing w:after="0" w:line="240" w:lineRule="auto"/>
        <w:jc w:val="both"/>
        <w:rPr>
          <w:rFonts w:ascii="Times New Roman" w:eastAsia="Times New Roman" w:hAnsi="Times New Roman" w:cs="Times New Roman"/>
          <w:sz w:val="20"/>
          <w:szCs w:val="20"/>
        </w:rPr>
      </w:pPr>
      <w:bookmarkStart w:id="0" w:name="_GoBack"/>
      <w:bookmarkEnd w:id="0"/>
      <w:r w:rsidRPr="00847BCC">
        <w:rPr>
          <w:rFonts w:ascii="Times New Roman" w:eastAsia="Times New Roman" w:hAnsi="Times New Roman" w:cs="Times New Roman"/>
          <w:color w:val="000000"/>
          <w:sz w:val="20"/>
          <w:szCs w:val="20"/>
        </w:rPr>
        <w:t>Rimša</w:t>
      </w:r>
      <w:r w:rsidR="003421A7">
        <w:rPr>
          <w:rFonts w:ascii="Times New Roman" w:eastAsia="Times New Roman" w:hAnsi="Times New Roman" w:cs="Times New Roman"/>
          <w:color w:val="000000"/>
          <w:sz w:val="20"/>
          <w:szCs w:val="20"/>
        </w:rPr>
        <w:t xml:space="preserve">, </w:t>
      </w:r>
      <w:r w:rsidR="00A26C08" w:rsidRPr="00847BCC">
        <w:rPr>
          <w:rFonts w:ascii="Times New Roman" w:eastAsia="Times New Roman" w:hAnsi="Times New Roman" w:cs="Times New Roman"/>
          <w:sz w:val="20"/>
          <w:szCs w:val="20"/>
        </w:rPr>
        <w:t>6702</w:t>
      </w:r>
      <w:r w:rsidRPr="00847BCC">
        <w:rPr>
          <w:rFonts w:ascii="Times New Roman" w:eastAsia="Times New Roman" w:hAnsi="Times New Roman" w:cs="Times New Roman"/>
          <w:sz w:val="20"/>
          <w:szCs w:val="20"/>
        </w:rPr>
        <w:t>6903</w:t>
      </w:r>
    </w:p>
    <w:p w14:paraId="46169944" w14:textId="6AFA70CC" w:rsidR="0045080B" w:rsidRPr="00847BCC" w:rsidRDefault="00E6504B" w:rsidP="00A26C08">
      <w:pPr>
        <w:spacing w:after="0" w:line="240" w:lineRule="auto"/>
        <w:jc w:val="both"/>
        <w:rPr>
          <w:sz w:val="20"/>
          <w:szCs w:val="20"/>
        </w:rPr>
      </w:pPr>
      <w:hyperlink r:id="rId10" w:history="1">
        <w:r w:rsidRPr="00656366">
          <w:rPr>
            <w:rStyle w:val="Hyperlink"/>
            <w:rFonts w:ascii="Times New Roman" w:eastAsia="Times New Roman" w:hAnsi="Times New Roman" w:cs="Times New Roman"/>
            <w:sz w:val="20"/>
            <w:szCs w:val="20"/>
          </w:rPr>
          <w:t>Ruta.Rimsa@varam.gov.lv</w:t>
        </w:r>
      </w:hyperlink>
      <w:r>
        <w:rPr>
          <w:rFonts w:ascii="Times New Roman" w:eastAsia="Times New Roman" w:hAnsi="Times New Roman" w:cs="Times New Roman"/>
          <w:sz w:val="20"/>
          <w:szCs w:val="20"/>
        </w:rPr>
        <w:t xml:space="preserve"> </w:t>
      </w:r>
    </w:p>
    <w:sectPr w:rsidR="0045080B" w:rsidRPr="00847BCC" w:rsidSect="00E6504B">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8428" w14:textId="77777777" w:rsidR="00E6504B" w:rsidRDefault="00E6504B" w:rsidP="00A26C08">
      <w:pPr>
        <w:spacing w:after="0" w:line="240" w:lineRule="auto"/>
      </w:pPr>
      <w:r>
        <w:separator/>
      </w:r>
    </w:p>
  </w:endnote>
  <w:endnote w:type="continuationSeparator" w:id="0">
    <w:p w14:paraId="61A0EBF0" w14:textId="77777777" w:rsidR="00E6504B" w:rsidRDefault="00E6504B" w:rsidP="00A26C08">
      <w:pPr>
        <w:spacing w:after="0" w:line="240" w:lineRule="auto"/>
      </w:pPr>
      <w:r>
        <w:continuationSeparator/>
      </w:r>
    </w:p>
  </w:endnote>
  <w:endnote w:type="continuationNotice" w:id="1">
    <w:p w14:paraId="04CCAC8A" w14:textId="77777777" w:rsidR="00E6504B" w:rsidRDefault="00E65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5BDC" w14:textId="77777777" w:rsidR="00E6504B" w:rsidRDefault="00E6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E58B" w14:textId="77777777" w:rsidR="00E6504B" w:rsidRPr="00E6504B" w:rsidRDefault="00E6504B" w:rsidP="00E6504B">
    <w:pPr>
      <w:pStyle w:val="Footer"/>
      <w:rPr>
        <w:rFonts w:ascii="Times New Roman" w:hAnsi="Times New Roman" w:cs="Times New Roman"/>
        <w:sz w:val="20"/>
        <w:szCs w:val="20"/>
      </w:rPr>
    </w:pPr>
    <w:r w:rsidRPr="00E6504B">
      <w:rPr>
        <w:rFonts w:ascii="Times New Roman" w:hAnsi="Times New Roman" w:cs="Times New Roman"/>
        <w:sz w:val="20"/>
        <w:szCs w:val="20"/>
      </w:rPr>
      <w:t>VARAManot_280120_UALgroz</w:t>
    </w:r>
  </w:p>
  <w:p w14:paraId="3490009A" w14:textId="4333A6B9" w:rsidR="00E6504B" w:rsidRPr="00E6504B" w:rsidRDefault="00E6504B" w:rsidP="00E65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3866" w14:textId="687318E1" w:rsidR="00E6504B" w:rsidRPr="00E6504B" w:rsidRDefault="00E6504B" w:rsidP="005C6B2D">
    <w:pPr>
      <w:pStyle w:val="Footer"/>
      <w:rPr>
        <w:rFonts w:ascii="Times New Roman" w:hAnsi="Times New Roman" w:cs="Times New Roman"/>
        <w:sz w:val="20"/>
        <w:szCs w:val="20"/>
      </w:rPr>
    </w:pPr>
    <w:r>
      <w:rPr>
        <w:rFonts w:ascii="Times New Roman" w:hAnsi="Times New Roman" w:cs="Times New Roman"/>
        <w:sz w:val="20"/>
        <w:szCs w:val="20"/>
      </w:rPr>
      <w:t>VARAMa</w:t>
    </w:r>
    <w:r w:rsidRPr="00CE6315">
      <w:rPr>
        <w:rFonts w:ascii="Times New Roman" w:hAnsi="Times New Roman" w:cs="Times New Roman"/>
        <w:sz w:val="20"/>
        <w:szCs w:val="20"/>
      </w:rPr>
      <w:t>not_</w:t>
    </w:r>
    <w:r>
      <w:rPr>
        <w:rFonts w:ascii="Times New Roman" w:hAnsi="Times New Roman" w:cs="Times New Roman"/>
        <w:sz w:val="20"/>
        <w:szCs w:val="20"/>
      </w:rPr>
      <w:t>280120_UALgroz</w:t>
    </w:r>
  </w:p>
  <w:p w14:paraId="305A47AE" w14:textId="77777777" w:rsidR="00E6504B" w:rsidRPr="00B64C34" w:rsidRDefault="00E6504B" w:rsidP="00B6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9F4D" w14:textId="77777777" w:rsidR="00E6504B" w:rsidRDefault="00E6504B" w:rsidP="00A26C08">
      <w:pPr>
        <w:spacing w:after="0" w:line="240" w:lineRule="auto"/>
      </w:pPr>
      <w:r>
        <w:separator/>
      </w:r>
    </w:p>
  </w:footnote>
  <w:footnote w:type="continuationSeparator" w:id="0">
    <w:p w14:paraId="3D6C8093" w14:textId="77777777" w:rsidR="00E6504B" w:rsidRDefault="00E6504B" w:rsidP="00A26C08">
      <w:pPr>
        <w:spacing w:after="0" w:line="240" w:lineRule="auto"/>
      </w:pPr>
      <w:r>
        <w:continuationSeparator/>
      </w:r>
    </w:p>
  </w:footnote>
  <w:footnote w:type="continuationNotice" w:id="1">
    <w:p w14:paraId="7731CC34" w14:textId="77777777" w:rsidR="00E6504B" w:rsidRDefault="00E6504B">
      <w:pPr>
        <w:spacing w:after="0" w:line="240" w:lineRule="auto"/>
      </w:pPr>
    </w:p>
  </w:footnote>
  <w:footnote w:id="2">
    <w:p w14:paraId="31B0370F" w14:textId="58D405D3" w:rsidR="00E6504B" w:rsidRDefault="00E6504B" w:rsidP="00167FEB">
      <w:pPr>
        <w:pStyle w:val="FootnoteText"/>
      </w:pPr>
      <w:r>
        <w:rPr>
          <w:rStyle w:val="FootnoteReference"/>
        </w:rPr>
        <w:footnoteRef/>
      </w:r>
      <w:r>
        <w:t xml:space="preserve"> ESAO Vides raksturlielumu pārskats par Latviju 2019 (pieejams ESAO tīmekļvietnē </w:t>
      </w:r>
      <w:hyperlink r:id="rId1" w:history="1">
        <w:r w:rsidRPr="0064453A">
          <w:rPr>
            <w:rStyle w:val="Hyperlink"/>
          </w:rPr>
          <w:t>http://www.oecd.org/environment/country-reviews/oecd-environmental-performance-reviews-latvia-2019.htm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96F2" w14:textId="77777777" w:rsidR="00E6504B" w:rsidRDefault="00E650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E6504B" w:rsidRDefault="00E65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84360"/>
      <w:docPartObj>
        <w:docPartGallery w:val="Page Numbers (Top of Page)"/>
        <w:docPartUnique/>
      </w:docPartObj>
    </w:sdtPr>
    <w:sdtEndPr>
      <w:rPr>
        <w:rFonts w:ascii="Times" w:hAnsi="Times"/>
        <w:noProof/>
        <w:sz w:val="24"/>
      </w:rPr>
    </w:sdtEndPr>
    <w:sdtContent>
      <w:p w14:paraId="0120B7E2" w14:textId="756FF1AE" w:rsidR="00E6504B" w:rsidRPr="00E6504B" w:rsidRDefault="00E6504B">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5E7D1D">
          <w:rPr>
            <w:rFonts w:ascii="Times" w:hAnsi="Times"/>
            <w:noProof/>
            <w:sz w:val="24"/>
          </w:rPr>
          <w:t>18</w:t>
        </w:r>
        <w:r w:rsidRPr="00E6504B">
          <w:rPr>
            <w:rFonts w:ascii="Times" w:hAnsi="Times"/>
            <w:noProof/>
            <w:sz w:val="24"/>
          </w:rPr>
          <w:fldChar w:fldCharType="end"/>
        </w:r>
      </w:p>
    </w:sdtContent>
  </w:sdt>
  <w:p w14:paraId="3402FDB5" w14:textId="77777777" w:rsidR="00E6504B" w:rsidRPr="00CE6315" w:rsidRDefault="00E6504B">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D004" w14:textId="77777777" w:rsidR="00E6504B" w:rsidRDefault="00E6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7"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4"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22"/>
  </w:num>
  <w:num w:numId="5">
    <w:abstractNumId w:val="25"/>
  </w:num>
  <w:num w:numId="6">
    <w:abstractNumId w:val="6"/>
  </w:num>
  <w:num w:numId="7">
    <w:abstractNumId w:val="12"/>
  </w:num>
  <w:num w:numId="8">
    <w:abstractNumId w:val="0"/>
  </w:num>
  <w:num w:numId="9">
    <w:abstractNumId w:val="7"/>
  </w:num>
  <w:num w:numId="10">
    <w:abstractNumId w:val="14"/>
  </w:num>
  <w:num w:numId="11">
    <w:abstractNumId w:val="8"/>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23"/>
  </w:num>
  <w:num w:numId="17">
    <w:abstractNumId w:val="18"/>
  </w:num>
  <w:num w:numId="18">
    <w:abstractNumId w:val="17"/>
  </w:num>
  <w:num w:numId="19">
    <w:abstractNumId w:val="15"/>
  </w:num>
  <w:num w:numId="20">
    <w:abstractNumId w:val="9"/>
  </w:num>
  <w:num w:numId="21">
    <w:abstractNumId w:val="1"/>
  </w:num>
  <w:num w:numId="22">
    <w:abstractNumId w:val="13"/>
  </w:num>
  <w:num w:numId="23">
    <w:abstractNumId w:val="20"/>
  </w:num>
  <w:num w:numId="24">
    <w:abstractNumId w:val="24"/>
  </w:num>
  <w:num w:numId="25">
    <w:abstractNumId w:val="19"/>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0B6C"/>
    <w:rsid w:val="00002060"/>
    <w:rsid w:val="000037A3"/>
    <w:rsid w:val="00004D24"/>
    <w:rsid w:val="00004FBC"/>
    <w:rsid w:val="00005BBA"/>
    <w:rsid w:val="000066F4"/>
    <w:rsid w:val="000100AA"/>
    <w:rsid w:val="00010349"/>
    <w:rsid w:val="000152E9"/>
    <w:rsid w:val="000164FB"/>
    <w:rsid w:val="000166BC"/>
    <w:rsid w:val="000212C0"/>
    <w:rsid w:val="00022563"/>
    <w:rsid w:val="000267DD"/>
    <w:rsid w:val="00030534"/>
    <w:rsid w:val="00032736"/>
    <w:rsid w:val="000335BB"/>
    <w:rsid w:val="000350AB"/>
    <w:rsid w:val="000366CC"/>
    <w:rsid w:val="000405DB"/>
    <w:rsid w:val="00040B84"/>
    <w:rsid w:val="00040F12"/>
    <w:rsid w:val="0004176E"/>
    <w:rsid w:val="0004566A"/>
    <w:rsid w:val="0004674C"/>
    <w:rsid w:val="00046EFD"/>
    <w:rsid w:val="00047FFE"/>
    <w:rsid w:val="0005073E"/>
    <w:rsid w:val="000514DD"/>
    <w:rsid w:val="00052363"/>
    <w:rsid w:val="0005321B"/>
    <w:rsid w:val="00053785"/>
    <w:rsid w:val="00054634"/>
    <w:rsid w:val="000546E3"/>
    <w:rsid w:val="000557FB"/>
    <w:rsid w:val="000636DF"/>
    <w:rsid w:val="00063C9C"/>
    <w:rsid w:val="00065026"/>
    <w:rsid w:val="000709E6"/>
    <w:rsid w:val="0007132D"/>
    <w:rsid w:val="0007141A"/>
    <w:rsid w:val="0007178B"/>
    <w:rsid w:val="00075077"/>
    <w:rsid w:val="00075306"/>
    <w:rsid w:val="00076628"/>
    <w:rsid w:val="000767A0"/>
    <w:rsid w:val="000769FB"/>
    <w:rsid w:val="00084B64"/>
    <w:rsid w:val="00085FF5"/>
    <w:rsid w:val="000868CA"/>
    <w:rsid w:val="000877A9"/>
    <w:rsid w:val="00090541"/>
    <w:rsid w:val="00092100"/>
    <w:rsid w:val="00092811"/>
    <w:rsid w:val="000953B3"/>
    <w:rsid w:val="00096BBC"/>
    <w:rsid w:val="00097809"/>
    <w:rsid w:val="000A1C29"/>
    <w:rsid w:val="000A27D5"/>
    <w:rsid w:val="000A4092"/>
    <w:rsid w:val="000A523C"/>
    <w:rsid w:val="000B48D4"/>
    <w:rsid w:val="000B5B33"/>
    <w:rsid w:val="000B5B45"/>
    <w:rsid w:val="000B6A0C"/>
    <w:rsid w:val="000B7390"/>
    <w:rsid w:val="000C3E23"/>
    <w:rsid w:val="000C4AE1"/>
    <w:rsid w:val="000C4FDB"/>
    <w:rsid w:val="000C6E92"/>
    <w:rsid w:val="000D0D67"/>
    <w:rsid w:val="000D1258"/>
    <w:rsid w:val="000D4676"/>
    <w:rsid w:val="000D583C"/>
    <w:rsid w:val="000D6077"/>
    <w:rsid w:val="000E08AB"/>
    <w:rsid w:val="000E0B08"/>
    <w:rsid w:val="000E198D"/>
    <w:rsid w:val="000E3201"/>
    <w:rsid w:val="000E45BB"/>
    <w:rsid w:val="000E5350"/>
    <w:rsid w:val="000E5DD3"/>
    <w:rsid w:val="000E670F"/>
    <w:rsid w:val="000E6E49"/>
    <w:rsid w:val="000F1FAF"/>
    <w:rsid w:val="000F1FD9"/>
    <w:rsid w:val="000F46C9"/>
    <w:rsid w:val="000F6CA5"/>
    <w:rsid w:val="000F7931"/>
    <w:rsid w:val="00100463"/>
    <w:rsid w:val="0010162E"/>
    <w:rsid w:val="00102345"/>
    <w:rsid w:val="001030D0"/>
    <w:rsid w:val="001044C3"/>
    <w:rsid w:val="00104BE3"/>
    <w:rsid w:val="0010523F"/>
    <w:rsid w:val="00106D0B"/>
    <w:rsid w:val="00107722"/>
    <w:rsid w:val="0011059D"/>
    <w:rsid w:val="00111F62"/>
    <w:rsid w:val="00113D38"/>
    <w:rsid w:val="00115064"/>
    <w:rsid w:val="001201B5"/>
    <w:rsid w:val="00121310"/>
    <w:rsid w:val="00122146"/>
    <w:rsid w:val="00122B9E"/>
    <w:rsid w:val="00122F51"/>
    <w:rsid w:val="001234C0"/>
    <w:rsid w:val="00125185"/>
    <w:rsid w:val="00125EAB"/>
    <w:rsid w:val="001264F4"/>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4906"/>
    <w:rsid w:val="00154A7B"/>
    <w:rsid w:val="00156CFA"/>
    <w:rsid w:val="00156EB9"/>
    <w:rsid w:val="00160E45"/>
    <w:rsid w:val="0016133E"/>
    <w:rsid w:val="00164BAE"/>
    <w:rsid w:val="00167D6E"/>
    <w:rsid w:val="00167FEB"/>
    <w:rsid w:val="0017256E"/>
    <w:rsid w:val="00173C9B"/>
    <w:rsid w:val="00173FBB"/>
    <w:rsid w:val="00175959"/>
    <w:rsid w:val="00176223"/>
    <w:rsid w:val="00176FE4"/>
    <w:rsid w:val="00177704"/>
    <w:rsid w:val="00180D9C"/>
    <w:rsid w:val="00181386"/>
    <w:rsid w:val="00181EB0"/>
    <w:rsid w:val="00183BA9"/>
    <w:rsid w:val="00183C23"/>
    <w:rsid w:val="00186548"/>
    <w:rsid w:val="0019019E"/>
    <w:rsid w:val="001912CE"/>
    <w:rsid w:val="00191FA5"/>
    <w:rsid w:val="00192D82"/>
    <w:rsid w:val="0019716A"/>
    <w:rsid w:val="00197760"/>
    <w:rsid w:val="001A0BB0"/>
    <w:rsid w:val="001A214B"/>
    <w:rsid w:val="001A2BB9"/>
    <w:rsid w:val="001A3803"/>
    <w:rsid w:val="001A4576"/>
    <w:rsid w:val="001A5322"/>
    <w:rsid w:val="001A6BE1"/>
    <w:rsid w:val="001B0DF7"/>
    <w:rsid w:val="001B39D0"/>
    <w:rsid w:val="001B4EA3"/>
    <w:rsid w:val="001B6802"/>
    <w:rsid w:val="001B6A88"/>
    <w:rsid w:val="001B7D38"/>
    <w:rsid w:val="001C07E8"/>
    <w:rsid w:val="001C0B41"/>
    <w:rsid w:val="001C10FA"/>
    <w:rsid w:val="001C2553"/>
    <w:rsid w:val="001C3477"/>
    <w:rsid w:val="001C4114"/>
    <w:rsid w:val="001C418D"/>
    <w:rsid w:val="001C794D"/>
    <w:rsid w:val="001D0549"/>
    <w:rsid w:val="001D0ECA"/>
    <w:rsid w:val="001D2C3A"/>
    <w:rsid w:val="001D2C46"/>
    <w:rsid w:val="001D41D9"/>
    <w:rsid w:val="001D52BC"/>
    <w:rsid w:val="001D6CF8"/>
    <w:rsid w:val="001D7AE0"/>
    <w:rsid w:val="001E0888"/>
    <w:rsid w:val="001E0BA4"/>
    <w:rsid w:val="001E2942"/>
    <w:rsid w:val="001E44BD"/>
    <w:rsid w:val="001F1ACE"/>
    <w:rsid w:val="001F1F59"/>
    <w:rsid w:val="001F2751"/>
    <w:rsid w:val="001F29DC"/>
    <w:rsid w:val="001F7E24"/>
    <w:rsid w:val="001F7EAD"/>
    <w:rsid w:val="00200E50"/>
    <w:rsid w:val="00203E5E"/>
    <w:rsid w:val="00204926"/>
    <w:rsid w:val="0021088A"/>
    <w:rsid w:val="002138CB"/>
    <w:rsid w:val="002154E1"/>
    <w:rsid w:val="00220444"/>
    <w:rsid w:val="002220A8"/>
    <w:rsid w:val="00222F11"/>
    <w:rsid w:val="002239C8"/>
    <w:rsid w:val="002239EE"/>
    <w:rsid w:val="0022458B"/>
    <w:rsid w:val="002250CB"/>
    <w:rsid w:val="00227D4E"/>
    <w:rsid w:val="00231276"/>
    <w:rsid w:val="002331EE"/>
    <w:rsid w:val="0024163D"/>
    <w:rsid w:val="00242151"/>
    <w:rsid w:val="00244357"/>
    <w:rsid w:val="0024470A"/>
    <w:rsid w:val="00245AB0"/>
    <w:rsid w:val="00246099"/>
    <w:rsid w:val="0024709D"/>
    <w:rsid w:val="002503A2"/>
    <w:rsid w:val="002509CF"/>
    <w:rsid w:val="0025260B"/>
    <w:rsid w:val="00253F86"/>
    <w:rsid w:val="00255402"/>
    <w:rsid w:val="0025564E"/>
    <w:rsid w:val="00255D4F"/>
    <w:rsid w:val="002561DE"/>
    <w:rsid w:val="00261824"/>
    <w:rsid w:val="00264785"/>
    <w:rsid w:val="00264C14"/>
    <w:rsid w:val="00265145"/>
    <w:rsid w:val="002653B5"/>
    <w:rsid w:val="00265D8E"/>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A0C98"/>
    <w:rsid w:val="002A51F1"/>
    <w:rsid w:val="002A71DE"/>
    <w:rsid w:val="002B2C65"/>
    <w:rsid w:val="002C2951"/>
    <w:rsid w:val="002C2F7B"/>
    <w:rsid w:val="002C3609"/>
    <w:rsid w:val="002C6498"/>
    <w:rsid w:val="002C7A6D"/>
    <w:rsid w:val="002D09E0"/>
    <w:rsid w:val="002D2713"/>
    <w:rsid w:val="002D3DA5"/>
    <w:rsid w:val="002D5148"/>
    <w:rsid w:val="002E275D"/>
    <w:rsid w:val="002E3157"/>
    <w:rsid w:val="002E5648"/>
    <w:rsid w:val="002E5A82"/>
    <w:rsid w:val="002E7573"/>
    <w:rsid w:val="002F1B00"/>
    <w:rsid w:val="002F1EE4"/>
    <w:rsid w:val="002F32A5"/>
    <w:rsid w:val="002F33E9"/>
    <w:rsid w:val="002F4482"/>
    <w:rsid w:val="002F5790"/>
    <w:rsid w:val="002F7759"/>
    <w:rsid w:val="00302C11"/>
    <w:rsid w:val="00306A27"/>
    <w:rsid w:val="003106B8"/>
    <w:rsid w:val="00310C55"/>
    <w:rsid w:val="00311157"/>
    <w:rsid w:val="003122B1"/>
    <w:rsid w:val="00313938"/>
    <w:rsid w:val="003141C0"/>
    <w:rsid w:val="00314873"/>
    <w:rsid w:val="00315912"/>
    <w:rsid w:val="00315A4A"/>
    <w:rsid w:val="00316304"/>
    <w:rsid w:val="003169A7"/>
    <w:rsid w:val="00323839"/>
    <w:rsid w:val="00326DD7"/>
    <w:rsid w:val="00330309"/>
    <w:rsid w:val="00330FF7"/>
    <w:rsid w:val="003346AC"/>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A72"/>
    <w:rsid w:val="00354188"/>
    <w:rsid w:val="0035505A"/>
    <w:rsid w:val="003554D5"/>
    <w:rsid w:val="003565B8"/>
    <w:rsid w:val="003571BE"/>
    <w:rsid w:val="0035749F"/>
    <w:rsid w:val="003600A9"/>
    <w:rsid w:val="00360163"/>
    <w:rsid w:val="00362F0A"/>
    <w:rsid w:val="003636F4"/>
    <w:rsid w:val="00365808"/>
    <w:rsid w:val="00366302"/>
    <w:rsid w:val="00372228"/>
    <w:rsid w:val="00372615"/>
    <w:rsid w:val="00372A6F"/>
    <w:rsid w:val="00373B35"/>
    <w:rsid w:val="00373C2A"/>
    <w:rsid w:val="003741C2"/>
    <w:rsid w:val="00374AAF"/>
    <w:rsid w:val="0037596D"/>
    <w:rsid w:val="003760BE"/>
    <w:rsid w:val="003775A3"/>
    <w:rsid w:val="00382717"/>
    <w:rsid w:val="0038392D"/>
    <w:rsid w:val="00384D9D"/>
    <w:rsid w:val="00385C68"/>
    <w:rsid w:val="003862D6"/>
    <w:rsid w:val="0038700A"/>
    <w:rsid w:val="00390A11"/>
    <w:rsid w:val="00390B35"/>
    <w:rsid w:val="00393993"/>
    <w:rsid w:val="0039491E"/>
    <w:rsid w:val="00394EFE"/>
    <w:rsid w:val="003A13AB"/>
    <w:rsid w:val="003A180F"/>
    <w:rsid w:val="003A52CC"/>
    <w:rsid w:val="003A76FA"/>
    <w:rsid w:val="003B0C42"/>
    <w:rsid w:val="003B2576"/>
    <w:rsid w:val="003B3338"/>
    <w:rsid w:val="003B39C4"/>
    <w:rsid w:val="003B3D5D"/>
    <w:rsid w:val="003C0F37"/>
    <w:rsid w:val="003C15DF"/>
    <w:rsid w:val="003C2407"/>
    <w:rsid w:val="003C412D"/>
    <w:rsid w:val="003C675B"/>
    <w:rsid w:val="003D007C"/>
    <w:rsid w:val="003D0D41"/>
    <w:rsid w:val="003D16E1"/>
    <w:rsid w:val="003D1DC8"/>
    <w:rsid w:val="003D3682"/>
    <w:rsid w:val="003D38FA"/>
    <w:rsid w:val="003D4376"/>
    <w:rsid w:val="003D43FA"/>
    <w:rsid w:val="003D4854"/>
    <w:rsid w:val="003D5246"/>
    <w:rsid w:val="003E0A73"/>
    <w:rsid w:val="003E648B"/>
    <w:rsid w:val="003E6848"/>
    <w:rsid w:val="003E715E"/>
    <w:rsid w:val="003F269B"/>
    <w:rsid w:val="003F3472"/>
    <w:rsid w:val="003F684A"/>
    <w:rsid w:val="00400EC3"/>
    <w:rsid w:val="00401228"/>
    <w:rsid w:val="0040148B"/>
    <w:rsid w:val="00403393"/>
    <w:rsid w:val="00403B9B"/>
    <w:rsid w:val="00405037"/>
    <w:rsid w:val="0040528E"/>
    <w:rsid w:val="004060EC"/>
    <w:rsid w:val="00413A3C"/>
    <w:rsid w:val="00414564"/>
    <w:rsid w:val="00414782"/>
    <w:rsid w:val="00415BC9"/>
    <w:rsid w:val="00416C6A"/>
    <w:rsid w:val="0041751E"/>
    <w:rsid w:val="00417D3A"/>
    <w:rsid w:val="00420494"/>
    <w:rsid w:val="00427D7F"/>
    <w:rsid w:val="00427DAF"/>
    <w:rsid w:val="00430700"/>
    <w:rsid w:val="00433601"/>
    <w:rsid w:val="00433E7E"/>
    <w:rsid w:val="00434A62"/>
    <w:rsid w:val="004359D7"/>
    <w:rsid w:val="00436750"/>
    <w:rsid w:val="00436930"/>
    <w:rsid w:val="00437E84"/>
    <w:rsid w:val="0044001C"/>
    <w:rsid w:val="00440A1A"/>
    <w:rsid w:val="00441701"/>
    <w:rsid w:val="00441FF1"/>
    <w:rsid w:val="00443D3D"/>
    <w:rsid w:val="004449ED"/>
    <w:rsid w:val="004459F4"/>
    <w:rsid w:val="00445B13"/>
    <w:rsid w:val="0045080B"/>
    <w:rsid w:val="0045166D"/>
    <w:rsid w:val="0045167A"/>
    <w:rsid w:val="00453356"/>
    <w:rsid w:val="004558EE"/>
    <w:rsid w:val="00455FE2"/>
    <w:rsid w:val="00457F13"/>
    <w:rsid w:val="00460B5F"/>
    <w:rsid w:val="00462EFE"/>
    <w:rsid w:val="00463FFD"/>
    <w:rsid w:val="00464510"/>
    <w:rsid w:val="00465A53"/>
    <w:rsid w:val="00465FC3"/>
    <w:rsid w:val="004671B3"/>
    <w:rsid w:val="004703AF"/>
    <w:rsid w:val="0047353D"/>
    <w:rsid w:val="00473F95"/>
    <w:rsid w:val="004829FC"/>
    <w:rsid w:val="004839AE"/>
    <w:rsid w:val="004854C9"/>
    <w:rsid w:val="004862BA"/>
    <w:rsid w:val="00487A13"/>
    <w:rsid w:val="00491F35"/>
    <w:rsid w:val="00491F92"/>
    <w:rsid w:val="00493589"/>
    <w:rsid w:val="004961C7"/>
    <w:rsid w:val="0049643D"/>
    <w:rsid w:val="00496833"/>
    <w:rsid w:val="0049737E"/>
    <w:rsid w:val="0049776E"/>
    <w:rsid w:val="0049779C"/>
    <w:rsid w:val="004A0474"/>
    <w:rsid w:val="004A5005"/>
    <w:rsid w:val="004A644A"/>
    <w:rsid w:val="004A68F0"/>
    <w:rsid w:val="004A6945"/>
    <w:rsid w:val="004B0720"/>
    <w:rsid w:val="004B0992"/>
    <w:rsid w:val="004B0D59"/>
    <w:rsid w:val="004B3DC9"/>
    <w:rsid w:val="004B436F"/>
    <w:rsid w:val="004B6359"/>
    <w:rsid w:val="004B7A24"/>
    <w:rsid w:val="004C047E"/>
    <w:rsid w:val="004C0FA9"/>
    <w:rsid w:val="004C1C45"/>
    <w:rsid w:val="004C2896"/>
    <w:rsid w:val="004C5BB0"/>
    <w:rsid w:val="004C69EE"/>
    <w:rsid w:val="004D05A4"/>
    <w:rsid w:val="004D0DBB"/>
    <w:rsid w:val="004D1182"/>
    <w:rsid w:val="004D1274"/>
    <w:rsid w:val="004D1A22"/>
    <w:rsid w:val="004D3B80"/>
    <w:rsid w:val="004D684B"/>
    <w:rsid w:val="004D7891"/>
    <w:rsid w:val="004E5F72"/>
    <w:rsid w:val="004E66CF"/>
    <w:rsid w:val="004E784C"/>
    <w:rsid w:val="004E7901"/>
    <w:rsid w:val="004E7CF0"/>
    <w:rsid w:val="004F02A8"/>
    <w:rsid w:val="004F11BB"/>
    <w:rsid w:val="004F24A0"/>
    <w:rsid w:val="004F2A24"/>
    <w:rsid w:val="004F3D4A"/>
    <w:rsid w:val="004F4281"/>
    <w:rsid w:val="0050414C"/>
    <w:rsid w:val="00504893"/>
    <w:rsid w:val="00510203"/>
    <w:rsid w:val="00510820"/>
    <w:rsid w:val="00512922"/>
    <w:rsid w:val="00512DFC"/>
    <w:rsid w:val="00513617"/>
    <w:rsid w:val="00513EAC"/>
    <w:rsid w:val="0051629C"/>
    <w:rsid w:val="005162DB"/>
    <w:rsid w:val="005167D7"/>
    <w:rsid w:val="00517D38"/>
    <w:rsid w:val="005229F8"/>
    <w:rsid w:val="005241BE"/>
    <w:rsid w:val="00524347"/>
    <w:rsid w:val="00524ACF"/>
    <w:rsid w:val="00525118"/>
    <w:rsid w:val="0052572E"/>
    <w:rsid w:val="005343D3"/>
    <w:rsid w:val="005350CA"/>
    <w:rsid w:val="0053715C"/>
    <w:rsid w:val="00540431"/>
    <w:rsid w:val="00540AB0"/>
    <w:rsid w:val="00540BAD"/>
    <w:rsid w:val="00540D20"/>
    <w:rsid w:val="00541DC9"/>
    <w:rsid w:val="005455DA"/>
    <w:rsid w:val="00545D09"/>
    <w:rsid w:val="005466EA"/>
    <w:rsid w:val="00550116"/>
    <w:rsid w:val="00550328"/>
    <w:rsid w:val="005505A4"/>
    <w:rsid w:val="00551484"/>
    <w:rsid w:val="005518DC"/>
    <w:rsid w:val="00554BE8"/>
    <w:rsid w:val="005555BC"/>
    <w:rsid w:val="0055567A"/>
    <w:rsid w:val="00555ACA"/>
    <w:rsid w:val="00556861"/>
    <w:rsid w:val="00556AF0"/>
    <w:rsid w:val="00557294"/>
    <w:rsid w:val="00560157"/>
    <w:rsid w:val="00565669"/>
    <w:rsid w:val="00565EEC"/>
    <w:rsid w:val="005678EE"/>
    <w:rsid w:val="00571551"/>
    <w:rsid w:val="00571873"/>
    <w:rsid w:val="00576024"/>
    <w:rsid w:val="0057665A"/>
    <w:rsid w:val="00581C8B"/>
    <w:rsid w:val="005839CE"/>
    <w:rsid w:val="00583D04"/>
    <w:rsid w:val="0058524F"/>
    <w:rsid w:val="005872C0"/>
    <w:rsid w:val="00587DE0"/>
    <w:rsid w:val="00590B34"/>
    <w:rsid w:val="0059174D"/>
    <w:rsid w:val="0059484C"/>
    <w:rsid w:val="0059553D"/>
    <w:rsid w:val="00595CD1"/>
    <w:rsid w:val="005A0502"/>
    <w:rsid w:val="005A1199"/>
    <w:rsid w:val="005A145A"/>
    <w:rsid w:val="005A3C0F"/>
    <w:rsid w:val="005A5422"/>
    <w:rsid w:val="005A77E6"/>
    <w:rsid w:val="005B049D"/>
    <w:rsid w:val="005B1A02"/>
    <w:rsid w:val="005B2032"/>
    <w:rsid w:val="005B26F9"/>
    <w:rsid w:val="005B28EE"/>
    <w:rsid w:val="005B2905"/>
    <w:rsid w:val="005B3C79"/>
    <w:rsid w:val="005B4C2C"/>
    <w:rsid w:val="005B7F82"/>
    <w:rsid w:val="005C175C"/>
    <w:rsid w:val="005C2DA7"/>
    <w:rsid w:val="005C304A"/>
    <w:rsid w:val="005C37E8"/>
    <w:rsid w:val="005C4F11"/>
    <w:rsid w:val="005C59A6"/>
    <w:rsid w:val="005C6B2D"/>
    <w:rsid w:val="005D1702"/>
    <w:rsid w:val="005D1B52"/>
    <w:rsid w:val="005D2BB4"/>
    <w:rsid w:val="005D37DD"/>
    <w:rsid w:val="005D3A46"/>
    <w:rsid w:val="005D57D9"/>
    <w:rsid w:val="005D668F"/>
    <w:rsid w:val="005D723F"/>
    <w:rsid w:val="005E0967"/>
    <w:rsid w:val="005E0B7B"/>
    <w:rsid w:val="005E0F83"/>
    <w:rsid w:val="005E3074"/>
    <w:rsid w:val="005E7284"/>
    <w:rsid w:val="005E7D1D"/>
    <w:rsid w:val="005F0AA2"/>
    <w:rsid w:val="005F1174"/>
    <w:rsid w:val="005F130D"/>
    <w:rsid w:val="005F4905"/>
    <w:rsid w:val="005F648B"/>
    <w:rsid w:val="005F72A6"/>
    <w:rsid w:val="005F79BD"/>
    <w:rsid w:val="0060004A"/>
    <w:rsid w:val="0060098F"/>
    <w:rsid w:val="00601883"/>
    <w:rsid w:val="00602E9B"/>
    <w:rsid w:val="0060397E"/>
    <w:rsid w:val="006046DF"/>
    <w:rsid w:val="006076E5"/>
    <w:rsid w:val="0061282E"/>
    <w:rsid w:val="00613F80"/>
    <w:rsid w:val="006148C3"/>
    <w:rsid w:val="00615581"/>
    <w:rsid w:val="00625A88"/>
    <w:rsid w:val="0062696D"/>
    <w:rsid w:val="006300BF"/>
    <w:rsid w:val="006313C1"/>
    <w:rsid w:val="00635695"/>
    <w:rsid w:val="006360C9"/>
    <w:rsid w:val="00637481"/>
    <w:rsid w:val="006410D5"/>
    <w:rsid w:val="0064182B"/>
    <w:rsid w:val="00644EC8"/>
    <w:rsid w:val="00645CFA"/>
    <w:rsid w:val="00651A46"/>
    <w:rsid w:val="00652B27"/>
    <w:rsid w:val="0065753C"/>
    <w:rsid w:val="006635FC"/>
    <w:rsid w:val="0066666E"/>
    <w:rsid w:val="006671AD"/>
    <w:rsid w:val="00670B14"/>
    <w:rsid w:val="00675ABF"/>
    <w:rsid w:val="00677CC7"/>
    <w:rsid w:val="00677DA6"/>
    <w:rsid w:val="00681865"/>
    <w:rsid w:val="00681A17"/>
    <w:rsid w:val="00684845"/>
    <w:rsid w:val="00685DA1"/>
    <w:rsid w:val="006863BD"/>
    <w:rsid w:val="0069040C"/>
    <w:rsid w:val="00691B97"/>
    <w:rsid w:val="0069280D"/>
    <w:rsid w:val="00695A68"/>
    <w:rsid w:val="00696618"/>
    <w:rsid w:val="00696756"/>
    <w:rsid w:val="0069765F"/>
    <w:rsid w:val="006A0257"/>
    <w:rsid w:val="006A0EB6"/>
    <w:rsid w:val="006A347D"/>
    <w:rsid w:val="006A429D"/>
    <w:rsid w:val="006A46DC"/>
    <w:rsid w:val="006A520C"/>
    <w:rsid w:val="006A5A4E"/>
    <w:rsid w:val="006A627B"/>
    <w:rsid w:val="006A63F3"/>
    <w:rsid w:val="006B0315"/>
    <w:rsid w:val="006B2118"/>
    <w:rsid w:val="006B2378"/>
    <w:rsid w:val="006B2685"/>
    <w:rsid w:val="006B29A3"/>
    <w:rsid w:val="006B36C1"/>
    <w:rsid w:val="006B4C10"/>
    <w:rsid w:val="006B56AC"/>
    <w:rsid w:val="006C2764"/>
    <w:rsid w:val="006C3734"/>
    <w:rsid w:val="006C3A4A"/>
    <w:rsid w:val="006C4563"/>
    <w:rsid w:val="006C4E33"/>
    <w:rsid w:val="006C51EE"/>
    <w:rsid w:val="006D04D8"/>
    <w:rsid w:val="006D062E"/>
    <w:rsid w:val="006D0BE9"/>
    <w:rsid w:val="006D1B2C"/>
    <w:rsid w:val="006D3830"/>
    <w:rsid w:val="006D4EC4"/>
    <w:rsid w:val="006D66C5"/>
    <w:rsid w:val="006D6708"/>
    <w:rsid w:val="006E0ED8"/>
    <w:rsid w:val="006E2232"/>
    <w:rsid w:val="006E241B"/>
    <w:rsid w:val="006E5391"/>
    <w:rsid w:val="006F149A"/>
    <w:rsid w:val="006F586D"/>
    <w:rsid w:val="006F6BAD"/>
    <w:rsid w:val="00700DA2"/>
    <w:rsid w:val="007042A6"/>
    <w:rsid w:val="007106E8"/>
    <w:rsid w:val="00712929"/>
    <w:rsid w:val="007132E8"/>
    <w:rsid w:val="0071689C"/>
    <w:rsid w:val="00717E5E"/>
    <w:rsid w:val="00721653"/>
    <w:rsid w:val="00721D94"/>
    <w:rsid w:val="00725F5B"/>
    <w:rsid w:val="00726862"/>
    <w:rsid w:val="0073067E"/>
    <w:rsid w:val="00730C84"/>
    <w:rsid w:val="00731C56"/>
    <w:rsid w:val="007334DB"/>
    <w:rsid w:val="00733A46"/>
    <w:rsid w:val="00733FE2"/>
    <w:rsid w:val="00736E12"/>
    <w:rsid w:val="00742005"/>
    <w:rsid w:val="00742FE5"/>
    <w:rsid w:val="0075502A"/>
    <w:rsid w:val="007623D2"/>
    <w:rsid w:val="00763727"/>
    <w:rsid w:val="00763CEC"/>
    <w:rsid w:val="00765084"/>
    <w:rsid w:val="00765782"/>
    <w:rsid w:val="00765856"/>
    <w:rsid w:val="00766332"/>
    <w:rsid w:val="0076647A"/>
    <w:rsid w:val="00770E13"/>
    <w:rsid w:val="00771934"/>
    <w:rsid w:val="007724BB"/>
    <w:rsid w:val="00772A4F"/>
    <w:rsid w:val="00774033"/>
    <w:rsid w:val="00774333"/>
    <w:rsid w:val="00775342"/>
    <w:rsid w:val="0077625B"/>
    <w:rsid w:val="00777BDC"/>
    <w:rsid w:val="007801CC"/>
    <w:rsid w:val="00780FE5"/>
    <w:rsid w:val="007818DE"/>
    <w:rsid w:val="00782280"/>
    <w:rsid w:val="007825D9"/>
    <w:rsid w:val="00783079"/>
    <w:rsid w:val="007839C8"/>
    <w:rsid w:val="00783EFB"/>
    <w:rsid w:val="00784991"/>
    <w:rsid w:val="007876B4"/>
    <w:rsid w:val="00787770"/>
    <w:rsid w:val="00787881"/>
    <w:rsid w:val="007908BF"/>
    <w:rsid w:val="00791A45"/>
    <w:rsid w:val="00794F0B"/>
    <w:rsid w:val="00796CDD"/>
    <w:rsid w:val="0079749B"/>
    <w:rsid w:val="0079771A"/>
    <w:rsid w:val="007A2840"/>
    <w:rsid w:val="007A338B"/>
    <w:rsid w:val="007A53FE"/>
    <w:rsid w:val="007A5B78"/>
    <w:rsid w:val="007B0496"/>
    <w:rsid w:val="007B2EF4"/>
    <w:rsid w:val="007B38BB"/>
    <w:rsid w:val="007B3F7F"/>
    <w:rsid w:val="007B5533"/>
    <w:rsid w:val="007B66D4"/>
    <w:rsid w:val="007B6FB0"/>
    <w:rsid w:val="007B705E"/>
    <w:rsid w:val="007B7645"/>
    <w:rsid w:val="007C42E6"/>
    <w:rsid w:val="007C6303"/>
    <w:rsid w:val="007C6E52"/>
    <w:rsid w:val="007D4FDF"/>
    <w:rsid w:val="007D65CF"/>
    <w:rsid w:val="007D79E5"/>
    <w:rsid w:val="007E32C2"/>
    <w:rsid w:val="007E4C03"/>
    <w:rsid w:val="007E7745"/>
    <w:rsid w:val="007F1098"/>
    <w:rsid w:val="007F2285"/>
    <w:rsid w:val="007F3985"/>
    <w:rsid w:val="007F49CE"/>
    <w:rsid w:val="007F5718"/>
    <w:rsid w:val="007F66A9"/>
    <w:rsid w:val="007F7040"/>
    <w:rsid w:val="007F7083"/>
    <w:rsid w:val="008000F6"/>
    <w:rsid w:val="00800D32"/>
    <w:rsid w:val="00804311"/>
    <w:rsid w:val="0080534C"/>
    <w:rsid w:val="0080554C"/>
    <w:rsid w:val="00805848"/>
    <w:rsid w:val="00805E29"/>
    <w:rsid w:val="008118B8"/>
    <w:rsid w:val="008134F2"/>
    <w:rsid w:val="00815E3E"/>
    <w:rsid w:val="00816186"/>
    <w:rsid w:val="00817C94"/>
    <w:rsid w:val="00817E39"/>
    <w:rsid w:val="008205F6"/>
    <w:rsid w:val="00820AF2"/>
    <w:rsid w:val="00822E0C"/>
    <w:rsid w:val="00825ED8"/>
    <w:rsid w:val="00827228"/>
    <w:rsid w:val="00827566"/>
    <w:rsid w:val="00827807"/>
    <w:rsid w:val="0083117D"/>
    <w:rsid w:val="008319C6"/>
    <w:rsid w:val="00832F6A"/>
    <w:rsid w:val="00832FDF"/>
    <w:rsid w:val="00833DD9"/>
    <w:rsid w:val="00833E95"/>
    <w:rsid w:val="00835FAB"/>
    <w:rsid w:val="008442FA"/>
    <w:rsid w:val="00846D80"/>
    <w:rsid w:val="00847BCC"/>
    <w:rsid w:val="00847DF1"/>
    <w:rsid w:val="00850444"/>
    <w:rsid w:val="00850C5C"/>
    <w:rsid w:val="00860720"/>
    <w:rsid w:val="00862E23"/>
    <w:rsid w:val="008668BB"/>
    <w:rsid w:val="00866DE9"/>
    <w:rsid w:val="00870560"/>
    <w:rsid w:val="0087172D"/>
    <w:rsid w:val="00874365"/>
    <w:rsid w:val="00874609"/>
    <w:rsid w:val="00874BDC"/>
    <w:rsid w:val="0087575A"/>
    <w:rsid w:val="0087586C"/>
    <w:rsid w:val="00876A1D"/>
    <w:rsid w:val="0088200E"/>
    <w:rsid w:val="008827CA"/>
    <w:rsid w:val="008832A0"/>
    <w:rsid w:val="008847EF"/>
    <w:rsid w:val="0088545E"/>
    <w:rsid w:val="00886473"/>
    <w:rsid w:val="00886C90"/>
    <w:rsid w:val="00887ECC"/>
    <w:rsid w:val="00893F36"/>
    <w:rsid w:val="00894E14"/>
    <w:rsid w:val="00895543"/>
    <w:rsid w:val="008959A0"/>
    <w:rsid w:val="0089727B"/>
    <w:rsid w:val="008A2B4D"/>
    <w:rsid w:val="008A453C"/>
    <w:rsid w:val="008A4DF5"/>
    <w:rsid w:val="008B0F9E"/>
    <w:rsid w:val="008B16B8"/>
    <w:rsid w:val="008B3242"/>
    <w:rsid w:val="008B3A6B"/>
    <w:rsid w:val="008C0176"/>
    <w:rsid w:val="008D1755"/>
    <w:rsid w:val="008D2266"/>
    <w:rsid w:val="008D243E"/>
    <w:rsid w:val="008D2DC9"/>
    <w:rsid w:val="008D3E39"/>
    <w:rsid w:val="008D4740"/>
    <w:rsid w:val="008D4BA5"/>
    <w:rsid w:val="008D57FF"/>
    <w:rsid w:val="008D6563"/>
    <w:rsid w:val="008D675A"/>
    <w:rsid w:val="008D7DF0"/>
    <w:rsid w:val="008E1D18"/>
    <w:rsid w:val="008E54CA"/>
    <w:rsid w:val="008E58D6"/>
    <w:rsid w:val="008E5ADF"/>
    <w:rsid w:val="008E674A"/>
    <w:rsid w:val="008F26D2"/>
    <w:rsid w:val="008F3F90"/>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6323"/>
    <w:rsid w:val="00916804"/>
    <w:rsid w:val="0091784D"/>
    <w:rsid w:val="009212D3"/>
    <w:rsid w:val="00923045"/>
    <w:rsid w:val="00923522"/>
    <w:rsid w:val="00924603"/>
    <w:rsid w:val="00925405"/>
    <w:rsid w:val="009305C0"/>
    <w:rsid w:val="0093153E"/>
    <w:rsid w:val="00931E4F"/>
    <w:rsid w:val="00932BE8"/>
    <w:rsid w:val="0093492F"/>
    <w:rsid w:val="00936B75"/>
    <w:rsid w:val="0093750C"/>
    <w:rsid w:val="00937579"/>
    <w:rsid w:val="0094043E"/>
    <w:rsid w:val="00940BF2"/>
    <w:rsid w:val="00942043"/>
    <w:rsid w:val="009445E9"/>
    <w:rsid w:val="00944744"/>
    <w:rsid w:val="009450A6"/>
    <w:rsid w:val="009463B1"/>
    <w:rsid w:val="009471B2"/>
    <w:rsid w:val="00950922"/>
    <w:rsid w:val="00951DAF"/>
    <w:rsid w:val="00952150"/>
    <w:rsid w:val="00952E00"/>
    <w:rsid w:val="00954E66"/>
    <w:rsid w:val="00955B74"/>
    <w:rsid w:val="0095777A"/>
    <w:rsid w:val="009600DE"/>
    <w:rsid w:val="00962753"/>
    <w:rsid w:val="00964093"/>
    <w:rsid w:val="00965E61"/>
    <w:rsid w:val="00966208"/>
    <w:rsid w:val="00966415"/>
    <w:rsid w:val="009673C7"/>
    <w:rsid w:val="00973468"/>
    <w:rsid w:val="00974512"/>
    <w:rsid w:val="00974874"/>
    <w:rsid w:val="0097714E"/>
    <w:rsid w:val="0097798C"/>
    <w:rsid w:val="009801C5"/>
    <w:rsid w:val="009827AD"/>
    <w:rsid w:val="00983A67"/>
    <w:rsid w:val="00985CD2"/>
    <w:rsid w:val="00987F64"/>
    <w:rsid w:val="00987F7D"/>
    <w:rsid w:val="00991955"/>
    <w:rsid w:val="00994AC3"/>
    <w:rsid w:val="00997719"/>
    <w:rsid w:val="009A160B"/>
    <w:rsid w:val="009A42B7"/>
    <w:rsid w:val="009A5131"/>
    <w:rsid w:val="009B00D9"/>
    <w:rsid w:val="009B1F38"/>
    <w:rsid w:val="009B340D"/>
    <w:rsid w:val="009B3459"/>
    <w:rsid w:val="009B3C5E"/>
    <w:rsid w:val="009B50A8"/>
    <w:rsid w:val="009B7756"/>
    <w:rsid w:val="009C15DE"/>
    <w:rsid w:val="009C167F"/>
    <w:rsid w:val="009C1EDC"/>
    <w:rsid w:val="009C2374"/>
    <w:rsid w:val="009C519B"/>
    <w:rsid w:val="009C6DC8"/>
    <w:rsid w:val="009D00BD"/>
    <w:rsid w:val="009E144E"/>
    <w:rsid w:val="009E28C7"/>
    <w:rsid w:val="009E434B"/>
    <w:rsid w:val="009E50FD"/>
    <w:rsid w:val="009E5529"/>
    <w:rsid w:val="009E55DB"/>
    <w:rsid w:val="009E5C09"/>
    <w:rsid w:val="009E690D"/>
    <w:rsid w:val="009F14AA"/>
    <w:rsid w:val="009F3082"/>
    <w:rsid w:val="009F3CBE"/>
    <w:rsid w:val="009F5EC5"/>
    <w:rsid w:val="00A02EC8"/>
    <w:rsid w:val="00A04934"/>
    <w:rsid w:val="00A05617"/>
    <w:rsid w:val="00A06FF9"/>
    <w:rsid w:val="00A10329"/>
    <w:rsid w:val="00A10F57"/>
    <w:rsid w:val="00A116BD"/>
    <w:rsid w:val="00A1199C"/>
    <w:rsid w:val="00A131D9"/>
    <w:rsid w:val="00A155AC"/>
    <w:rsid w:val="00A201F0"/>
    <w:rsid w:val="00A2355F"/>
    <w:rsid w:val="00A23AE1"/>
    <w:rsid w:val="00A24BE3"/>
    <w:rsid w:val="00A26C08"/>
    <w:rsid w:val="00A319AD"/>
    <w:rsid w:val="00A31ED1"/>
    <w:rsid w:val="00A322FB"/>
    <w:rsid w:val="00A340D8"/>
    <w:rsid w:val="00A34A69"/>
    <w:rsid w:val="00A356C6"/>
    <w:rsid w:val="00A365E9"/>
    <w:rsid w:val="00A408EF"/>
    <w:rsid w:val="00A41511"/>
    <w:rsid w:val="00A42601"/>
    <w:rsid w:val="00A45DB4"/>
    <w:rsid w:val="00A5233F"/>
    <w:rsid w:val="00A52953"/>
    <w:rsid w:val="00A56F54"/>
    <w:rsid w:val="00A57A2B"/>
    <w:rsid w:val="00A63796"/>
    <w:rsid w:val="00A63945"/>
    <w:rsid w:val="00A644D4"/>
    <w:rsid w:val="00A64D01"/>
    <w:rsid w:val="00A66037"/>
    <w:rsid w:val="00A66F00"/>
    <w:rsid w:val="00A701FB"/>
    <w:rsid w:val="00A72C16"/>
    <w:rsid w:val="00A73C31"/>
    <w:rsid w:val="00A7551E"/>
    <w:rsid w:val="00A766C4"/>
    <w:rsid w:val="00A768EF"/>
    <w:rsid w:val="00A77442"/>
    <w:rsid w:val="00A77A2D"/>
    <w:rsid w:val="00A820D7"/>
    <w:rsid w:val="00A82B02"/>
    <w:rsid w:val="00A8395C"/>
    <w:rsid w:val="00A8532D"/>
    <w:rsid w:val="00A85924"/>
    <w:rsid w:val="00A925C0"/>
    <w:rsid w:val="00A9311E"/>
    <w:rsid w:val="00A94D49"/>
    <w:rsid w:val="00A97BBF"/>
    <w:rsid w:val="00AA189D"/>
    <w:rsid w:val="00AA1A8D"/>
    <w:rsid w:val="00AA34E5"/>
    <w:rsid w:val="00AA540D"/>
    <w:rsid w:val="00AA5747"/>
    <w:rsid w:val="00AA71A0"/>
    <w:rsid w:val="00AA731B"/>
    <w:rsid w:val="00AA7C1A"/>
    <w:rsid w:val="00AB0BA1"/>
    <w:rsid w:val="00AB1693"/>
    <w:rsid w:val="00AB1876"/>
    <w:rsid w:val="00AB2028"/>
    <w:rsid w:val="00AB4876"/>
    <w:rsid w:val="00AB5207"/>
    <w:rsid w:val="00AB5562"/>
    <w:rsid w:val="00AB7366"/>
    <w:rsid w:val="00AB7678"/>
    <w:rsid w:val="00AC2839"/>
    <w:rsid w:val="00AC44B2"/>
    <w:rsid w:val="00AC6B78"/>
    <w:rsid w:val="00AD1358"/>
    <w:rsid w:val="00AD39F1"/>
    <w:rsid w:val="00AD5AAE"/>
    <w:rsid w:val="00AE0A86"/>
    <w:rsid w:val="00AE232C"/>
    <w:rsid w:val="00AE4099"/>
    <w:rsid w:val="00AF14D0"/>
    <w:rsid w:val="00AF27A2"/>
    <w:rsid w:val="00AF2CD1"/>
    <w:rsid w:val="00AF37B3"/>
    <w:rsid w:val="00AF7649"/>
    <w:rsid w:val="00AF7DFD"/>
    <w:rsid w:val="00B013C0"/>
    <w:rsid w:val="00B02C08"/>
    <w:rsid w:val="00B04E64"/>
    <w:rsid w:val="00B05F9D"/>
    <w:rsid w:val="00B0688A"/>
    <w:rsid w:val="00B0695F"/>
    <w:rsid w:val="00B106E2"/>
    <w:rsid w:val="00B129A9"/>
    <w:rsid w:val="00B137DB"/>
    <w:rsid w:val="00B139D1"/>
    <w:rsid w:val="00B14908"/>
    <w:rsid w:val="00B15B6A"/>
    <w:rsid w:val="00B17C87"/>
    <w:rsid w:val="00B204E5"/>
    <w:rsid w:val="00B241EC"/>
    <w:rsid w:val="00B25FF5"/>
    <w:rsid w:val="00B26C11"/>
    <w:rsid w:val="00B34E7F"/>
    <w:rsid w:val="00B35015"/>
    <w:rsid w:val="00B3598C"/>
    <w:rsid w:val="00B40C53"/>
    <w:rsid w:val="00B41552"/>
    <w:rsid w:val="00B41C27"/>
    <w:rsid w:val="00B421AE"/>
    <w:rsid w:val="00B46818"/>
    <w:rsid w:val="00B4688E"/>
    <w:rsid w:val="00B50829"/>
    <w:rsid w:val="00B51C5D"/>
    <w:rsid w:val="00B53425"/>
    <w:rsid w:val="00B53C63"/>
    <w:rsid w:val="00B54A69"/>
    <w:rsid w:val="00B554BF"/>
    <w:rsid w:val="00B600EF"/>
    <w:rsid w:val="00B64C34"/>
    <w:rsid w:val="00B65157"/>
    <w:rsid w:val="00B67A43"/>
    <w:rsid w:val="00B70C85"/>
    <w:rsid w:val="00B71C49"/>
    <w:rsid w:val="00B7214B"/>
    <w:rsid w:val="00B74BA6"/>
    <w:rsid w:val="00B76B98"/>
    <w:rsid w:val="00B770BC"/>
    <w:rsid w:val="00B7710F"/>
    <w:rsid w:val="00B80540"/>
    <w:rsid w:val="00B813E6"/>
    <w:rsid w:val="00B829AB"/>
    <w:rsid w:val="00B8422B"/>
    <w:rsid w:val="00B8466C"/>
    <w:rsid w:val="00B851B5"/>
    <w:rsid w:val="00B8581B"/>
    <w:rsid w:val="00B858FB"/>
    <w:rsid w:val="00B868A6"/>
    <w:rsid w:val="00B872C1"/>
    <w:rsid w:val="00B91334"/>
    <w:rsid w:val="00B93364"/>
    <w:rsid w:val="00B9511F"/>
    <w:rsid w:val="00B97F5B"/>
    <w:rsid w:val="00BA05FA"/>
    <w:rsid w:val="00BA0BE5"/>
    <w:rsid w:val="00BA1433"/>
    <w:rsid w:val="00BA1868"/>
    <w:rsid w:val="00BA2401"/>
    <w:rsid w:val="00BA2579"/>
    <w:rsid w:val="00BA2D5D"/>
    <w:rsid w:val="00BA350A"/>
    <w:rsid w:val="00BA5E15"/>
    <w:rsid w:val="00BA63B1"/>
    <w:rsid w:val="00BA6F33"/>
    <w:rsid w:val="00BA7C76"/>
    <w:rsid w:val="00BB062D"/>
    <w:rsid w:val="00BB087B"/>
    <w:rsid w:val="00BB2390"/>
    <w:rsid w:val="00BB6865"/>
    <w:rsid w:val="00BB70F2"/>
    <w:rsid w:val="00BC15FE"/>
    <w:rsid w:val="00BC1BEA"/>
    <w:rsid w:val="00BC260D"/>
    <w:rsid w:val="00BC5A0C"/>
    <w:rsid w:val="00BC634A"/>
    <w:rsid w:val="00BC666C"/>
    <w:rsid w:val="00BC6CB5"/>
    <w:rsid w:val="00BD339C"/>
    <w:rsid w:val="00BD3A99"/>
    <w:rsid w:val="00BD4E31"/>
    <w:rsid w:val="00BD61E7"/>
    <w:rsid w:val="00BD6A3B"/>
    <w:rsid w:val="00BE2038"/>
    <w:rsid w:val="00BE3E2F"/>
    <w:rsid w:val="00BE41CE"/>
    <w:rsid w:val="00BF213E"/>
    <w:rsid w:val="00BF77DC"/>
    <w:rsid w:val="00C01DCD"/>
    <w:rsid w:val="00C023B6"/>
    <w:rsid w:val="00C036B9"/>
    <w:rsid w:val="00C05191"/>
    <w:rsid w:val="00C0533C"/>
    <w:rsid w:val="00C058EC"/>
    <w:rsid w:val="00C05C31"/>
    <w:rsid w:val="00C061F7"/>
    <w:rsid w:val="00C0679F"/>
    <w:rsid w:val="00C07073"/>
    <w:rsid w:val="00C07A3D"/>
    <w:rsid w:val="00C10BF1"/>
    <w:rsid w:val="00C1285A"/>
    <w:rsid w:val="00C13D45"/>
    <w:rsid w:val="00C14750"/>
    <w:rsid w:val="00C15E52"/>
    <w:rsid w:val="00C17427"/>
    <w:rsid w:val="00C229CB"/>
    <w:rsid w:val="00C24E56"/>
    <w:rsid w:val="00C300CE"/>
    <w:rsid w:val="00C303D3"/>
    <w:rsid w:val="00C32D83"/>
    <w:rsid w:val="00C3629E"/>
    <w:rsid w:val="00C36BA0"/>
    <w:rsid w:val="00C37C8D"/>
    <w:rsid w:val="00C40B1F"/>
    <w:rsid w:val="00C417AF"/>
    <w:rsid w:val="00C4260F"/>
    <w:rsid w:val="00C43301"/>
    <w:rsid w:val="00C453E1"/>
    <w:rsid w:val="00C46833"/>
    <w:rsid w:val="00C470E7"/>
    <w:rsid w:val="00C50A09"/>
    <w:rsid w:val="00C5102F"/>
    <w:rsid w:val="00C51751"/>
    <w:rsid w:val="00C5235B"/>
    <w:rsid w:val="00C53C14"/>
    <w:rsid w:val="00C55104"/>
    <w:rsid w:val="00C55C9E"/>
    <w:rsid w:val="00C566DF"/>
    <w:rsid w:val="00C60D84"/>
    <w:rsid w:val="00C60F3C"/>
    <w:rsid w:val="00C629AE"/>
    <w:rsid w:val="00C70820"/>
    <w:rsid w:val="00C71AE4"/>
    <w:rsid w:val="00C7202E"/>
    <w:rsid w:val="00C72F4B"/>
    <w:rsid w:val="00C74F46"/>
    <w:rsid w:val="00C74FA1"/>
    <w:rsid w:val="00C763FC"/>
    <w:rsid w:val="00C82272"/>
    <w:rsid w:val="00C82819"/>
    <w:rsid w:val="00C85222"/>
    <w:rsid w:val="00C9094E"/>
    <w:rsid w:val="00C93594"/>
    <w:rsid w:val="00CA18C7"/>
    <w:rsid w:val="00CA449F"/>
    <w:rsid w:val="00CA57A6"/>
    <w:rsid w:val="00CA678D"/>
    <w:rsid w:val="00CB22DB"/>
    <w:rsid w:val="00CB2751"/>
    <w:rsid w:val="00CB2AC0"/>
    <w:rsid w:val="00CB2AC7"/>
    <w:rsid w:val="00CB737E"/>
    <w:rsid w:val="00CC2B9F"/>
    <w:rsid w:val="00CC5618"/>
    <w:rsid w:val="00CD0C08"/>
    <w:rsid w:val="00CD102E"/>
    <w:rsid w:val="00CD333C"/>
    <w:rsid w:val="00CD46D6"/>
    <w:rsid w:val="00CD585C"/>
    <w:rsid w:val="00CD7E64"/>
    <w:rsid w:val="00CE0676"/>
    <w:rsid w:val="00CE45A8"/>
    <w:rsid w:val="00CE6315"/>
    <w:rsid w:val="00CE63BB"/>
    <w:rsid w:val="00CF373F"/>
    <w:rsid w:val="00CF456E"/>
    <w:rsid w:val="00CF6433"/>
    <w:rsid w:val="00CF73AF"/>
    <w:rsid w:val="00CF7F53"/>
    <w:rsid w:val="00D0043E"/>
    <w:rsid w:val="00D00508"/>
    <w:rsid w:val="00D00B5F"/>
    <w:rsid w:val="00D03661"/>
    <w:rsid w:val="00D06816"/>
    <w:rsid w:val="00D07338"/>
    <w:rsid w:val="00D07A40"/>
    <w:rsid w:val="00D07E20"/>
    <w:rsid w:val="00D148BD"/>
    <w:rsid w:val="00D14B1E"/>
    <w:rsid w:val="00D155AD"/>
    <w:rsid w:val="00D16971"/>
    <w:rsid w:val="00D177CF"/>
    <w:rsid w:val="00D20395"/>
    <w:rsid w:val="00D22E70"/>
    <w:rsid w:val="00D23ABA"/>
    <w:rsid w:val="00D26CB4"/>
    <w:rsid w:val="00D278CF"/>
    <w:rsid w:val="00D31566"/>
    <w:rsid w:val="00D315FA"/>
    <w:rsid w:val="00D318B7"/>
    <w:rsid w:val="00D31D16"/>
    <w:rsid w:val="00D32105"/>
    <w:rsid w:val="00D33220"/>
    <w:rsid w:val="00D342A6"/>
    <w:rsid w:val="00D35355"/>
    <w:rsid w:val="00D35512"/>
    <w:rsid w:val="00D35DBF"/>
    <w:rsid w:val="00D3799C"/>
    <w:rsid w:val="00D422B4"/>
    <w:rsid w:val="00D42CBE"/>
    <w:rsid w:val="00D4316D"/>
    <w:rsid w:val="00D455A2"/>
    <w:rsid w:val="00D46C95"/>
    <w:rsid w:val="00D46E3C"/>
    <w:rsid w:val="00D470E9"/>
    <w:rsid w:val="00D473A2"/>
    <w:rsid w:val="00D47C6C"/>
    <w:rsid w:val="00D50077"/>
    <w:rsid w:val="00D51464"/>
    <w:rsid w:val="00D51AAF"/>
    <w:rsid w:val="00D540C7"/>
    <w:rsid w:val="00D572FE"/>
    <w:rsid w:val="00D60A6C"/>
    <w:rsid w:val="00D61ED0"/>
    <w:rsid w:val="00D66BD3"/>
    <w:rsid w:val="00D70B44"/>
    <w:rsid w:val="00D77EAC"/>
    <w:rsid w:val="00D8065C"/>
    <w:rsid w:val="00D81018"/>
    <w:rsid w:val="00D82B51"/>
    <w:rsid w:val="00D876AD"/>
    <w:rsid w:val="00D87C6E"/>
    <w:rsid w:val="00D901D7"/>
    <w:rsid w:val="00D92152"/>
    <w:rsid w:val="00D92F75"/>
    <w:rsid w:val="00D93FB6"/>
    <w:rsid w:val="00D943A2"/>
    <w:rsid w:val="00DA002C"/>
    <w:rsid w:val="00DA095D"/>
    <w:rsid w:val="00DA156F"/>
    <w:rsid w:val="00DA2C19"/>
    <w:rsid w:val="00DA4D90"/>
    <w:rsid w:val="00DA54A1"/>
    <w:rsid w:val="00DA618E"/>
    <w:rsid w:val="00DB095A"/>
    <w:rsid w:val="00DB0F94"/>
    <w:rsid w:val="00DB266F"/>
    <w:rsid w:val="00DB44D6"/>
    <w:rsid w:val="00DB450C"/>
    <w:rsid w:val="00DB6FDB"/>
    <w:rsid w:val="00DC14BD"/>
    <w:rsid w:val="00DC4A1B"/>
    <w:rsid w:val="00DC6E7D"/>
    <w:rsid w:val="00DC70DD"/>
    <w:rsid w:val="00DD1B40"/>
    <w:rsid w:val="00DD2890"/>
    <w:rsid w:val="00DD2C4E"/>
    <w:rsid w:val="00DD31EF"/>
    <w:rsid w:val="00DD4AF4"/>
    <w:rsid w:val="00DD5422"/>
    <w:rsid w:val="00DD6912"/>
    <w:rsid w:val="00DD6FBB"/>
    <w:rsid w:val="00DE24D3"/>
    <w:rsid w:val="00DF1231"/>
    <w:rsid w:val="00DF1980"/>
    <w:rsid w:val="00DF1D5D"/>
    <w:rsid w:val="00DF21F6"/>
    <w:rsid w:val="00E00CC3"/>
    <w:rsid w:val="00E035EE"/>
    <w:rsid w:val="00E04124"/>
    <w:rsid w:val="00E05500"/>
    <w:rsid w:val="00E0711B"/>
    <w:rsid w:val="00E100FC"/>
    <w:rsid w:val="00E124EF"/>
    <w:rsid w:val="00E257D5"/>
    <w:rsid w:val="00E26233"/>
    <w:rsid w:val="00E3033F"/>
    <w:rsid w:val="00E3099F"/>
    <w:rsid w:val="00E318A5"/>
    <w:rsid w:val="00E328A3"/>
    <w:rsid w:val="00E328BE"/>
    <w:rsid w:val="00E34B3F"/>
    <w:rsid w:val="00E3540A"/>
    <w:rsid w:val="00E37BC8"/>
    <w:rsid w:val="00E40B6E"/>
    <w:rsid w:val="00E41F09"/>
    <w:rsid w:val="00E421DD"/>
    <w:rsid w:val="00E43698"/>
    <w:rsid w:val="00E50601"/>
    <w:rsid w:val="00E52472"/>
    <w:rsid w:val="00E52B4C"/>
    <w:rsid w:val="00E533A8"/>
    <w:rsid w:val="00E5596D"/>
    <w:rsid w:val="00E574F4"/>
    <w:rsid w:val="00E57B99"/>
    <w:rsid w:val="00E62623"/>
    <w:rsid w:val="00E636D0"/>
    <w:rsid w:val="00E64CE9"/>
    <w:rsid w:val="00E6504B"/>
    <w:rsid w:val="00E667BC"/>
    <w:rsid w:val="00E7143F"/>
    <w:rsid w:val="00E716A9"/>
    <w:rsid w:val="00E741AB"/>
    <w:rsid w:val="00E74FB9"/>
    <w:rsid w:val="00E76521"/>
    <w:rsid w:val="00E77B7B"/>
    <w:rsid w:val="00E8340D"/>
    <w:rsid w:val="00E837AA"/>
    <w:rsid w:val="00E83E14"/>
    <w:rsid w:val="00E8662C"/>
    <w:rsid w:val="00E86FBB"/>
    <w:rsid w:val="00E87DD5"/>
    <w:rsid w:val="00E9047F"/>
    <w:rsid w:val="00E90576"/>
    <w:rsid w:val="00E940E8"/>
    <w:rsid w:val="00E967DE"/>
    <w:rsid w:val="00EA1E44"/>
    <w:rsid w:val="00EA2F4A"/>
    <w:rsid w:val="00EA5699"/>
    <w:rsid w:val="00EA76B1"/>
    <w:rsid w:val="00EB3EF0"/>
    <w:rsid w:val="00EB4173"/>
    <w:rsid w:val="00EB4B8A"/>
    <w:rsid w:val="00EB4BDC"/>
    <w:rsid w:val="00EB6898"/>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E0DE9"/>
    <w:rsid w:val="00EE2686"/>
    <w:rsid w:val="00EE2FB8"/>
    <w:rsid w:val="00EE33DA"/>
    <w:rsid w:val="00EE3CB1"/>
    <w:rsid w:val="00EE511B"/>
    <w:rsid w:val="00EE5E63"/>
    <w:rsid w:val="00EE5FDF"/>
    <w:rsid w:val="00EE7DBB"/>
    <w:rsid w:val="00EF1922"/>
    <w:rsid w:val="00EF3CED"/>
    <w:rsid w:val="00EF5231"/>
    <w:rsid w:val="00EF5A99"/>
    <w:rsid w:val="00EF5FA2"/>
    <w:rsid w:val="00EF62BC"/>
    <w:rsid w:val="00EF679F"/>
    <w:rsid w:val="00EF6F60"/>
    <w:rsid w:val="00F00197"/>
    <w:rsid w:val="00F003A7"/>
    <w:rsid w:val="00F01EFC"/>
    <w:rsid w:val="00F02CB4"/>
    <w:rsid w:val="00F040A3"/>
    <w:rsid w:val="00F05753"/>
    <w:rsid w:val="00F05AC5"/>
    <w:rsid w:val="00F067E6"/>
    <w:rsid w:val="00F0721A"/>
    <w:rsid w:val="00F103FE"/>
    <w:rsid w:val="00F11855"/>
    <w:rsid w:val="00F125E9"/>
    <w:rsid w:val="00F12D63"/>
    <w:rsid w:val="00F13CAE"/>
    <w:rsid w:val="00F17328"/>
    <w:rsid w:val="00F22028"/>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C90"/>
    <w:rsid w:val="00F52D0D"/>
    <w:rsid w:val="00F54096"/>
    <w:rsid w:val="00F5547D"/>
    <w:rsid w:val="00F558BE"/>
    <w:rsid w:val="00F57185"/>
    <w:rsid w:val="00F57E43"/>
    <w:rsid w:val="00F60003"/>
    <w:rsid w:val="00F621BB"/>
    <w:rsid w:val="00F6419D"/>
    <w:rsid w:val="00F64772"/>
    <w:rsid w:val="00F66928"/>
    <w:rsid w:val="00F66ABC"/>
    <w:rsid w:val="00F71BFD"/>
    <w:rsid w:val="00F74E36"/>
    <w:rsid w:val="00F7549F"/>
    <w:rsid w:val="00F76F8E"/>
    <w:rsid w:val="00F771AC"/>
    <w:rsid w:val="00F82B01"/>
    <w:rsid w:val="00F84472"/>
    <w:rsid w:val="00F84B4C"/>
    <w:rsid w:val="00F86F8E"/>
    <w:rsid w:val="00F87FBE"/>
    <w:rsid w:val="00F91D30"/>
    <w:rsid w:val="00F93C5C"/>
    <w:rsid w:val="00F9694A"/>
    <w:rsid w:val="00F9742A"/>
    <w:rsid w:val="00F97CA9"/>
    <w:rsid w:val="00F97DA1"/>
    <w:rsid w:val="00FA161B"/>
    <w:rsid w:val="00FA1CFE"/>
    <w:rsid w:val="00FA5929"/>
    <w:rsid w:val="00FB5D47"/>
    <w:rsid w:val="00FB74E7"/>
    <w:rsid w:val="00FB7545"/>
    <w:rsid w:val="00FB7AB8"/>
    <w:rsid w:val="00FC2E7D"/>
    <w:rsid w:val="00FC4AFD"/>
    <w:rsid w:val="00FD0186"/>
    <w:rsid w:val="00FD1972"/>
    <w:rsid w:val="00FD1EE9"/>
    <w:rsid w:val="00FD3A00"/>
    <w:rsid w:val="00FD69B5"/>
    <w:rsid w:val="00FD723B"/>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uiPriority w:val="99"/>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semiHidden/>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semiHidden/>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
    <w:basedOn w:val="DefaultParagraphFont"/>
    <w:uiPriority w:val="99"/>
    <w:unhideWhenUsed/>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ta.Rimsa@varam.gov.lv" TargetMode="External"/><Relationship Id="rId4" Type="http://schemas.openxmlformats.org/officeDocument/2006/relationships/settings" Target="settings.xml"/><Relationship Id="rId9" Type="http://schemas.openxmlformats.org/officeDocument/2006/relationships/hyperlink" Target="https://likumi.lv/ta/id/29540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environment/country-reviews/oecd-environmental-performance-reviews-latvia-2019.ht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3CED-A9A1-450F-810C-1FB89B5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25847</Words>
  <Characters>14733</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Ūdens apsaimniekošanas likumā"</vt:lpstr>
      <vt:lpstr/>
    </vt:vector>
  </TitlesOfParts>
  <Company>VARAM</Company>
  <LinksUpToDate>false</LinksUpToDate>
  <CharactersWithSpaces>40500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Ūdens apsaimniekošanas likumā"</dc:title>
  <dc:subject>anotācija</dc:subject>
  <dc:creator>Ruta Rimša</dc:creator>
  <dc:description>Ruta Rimša, VARAM Vides aizsardzības departamenta Ūdens resursu nodaļas vec. referente, tel. 67026903, e-pasts: ruta.rimsa@varam.gov.lv</dc:description>
  <cp:lastModifiedBy>Madara Gaile</cp:lastModifiedBy>
  <cp:revision>15</cp:revision>
  <cp:lastPrinted>2020-01-10T11:30:00Z</cp:lastPrinted>
  <dcterms:created xsi:type="dcterms:W3CDTF">2020-01-28T08:41:00Z</dcterms:created>
  <dcterms:modified xsi:type="dcterms:W3CDTF">2020-01-29T07:28:00Z</dcterms:modified>
</cp:coreProperties>
</file>