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2C87" w14:textId="379119E0" w:rsidR="00894C55" w:rsidRPr="003A34D5" w:rsidRDefault="00472540" w:rsidP="00894177">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Content>
          <w:r>
            <w:rPr>
              <w:rFonts w:ascii="Times New Roman" w:eastAsia="Times New Roman" w:hAnsi="Times New Roman" w:cs="Times New Roman"/>
              <w:b/>
              <w:bCs/>
              <w:sz w:val="28"/>
              <w:szCs w:val="24"/>
              <w:lang w:eastAsia="lv-LV"/>
            </w:rPr>
            <w:t>Likumprojekta “Grozījumi likumā “</w:t>
          </w:r>
          <w:r w:rsidR="008277F1" w:rsidRPr="003A34D5">
            <w:rPr>
              <w:rFonts w:ascii="Times New Roman" w:eastAsia="Times New Roman" w:hAnsi="Times New Roman" w:cs="Times New Roman"/>
              <w:b/>
              <w:bCs/>
              <w:sz w:val="28"/>
              <w:szCs w:val="24"/>
              <w:lang w:eastAsia="lv-LV"/>
            </w:rPr>
            <w:t xml:space="preserve">Par </w:t>
          </w:r>
          <w:r w:rsidR="00AF3D09">
            <w:rPr>
              <w:rFonts w:ascii="Times New Roman" w:eastAsia="Times New Roman" w:hAnsi="Times New Roman" w:cs="Times New Roman"/>
              <w:b/>
              <w:bCs/>
              <w:sz w:val="28"/>
              <w:szCs w:val="24"/>
              <w:lang w:eastAsia="lv-LV"/>
            </w:rPr>
            <w:t>ietekmes uz vidi novērtējumu</w:t>
          </w:r>
          <w:r w:rsidR="008277F1" w:rsidRPr="003A34D5">
            <w:rPr>
              <w:rFonts w:ascii="Times New Roman" w:eastAsia="Times New Roman" w:hAnsi="Times New Roman" w:cs="Times New Roman"/>
              <w:b/>
              <w:bCs/>
              <w:sz w:val="28"/>
              <w:szCs w:val="24"/>
              <w:lang w:eastAsia="lv-LV"/>
            </w:rPr>
            <w:t>””</w:t>
          </w:r>
        </w:sdtContent>
      </w:sdt>
      <w:r w:rsidR="00894C55" w:rsidRPr="003A34D5">
        <w:rPr>
          <w:rFonts w:ascii="Times New Roman" w:eastAsia="Times New Roman" w:hAnsi="Times New Roman" w:cs="Times New Roman"/>
          <w:b/>
          <w:bCs/>
          <w:sz w:val="28"/>
          <w:szCs w:val="24"/>
          <w:lang w:eastAsia="lv-LV"/>
        </w:rPr>
        <w:t xml:space="preserve"> </w:t>
      </w:r>
      <w:r w:rsidR="003B0BF9" w:rsidRPr="003A34D5">
        <w:rPr>
          <w:rFonts w:ascii="Times New Roman" w:eastAsia="Times New Roman" w:hAnsi="Times New Roman" w:cs="Times New Roman"/>
          <w:b/>
          <w:bCs/>
          <w:sz w:val="28"/>
          <w:szCs w:val="24"/>
          <w:lang w:eastAsia="lv-LV"/>
        </w:rPr>
        <w:br/>
      </w:r>
      <w:r w:rsidR="00894C55" w:rsidRPr="003A34D5">
        <w:rPr>
          <w:rFonts w:ascii="Times New Roman" w:eastAsia="Times New Roman" w:hAnsi="Times New Roman" w:cs="Times New Roman"/>
          <w:b/>
          <w:bCs/>
          <w:sz w:val="28"/>
          <w:szCs w:val="24"/>
          <w:lang w:eastAsia="lv-LV"/>
        </w:rPr>
        <w:t>sākotnējās ietekmes novērtējuma ziņojums (anotācija)</w:t>
      </w:r>
    </w:p>
    <w:p w14:paraId="26532E2E" w14:textId="77777777" w:rsidR="00E5323B" w:rsidRPr="00183FDD" w:rsidRDefault="00E5323B" w:rsidP="008941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48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96"/>
        <w:gridCol w:w="5221"/>
      </w:tblGrid>
      <w:tr w:rsidR="00E5323B" w:rsidRPr="00183FDD" w14:paraId="30AD6392" w14:textId="77777777" w:rsidTr="00301B1B">
        <w:trPr>
          <w:trHeight w:val="268"/>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1F6D35"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Tiesību akta projekta anotācijas kopsavilkums</w:t>
            </w:r>
          </w:p>
        </w:tc>
      </w:tr>
      <w:tr w:rsidR="00E5323B" w:rsidRPr="00183FDD" w14:paraId="4874BEA6" w14:textId="77777777" w:rsidTr="00301B1B">
        <w:trPr>
          <w:trHeight w:val="3032"/>
          <w:tblCellSpacing w:w="15" w:type="dxa"/>
        </w:trPr>
        <w:tc>
          <w:tcPr>
            <w:tcW w:w="1979" w:type="pct"/>
            <w:tcBorders>
              <w:top w:val="outset" w:sz="6" w:space="0" w:color="auto"/>
              <w:left w:val="outset" w:sz="6" w:space="0" w:color="auto"/>
              <w:bottom w:val="outset" w:sz="6" w:space="0" w:color="auto"/>
              <w:right w:val="outset" w:sz="6" w:space="0" w:color="auto"/>
            </w:tcBorders>
            <w:hideMark/>
          </w:tcPr>
          <w:p w14:paraId="06D19F4D"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EE0603">
              <w:rPr>
                <w:rFonts w:ascii="Times New Roman" w:eastAsia="Times New Roman" w:hAnsi="Times New Roman" w:cs="Times New Roman"/>
                <w:iCs/>
                <w:sz w:val="24"/>
                <w:szCs w:val="24"/>
                <w:lang w:eastAsia="lv-LV"/>
              </w:rPr>
              <w:t>Mērķis, risinājums un projekta spēkā stāšanās laiks (500 zīmes bez atstarpēm)</w:t>
            </w:r>
          </w:p>
        </w:tc>
        <w:tc>
          <w:tcPr>
            <w:tcW w:w="2969" w:type="pct"/>
            <w:tcBorders>
              <w:top w:val="outset" w:sz="6" w:space="0" w:color="auto"/>
              <w:left w:val="outset" w:sz="6" w:space="0" w:color="auto"/>
              <w:bottom w:val="outset" w:sz="6" w:space="0" w:color="auto"/>
              <w:right w:val="outset" w:sz="6" w:space="0" w:color="auto"/>
            </w:tcBorders>
            <w:hideMark/>
          </w:tcPr>
          <w:p w14:paraId="32D8F67C" w14:textId="77777777" w:rsidR="00786309" w:rsidRPr="00183FDD" w:rsidRDefault="00786309" w:rsidP="00D01950">
            <w:pPr>
              <w:spacing w:after="0" w:line="240" w:lineRule="auto"/>
              <w:ind w:left="129" w:right="200"/>
              <w:jc w:val="both"/>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sz w:val="24"/>
                <w:szCs w:val="24"/>
                <w:lang w:eastAsia="lv-LV"/>
              </w:rPr>
              <w:t xml:space="preserve">Ar likumprojektu </w:t>
            </w:r>
            <w:r w:rsidR="001A58D3">
              <w:rPr>
                <w:rFonts w:ascii="Times New Roman" w:eastAsia="Times New Roman" w:hAnsi="Times New Roman" w:cs="Times New Roman"/>
                <w:iCs/>
                <w:sz w:val="24"/>
                <w:szCs w:val="24"/>
                <w:lang w:eastAsia="lv-LV"/>
              </w:rPr>
              <w:t>“</w:t>
            </w:r>
            <w:r w:rsidRPr="00183FDD">
              <w:rPr>
                <w:rFonts w:ascii="Times New Roman" w:eastAsia="Times New Roman" w:hAnsi="Times New Roman" w:cs="Times New Roman"/>
                <w:iCs/>
                <w:sz w:val="24"/>
                <w:szCs w:val="24"/>
                <w:lang w:eastAsia="lv-LV"/>
              </w:rPr>
              <w:t xml:space="preserve">Grozījumi likumā </w:t>
            </w:r>
            <w:r w:rsidR="001A58D3">
              <w:rPr>
                <w:rFonts w:ascii="Times New Roman" w:eastAsia="Times New Roman" w:hAnsi="Times New Roman" w:cs="Times New Roman"/>
                <w:iCs/>
                <w:sz w:val="24"/>
                <w:szCs w:val="24"/>
                <w:lang w:eastAsia="lv-LV"/>
              </w:rPr>
              <w:t>“</w:t>
            </w:r>
            <w:r w:rsidRPr="00183FDD">
              <w:rPr>
                <w:rFonts w:ascii="Times New Roman" w:eastAsia="Times New Roman" w:hAnsi="Times New Roman" w:cs="Times New Roman"/>
                <w:iCs/>
                <w:sz w:val="24"/>
                <w:szCs w:val="24"/>
                <w:lang w:eastAsia="lv-LV"/>
              </w:rPr>
              <w:t xml:space="preserve">Par </w:t>
            </w:r>
            <w:r w:rsidR="00AF3D09">
              <w:rPr>
                <w:rFonts w:ascii="Times New Roman" w:eastAsia="Times New Roman" w:hAnsi="Times New Roman" w:cs="Times New Roman"/>
                <w:iCs/>
                <w:sz w:val="24"/>
                <w:szCs w:val="24"/>
                <w:lang w:eastAsia="lv-LV"/>
              </w:rPr>
              <w:t>ietekmes uz vidi novērtējumu</w:t>
            </w:r>
            <w:r w:rsidRPr="00183FDD">
              <w:rPr>
                <w:rFonts w:ascii="Times New Roman" w:eastAsia="Times New Roman" w:hAnsi="Times New Roman" w:cs="Times New Roman"/>
                <w:iCs/>
                <w:sz w:val="24"/>
                <w:szCs w:val="24"/>
                <w:lang w:eastAsia="lv-LV"/>
              </w:rPr>
              <w:t>””</w:t>
            </w:r>
            <w:r w:rsidR="00BA1CEF" w:rsidRPr="00183FDD">
              <w:rPr>
                <w:rFonts w:ascii="Times New Roman" w:hAnsi="Times New Roman" w:cs="Times New Roman"/>
                <w:bCs/>
                <w:sz w:val="24"/>
                <w:szCs w:val="24"/>
              </w:rPr>
              <w:t xml:space="preserve"> (turpmāk – likumprojekts)</w:t>
            </w:r>
            <w:r w:rsidRPr="00183FDD">
              <w:rPr>
                <w:rFonts w:ascii="Times New Roman" w:eastAsia="Times New Roman" w:hAnsi="Times New Roman" w:cs="Times New Roman"/>
                <w:iCs/>
                <w:sz w:val="24"/>
                <w:szCs w:val="24"/>
                <w:lang w:eastAsia="lv-LV"/>
              </w:rPr>
              <w:t xml:space="preserve"> tiek pārņemtas Latvijas Administratīvajā pārkāpumu kodeksā </w:t>
            </w:r>
            <w:r w:rsidR="00BA1CEF" w:rsidRPr="00354BD9">
              <w:rPr>
                <w:rFonts w:ascii="Times New Roman" w:eastAsia="Times New Roman" w:hAnsi="Times New Roman" w:cs="Times New Roman"/>
                <w:iCs/>
                <w:sz w:val="24"/>
                <w:szCs w:val="24"/>
                <w:lang w:eastAsia="lv-LV"/>
              </w:rPr>
              <w:t xml:space="preserve">(turpmāk – LAPK) </w:t>
            </w:r>
            <w:r w:rsidRPr="00183FDD">
              <w:rPr>
                <w:rFonts w:ascii="Times New Roman" w:eastAsia="Times New Roman" w:hAnsi="Times New Roman" w:cs="Times New Roman"/>
                <w:iCs/>
                <w:sz w:val="24"/>
                <w:szCs w:val="24"/>
                <w:lang w:eastAsia="lv-LV"/>
              </w:rPr>
              <w:t xml:space="preserve">esošās tiesību normas </w:t>
            </w:r>
            <w:r w:rsidR="00AF3D09">
              <w:rPr>
                <w:rFonts w:ascii="Times New Roman" w:eastAsia="Times New Roman" w:hAnsi="Times New Roman" w:cs="Times New Roman"/>
                <w:iCs/>
                <w:sz w:val="24"/>
                <w:szCs w:val="24"/>
                <w:lang w:eastAsia="lv-LV"/>
              </w:rPr>
              <w:t>ietekmes uz vidi novērtējuma jomā</w:t>
            </w:r>
            <w:r w:rsidR="00741804">
              <w:rPr>
                <w:rFonts w:ascii="Times New Roman" w:eastAsia="Times New Roman" w:hAnsi="Times New Roman" w:cs="Times New Roman"/>
                <w:iCs/>
                <w:sz w:val="24"/>
                <w:szCs w:val="24"/>
                <w:lang w:eastAsia="lv-LV"/>
              </w:rPr>
              <w:t>,</w:t>
            </w:r>
            <w:r w:rsidRPr="00183FDD">
              <w:rPr>
                <w:rFonts w:ascii="Times New Roman" w:eastAsia="Times New Roman" w:hAnsi="Times New Roman" w:cs="Times New Roman"/>
                <w:iCs/>
                <w:sz w:val="24"/>
                <w:szCs w:val="24"/>
                <w:lang w:eastAsia="lv-LV"/>
              </w:rPr>
              <w:t xml:space="preserve"> precizējot pārkāpumu veidus un par tiem paredzēt</w:t>
            </w:r>
            <w:r w:rsidR="006176D0">
              <w:rPr>
                <w:rFonts w:ascii="Times New Roman" w:eastAsia="Times New Roman" w:hAnsi="Times New Roman" w:cs="Times New Roman"/>
                <w:iCs/>
                <w:sz w:val="24"/>
                <w:szCs w:val="24"/>
                <w:lang w:eastAsia="lv-LV"/>
              </w:rPr>
              <w:t>o</w:t>
            </w:r>
            <w:r w:rsidR="00FE431E">
              <w:rPr>
                <w:rFonts w:ascii="Times New Roman" w:eastAsia="Times New Roman" w:hAnsi="Times New Roman" w:cs="Times New Roman"/>
                <w:iCs/>
                <w:sz w:val="24"/>
                <w:szCs w:val="24"/>
                <w:lang w:eastAsia="lv-LV"/>
              </w:rPr>
              <w:t xml:space="preserve"> </w:t>
            </w:r>
            <w:r w:rsidR="00E33465">
              <w:rPr>
                <w:rFonts w:ascii="Times New Roman" w:eastAsia="Times New Roman" w:hAnsi="Times New Roman" w:cs="Times New Roman"/>
                <w:iCs/>
                <w:sz w:val="24"/>
                <w:szCs w:val="24"/>
                <w:lang w:eastAsia="lv-LV"/>
              </w:rPr>
              <w:t>administratīvo atbildību</w:t>
            </w:r>
            <w:r w:rsidRPr="00183FDD">
              <w:rPr>
                <w:rFonts w:ascii="Times New Roman" w:eastAsia="Times New Roman" w:hAnsi="Times New Roman" w:cs="Times New Roman"/>
                <w:iCs/>
                <w:sz w:val="24"/>
                <w:szCs w:val="24"/>
                <w:lang w:eastAsia="lv-LV"/>
              </w:rPr>
              <w:t>.</w:t>
            </w:r>
            <w:r w:rsidR="001E0836">
              <w:rPr>
                <w:rFonts w:ascii="Times New Roman" w:eastAsia="Times New Roman" w:hAnsi="Times New Roman" w:cs="Times New Roman"/>
                <w:iCs/>
                <w:sz w:val="24"/>
                <w:szCs w:val="24"/>
                <w:lang w:eastAsia="lv-LV"/>
              </w:rPr>
              <w:t xml:space="preserve"> Kompetence administratīvo pārkāpumu piemērošanai tiek noteikta Valsts vides dienestam.</w:t>
            </w:r>
            <w:r w:rsidR="00BB329B" w:rsidRPr="00183FDD">
              <w:rPr>
                <w:rFonts w:ascii="Times New Roman" w:eastAsia="Times New Roman" w:hAnsi="Times New Roman" w:cs="Times New Roman"/>
                <w:iCs/>
                <w:sz w:val="24"/>
                <w:szCs w:val="24"/>
                <w:lang w:eastAsia="lv-LV"/>
              </w:rPr>
              <w:t xml:space="preserve"> </w:t>
            </w:r>
            <w:r w:rsidR="00D01950" w:rsidRPr="00183FDD">
              <w:rPr>
                <w:rFonts w:ascii="Times New Roman" w:eastAsia="Times New Roman" w:hAnsi="Times New Roman" w:cs="Times New Roman"/>
                <w:iCs/>
                <w:sz w:val="24"/>
                <w:szCs w:val="24"/>
                <w:lang w:eastAsia="lv-LV"/>
              </w:rPr>
              <w:t>Likum</w:t>
            </w:r>
            <w:r w:rsidR="00D01950">
              <w:rPr>
                <w:rFonts w:ascii="Times New Roman" w:eastAsia="Times New Roman" w:hAnsi="Times New Roman" w:cs="Times New Roman"/>
                <w:iCs/>
                <w:sz w:val="24"/>
                <w:szCs w:val="24"/>
                <w:lang w:eastAsia="lv-LV"/>
              </w:rPr>
              <w:t xml:space="preserve">projekts </w:t>
            </w:r>
            <w:r w:rsidR="00BB329B" w:rsidRPr="00183FDD">
              <w:rPr>
                <w:rFonts w:ascii="Times New Roman" w:eastAsia="Times New Roman" w:hAnsi="Times New Roman" w:cs="Times New Roman"/>
                <w:iCs/>
                <w:sz w:val="24"/>
                <w:szCs w:val="24"/>
                <w:lang w:eastAsia="lv-LV"/>
              </w:rPr>
              <w:t xml:space="preserve">stājas spēkā vienlaikus ar </w:t>
            </w:r>
            <w:r w:rsidR="001A2B20" w:rsidRPr="00183FDD">
              <w:rPr>
                <w:rFonts w:ascii="Times New Roman" w:eastAsia="Times New Roman" w:hAnsi="Times New Roman" w:cs="Times New Roman"/>
                <w:iCs/>
                <w:sz w:val="24"/>
                <w:szCs w:val="24"/>
                <w:lang w:eastAsia="lv-LV"/>
              </w:rPr>
              <w:t>Administratīv</w:t>
            </w:r>
            <w:r w:rsidR="001A2B20">
              <w:rPr>
                <w:rFonts w:ascii="Times New Roman" w:eastAsia="Times New Roman" w:hAnsi="Times New Roman" w:cs="Times New Roman"/>
                <w:iCs/>
                <w:sz w:val="24"/>
                <w:szCs w:val="24"/>
                <w:lang w:eastAsia="lv-LV"/>
              </w:rPr>
              <w:t>ās</w:t>
            </w:r>
            <w:r w:rsidR="001A2B20" w:rsidRPr="00183FDD">
              <w:rPr>
                <w:rFonts w:ascii="Times New Roman" w:eastAsia="Times New Roman" w:hAnsi="Times New Roman" w:cs="Times New Roman"/>
                <w:iCs/>
                <w:sz w:val="24"/>
                <w:szCs w:val="24"/>
                <w:lang w:eastAsia="lv-LV"/>
              </w:rPr>
              <w:t xml:space="preserve"> </w:t>
            </w:r>
            <w:r w:rsidR="001A2B20">
              <w:rPr>
                <w:rFonts w:ascii="Times New Roman" w:eastAsia="Times New Roman" w:hAnsi="Times New Roman" w:cs="Times New Roman"/>
                <w:iCs/>
                <w:sz w:val="24"/>
                <w:szCs w:val="24"/>
                <w:lang w:eastAsia="lv-LV"/>
              </w:rPr>
              <w:t>atbildības</w:t>
            </w:r>
            <w:r w:rsidR="00BB329B" w:rsidRPr="00183FDD">
              <w:rPr>
                <w:rFonts w:ascii="Times New Roman" w:eastAsia="Times New Roman" w:hAnsi="Times New Roman" w:cs="Times New Roman"/>
                <w:iCs/>
                <w:sz w:val="24"/>
                <w:szCs w:val="24"/>
                <w:lang w:eastAsia="lv-LV"/>
              </w:rPr>
              <w:t xml:space="preserve"> likumu.</w:t>
            </w:r>
          </w:p>
        </w:tc>
      </w:tr>
    </w:tbl>
    <w:p w14:paraId="41C2CAB5" w14:textId="77777777" w:rsidR="000A1E64"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892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3061"/>
        <w:gridCol w:w="5446"/>
      </w:tblGrid>
      <w:tr w:rsidR="00E5323B" w:rsidRPr="00183FDD" w14:paraId="10FC0D83" w14:textId="77777777" w:rsidTr="001E2472">
        <w:trPr>
          <w:tblCellSpacing w:w="15" w:type="dxa"/>
        </w:trPr>
        <w:tc>
          <w:tcPr>
            <w:tcW w:w="8863" w:type="dxa"/>
            <w:gridSpan w:val="3"/>
            <w:tcBorders>
              <w:top w:val="outset" w:sz="6" w:space="0" w:color="auto"/>
              <w:left w:val="outset" w:sz="6" w:space="0" w:color="auto"/>
              <w:bottom w:val="outset" w:sz="6" w:space="0" w:color="auto"/>
              <w:right w:val="outset" w:sz="6" w:space="0" w:color="auto"/>
            </w:tcBorders>
            <w:vAlign w:val="center"/>
            <w:hideMark/>
          </w:tcPr>
          <w:p w14:paraId="68E76AE0"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I. Tiesību akta projekta izstrādes nepieciešamība</w:t>
            </w:r>
          </w:p>
        </w:tc>
      </w:tr>
      <w:tr w:rsidR="008277F1" w:rsidRPr="00183FDD" w14:paraId="6D9CB1A3"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309F10EA" w14:textId="7777777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1.</w:t>
            </w:r>
          </w:p>
        </w:tc>
        <w:tc>
          <w:tcPr>
            <w:tcW w:w="3031" w:type="dxa"/>
            <w:tcBorders>
              <w:top w:val="outset" w:sz="6" w:space="0" w:color="auto"/>
              <w:left w:val="outset" w:sz="6" w:space="0" w:color="auto"/>
              <w:bottom w:val="outset" w:sz="6" w:space="0" w:color="auto"/>
              <w:right w:val="outset" w:sz="6" w:space="0" w:color="auto"/>
            </w:tcBorders>
            <w:hideMark/>
          </w:tcPr>
          <w:p w14:paraId="6158AEEE" w14:textId="7777777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Pamatojums</w:t>
            </w:r>
          </w:p>
        </w:tc>
        <w:tc>
          <w:tcPr>
            <w:tcW w:w="5401" w:type="dxa"/>
            <w:tcBorders>
              <w:top w:val="outset" w:sz="6" w:space="0" w:color="auto"/>
              <w:left w:val="outset" w:sz="6" w:space="0" w:color="auto"/>
              <w:bottom w:val="outset" w:sz="6" w:space="0" w:color="auto"/>
              <w:right w:val="outset" w:sz="6" w:space="0" w:color="auto"/>
            </w:tcBorders>
            <w:hideMark/>
          </w:tcPr>
          <w:p w14:paraId="79836EE9" w14:textId="77777777" w:rsidR="00AF3D09" w:rsidRDefault="00794B6B" w:rsidP="003451FF">
            <w:pPr>
              <w:spacing w:after="0" w:line="240" w:lineRule="auto"/>
              <w:ind w:left="111" w:right="200"/>
              <w:jc w:val="both"/>
              <w:rPr>
                <w:rFonts w:ascii="Times New Roman" w:hAnsi="Times New Roman" w:cs="Times New Roman"/>
                <w:sz w:val="24"/>
                <w:szCs w:val="24"/>
              </w:rPr>
            </w:pPr>
            <w:r w:rsidRPr="00183FDD">
              <w:rPr>
                <w:rFonts w:ascii="Times New Roman" w:hAnsi="Times New Roman" w:cs="Times New Roman"/>
                <w:bCs/>
                <w:sz w:val="24"/>
                <w:szCs w:val="24"/>
              </w:rPr>
              <w:t xml:space="preserve">Likumprojekts izstrādāts, atbilstoši Ministru kabineta </w:t>
            </w:r>
            <w:r w:rsidRPr="00183FDD">
              <w:rPr>
                <w:rFonts w:ascii="Times New Roman" w:hAnsi="Times New Roman" w:cs="Times New Roman"/>
                <w:sz w:val="24"/>
                <w:szCs w:val="24"/>
              </w:rPr>
              <w:t xml:space="preserve">2014. gada 22. aprīļa </w:t>
            </w:r>
            <w:r w:rsidRPr="00183FDD">
              <w:rPr>
                <w:rFonts w:ascii="Times New Roman" w:hAnsi="Times New Roman" w:cs="Times New Roman"/>
                <w:bCs/>
                <w:sz w:val="24"/>
                <w:szCs w:val="24"/>
              </w:rPr>
              <w:t>sēdes protokola</w:t>
            </w:r>
            <w:r w:rsidRPr="00183FDD">
              <w:rPr>
                <w:rFonts w:ascii="Times New Roman" w:hAnsi="Times New Roman" w:cs="Times New Roman"/>
                <w:sz w:val="24"/>
                <w:szCs w:val="24"/>
              </w:rPr>
              <w:t xml:space="preserve"> Nr. 24 26. §</w:t>
            </w:r>
            <w:r w:rsidRPr="00183FDD">
              <w:rPr>
                <w:rFonts w:ascii="Times New Roman" w:hAnsi="Times New Roman" w:cs="Times New Roman"/>
                <w:bCs/>
                <w:sz w:val="24"/>
                <w:szCs w:val="24"/>
              </w:rPr>
              <w:t xml:space="preserve"> </w:t>
            </w:r>
            <w:r w:rsidRPr="00183FDD">
              <w:rPr>
                <w:rFonts w:ascii="Times New Roman" w:hAnsi="Times New Roman" w:cs="Times New Roman"/>
                <w:sz w:val="24"/>
                <w:szCs w:val="24"/>
              </w:rPr>
              <w:t>“Informatīvais ziņojums “Nozaru administratīvo pārkāpumu kodifikācijas ieviešanas sistēm</w:t>
            </w:r>
            <w:r w:rsidRPr="009A193B">
              <w:rPr>
                <w:rFonts w:ascii="Times New Roman" w:hAnsi="Times New Roman" w:cs="Times New Roman"/>
                <w:sz w:val="24"/>
                <w:szCs w:val="24"/>
              </w:rPr>
              <w:t xml:space="preserve">a”” </w:t>
            </w:r>
            <w:r w:rsidRPr="00183FDD">
              <w:rPr>
                <w:rFonts w:ascii="Times New Roman" w:hAnsi="Times New Roman" w:cs="Times New Roman"/>
                <w:sz w:val="24"/>
                <w:szCs w:val="24"/>
              </w:rPr>
              <w:t>2.</w:t>
            </w:r>
            <w:r>
              <w:rPr>
                <w:rFonts w:ascii="Times New Roman" w:hAnsi="Times New Roman" w:cs="Times New Roman"/>
                <w:sz w:val="24"/>
                <w:szCs w:val="24"/>
              </w:rPr>
              <w:t> punktā dotajam uzdevumam, Ministru kabineta 2018. gada 18. decembra sēde protokola Nr. 60 98</w:t>
            </w:r>
            <w:r w:rsidRPr="00183FDD">
              <w:rPr>
                <w:rFonts w:ascii="Times New Roman" w:hAnsi="Times New Roman" w:cs="Times New Roman"/>
                <w:sz w:val="24"/>
                <w:szCs w:val="24"/>
              </w:rPr>
              <w:t>. §</w:t>
            </w:r>
            <w:r w:rsidRPr="00183FDD">
              <w:rPr>
                <w:rFonts w:ascii="Times New Roman" w:hAnsi="Times New Roman" w:cs="Times New Roman"/>
                <w:bCs/>
                <w:sz w:val="24"/>
                <w:szCs w:val="24"/>
              </w:rPr>
              <w:t xml:space="preserve"> </w:t>
            </w:r>
            <w:r w:rsidRPr="00183FDD">
              <w:rPr>
                <w:rFonts w:ascii="Times New Roman" w:hAnsi="Times New Roman" w:cs="Times New Roman"/>
                <w:sz w:val="24"/>
                <w:szCs w:val="24"/>
              </w:rPr>
              <w:t>“Informatīvais ziņojums</w:t>
            </w:r>
            <w:r>
              <w:rPr>
                <w:rFonts w:ascii="Times New Roman" w:hAnsi="Times New Roman" w:cs="Times New Roman"/>
                <w:sz w:val="24"/>
                <w:szCs w:val="24"/>
              </w:rPr>
              <w:t xml:space="preserve"> “Nozaru administratīvo pārkāpumu kodifikācijas ieviešanas sistēmas īstenošana”” 4. punktā dotajam uzdevumam, un Valsts sekretāru sanāksmes 2019. </w:t>
            </w:r>
            <w:r w:rsidRPr="00741804">
              <w:rPr>
                <w:rFonts w:ascii="Times New Roman" w:hAnsi="Times New Roman" w:cs="Times New Roman"/>
                <w:sz w:val="24"/>
                <w:szCs w:val="24"/>
              </w:rPr>
              <w:t>gada 6. jūnija protokola Nr. 22 45. </w:t>
            </w:r>
            <w:r w:rsidRPr="00415663">
              <w:rPr>
                <w:rFonts w:ascii="Times New Roman" w:hAnsi="Times New Roman" w:cs="Times New Roman"/>
                <w:sz w:val="24"/>
                <w:szCs w:val="24"/>
              </w:rPr>
              <w:t>§</w:t>
            </w:r>
            <w:r w:rsidRPr="00741804">
              <w:rPr>
                <w:rFonts w:ascii="Times New Roman" w:hAnsi="Times New Roman" w:cs="Times New Roman"/>
                <w:sz w:val="24"/>
                <w:szCs w:val="24"/>
              </w:rPr>
              <w:t xml:space="preserve"> “Par nozaru administratīvo pārkāpumu kodifikācijas likumprojektu virzību” 2.</w:t>
            </w:r>
            <w:r w:rsidRPr="00415663">
              <w:rPr>
                <w:rFonts w:ascii="Times New Roman" w:hAnsi="Times New Roman" w:cs="Times New Roman"/>
                <w:sz w:val="24"/>
                <w:szCs w:val="24"/>
              </w:rPr>
              <w:t> punktā dotajam uzdevumam.</w:t>
            </w:r>
          </w:p>
          <w:p w14:paraId="223BDD12" w14:textId="258392F0" w:rsidR="006118C1" w:rsidRPr="000344DB" w:rsidRDefault="006118C1" w:rsidP="003451FF">
            <w:pPr>
              <w:spacing w:after="0" w:line="240" w:lineRule="auto"/>
              <w:ind w:left="111" w:right="200"/>
              <w:jc w:val="both"/>
              <w:rPr>
                <w:rFonts w:ascii="Times New Roman" w:hAnsi="Times New Roman" w:cs="Times New Roman"/>
                <w:sz w:val="24"/>
                <w:szCs w:val="24"/>
              </w:rPr>
            </w:pPr>
            <w:r w:rsidRPr="008F03F3">
              <w:rPr>
                <w:rFonts w:ascii="Times New Roman" w:hAnsi="Times New Roman"/>
                <w:sz w:val="24"/>
                <w:szCs w:val="24"/>
              </w:rPr>
              <w:t>Ministru kabineta 2019. gada 26. novembra sēdes protokola Nr. 55 38. § “Likumprojekts “Grozījumi Administratīvās atbildības likumā””</w:t>
            </w:r>
            <w:r>
              <w:rPr>
                <w:rFonts w:ascii="Times New Roman" w:hAnsi="Times New Roman"/>
                <w:sz w:val="24"/>
                <w:szCs w:val="24"/>
              </w:rPr>
              <w:t xml:space="preserve"> 4. punkts.</w:t>
            </w:r>
          </w:p>
        </w:tc>
      </w:tr>
      <w:tr w:rsidR="008277F1" w:rsidRPr="00183FDD" w14:paraId="2CF41697"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2F57999A" w14:textId="7777777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2.</w:t>
            </w:r>
          </w:p>
        </w:tc>
        <w:tc>
          <w:tcPr>
            <w:tcW w:w="3031" w:type="dxa"/>
            <w:tcBorders>
              <w:top w:val="outset" w:sz="6" w:space="0" w:color="auto"/>
              <w:left w:val="outset" w:sz="6" w:space="0" w:color="auto"/>
              <w:bottom w:val="outset" w:sz="6" w:space="0" w:color="auto"/>
              <w:right w:val="outset" w:sz="6" w:space="0" w:color="auto"/>
            </w:tcBorders>
            <w:hideMark/>
          </w:tcPr>
          <w:p w14:paraId="4EAC6543" w14:textId="77777777" w:rsidR="009A193B"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6B59DA5" w14:textId="77777777" w:rsidR="009A193B" w:rsidRPr="00EE0603" w:rsidRDefault="009A193B" w:rsidP="009A193B">
            <w:pPr>
              <w:rPr>
                <w:rFonts w:ascii="Times New Roman" w:eastAsia="Times New Roman" w:hAnsi="Times New Roman" w:cs="Times New Roman"/>
                <w:sz w:val="24"/>
                <w:szCs w:val="24"/>
                <w:lang w:eastAsia="lv-LV"/>
              </w:rPr>
            </w:pPr>
          </w:p>
          <w:p w14:paraId="406DA8C5" w14:textId="77777777" w:rsidR="009A193B" w:rsidRPr="00EE0603" w:rsidRDefault="009A193B" w:rsidP="009A193B">
            <w:pPr>
              <w:rPr>
                <w:rFonts w:ascii="Times New Roman" w:eastAsia="Times New Roman" w:hAnsi="Times New Roman" w:cs="Times New Roman"/>
                <w:sz w:val="24"/>
                <w:szCs w:val="24"/>
                <w:lang w:eastAsia="lv-LV"/>
              </w:rPr>
            </w:pPr>
          </w:p>
          <w:p w14:paraId="49F061A3" w14:textId="77777777" w:rsidR="009A193B" w:rsidRPr="00EE0603" w:rsidRDefault="009A193B" w:rsidP="009A193B">
            <w:pPr>
              <w:rPr>
                <w:rFonts w:ascii="Times New Roman" w:eastAsia="Times New Roman" w:hAnsi="Times New Roman" w:cs="Times New Roman"/>
                <w:sz w:val="24"/>
                <w:szCs w:val="24"/>
                <w:lang w:eastAsia="lv-LV"/>
              </w:rPr>
            </w:pPr>
          </w:p>
          <w:p w14:paraId="25DE7C6A" w14:textId="77777777" w:rsidR="009A193B" w:rsidRPr="00EE0603" w:rsidRDefault="009A193B" w:rsidP="009A193B">
            <w:pPr>
              <w:rPr>
                <w:rFonts w:ascii="Times New Roman" w:eastAsia="Times New Roman" w:hAnsi="Times New Roman" w:cs="Times New Roman"/>
                <w:sz w:val="24"/>
                <w:szCs w:val="24"/>
                <w:lang w:eastAsia="lv-LV"/>
              </w:rPr>
            </w:pPr>
          </w:p>
          <w:p w14:paraId="6357ABF2" w14:textId="77777777" w:rsidR="009A193B" w:rsidRPr="00EE0603" w:rsidRDefault="009A193B" w:rsidP="009A193B">
            <w:pPr>
              <w:rPr>
                <w:rFonts w:ascii="Times New Roman" w:eastAsia="Times New Roman" w:hAnsi="Times New Roman" w:cs="Times New Roman"/>
                <w:sz w:val="24"/>
                <w:szCs w:val="24"/>
                <w:lang w:eastAsia="lv-LV"/>
              </w:rPr>
            </w:pPr>
          </w:p>
          <w:p w14:paraId="356C6105" w14:textId="77777777" w:rsidR="009A193B" w:rsidRPr="00EE0603" w:rsidRDefault="009A193B" w:rsidP="009A193B">
            <w:pPr>
              <w:rPr>
                <w:rFonts w:ascii="Times New Roman" w:eastAsia="Times New Roman" w:hAnsi="Times New Roman" w:cs="Times New Roman"/>
                <w:sz w:val="24"/>
                <w:szCs w:val="24"/>
                <w:lang w:eastAsia="lv-LV"/>
              </w:rPr>
            </w:pPr>
          </w:p>
          <w:p w14:paraId="19D2CB32" w14:textId="77777777" w:rsidR="009A193B" w:rsidRPr="00EE0603" w:rsidRDefault="009A193B" w:rsidP="009A193B">
            <w:pPr>
              <w:rPr>
                <w:rFonts w:ascii="Times New Roman" w:eastAsia="Times New Roman" w:hAnsi="Times New Roman" w:cs="Times New Roman"/>
                <w:sz w:val="24"/>
                <w:szCs w:val="24"/>
                <w:lang w:eastAsia="lv-LV"/>
              </w:rPr>
            </w:pPr>
          </w:p>
          <w:p w14:paraId="46C9F07D" w14:textId="391C2DE3" w:rsidR="003C3426" w:rsidRPr="00EE0603" w:rsidRDefault="009A193B" w:rsidP="009A193B">
            <w:pPr>
              <w:tabs>
                <w:tab w:val="left" w:pos="1018"/>
              </w:tabs>
              <w:rPr>
                <w:rFonts w:ascii="Times New Roman" w:eastAsia="Times New Roman" w:hAnsi="Times New Roman" w:cs="Times New Roman"/>
                <w:sz w:val="24"/>
                <w:szCs w:val="24"/>
                <w:lang w:eastAsia="lv-LV"/>
              </w:rPr>
            </w:pPr>
            <w:r w:rsidRPr="00EE0603">
              <w:rPr>
                <w:rFonts w:ascii="Times New Roman" w:eastAsia="Times New Roman" w:hAnsi="Times New Roman" w:cs="Times New Roman"/>
                <w:sz w:val="24"/>
                <w:szCs w:val="24"/>
                <w:lang w:eastAsia="lv-LV"/>
              </w:rPr>
              <w:tab/>
            </w:r>
          </w:p>
          <w:p w14:paraId="1D43AC48" w14:textId="77777777" w:rsidR="003C3426" w:rsidRPr="00EE0603" w:rsidRDefault="003C3426" w:rsidP="003C3426">
            <w:pPr>
              <w:rPr>
                <w:rFonts w:ascii="Times New Roman" w:eastAsia="Times New Roman" w:hAnsi="Times New Roman" w:cs="Times New Roman"/>
                <w:sz w:val="24"/>
                <w:szCs w:val="24"/>
                <w:lang w:eastAsia="lv-LV"/>
              </w:rPr>
            </w:pPr>
          </w:p>
          <w:p w14:paraId="32DB1337" w14:textId="77777777" w:rsidR="003C3426" w:rsidRPr="00EE0603" w:rsidRDefault="003C3426" w:rsidP="003C3426">
            <w:pPr>
              <w:rPr>
                <w:rFonts w:ascii="Times New Roman" w:eastAsia="Times New Roman" w:hAnsi="Times New Roman" w:cs="Times New Roman"/>
                <w:sz w:val="24"/>
                <w:szCs w:val="24"/>
                <w:lang w:eastAsia="lv-LV"/>
              </w:rPr>
            </w:pPr>
          </w:p>
          <w:p w14:paraId="69A4E2D7" w14:textId="77777777" w:rsidR="003C3426" w:rsidRPr="00EE0603" w:rsidRDefault="003C3426" w:rsidP="003C3426">
            <w:pPr>
              <w:rPr>
                <w:rFonts w:ascii="Times New Roman" w:eastAsia="Times New Roman" w:hAnsi="Times New Roman" w:cs="Times New Roman"/>
                <w:sz w:val="24"/>
                <w:szCs w:val="24"/>
                <w:lang w:eastAsia="lv-LV"/>
              </w:rPr>
            </w:pPr>
          </w:p>
          <w:p w14:paraId="7A428818" w14:textId="77777777" w:rsidR="003C3426" w:rsidRPr="00EE0603" w:rsidRDefault="003C3426" w:rsidP="003C3426">
            <w:pPr>
              <w:rPr>
                <w:rFonts w:ascii="Times New Roman" w:eastAsia="Times New Roman" w:hAnsi="Times New Roman" w:cs="Times New Roman"/>
                <w:sz w:val="24"/>
                <w:szCs w:val="24"/>
                <w:lang w:eastAsia="lv-LV"/>
              </w:rPr>
            </w:pPr>
          </w:p>
          <w:p w14:paraId="7BA5ACE4" w14:textId="77777777" w:rsidR="003C3426" w:rsidRPr="00EE0603" w:rsidRDefault="003C3426" w:rsidP="003C3426">
            <w:pPr>
              <w:rPr>
                <w:rFonts w:ascii="Times New Roman" w:eastAsia="Times New Roman" w:hAnsi="Times New Roman" w:cs="Times New Roman"/>
                <w:sz w:val="24"/>
                <w:szCs w:val="24"/>
                <w:lang w:eastAsia="lv-LV"/>
              </w:rPr>
            </w:pPr>
          </w:p>
          <w:p w14:paraId="34C24E4E" w14:textId="77777777" w:rsidR="003C3426" w:rsidRPr="00EE0603" w:rsidRDefault="003C3426" w:rsidP="003C3426">
            <w:pPr>
              <w:rPr>
                <w:rFonts w:ascii="Times New Roman" w:eastAsia="Times New Roman" w:hAnsi="Times New Roman" w:cs="Times New Roman"/>
                <w:sz w:val="24"/>
                <w:szCs w:val="24"/>
                <w:lang w:eastAsia="lv-LV"/>
              </w:rPr>
            </w:pPr>
          </w:p>
          <w:p w14:paraId="2A9904C5" w14:textId="77777777" w:rsidR="003C3426" w:rsidRPr="00EE0603" w:rsidRDefault="003C3426" w:rsidP="003C3426">
            <w:pPr>
              <w:rPr>
                <w:rFonts w:ascii="Times New Roman" w:eastAsia="Times New Roman" w:hAnsi="Times New Roman" w:cs="Times New Roman"/>
                <w:sz w:val="24"/>
                <w:szCs w:val="24"/>
                <w:lang w:eastAsia="lv-LV"/>
              </w:rPr>
            </w:pPr>
          </w:p>
          <w:p w14:paraId="27A5061F" w14:textId="77777777" w:rsidR="003C3426" w:rsidRPr="00EE0603" w:rsidRDefault="003C3426" w:rsidP="003C3426">
            <w:pPr>
              <w:rPr>
                <w:rFonts w:ascii="Times New Roman" w:eastAsia="Times New Roman" w:hAnsi="Times New Roman" w:cs="Times New Roman"/>
                <w:sz w:val="24"/>
                <w:szCs w:val="24"/>
                <w:lang w:eastAsia="lv-LV"/>
              </w:rPr>
            </w:pPr>
          </w:p>
          <w:p w14:paraId="773D4786" w14:textId="77777777" w:rsidR="003C3426" w:rsidRPr="00EE0603" w:rsidRDefault="003C3426" w:rsidP="003C3426">
            <w:pPr>
              <w:rPr>
                <w:rFonts w:ascii="Times New Roman" w:eastAsia="Times New Roman" w:hAnsi="Times New Roman" w:cs="Times New Roman"/>
                <w:sz w:val="24"/>
                <w:szCs w:val="24"/>
                <w:lang w:eastAsia="lv-LV"/>
              </w:rPr>
            </w:pPr>
          </w:p>
          <w:p w14:paraId="316E43F3" w14:textId="77777777" w:rsidR="003C3426" w:rsidRPr="00EE0603" w:rsidRDefault="003C3426" w:rsidP="003C3426">
            <w:pPr>
              <w:rPr>
                <w:rFonts w:ascii="Times New Roman" w:eastAsia="Times New Roman" w:hAnsi="Times New Roman" w:cs="Times New Roman"/>
                <w:sz w:val="24"/>
                <w:szCs w:val="24"/>
                <w:lang w:eastAsia="lv-LV"/>
              </w:rPr>
            </w:pPr>
          </w:p>
          <w:p w14:paraId="7B9DB32B" w14:textId="77777777" w:rsidR="003C3426" w:rsidRPr="00EE0603" w:rsidRDefault="003C3426" w:rsidP="003C3426">
            <w:pPr>
              <w:rPr>
                <w:rFonts w:ascii="Times New Roman" w:eastAsia="Times New Roman" w:hAnsi="Times New Roman" w:cs="Times New Roman"/>
                <w:sz w:val="24"/>
                <w:szCs w:val="24"/>
                <w:lang w:eastAsia="lv-LV"/>
              </w:rPr>
            </w:pPr>
          </w:p>
          <w:p w14:paraId="091921F4" w14:textId="6E317D38" w:rsidR="008277F1" w:rsidRPr="00EE0603" w:rsidRDefault="008277F1" w:rsidP="003C3426">
            <w:pPr>
              <w:ind w:firstLine="720"/>
              <w:rPr>
                <w:rFonts w:ascii="Times New Roman" w:eastAsia="Times New Roman" w:hAnsi="Times New Roman" w:cs="Times New Roman"/>
                <w:sz w:val="24"/>
                <w:szCs w:val="24"/>
                <w:lang w:eastAsia="lv-LV"/>
              </w:rPr>
            </w:pPr>
          </w:p>
        </w:tc>
        <w:tc>
          <w:tcPr>
            <w:tcW w:w="5401" w:type="dxa"/>
            <w:tcBorders>
              <w:top w:val="outset" w:sz="6" w:space="0" w:color="auto"/>
              <w:left w:val="outset" w:sz="6" w:space="0" w:color="auto"/>
              <w:bottom w:val="outset" w:sz="6" w:space="0" w:color="auto"/>
              <w:right w:val="outset" w:sz="6" w:space="0" w:color="auto"/>
            </w:tcBorders>
            <w:hideMark/>
          </w:tcPr>
          <w:p w14:paraId="4C1BD582" w14:textId="77777777" w:rsidR="00401725" w:rsidRPr="00044840" w:rsidRDefault="00401725" w:rsidP="003451FF">
            <w:pPr>
              <w:spacing w:after="120" w:line="240" w:lineRule="auto"/>
              <w:ind w:left="111"/>
              <w:jc w:val="both"/>
              <w:rPr>
                <w:rFonts w:ascii="Times New Roman" w:hAnsi="Times New Roman" w:cs="Times New Roman"/>
                <w:sz w:val="24"/>
                <w:szCs w:val="24"/>
              </w:rPr>
            </w:pPr>
            <w:r w:rsidRPr="00044840">
              <w:rPr>
                <w:rFonts w:ascii="Times New Roman" w:hAnsi="Times New Roman" w:cs="Times New Roman"/>
                <w:i/>
                <w:sz w:val="24"/>
                <w:szCs w:val="24"/>
              </w:rPr>
              <w:lastRenderedPageBreak/>
              <w:t xml:space="preserve">Pašreizējā </w:t>
            </w:r>
            <w:r w:rsidRPr="00CB3733">
              <w:rPr>
                <w:rFonts w:ascii="Times New Roman" w:hAnsi="Times New Roman" w:cs="Times New Roman"/>
                <w:i/>
                <w:sz w:val="24"/>
                <w:szCs w:val="24"/>
              </w:rPr>
              <w:t>situācij</w:t>
            </w:r>
            <w:r w:rsidRPr="00044840">
              <w:rPr>
                <w:rFonts w:ascii="Times New Roman" w:hAnsi="Times New Roman" w:cs="Times New Roman"/>
                <w:i/>
                <w:sz w:val="24"/>
                <w:szCs w:val="24"/>
              </w:rPr>
              <w:t>a un problēmas</w:t>
            </w:r>
          </w:p>
          <w:p w14:paraId="62DABDDB" w14:textId="549A71D4" w:rsidR="008277F1" w:rsidRPr="00527DB6" w:rsidRDefault="008277F1" w:rsidP="7B791600">
            <w:pPr>
              <w:pStyle w:val="FootnoteText"/>
              <w:spacing w:after="120"/>
              <w:ind w:left="111" w:right="200"/>
              <w:jc w:val="both"/>
              <w:rPr>
                <w:sz w:val="24"/>
                <w:szCs w:val="24"/>
              </w:rPr>
            </w:pPr>
            <w:r w:rsidRPr="7B791600">
              <w:rPr>
                <w:sz w:val="24"/>
                <w:szCs w:val="24"/>
              </w:rPr>
              <w:t>2014. gada 22. aprīlī Ministru kabinetā tika apstiprināts informatīvais ziņojums “Nozaru administratīvo pārkāpumu kodifikācija</w:t>
            </w:r>
            <w:r w:rsidR="001A58D3" w:rsidRPr="7B791600">
              <w:rPr>
                <w:sz w:val="24"/>
                <w:szCs w:val="24"/>
              </w:rPr>
              <w:t>s ievieša</w:t>
            </w:r>
            <w:r w:rsidR="000344DB" w:rsidRPr="7B791600">
              <w:rPr>
                <w:sz w:val="24"/>
                <w:szCs w:val="24"/>
              </w:rPr>
              <w:t>n</w:t>
            </w:r>
            <w:r w:rsidR="001A58D3" w:rsidRPr="7B791600">
              <w:rPr>
                <w:sz w:val="24"/>
                <w:szCs w:val="24"/>
              </w:rPr>
              <w:t>as</w:t>
            </w:r>
            <w:r w:rsidRPr="7B791600">
              <w:rPr>
                <w:sz w:val="24"/>
                <w:szCs w:val="24"/>
              </w:rPr>
              <w:t xml:space="preserve"> sistēma” (prot. nr. 24, 26. §)</w:t>
            </w:r>
            <w:r w:rsidR="009A193B" w:rsidRPr="7B791600">
              <w:rPr>
                <w:sz w:val="24"/>
                <w:szCs w:val="24"/>
              </w:rPr>
              <w:t xml:space="preserve"> (turpmāk – </w:t>
            </w:r>
            <w:proofErr w:type="spellStart"/>
            <w:r w:rsidR="009A193B" w:rsidRPr="7B791600">
              <w:rPr>
                <w:sz w:val="24"/>
                <w:szCs w:val="24"/>
              </w:rPr>
              <w:t>Protokollēmums</w:t>
            </w:r>
            <w:proofErr w:type="spellEnd"/>
            <w:r w:rsidR="009A193B" w:rsidRPr="7B791600">
              <w:rPr>
                <w:sz w:val="24"/>
                <w:szCs w:val="24"/>
              </w:rPr>
              <w:t>)</w:t>
            </w:r>
            <w:r w:rsidRPr="7B791600">
              <w:rPr>
                <w:sz w:val="24"/>
                <w:szCs w:val="24"/>
              </w:rPr>
              <w:t xml:space="preserve">, </w:t>
            </w:r>
            <w:proofErr w:type="gramStart"/>
            <w:r w:rsidRPr="7B791600">
              <w:rPr>
                <w:sz w:val="24"/>
                <w:szCs w:val="24"/>
              </w:rPr>
              <w:t>saskaņā ar kuru</w:t>
            </w:r>
            <w:proofErr w:type="gramEnd"/>
            <w:r w:rsidRPr="7B791600">
              <w:rPr>
                <w:sz w:val="24"/>
                <w:szCs w:val="24"/>
              </w:rPr>
              <w:t xml:space="preserve"> informatīvā ziņojuma 1. pielikumā minētajām ministrijām ir pienākums to kompetencē esošajos nozares likumos izstrādāt grozījumus, lai tajos tiktu ietverti administratīvie pārkāpumi un kompetentās iestādes par administratīvo sodu piemērošanu, </w:t>
            </w:r>
            <w:r w:rsidR="002255D1" w:rsidRPr="7B791600">
              <w:rPr>
                <w:sz w:val="24"/>
                <w:szCs w:val="24"/>
              </w:rPr>
              <w:t>pamatojoties uz to</w:t>
            </w:r>
            <w:r w:rsidRPr="7B791600">
              <w:rPr>
                <w:sz w:val="24"/>
                <w:szCs w:val="24"/>
              </w:rPr>
              <w:t xml:space="preserve">, ka LAPK </w:t>
            </w:r>
            <w:r w:rsidR="002255D1" w:rsidRPr="7B791600">
              <w:rPr>
                <w:sz w:val="24"/>
                <w:szCs w:val="24"/>
              </w:rPr>
              <w:t>zaudēs spēku</w:t>
            </w:r>
            <w:r w:rsidRPr="7B791600">
              <w:rPr>
                <w:sz w:val="24"/>
                <w:szCs w:val="24"/>
              </w:rPr>
              <w:t xml:space="preserve">. </w:t>
            </w:r>
          </w:p>
          <w:p w14:paraId="7CB26E65" w14:textId="08D25366" w:rsidR="008277F1" w:rsidRDefault="008277F1" w:rsidP="003451FF">
            <w:pPr>
              <w:pStyle w:val="FootnoteText"/>
              <w:spacing w:after="120"/>
              <w:ind w:left="111" w:right="200"/>
              <w:jc w:val="both"/>
              <w:rPr>
                <w:sz w:val="24"/>
                <w:szCs w:val="24"/>
              </w:rPr>
            </w:pPr>
            <w:r w:rsidRPr="00527DB6">
              <w:rPr>
                <w:sz w:val="24"/>
                <w:szCs w:val="24"/>
              </w:rPr>
              <w:lastRenderedPageBreak/>
              <w:t>Saskaņā ar Ministru kabineta 2013. gada 4. februāra rīkojum</w:t>
            </w:r>
            <w:r w:rsidR="005C6F7B">
              <w:rPr>
                <w:sz w:val="24"/>
                <w:szCs w:val="24"/>
              </w:rPr>
              <w:t>a</w:t>
            </w:r>
            <w:r w:rsidRPr="00527DB6">
              <w:rPr>
                <w:sz w:val="24"/>
                <w:szCs w:val="24"/>
              </w:rPr>
              <w:t xml:space="preserve"> Nr. 38 “Par Administratīvo sodu sistēmas attīstības koncepciju”</w:t>
            </w:r>
            <w:r w:rsidR="005C6F7B">
              <w:rPr>
                <w:sz w:val="24"/>
                <w:szCs w:val="24"/>
              </w:rPr>
              <w:t xml:space="preserve"> 1. </w:t>
            </w:r>
            <w:proofErr w:type="gramStart"/>
            <w:r w:rsidR="005C6F7B">
              <w:rPr>
                <w:sz w:val="24"/>
                <w:szCs w:val="24"/>
              </w:rPr>
              <w:t>punktu</w:t>
            </w:r>
            <w:r w:rsidRPr="00527DB6">
              <w:rPr>
                <w:sz w:val="24"/>
                <w:szCs w:val="24"/>
              </w:rPr>
              <w:t xml:space="preserve"> atbalstīti Administratīvo</w:t>
            </w:r>
            <w:proofErr w:type="gramEnd"/>
            <w:r w:rsidRPr="00527DB6">
              <w:rPr>
                <w:sz w:val="24"/>
                <w:szCs w:val="24"/>
              </w:rPr>
              <w:t xml:space="preserve"> sodu sistēmas attīstības koncepcijas kopsavilkumā ietvertie risinājumi, t.sk., paredzot nozaru kodifikāciju.</w:t>
            </w:r>
          </w:p>
          <w:p w14:paraId="644211D9" w14:textId="3F70EF4F" w:rsidR="000344DB" w:rsidRDefault="000344DB" w:rsidP="003451FF">
            <w:pPr>
              <w:pStyle w:val="FootnoteText"/>
              <w:spacing w:after="120"/>
              <w:ind w:left="111" w:right="200"/>
              <w:jc w:val="both"/>
              <w:rPr>
                <w:sz w:val="24"/>
                <w:szCs w:val="24"/>
              </w:rPr>
            </w:pPr>
            <w:r w:rsidRPr="00183FDD">
              <w:rPr>
                <w:sz w:val="24"/>
                <w:szCs w:val="24"/>
              </w:rPr>
              <w:t>201</w:t>
            </w:r>
            <w:r>
              <w:rPr>
                <w:sz w:val="24"/>
                <w:szCs w:val="24"/>
              </w:rPr>
              <w:t>8. gada 18</w:t>
            </w:r>
            <w:r w:rsidRPr="00183FDD">
              <w:rPr>
                <w:sz w:val="24"/>
                <w:szCs w:val="24"/>
              </w:rPr>
              <w:t>. </w:t>
            </w:r>
            <w:r>
              <w:rPr>
                <w:sz w:val="24"/>
                <w:szCs w:val="24"/>
              </w:rPr>
              <w:t>decembrī</w:t>
            </w:r>
            <w:r w:rsidRPr="00183FDD">
              <w:rPr>
                <w:sz w:val="24"/>
                <w:szCs w:val="24"/>
              </w:rPr>
              <w:t xml:space="preserve"> Ministru kabinetā tika apstiprināts informatīvais ziņojums </w:t>
            </w:r>
            <w:r w:rsidRPr="00183FDD">
              <w:rPr>
                <w:bCs/>
                <w:sz w:val="24"/>
                <w:szCs w:val="24"/>
              </w:rPr>
              <w:t>“</w:t>
            </w:r>
            <w:r w:rsidRPr="00183FDD">
              <w:rPr>
                <w:sz w:val="24"/>
                <w:szCs w:val="24"/>
              </w:rPr>
              <w:t>Nozaru administratīvo pārkāpumu kodifikācija</w:t>
            </w:r>
            <w:r>
              <w:rPr>
                <w:sz w:val="24"/>
                <w:szCs w:val="24"/>
              </w:rPr>
              <w:t>s ieviešanas</w:t>
            </w:r>
            <w:r w:rsidRPr="00183FDD">
              <w:rPr>
                <w:sz w:val="24"/>
                <w:szCs w:val="24"/>
              </w:rPr>
              <w:t xml:space="preserve"> sistēma</w:t>
            </w:r>
            <w:r>
              <w:rPr>
                <w:sz w:val="24"/>
                <w:szCs w:val="24"/>
              </w:rPr>
              <w:t xml:space="preserve">s </w:t>
            </w:r>
            <w:r w:rsidRPr="003269E7">
              <w:rPr>
                <w:sz w:val="24"/>
                <w:szCs w:val="24"/>
              </w:rPr>
              <w:t xml:space="preserve">īstenošana” (prot. nr. 60, 98. §), </w:t>
            </w:r>
            <w:proofErr w:type="gramStart"/>
            <w:r w:rsidRPr="003269E7">
              <w:rPr>
                <w:sz w:val="24"/>
                <w:szCs w:val="24"/>
              </w:rPr>
              <w:t>saskaņā ar kuru</w:t>
            </w:r>
            <w:proofErr w:type="gramEnd"/>
            <w:r w:rsidRPr="003269E7">
              <w:rPr>
                <w:sz w:val="24"/>
                <w:szCs w:val="24"/>
              </w:rPr>
              <w:t xml:space="preserve"> </w:t>
            </w:r>
            <w:r w:rsidR="003269E7" w:rsidRPr="003269E7">
              <w:rPr>
                <w:sz w:val="24"/>
                <w:szCs w:val="24"/>
              </w:rPr>
              <w:t xml:space="preserve">likumprojektus, kuri izskatīti Tieslietu ministrijas izveidotajā Latvijas </w:t>
            </w:r>
            <w:r w:rsidR="003269E7" w:rsidRPr="00F00FDE">
              <w:rPr>
                <w:sz w:val="24"/>
                <w:szCs w:val="24"/>
              </w:rPr>
              <w:t>Administratīvo pārkāpumu kodeksa pastāvīgajā darba grupā (turpmāk – darba grupa)</w:t>
            </w:r>
            <w:r w:rsidR="00741804">
              <w:rPr>
                <w:sz w:val="24"/>
                <w:szCs w:val="24"/>
              </w:rPr>
              <w:t>,</w:t>
            </w:r>
            <w:r w:rsidR="003269E7" w:rsidRPr="00F00FDE">
              <w:rPr>
                <w:sz w:val="24"/>
                <w:szCs w:val="24"/>
              </w:rPr>
              <w:t xml:space="preserve"> pieteikt izsludināšanai</w:t>
            </w:r>
            <w:r w:rsidR="003269E7" w:rsidRPr="003269E7">
              <w:rPr>
                <w:sz w:val="24"/>
                <w:szCs w:val="24"/>
              </w:rPr>
              <w:t xml:space="preserve"> Valsts sekretāru sanāksmē līdz 2019.</w:t>
            </w:r>
            <w:r w:rsidR="005F200F">
              <w:rPr>
                <w:sz w:val="24"/>
                <w:szCs w:val="24"/>
              </w:rPr>
              <w:t> </w:t>
            </w:r>
            <w:r w:rsidR="003269E7" w:rsidRPr="003269E7">
              <w:rPr>
                <w:sz w:val="24"/>
                <w:szCs w:val="24"/>
              </w:rPr>
              <w:t>gada 1.</w:t>
            </w:r>
            <w:r w:rsidR="005F200F">
              <w:rPr>
                <w:sz w:val="24"/>
                <w:szCs w:val="24"/>
              </w:rPr>
              <w:t> </w:t>
            </w:r>
            <w:r w:rsidR="003269E7" w:rsidRPr="003269E7">
              <w:rPr>
                <w:sz w:val="24"/>
                <w:szCs w:val="24"/>
              </w:rPr>
              <w:t>februārim.</w:t>
            </w:r>
          </w:p>
          <w:p w14:paraId="55B3A718" w14:textId="77777777" w:rsidR="00E754F1" w:rsidRDefault="009A193B" w:rsidP="00E754F1">
            <w:pPr>
              <w:pStyle w:val="FootnoteText"/>
              <w:ind w:left="111" w:right="180"/>
              <w:jc w:val="both"/>
              <w:rPr>
                <w:sz w:val="24"/>
                <w:szCs w:val="24"/>
              </w:rPr>
            </w:pPr>
            <w:r w:rsidRPr="009A193B">
              <w:rPr>
                <w:sz w:val="24"/>
                <w:szCs w:val="24"/>
              </w:rPr>
              <w:t>Protokollēmuma 2.1.</w:t>
            </w:r>
            <w:r w:rsidR="00B042EC">
              <w:rPr>
                <w:sz w:val="24"/>
                <w:szCs w:val="24"/>
              </w:rPr>
              <w:t> </w:t>
            </w:r>
            <w:r w:rsidRPr="009A193B">
              <w:rPr>
                <w:sz w:val="24"/>
                <w:szCs w:val="24"/>
              </w:rPr>
              <w:t xml:space="preserve">apakšpunkts noteic, ka informatīvā ziņojuma 1. pielikumā minētajām ministrijām (institūcijām), kas atbildīgas par attiecīgo likumprojektu sagatavošanu un virzību, ievērojot informatīvā ziņojuma 2. pielikumā noteikto nozaru administratīvo pārkāpumu kodifikācijas laika grafiku, izstrādā attiecīgos likumprojektus.  </w:t>
            </w:r>
          </w:p>
          <w:p w14:paraId="681E27D2" w14:textId="77777777" w:rsidR="00E754F1" w:rsidRDefault="00E754F1" w:rsidP="00E754F1">
            <w:pPr>
              <w:pStyle w:val="FootnoteText"/>
              <w:ind w:left="111" w:right="180"/>
              <w:jc w:val="both"/>
              <w:rPr>
                <w:sz w:val="24"/>
                <w:szCs w:val="24"/>
              </w:rPr>
            </w:pPr>
          </w:p>
          <w:p w14:paraId="67EA96E7" w14:textId="77777777" w:rsidR="009A193B" w:rsidRPr="00E754F1" w:rsidRDefault="00E754F1" w:rsidP="00E754F1">
            <w:pPr>
              <w:pStyle w:val="FootnoteText"/>
              <w:ind w:left="111" w:right="180"/>
              <w:jc w:val="both"/>
              <w:rPr>
                <w:sz w:val="24"/>
                <w:szCs w:val="24"/>
              </w:rPr>
            </w:pPr>
            <w:r>
              <w:rPr>
                <w:sz w:val="24"/>
                <w:szCs w:val="24"/>
              </w:rPr>
              <w:t xml:space="preserve">Saskaņā ar Latvijas Republikas Ministru kabineta 2019. gada 26. novembra sēdes protokola Nr. 55, </w:t>
            </w:r>
            <w:bookmarkStart w:id="0" w:name="45"/>
            <w:r>
              <w:rPr>
                <w:sz w:val="24"/>
                <w:szCs w:val="24"/>
              </w:rPr>
              <w:t>3</w:t>
            </w:r>
            <w:bookmarkEnd w:id="0"/>
            <w:r>
              <w:rPr>
                <w:sz w:val="24"/>
                <w:szCs w:val="24"/>
              </w:rPr>
              <w:t xml:space="preserve">8.§ “Likumprojekts “Grozījums Administratīvās atbildības likumā”” </w:t>
            </w:r>
            <w:proofErr w:type="gramStart"/>
            <w:r>
              <w:rPr>
                <w:sz w:val="24"/>
                <w:szCs w:val="24"/>
              </w:rPr>
              <w:t>4. punktu visām no</w:t>
            </w:r>
            <w:bookmarkStart w:id="1" w:name="_GoBack"/>
            <w:bookmarkEnd w:id="1"/>
            <w:r>
              <w:rPr>
                <w:sz w:val="24"/>
                <w:szCs w:val="24"/>
              </w:rPr>
              <w:t>zaru ministrijām līdz 2020. gada 31. janvārim</w:t>
            </w:r>
            <w:proofErr w:type="gramEnd"/>
            <w:r>
              <w:rPr>
                <w:sz w:val="24"/>
                <w:szCs w:val="24"/>
              </w:rPr>
              <w:t xml:space="preserve"> jāiesniedz izskatīšanai Ministru kabinetā nozaru administratīvo pārkāpumu kodifikācijas likumprojektus. </w:t>
            </w:r>
          </w:p>
          <w:p w14:paraId="2DAC002C" w14:textId="77777777" w:rsidR="009A193B" w:rsidRDefault="009A193B" w:rsidP="003451FF">
            <w:pPr>
              <w:pStyle w:val="FootnoteText"/>
              <w:ind w:left="111" w:right="180"/>
              <w:jc w:val="both"/>
              <w:rPr>
                <w:sz w:val="24"/>
                <w:szCs w:val="24"/>
              </w:rPr>
            </w:pPr>
            <w:r w:rsidRPr="00F30A80">
              <w:rPr>
                <w:sz w:val="24"/>
                <w:szCs w:val="24"/>
              </w:rPr>
              <w:t xml:space="preserve">Pašlaik esošais administratīvās atbildības regulējums attiecībā uz </w:t>
            </w:r>
            <w:r w:rsidRPr="00F30A80">
              <w:rPr>
                <w:bCs/>
                <w:sz w:val="24"/>
                <w:szCs w:val="24"/>
              </w:rPr>
              <w:t>ietekmes uz vidi novērtējuma regulējošo normatīvo aktu pārkāpšanu</w:t>
            </w:r>
            <w:r w:rsidRPr="00F30A80">
              <w:rPr>
                <w:sz w:val="24"/>
                <w:szCs w:val="24"/>
              </w:rPr>
              <w:t xml:space="preserve"> ir ietverts LAPK 84. panta otrajā daļā un 88.</w:t>
            </w:r>
            <w:r w:rsidRPr="00F30A80">
              <w:rPr>
                <w:sz w:val="24"/>
                <w:szCs w:val="24"/>
                <w:vertAlign w:val="superscript"/>
              </w:rPr>
              <w:t>7</w:t>
            </w:r>
            <w:r w:rsidRPr="00F30A80">
              <w:rPr>
                <w:sz w:val="24"/>
                <w:szCs w:val="24"/>
              </w:rPr>
              <w:t> pantā.</w:t>
            </w:r>
          </w:p>
          <w:p w14:paraId="3A8F732C" w14:textId="77777777" w:rsidR="009B1616" w:rsidRDefault="009B1616" w:rsidP="003451FF">
            <w:pPr>
              <w:pStyle w:val="FootnoteText"/>
              <w:ind w:left="111" w:right="180"/>
              <w:jc w:val="both"/>
              <w:rPr>
                <w:sz w:val="24"/>
                <w:szCs w:val="24"/>
                <w:u w:val="single"/>
              </w:rPr>
            </w:pPr>
          </w:p>
          <w:p w14:paraId="2C423AFF" w14:textId="77777777" w:rsidR="009A193B" w:rsidRPr="00EB6B22" w:rsidRDefault="00B24B32" w:rsidP="003451FF">
            <w:pPr>
              <w:pStyle w:val="FootnoteText"/>
              <w:ind w:left="111" w:right="180"/>
              <w:jc w:val="both"/>
              <w:rPr>
                <w:sz w:val="24"/>
                <w:szCs w:val="24"/>
                <w:u w:val="single"/>
              </w:rPr>
            </w:pPr>
            <w:r>
              <w:rPr>
                <w:sz w:val="24"/>
                <w:szCs w:val="24"/>
                <w:u w:val="single"/>
              </w:rPr>
              <w:t>Administratīvie pārkāpumi ietekmes uz vidi novērtējuma jomā</w:t>
            </w:r>
          </w:p>
          <w:p w14:paraId="03DE2494" w14:textId="77777777" w:rsidR="009A193B" w:rsidRDefault="009A193B" w:rsidP="003451FF">
            <w:pPr>
              <w:pStyle w:val="FootnoteText"/>
              <w:ind w:left="111" w:right="180"/>
              <w:jc w:val="both"/>
              <w:rPr>
                <w:sz w:val="24"/>
                <w:szCs w:val="24"/>
                <w:u w:val="single"/>
              </w:rPr>
            </w:pPr>
          </w:p>
          <w:p w14:paraId="7C2DF05E" w14:textId="2F21B413" w:rsidR="00761FAA" w:rsidRDefault="00761FAA" w:rsidP="7B791600">
            <w:pPr>
              <w:pStyle w:val="FootnoteText"/>
              <w:ind w:left="111" w:right="180"/>
              <w:jc w:val="both"/>
              <w:rPr>
                <w:sz w:val="24"/>
                <w:szCs w:val="24"/>
              </w:rPr>
            </w:pPr>
            <w:r w:rsidRPr="7B791600">
              <w:rPr>
                <w:sz w:val="24"/>
                <w:szCs w:val="24"/>
              </w:rPr>
              <w:t xml:space="preserve">1. Likuma </w:t>
            </w:r>
            <w:r w:rsidR="3D217054" w:rsidRPr="7B791600">
              <w:rPr>
                <w:sz w:val="24"/>
                <w:szCs w:val="24"/>
              </w:rPr>
              <w:t xml:space="preserve">“Par ietekmes uz vidi novērtējumu” (turpmāk </w:t>
            </w:r>
            <w:r w:rsidR="007672D5">
              <w:rPr>
                <w:sz w:val="24"/>
                <w:szCs w:val="24"/>
              </w:rPr>
              <w:t>–</w:t>
            </w:r>
            <w:r w:rsidR="007672D5" w:rsidRPr="7B791600">
              <w:rPr>
                <w:sz w:val="24"/>
                <w:szCs w:val="24"/>
              </w:rPr>
              <w:t xml:space="preserve"> </w:t>
            </w:r>
            <w:r w:rsidR="3D217054" w:rsidRPr="7B791600">
              <w:rPr>
                <w:sz w:val="24"/>
                <w:szCs w:val="24"/>
              </w:rPr>
              <w:t xml:space="preserve">Likums) </w:t>
            </w:r>
            <w:r w:rsidRPr="7B791600">
              <w:rPr>
                <w:sz w:val="24"/>
                <w:szCs w:val="24"/>
              </w:rPr>
              <w:t xml:space="preserve">VI nodaļas nosaukums mainīts no “Atbildība par lēmumu pārskatīšana” uz “Ierosinātāja, izstrādātāju un pieaicināto ekspertu </w:t>
            </w:r>
            <w:r w:rsidR="5492C9A5" w:rsidRPr="7B791600">
              <w:rPr>
                <w:sz w:val="24"/>
                <w:szCs w:val="24"/>
              </w:rPr>
              <w:t>pienākumi</w:t>
            </w:r>
            <w:r w:rsidRPr="7B791600">
              <w:rPr>
                <w:sz w:val="24"/>
                <w:szCs w:val="24"/>
              </w:rPr>
              <w:t xml:space="preserve"> u</w:t>
            </w:r>
            <w:r w:rsidR="008D1FC0" w:rsidRPr="7B791600">
              <w:rPr>
                <w:sz w:val="24"/>
                <w:szCs w:val="24"/>
              </w:rPr>
              <w:t>n lēmumu pārskatīšanas kārtība”.</w:t>
            </w:r>
            <w:r w:rsidR="580659FA" w:rsidRPr="7B791600">
              <w:rPr>
                <w:sz w:val="24"/>
                <w:szCs w:val="24"/>
              </w:rPr>
              <w:t xml:space="preserve"> Likuma 25. un </w:t>
            </w:r>
            <w:proofErr w:type="gramStart"/>
            <w:r w:rsidR="580659FA" w:rsidRPr="7B791600">
              <w:rPr>
                <w:sz w:val="24"/>
                <w:szCs w:val="24"/>
              </w:rPr>
              <w:t>26.pant</w:t>
            </w:r>
            <w:r w:rsidR="4CCF32F6" w:rsidRPr="7B791600">
              <w:rPr>
                <w:sz w:val="24"/>
                <w:szCs w:val="24"/>
              </w:rPr>
              <w:t>os</w:t>
            </w:r>
            <w:proofErr w:type="gramEnd"/>
            <w:r w:rsidR="4CCF32F6" w:rsidRPr="7B791600">
              <w:rPr>
                <w:sz w:val="24"/>
                <w:szCs w:val="24"/>
              </w:rPr>
              <w:t xml:space="preserve"> lietotais </w:t>
            </w:r>
            <w:r w:rsidR="580659FA" w:rsidRPr="7B791600">
              <w:rPr>
                <w:sz w:val="24"/>
                <w:szCs w:val="24"/>
              </w:rPr>
              <w:t>vārd</w:t>
            </w:r>
            <w:r w:rsidR="0555B2D9" w:rsidRPr="7B791600">
              <w:rPr>
                <w:sz w:val="24"/>
                <w:szCs w:val="24"/>
              </w:rPr>
              <w:t>s</w:t>
            </w:r>
            <w:r w:rsidR="580659FA" w:rsidRPr="7B791600">
              <w:rPr>
                <w:sz w:val="24"/>
                <w:szCs w:val="24"/>
              </w:rPr>
              <w:t xml:space="preserve"> “atbildība” tiek aizstāti ar vārdu “pienākumi</w:t>
            </w:r>
            <w:r w:rsidR="16DDA7DA" w:rsidRPr="7B791600">
              <w:rPr>
                <w:sz w:val="24"/>
                <w:szCs w:val="24"/>
              </w:rPr>
              <w:t>”, jo būtībā šajos pantos nav paredzēta ierosinātāja, izstrādātāj vai pieaicinātā eksperta juridiskā atbi</w:t>
            </w:r>
            <w:r w:rsidR="007672D5">
              <w:rPr>
                <w:sz w:val="24"/>
                <w:szCs w:val="24"/>
              </w:rPr>
              <w:t>l</w:t>
            </w:r>
            <w:r w:rsidR="16DDA7DA" w:rsidRPr="7B791600">
              <w:rPr>
                <w:sz w:val="24"/>
                <w:szCs w:val="24"/>
              </w:rPr>
              <w:t>dība, bet gan noteikti to pienākumi.</w:t>
            </w:r>
          </w:p>
          <w:p w14:paraId="096B459B" w14:textId="77777777" w:rsidR="00761FAA" w:rsidRPr="00761FAA" w:rsidRDefault="00761FAA" w:rsidP="003451FF">
            <w:pPr>
              <w:pStyle w:val="FootnoteText"/>
              <w:ind w:left="111" w:right="180"/>
              <w:jc w:val="both"/>
              <w:rPr>
                <w:sz w:val="24"/>
                <w:szCs w:val="24"/>
              </w:rPr>
            </w:pPr>
          </w:p>
          <w:p w14:paraId="7359FDBC" w14:textId="27E5545F" w:rsidR="009A193B" w:rsidRPr="00F52577" w:rsidRDefault="00761FAA" w:rsidP="7B791600">
            <w:pPr>
              <w:pStyle w:val="FootnoteText"/>
              <w:ind w:left="111" w:right="180"/>
              <w:jc w:val="both"/>
              <w:rPr>
                <w:sz w:val="24"/>
                <w:szCs w:val="24"/>
              </w:rPr>
            </w:pPr>
            <w:r w:rsidRPr="7B791600">
              <w:rPr>
                <w:sz w:val="24"/>
                <w:szCs w:val="24"/>
              </w:rPr>
              <w:t>2</w:t>
            </w:r>
            <w:r w:rsidR="00D01950" w:rsidRPr="7B791600">
              <w:rPr>
                <w:sz w:val="24"/>
                <w:szCs w:val="24"/>
              </w:rPr>
              <w:t>. Likumprojektā tiek iekļauta</w:t>
            </w:r>
            <w:r w:rsidR="009A193B" w:rsidRPr="7B791600">
              <w:rPr>
                <w:sz w:val="24"/>
                <w:szCs w:val="24"/>
              </w:rPr>
              <w:t xml:space="preserve"> jaun</w:t>
            </w:r>
            <w:r w:rsidR="00D01950" w:rsidRPr="7B791600">
              <w:rPr>
                <w:sz w:val="24"/>
                <w:szCs w:val="24"/>
              </w:rPr>
              <w:t>a</w:t>
            </w:r>
            <w:r w:rsidR="009A193B" w:rsidRPr="7B791600">
              <w:rPr>
                <w:sz w:val="24"/>
                <w:szCs w:val="24"/>
              </w:rPr>
              <w:t xml:space="preserve"> VII nodaļ</w:t>
            </w:r>
            <w:r w:rsidR="00D01950" w:rsidRPr="7B791600">
              <w:rPr>
                <w:sz w:val="24"/>
                <w:szCs w:val="24"/>
              </w:rPr>
              <w:t>a</w:t>
            </w:r>
            <w:r w:rsidR="009A193B" w:rsidRPr="7B791600">
              <w:rPr>
                <w:sz w:val="24"/>
                <w:szCs w:val="24"/>
              </w:rPr>
              <w:t xml:space="preserve">: </w:t>
            </w:r>
            <w:r w:rsidR="009A193B" w:rsidRPr="7B791600">
              <w:rPr>
                <w:rFonts w:eastAsia="Calibri"/>
                <w:sz w:val="24"/>
                <w:szCs w:val="24"/>
                <w:lang w:eastAsia="en-US"/>
              </w:rPr>
              <w:t>“</w:t>
            </w:r>
            <w:r w:rsidR="009A193B" w:rsidRPr="7B791600">
              <w:rPr>
                <w:sz w:val="24"/>
                <w:szCs w:val="24"/>
              </w:rPr>
              <w:t>Administratī</w:t>
            </w:r>
            <w:r w:rsidR="5F6DC22A" w:rsidRPr="7B791600">
              <w:rPr>
                <w:sz w:val="24"/>
                <w:szCs w:val="24"/>
              </w:rPr>
              <w:t>vie pārkāpumi ietekmes uz vidi novērtējuma jomā un kompetence administratīvo pārkāpumu procesā</w:t>
            </w:r>
            <w:r w:rsidR="009A193B" w:rsidRPr="7B791600">
              <w:rPr>
                <w:sz w:val="24"/>
                <w:szCs w:val="24"/>
              </w:rPr>
              <w:t>”. Likumprojekta 27. pa</w:t>
            </w:r>
            <w:r w:rsidR="00FD7A5D" w:rsidRPr="7B791600">
              <w:rPr>
                <w:sz w:val="24"/>
                <w:szCs w:val="24"/>
              </w:rPr>
              <w:t>nta pirmajā, otrajā, trešajā</w:t>
            </w:r>
            <w:r w:rsidR="0034773D" w:rsidRPr="7B791600">
              <w:rPr>
                <w:sz w:val="24"/>
                <w:szCs w:val="24"/>
              </w:rPr>
              <w:t xml:space="preserve"> un ceturtajā</w:t>
            </w:r>
            <w:r w:rsidR="00FD7A5D" w:rsidRPr="7B791600">
              <w:rPr>
                <w:sz w:val="24"/>
                <w:szCs w:val="24"/>
              </w:rPr>
              <w:t xml:space="preserve"> </w:t>
            </w:r>
            <w:r w:rsidR="009A193B" w:rsidRPr="7B791600">
              <w:rPr>
                <w:sz w:val="24"/>
                <w:szCs w:val="24"/>
              </w:rPr>
              <w:t>daļā ietvertas LAPK 88.</w:t>
            </w:r>
            <w:r w:rsidR="009A193B" w:rsidRPr="7B791600">
              <w:rPr>
                <w:sz w:val="24"/>
                <w:szCs w:val="24"/>
                <w:vertAlign w:val="superscript"/>
              </w:rPr>
              <w:t>7</w:t>
            </w:r>
            <w:r w:rsidR="009A193B" w:rsidRPr="7B791600">
              <w:rPr>
                <w:sz w:val="24"/>
                <w:szCs w:val="24"/>
              </w:rPr>
              <w:t> pantā minētās prasības, nosakot administratīvo atbildību par:</w:t>
            </w:r>
          </w:p>
          <w:p w14:paraId="5E67F880" w14:textId="5241EBD4" w:rsidR="0034773D" w:rsidRPr="00555D7A" w:rsidRDefault="00FD7A5D" w:rsidP="0034773D">
            <w:pPr>
              <w:pStyle w:val="FootnoteText"/>
              <w:spacing w:after="120"/>
              <w:ind w:left="113" w:right="181"/>
              <w:jc w:val="both"/>
              <w:rPr>
                <w:sz w:val="24"/>
                <w:szCs w:val="24"/>
              </w:rPr>
            </w:pPr>
            <w:r w:rsidRPr="00555D7A">
              <w:rPr>
                <w:sz w:val="24"/>
                <w:szCs w:val="24"/>
              </w:rPr>
              <w:t>1</w:t>
            </w:r>
            <w:r w:rsidR="00B042EC" w:rsidRPr="00555D7A">
              <w:rPr>
                <w:sz w:val="24"/>
                <w:szCs w:val="24"/>
              </w:rPr>
              <w:t>) </w:t>
            </w:r>
            <w:r w:rsidR="00555D7A" w:rsidRPr="00555D7A">
              <w:rPr>
                <w:sz w:val="24"/>
                <w:szCs w:val="24"/>
              </w:rPr>
              <w:t xml:space="preserve"> paredzētās darbības veikšanu, neievērojot vides aizsardzības prasības paredzētās darbības īstenošanas vietai, tehnoloģiju veidam vai ietekmes novēršanas un samazināšanas pasākumiem, kas noteikti Valsts vides dienesta </w:t>
            </w:r>
            <w:r w:rsidR="003C52D1">
              <w:rPr>
                <w:sz w:val="24"/>
                <w:szCs w:val="24"/>
              </w:rPr>
              <w:t xml:space="preserve">(turpmāk – VVD) </w:t>
            </w:r>
            <w:r w:rsidR="00555D7A" w:rsidRPr="00555D7A">
              <w:rPr>
                <w:sz w:val="24"/>
                <w:szCs w:val="24"/>
              </w:rPr>
              <w:t>izdotos tehniskajos noteikumos;</w:t>
            </w:r>
          </w:p>
          <w:p w14:paraId="55B53338" w14:textId="5E93F320" w:rsidR="0034773D" w:rsidRPr="00555D7A" w:rsidRDefault="0034773D" w:rsidP="0034773D">
            <w:pPr>
              <w:pStyle w:val="FootnoteText"/>
              <w:spacing w:after="120"/>
              <w:ind w:left="113" w:right="181"/>
              <w:jc w:val="both"/>
              <w:rPr>
                <w:sz w:val="24"/>
                <w:szCs w:val="24"/>
              </w:rPr>
            </w:pPr>
            <w:r w:rsidRPr="00555D7A">
              <w:rPr>
                <w:sz w:val="24"/>
                <w:szCs w:val="24"/>
              </w:rPr>
              <w:t>2) </w:t>
            </w:r>
            <w:r w:rsidR="00555D7A" w:rsidRPr="00555D7A">
              <w:rPr>
                <w:sz w:val="24"/>
                <w:szCs w:val="24"/>
              </w:rPr>
              <w:t xml:space="preserve">paredzētās darbības veikšanu, neievērojot paredzētās darbības īstenošanas vietas, apjoma un tehnoloģiju veidu vai ietekmes novēršanas, samazināšanas, kompensēšanas un monitoringa </w:t>
            </w:r>
            <w:r w:rsidR="00126924">
              <w:rPr>
                <w:sz w:val="24"/>
                <w:szCs w:val="24"/>
              </w:rPr>
              <w:t>prasības,</w:t>
            </w:r>
            <w:r w:rsidR="00555D7A" w:rsidRPr="00555D7A">
              <w:rPr>
                <w:sz w:val="24"/>
                <w:szCs w:val="24"/>
              </w:rPr>
              <w:t xml:space="preserve"> kas noteikt</w:t>
            </w:r>
            <w:r w:rsidR="00126924">
              <w:rPr>
                <w:sz w:val="24"/>
                <w:szCs w:val="24"/>
              </w:rPr>
              <w:t>as</w:t>
            </w:r>
            <w:r w:rsidR="00555D7A" w:rsidRPr="00555D7A">
              <w:rPr>
                <w:sz w:val="24"/>
                <w:szCs w:val="24"/>
              </w:rPr>
              <w:t xml:space="preserve"> kompetentās institūcijas atzinumā par paredzētās darbības ietekmes uz vidi novērtējuma ziņojumu;</w:t>
            </w:r>
          </w:p>
          <w:p w14:paraId="237ADAB0" w14:textId="77777777" w:rsidR="009A193B" w:rsidRPr="00F30A80" w:rsidRDefault="0034773D" w:rsidP="0034773D">
            <w:pPr>
              <w:pStyle w:val="FootnoteText"/>
              <w:spacing w:after="120"/>
              <w:ind w:left="113" w:right="181"/>
              <w:jc w:val="both"/>
              <w:rPr>
                <w:sz w:val="24"/>
                <w:szCs w:val="24"/>
              </w:rPr>
            </w:pPr>
            <w:r>
              <w:rPr>
                <w:sz w:val="24"/>
                <w:szCs w:val="24"/>
              </w:rPr>
              <w:t>3</w:t>
            </w:r>
            <w:r w:rsidR="00B042EC" w:rsidRPr="00F30A80">
              <w:rPr>
                <w:sz w:val="24"/>
                <w:szCs w:val="24"/>
              </w:rPr>
              <w:t>)</w:t>
            </w:r>
            <w:r w:rsidR="00B042EC">
              <w:rPr>
                <w:sz w:val="24"/>
                <w:szCs w:val="24"/>
              </w:rPr>
              <w:t> </w:t>
            </w:r>
            <w:r w:rsidR="009A193B" w:rsidRPr="00F30A80">
              <w:rPr>
                <w:sz w:val="24"/>
                <w:szCs w:val="24"/>
              </w:rPr>
              <w:t>paredzētās darbības veikšanu bez ietekmes sākotnējā izvērtējuma vai VVD izdotiem tehniskajiem noteikumiem;</w:t>
            </w:r>
          </w:p>
          <w:p w14:paraId="3B2468A1" w14:textId="77777777" w:rsidR="009A193B" w:rsidRPr="00F30A80" w:rsidRDefault="0034773D" w:rsidP="0034773D">
            <w:pPr>
              <w:pStyle w:val="FootnoteText"/>
              <w:spacing w:after="120"/>
              <w:ind w:left="113" w:right="181"/>
              <w:jc w:val="both"/>
              <w:rPr>
                <w:sz w:val="24"/>
                <w:szCs w:val="24"/>
              </w:rPr>
            </w:pPr>
            <w:r>
              <w:rPr>
                <w:sz w:val="24"/>
                <w:szCs w:val="24"/>
              </w:rPr>
              <w:t>4</w:t>
            </w:r>
            <w:r w:rsidR="00B042EC" w:rsidRPr="00F30A80">
              <w:rPr>
                <w:sz w:val="24"/>
                <w:szCs w:val="24"/>
              </w:rPr>
              <w:t>)</w:t>
            </w:r>
            <w:r w:rsidR="00B042EC">
              <w:rPr>
                <w:sz w:val="24"/>
                <w:szCs w:val="24"/>
              </w:rPr>
              <w:t> </w:t>
            </w:r>
            <w:r w:rsidR="009A193B" w:rsidRPr="00F30A80">
              <w:rPr>
                <w:sz w:val="24"/>
                <w:szCs w:val="24"/>
              </w:rPr>
              <w:t>paredzētās darbības uzsākšanu bez ietekmes uz vidi novērtējuma veikšanas un attiecīgās valsts institūcijas, pašvaldības, citas likumā noteiktas institūcijas vai Ministru kabineta paredzētās darbības akcepta saņemšanas.</w:t>
            </w:r>
          </w:p>
          <w:p w14:paraId="7ECEC865" w14:textId="695A7049" w:rsidR="00832431" w:rsidRDefault="00832431" w:rsidP="7B791600">
            <w:pPr>
              <w:pStyle w:val="FootnoteText"/>
              <w:ind w:left="111" w:right="180"/>
              <w:jc w:val="both"/>
              <w:rPr>
                <w:sz w:val="24"/>
                <w:szCs w:val="24"/>
              </w:rPr>
            </w:pPr>
            <w:r w:rsidRPr="7B791600">
              <w:rPr>
                <w:sz w:val="24"/>
                <w:szCs w:val="24"/>
              </w:rPr>
              <w:t xml:space="preserve">Spēkā esošais regulējums </w:t>
            </w:r>
            <w:r w:rsidR="2D80BDE1" w:rsidRPr="7B791600">
              <w:rPr>
                <w:sz w:val="24"/>
                <w:szCs w:val="24"/>
              </w:rPr>
              <w:t>LAPK</w:t>
            </w:r>
            <w:r w:rsidRPr="7B791600">
              <w:rPr>
                <w:sz w:val="24"/>
                <w:szCs w:val="24"/>
              </w:rPr>
              <w:t xml:space="preserve"> nenosaka administratīvo atbildību par paredzētās darbības veikšanu bez ietekmes sākotnējā izvērtējuma. </w:t>
            </w:r>
            <w:r w:rsidR="00DB2424" w:rsidRPr="7B791600">
              <w:rPr>
                <w:sz w:val="24"/>
                <w:szCs w:val="24"/>
              </w:rPr>
              <w:t>Par p</w:t>
            </w:r>
            <w:r w:rsidRPr="7B791600">
              <w:rPr>
                <w:sz w:val="24"/>
                <w:szCs w:val="24"/>
              </w:rPr>
              <w:t>aredzētās darbības veikšanu bez VVD izdotajiem tehniskajiem noteikumiem noteikta administratīvā atbildība LAPK 88.</w:t>
            </w:r>
            <w:r w:rsidRPr="7B791600">
              <w:rPr>
                <w:sz w:val="24"/>
                <w:szCs w:val="24"/>
                <w:vertAlign w:val="superscript"/>
              </w:rPr>
              <w:t>7</w:t>
            </w:r>
            <w:r w:rsidRPr="7B791600">
              <w:rPr>
                <w:sz w:val="24"/>
                <w:szCs w:val="24"/>
              </w:rPr>
              <w:t> panta trešajā daļā.</w:t>
            </w:r>
          </w:p>
          <w:p w14:paraId="5DEAB7B6" w14:textId="07D6362F" w:rsidR="00FD7A5D" w:rsidRDefault="009A193B" w:rsidP="003451FF">
            <w:pPr>
              <w:pStyle w:val="FootnoteText"/>
              <w:ind w:left="111" w:right="180"/>
              <w:jc w:val="both"/>
              <w:rPr>
                <w:sz w:val="24"/>
                <w:szCs w:val="24"/>
              </w:rPr>
            </w:pPr>
            <w:r w:rsidRPr="00F30A80">
              <w:rPr>
                <w:sz w:val="24"/>
                <w:szCs w:val="24"/>
              </w:rPr>
              <w:t>Minētās prasības iekļaušana ir būtiska, jo sākotnējais izvērtējums ir procedūra, lai noskaidrotu, vai paredzētajai darbībai nav nepieciešams ietekmes uz vidi novērtējums. Attiecīgi tā neveikšanas sekas var būt paredzētās darbības realizācija bez ietekmes uz vidi novērtējuma. Tādēļ arī būvniecības jomas regulējošajos normatīvajos aktos ir noteikts, ka darbībām, kam nepieciešams sākotnējais izvērtējums vai ietekmes uz vidi novērtējums, būvatļauju izsniedz tikai pēc attiecīga novērtējuma veikšanas, savukārt tehniskos noteikumus paredzētajai darbībai var saņemt</w:t>
            </w:r>
            <w:r w:rsidR="00A53C09" w:rsidRPr="00F30A80">
              <w:rPr>
                <w:sz w:val="24"/>
                <w:szCs w:val="24"/>
              </w:rPr>
              <w:t>, pirms vai pēc būvatļaujas izsniegšanas</w:t>
            </w:r>
            <w:r w:rsidRPr="00F30A80">
              <w:rPr>
                <w:sz w:val="24"/>
                <w:szCs w:val="24"/>
              </w:rPr>
              <w:t xml:space="preserve">. </w:t>
            </w:r>
            <w:r w:rsidR="00C22AC3">
              <w:rPr>
                <w:sz w:val="24"/>
                <w:szCs w:val="24"/>
              </w:rPr>
              <w:t>Līdz ar to ir</w:t>
            </w:r>
            <w:r w:rsidRPr="00F30A80">
              <w:rPr>
                <w:sz w:val="24"/>
                <w:szCs w:val="24"/>
              </w:rPr>
              <w:t xml:space="preserve"> svarīgi iekļaut šīs divas prasības paredzētajām darbībām, kuras, ja </w:t>
            </w:r>
            <w:r w:rsidRPr="00F30A80">
              <w:rPr>
                <w:sz w:val="24"/>
                <w:szCs w:val="24"/>
              </w:rPr>
              <w:lastRenderedPageBreak/>
              <w:t xml:space="preserve">to noteic ietekmes uz vidi novērtējuma normatīvie akti, jāievēro būvniecības procesā. Vides izvērtējums, kurš tiek atspoguļots sākotnējā izvērtējumā un vides </w:t>
            </w:r>
            <w:r w:rsidR="00126924">
              <w:rPr>
                <w:sz w:val="24"/>
                <w:szCs w:val="24"/>
              </w:rPr>
              <w:t>prasības</w:t>
            </w:r>
            <w:r w:rsidRPr="00F30A80">
              <w:rPr>
                <w:sz w:val="24"/>
                <w:szCs w:val="24"/>
              </w:rPr>
              <w:t>, ku</w:t>
            </w:r>
            <w:r w:rsidR="00126924">
              <w:rPr>
                <w:sz w:val="24"/>
                <w:szCs w:val="24"/>
              </w:rPr>
              <w:t>ras</w:t>
            </w:r>
            <w:r w:rsidRPr="00F30A80">
              <w:rPr>
                <w:sz w:val="24"/>
                <w:szCs w:val="24"/>
              </w:rPr>
              <w:t xml:space="preserve"> nosaka tehniskajos noteikumos, ir būtiski paredzētās darbības īstenošanā.</w:t>
            </w:r>
          </w:p>
          <w:p w14:paraId="1096A60C" w14:textId="77777777" w:rsidR="009A193B" w:rsidRPr="00F30A80" w:rsidRDefault="009A193B" w:rsidP="003451FF">
            <w:pPr>
              <w:pStyle w:val="FootnoteText"/>
              <w:ind w:left="111" w:right="180"/>
              <w:jc w:val="both"/>
              <w:rPr>
                <w:sz w:val="24"/>
                <w:szCs w:val="24"/>
              </w:rPr>
            </w:pPr>
          </w:p>
          <w:p w14:paraId="7E6CE788" w14:textId="565DB178" w:rsidR="009A193B" w:rsidRDefault="00761FAA" w:rsidP="7B791600">
            <w:pPr>
              <w:pStyle w:val="FootnoteText"/>
              <w:ind w:left="111" w:right="180"/>
              <w:jc w:val="both"/>
              <w:rPr>
                <w:sz w:val="24"/>
                <w:szCs w:val="24"/>
              </w:rPr>
            </w:pPr>
            <w:r w:rsidRPr="7B791600">
              <w:rPr>
                <w:sz w:val="24"/>
                <w:szCs w:val="24"/>
              </w:rPr>
              <w:t>3</w:t>
            </w:r>
            <w:r w:rsidR="009A193B" w:rsidRPr="7B791600">
              <w:rPr>
                <w:sz w:val="24"/>
                <w:szCs w:val="24"/>
              </w:rPr>
              <w:t>. Likumprojekts paredz papildināt Likumu ar 28. pantu, nosakot, ka administratīvo pārkāpumu procesu par Likuma 27. pantā minētajie</w:t>
            </w:r>
            <w:r w:rsidR="39A58345" w:rsidRPr="7B791600">
              <w:rPr>
                <w:sz w:val="24"/>
                <w:szCs w:val="24"/>
              </w:rPr>
              <w:t xml:space="preserve">m pārkāpumiem </w:t>
            </w:r>
            <w:r w:rsidR="009A193B" w:rsidRPr="7B791600">
              <w:rPr>
                <w:sz w:val="24"/>
                <w:szCs w:val="24"/>
              </w:rPr>
              <w:t>veic VVD. Ar Likumprojekta 28. pantu tiek pārņemta LAPK 231. panta</w:t>
            </w:r>
            <w:r w:rsidR="00D01950" w:rsidRPr="7B791600">
              <w:rPr>
                <w:sz w:val="24"/>
                <w:szCs w:val="24"/>
              </w:rPr>
              <w:t xml:space="preserve"> otrā </w:t>
            </w:r>
            <w:r w:rsidR="009A193B" w:rsidRPr="7B791600">
              <w:rPr>
                <w:sz w:val="24"/>
                <w:szCs w:val="24"/>
              </w:rPr>
              <w:t>daļa, kurā noteikts, ka izskatī</w:t>
            </w:r>
            <w:r w:rsidR="67F68CAA" w:rsidRPr="7B791600">
              <w:rPr>
                <w:sz w:val="24"/>
                <w:szCs w:val="24"/>
              </w:rPr>
              <w:t>t</w:t>
            </w:r>
            <w:r w:rsidR="009A193B" w:rsidRPr="7B791600">
              <w:rPr>
                <w:sz w:val="24"/>
                <w:szCs w:val="24"/>
              </w:rPr>
              <w:t xml:space="preserve"> administratīvo pārkāpumu lietas un uzlikt sodu vides aizsardzības iestāžu vārdā ir tiesīgas vairākas vides institūcijas. VVD šobrīd ir tiesīgs izskatīt administratīvo pārkāpumu lietas un piemērot administratīvos sodus par administratīviem pārkāpumiem saskaņā ar LAPK 231. pantu. </w:t>
            </w:r>
          </w:p>
          <w:p w14:paraId="5FF4C72E" w14:textId="7B734059" w:rsidR="7B791600" w:rsidRDefault="7B791600" w:rsidP="7B791600">
            <w:pPr>
              <w:pStyle w:val="FootnoteText"/>
              <w:ind w:left="111" w:right="180"/>
              <w:jc w:val="both"/>
              <w:rPr>
                <w:sz w:val="24"/>
                <w:szCs w:val="24"/>
              </w:rPr>
            </w:pPr>
          </w:p>
          <w:p w14:paraId="45595731" w14:textId="77777777" w:rsidR="000D2A70" w:rsidRPr="00F30A80" w:rsidRDefault="000D2A70" w:rsidP="003451FF">
            <w:pPr>
              <w:pStyle w:val="FootnoteText"/>
              <w:ind w:left="111" w:right="180"/>
              <w:jc w:val="both"/>
              <w:rPr>
                <w:sz w:val="24"/>
                <w:szCs w:val="24"/>
              </w:rPr>
            </w:pPr>
          </w:p>
          <w:p w14:paraId="32FB500E" w14:textId="77777777" w:rsidR="009A193B" w:rsidRDefault="00761FAA" w:rsidP="00761FAA">
            <w:pPr>
              <w:pStyle w:val="naiskr"/>
              <w:spacing w:before="0" w:after="0"/>
              <w:ind w:right="161"/>
              <w:jc w:val="both"/>
              <w:rPr>
                <w:u w:val="single"/>
              </w:rPr>
            </w:pPr>
            <w:r>
              <w:t xml:space="preserve"> </w:t>
            </w:r>
            <w:r w:rsidR="009A193B" w:rsidRPr="00F30A80">
              <w:rPr>
                <w:u w:val="single"/>
              </w:rPr>
              <w:t>Administratīvās atbildības soda sankcijas</w:t>
            </w:r>
          </w:p>
          <w:p w14:paraId="0F72D808" w14:textId="77777777" w:rsidR="000D2A70" w:rsidRDefault="000D2A70" w:rsidP="00761FAA">
            <w:pPr>
              <w:pStyle w:val="naiskr"/>
              <w:spacing w:before="0" w:after="0"/>
              <w:ind w:right="161"/>
              <w:jc w:val="both"/>
              <w:rPr>
                <w:u w:val="single"/>
              </w:rPr>
            </w:pPr>
          </w:p>
          <w:p w14:paraId="6E3B0878" w14:textId="77777777" w:rsidR="009A193B" w:rsidRPr="00F30A80" w:rsidRDefault="009A193B" w:rsidP="00B73718">
            <w:pPr>
              <w:pStyle w:val="naiskr"/>
              <w:spacing w:before="0" w:after="0"/>
              <w:ind w:right="161"/>
              <w:jc w:val="both"/>
            </w:pPr>
          </w:p>
          <w:p w14:paraId="69C0C632" w14:textId="77777777" w:rsidR="009A193B" w:rsidRPr="00F30A80" w:rsidRDefault="009A193B" w:rsidP="003451FF">
            <w:pPr>
              <w:pStyle w:val="naiskr"/>
              <w:spacing w:before="0" w:after="0"/>
              <w:ind w:left="111" w:right="161"/>
              <w:jc w:val="both"/>
            </w:pPr>
            <w:r w:rsidRPr="00F30A80">
              <w:t xml:space="preserve"> </w:t>
            </w:r>
            <w:r w:rsidR="00EB6B22">
              <w:t>1</w:t>
            </w:r>
            <w:r w:rsidRPr="00F30A80">
              <w:t xml:space="preserve">. Likumprojektā, kurā tiek izteikta Likuma 27. panta </w:t>
            </w:r>
            <w:r w:rsidR="0034773D">
              <w:t>pirmā</w:t>
            </w:r>
            <w:r w:rsidRPr="00F30A80">
              <w:t xml:space="preserve"> daļa, piemērojamo sankciju apmērs netiek mainīts un ir līdzvērtīgs pašlaik LAPK 88.</w:t>
            </w:r>
            <w:r w:rsidRPr="00F30A80">
              <w:rPr>
                <w:vertAlign w:val="superscript"/>
              </w:rPr>
              <w:t>7</w:t>
            </w:r>
            <w:r w:rsidR="004F1C50">
              <w:rPr>
                <w:vertAlign w:val="superscript"/>
              </w:rPr>
              <w:t> </w:t>
            </w:r>
            <w:r w:rsidRPr="00F30A80">
              <w:t xml:space="preserve">panta ceturtajā daļā noteikto par: </w:t>
            </w:r>
          </w:p>
          <w:p w14:paraId="23806DDE" w14:textId="3B0600B7" w:rsidR="009A193B" w:rsidRPr="00415663" w:rsidRDefault="009A193B" w:rsidP="003451FF">
            <w:pPr>
              <w:pStyle w:val="FootnoteText"/>
              <w:ind w:left="111" w:right="180"/>
              <w:jc w:val="both"/>
              <w:rPr>
                <w:sz w:val="24"/>
                <w:szCs w:val="24"/>
              </w:rPr>
            </w:pPr>
            <w:r w:rsidRPr="00415663">
              <w:rPr>
                <w:sz w:val="24"/>
                <w:szCs w:val="24"/>
              </w:rPr>
              <w:t xml:space="preserve">- </w:t>
            </w:r>
            <w:r w:rsidR="00B3503D" w:rsidRPr="00415663">
              <w:rPr>
                <w:sz w:val="24"/>
                <w:szCs w:val="24"/>
              </w:rPr>
              <w:t>Par paredzētās darbības veikšanu, neievērojot vides aizsardzības prasības paredzēt</w:t>
            </w:r>
            <w:r w:rsidR="00C43546">
              <w:rPr>
                <w:sz w:val="24"/>
                <w:szCs w:val="24"/>
              </w:rPr>
              <w:t>ās darbības īstenošanas vietai</w:t>
            </w:r>
            <w:r w:rsidR="00B3503D" w:rsidRPr="00415663">
              <w:rPr>
                <w:sz w:val="24"/>
                <w:szCs w:val="24"/>
              </w:rPr>
              <w:t xml:space="preserve">, tehnoloģiju veidam vai ietekmes novēršanas un samazināšanas pasākumiem, kas noteikti </w:t>
            </w:r>
            <w:proofErr w:type="spellStart"/>
            <w:r w:rsidR="003C52D1">
              <w:rPr>
                <w:sz w:val="24"/>
                <w:szCs w:val="24"/>
              </w:rPr>
              <w:t>VVD</w:t>
            </w:r>
            <w:r w:rsidR="00B3503D" w:rsidRPr="00415663">
              <w:rPr>
                <w:sz w:val="24"/>
                <w:szCs w:val="24"/>
              </w:rPr>
              <w:t>a</w:t>
            </w:r>
            <w:proofErr w:type="spellEnd"/>
            <w:r w:rsidR="00B3503D" w:rsidRPr="00415663">
              <w:rPr>
                <w:sz w:val="24"/>
                <w:szCs w:val="24"/>
              </w:rPr>
              <w:t xml:space="preserve"> izdotos tehniskajos noteikumos</w:t>
            </w:r>
          </w:p>
          <w:p w14:paraId="5B54CAF4" w14:textId="77777777" w:rsidR="00B3503D" w:rsidRPr="00415663" w:rsidRDefault="00B3503D" w:rsidP="00B3503D">
            <w:pPr>
              <w:pStyle w:val="FootnoteText"/>
              <w:ind w:left="111" w:right="180"/>
              <w:jc w:val="both"/>
              <w:rPr>
                <w:sz w:val="24"/>
                <w:szCs w:val="24"/>
              </w:rPr>
            </w:pPr>
          </w:p>
          <w:p w14:paraId="3A9CF60C" w14:textId="62676622" w:rsidR="00B3503D" w:rsidRPr="00415663" w:rsidRDefault="00DB2424" w:rsidP="00B3503D">
            <w:pPr>
              <w:pStyle w:val="FootnoteText"/>
              <w:ind w:left="111" w:right="180"/>
              <w:jc w:val="both"/>
              <w:rPr>
                <w:sz w:val="24"/>
                <w:szCs w:val="24"/>
              </w:rPr>
            </w:pPr>
            <w:r>
              <w:rPr>
                <w:sz w:val="24"/>
                <w:szCs w:val="24"/>
              </w:rPr>
              <w:t>Saskaņā ar L</w:t>
            </w:r>
            <w:r w:rsidR="00B3503D" w:rsidRPr="00415663">
              <w:rPr>
                <w:sz w:val="24"/>
                <w:szCs w:val="24"/>
              </w:rPr>
              <w:t xml:space="preserve">ikuma 13. panta otro daļu </w:t>
            </w:r>
            <w:r w:rsidR="003C52D1">
              <w:rPr>
                <w:sz w:val="24"/>
                <w:szCs w:val="24"/>
              </w:rPr>
              <w:t>VVD</w:t>
            </w:r>
            <w:r w:rsidR="00B3503D" w:rsidRPr="00415663">
              <w:rPr>
                <w:sz w:val="24"/>
                <w:szCs w:val="24"/>
              </w:rPr>
              <w:t xml:space="preserve"> tehniskie noteikumi nepieciešami paredzētajām darbībām, par kurām pēc ietekmes sākotnējā izvērtējuma pieņemts lēmums, ka tām nav nepieciešams ietekmes uz vidi novērtējums, kā arī citos gadījumos, kas norādīti šā panta ceturtajā daļā minētajos Ministru kabineta noteikumos. </w:t>
            </w:r>
            <w:r w:rsidR="00B97D15">
              <w:rPr>
                <w:sz w:val="24"/>
                <w:szCs w:val="24"/>
              </w:rPr>
              <w:t>Likuma 1.</w:t>
            </w:r>
            <w:r w:rsidR="0040185F">
              <w:rPr>
                <w:sz w:val="24"/>
                <w:szCs w:val="24"/>
              </w:rPr>
              <w:t> </w:t>
            </w:r>
            <w:r w:rsidR="00B97D15">
              <w:rPr>
                <w:sz w:val="24"/>
                <w:szCs w:val="24"/>
              </w:rPr>
              <w:t xml:space="preserve">panta trešajā punktā noteikts, kas ir paredzētā darbība, </w:t>
            </w:r>
            <w:proofErr w:type="gramStart"/>
            <w:r w:rsidR="00B97D15">
              <w:rPr>
                <w:sz w:val="24"/>
                <w:szCs w:val="24"/>
              </w:rPr>
              <w:t>(</w:t>
            </w:r>
            <w:proofErr w:type="gramEnd"/>
            <w:r w:rsidR="00B97D15">
              <w:rPr>
                <w:sz w:val="24"/>
                <w:szCs w:val="24"/>
              </w:rPr>
              <w:t>konkrētas paredzētās darbības ir uzskaitīt</w:t>
            </w:r>
            <w:r>
              <w:rPr>
                <w:sz w:val="24"/>
                <w:szCs w:val="24"/>
              </w:rPr>
              <w:t>as L</w:t>
            </w:r>
            <w:r w:rsidR="00B97D15">
              <w:rPr>
                <w:sz w:val="24"/>
                <w:szCs w:val="24"/>
              </w:rPr>
              <w:t>ikuma 1.</w:t>
            </w:r>
            <w:r w:rsidR="007672D5">
              <w:rPr>
                <w:sz w:val="24"/>
                <w:szCs w:val="24"/>
              </w:rPr>
              <w:t xml:space="preserve"> </w:t>
            </w:r>
            <w:r w:rsidR="00B97D15">
              <w:rPr>
                <w:sz w:val="24"/>
                <w:szCs w:val="24"/>
              </w:rPr>
              <w:t>un 2.</w:t>
            </w:r>
            <w:r w:rsidR="007672D5">
              <w:rPr>
                <w:sz w:val="24"/>
                <w:szCs w:val="24"/>
              </w:rPr>
              <w:t> </w:t>
            </w:r>
            <w:r w:rsidR="00B97D15">
              <w:rPr>
                <w:sz w:val="24"/>
                <w:szCs w:val="24"/>
              </w:rPr>
              <w:t>pielikumā, vai arī</w:t>
            </w:r>
            <w:r w:rsidR="00B97D15" w:rsidRPr="00F30A80">
              <w:rPr>
                <w:sz w:val="24"/>
                <w:szCs w:val="24"/>
              </w:rPr>
              <w:t xml:space="preserve"> Ministru kabineta </w:t>
            </w:r>
            <w:r>
              <w:rPr>
                <w:sz w:val="24"/>
                <w:szCs w:val="24"/>
              </w:rPr>
              <w:t>2015. gada 27. janvāra noteikumu</w:t>
            </w:r>
            <w:r w:rsidR="00B97D15" w:rsidRPr="00F30A80">
              <w:rPr>
                <w:sz w:val="24"/>
                <w:szCs w:val="24"/>
              </w:rPr>
              <w:t xml:space="preserve"> Nr. 30 “Kārtība, kādā Valsts vides dienests izdod tehniskos noteikumus paredzētajai darbībai” (turpmāk – MK noteikumi Nr.</w:t>
            </w:r>
            <w:r w:rsidR="00B97D15">
              <w:rPr>
                <w:sz w:val="24"/>
                <w:szCs w:val="24"/>
              </w:rPr>
              <w:t> </w:t>
            </w:r>
            <w:r w:rsidR="00B97D15" w:rsidRPr="00F30A80">
              <w:rPr>
                <w:sz w:val="24"/>
                <w:szCs w:val="24"/>
              </w:rPr>
              <w:t>30)</w:t>
            </w:r>
            <w:r w:rsidR="00B97D15">
              <w:rPr>
                <w:sz w:val="24"/>
                <w:szCs w:val="24"/>
              </w:rPr>
              <w:t xml:space="preserve"> pielikumā.</w:t>
            </w:r>
            <w:r w:rsidR="00B97D15" w:rsidRPr="00F30A80">
              <w:rPr>
                <w:sz w:val="24"/>
                <w:szCs w:val="24"/>
              </w:rPr>
              <w:t xml:space="preserve"> </w:t>
            </w:r>
            <w:r w:rsidR="00B3503D" w:rsidRPr="00415663">
              <w:rPr>
                <w:sz w:val="24"/>
                <w:szCs w:val="24"/>
              </w:rPr>
              <w:t xml:space="preserve">Likuma 8. panta pirmā daļa noteic, ka, </w:t>
            </w:r>
            <w:proofErr w:type="gramStart"/>
            <w:r w:rsidR="00B3503D" w:rsidRPr="00415663">
              <w:rPr>
                <w:sz w:val="24"/>
                <w:szCs w:val="24"/>
              </w:rPr>
              <w:t xml:space="preserve">piesakot paredzēto darbību </w:t>
            </w:r>
            <w:r w:rsidR="003C52D1">
              <w:rPr>
                <w:sz w:val="24"/>
                <w:szCs w:val="24"/>
              </w:rPr>
              <w:t>VVD</w:t>
            </w:r>
            <w:proofErr w:type="gramEnd"/>
            <w:r w:rsidR="00B3503D" w:rsidRPr="00415663">
              <w:rPr>
                <w:sz w:val="24"/>
                <w:szCs w:val="24"/>
              </w:rPr>
              <w:t xml:space="preserve"> sākotnējā izvērtējuma veikšanai, iesniegumā </w:t>
            </w:r>
            <w:r w:rsidR="00B3503D" w:rsidRPr="00851E63">
              <w:rPr>
                <w:sz w:val="24"/>
                <w:szCs w:val="24"/>
                <w:u w:val="single"/>
              </w:rPr>
              <w:t>norāda vismaz divus dažādus risinājumus attiecībā</w:t>
            </w:r>
            <w:r w:rsidR="00B3503D" w:rsidRPr="00415663">
              <w:rPr>
                <w:sz w:val="24"/>
                <w:szCs w:val="24"/>
              </w:rPr>
              <w:t xml:space="preserve"> uz šīs darbības </w:t>
            </w:r>
            <w:r w:rsidR="00B3503D" w:rsidRPr="00851E63">
              <w:rPr>
                <w:sz w:val="24"/>
                <w:szCs w:val="24"/>
                <w:u w:val="single"/>
              </w:rPr>
              <w:t>vietu</w:t>
            </w:r>
            <w:r w:rsidR="00B3503D" w:rsidRPr="00415663">
              <w:rPr>
                <w:sz w:val="24"/>
                <w:szCs w:val="24"/>
              </w:rPr>
              <w:t xml:space="preserve"> vai izmantojamo </w:t>
            </w:r>
            <w:r w:rsidR="00B3503D" w:rsidRPr="00C43546">
              <w:rPr>
                <w:sz w:val="24"/>
                <w:szCs w:val="24"/>
                <w:u w:val="single"/>
              </w:rPr>
              <w:t>tehnoloģiju veidiem</w:t>
            </w:r>
            <w:r w:rsidR="00B3503D" w:rsidRPr="00415663">
              <w:rPr>
                <w:sz w:val="24"/>
                <w:szCs w:val="24"/>
              </w:rPr>
              <w:t xml:space="preserve">, </w:t>
            </w:r>
            <w:r w:rsidR="00B3503D" w:rsidRPr="00415663">
              <w:rPr>
                <w:sz w:val="24"/>
                <w:szCs w:val="24"/>
              </w:rPr>
              <w:lastRenderedPageBreak/>
              <w:t>bet, ja darbība var būtiski ietekmēt Eiropas nozīmes aizsargājamo dabas teritoriju (</w:t>
            </w:r>
            <w:proofErr w:type="spellStart"/>
            <w:r w:rsidR="00B3503D" w:rsidRPr="00415663">
              <w:rPr>
                <w:sz w:val="24"/>
                <w:szCs w:val="24"/>
              </w:rPr>
              <w:t>Natura</w:t>
            </w:r>
            <w:proofErr w:type="spellEnd"/>
            <w:r w:rsidR="00B3503D" w:rsidRPr="00415663">
              <w:rPr>
                <w:sz w:val="24"/>
                <w:szCs w:val="24"/>
              </w:rPr>
              <w:t xml:space="preserve"> 2000) – visus iespējamos risinājumus attiecībā uz šīs darbības vietu un izmantojamo tehnoloģiju veidiem</w:t>
            </w:r>
            <w:r w:rsidR="007C51E8">
              <w:rPr>
                <w:sz w:val="24"/>
                <w:szCs w:val="24"/>
              </w:rPr>
              <w:t xml:space="preserve"> (minētā panta otrā daļa)</w:t>
            </w:r>
            <w:r w:rsidR="00B3503D" w:rsidRPr="00415663">
              <w:rPr>
                <w:sz w:val="24"/>
                <w:szCs w:val="24"/>
              </w:rPr>
              <w:t xml:space="preserve">. Viens no kritērijiem, lemjot, vai sākotnējā izvērtējuma rezultātā piemērojams ietekmes uz vidi novērtējums, ir iespēja “pilnvērtīgi samazināt paredzēto ietekmi uz vidi” (likuma “Par ietekmes uz vidi novērtējumu” 11. panta trešās daļas 7. punkts), ko </w:t>
            </w:r>
            <w:r w:rsidR="003C52D1">
              <w:rPr>
                <w:sz w:val="24"/>
                <w:szCs w:val="24"/>
              </w:rPr>
              <w:t>VVD</w:t>
            </w:r>
            <w:r w:rsidR="00B3503D" w:rsidRPr="00415663">
              <w:rPr>
                <w:sz w:val="24"/>
                <w:szCs w:val="24"/>
              </w:rPr>
              <w:t xml:space="preserve"> ņem vērā, ja netiek piemērots ietekmes uz vidi novērtējums, bet paredzētajai darbībai </w:t>
            </w:r>
            <w:r w:rsidR="00E070C3" w:rsidRPr="00415663">
              <w:rPr>
                <w:sz w:val="24"/>
                <w:szCs w:val="24"/>
              </w:rPr>
              <w:t xml:space="preserve">tiek </w:t>
            </w:r>
            <w:r w:rsidR="00B3503D" w:rsidRPr="00415663">
              <w:rPr>
                <w:sz w:val="24"/>
                <w:szCs w:val="24"/>
              </w:rPr>
              <w:t>izdoti tehniskie noteikumi. Vides aizsardzības prasības, kas tiek iekļautas tehniskajos noteikumos, tiek izvirzītas nolūkā nepieļaut (novērst vai mazināt) būtisku negatīvu ietekmi uz vidi, un tie var attiekties gan uz paredzētās darbības vietas izvēli, paredzētās darbības apjomu un jaudu, kā arī tehnoloģiju veidu, ar kādiem paredzētā darbība īstenojama.</w:t>
            </w:r>
            <w:r w:rsidR="00C43546">
              <w:rPr>
                <w:sz w:val="24"/>
                <w:szCs w:val="24"/>
              </w:rPr>
              <w:t xml:space="preserve"> Kā jau iepriekš norādīts, pats ierosinātājs izvēlas divus dažādus risinājumus attiecībā uz vietas izvēli vai tehnoloģ</w:t>
            </w:r>
            <w:r>
              <w:rPr>
                <w:sz w:val="24"/>
                <w:szCs w:val="24"/>
              </w:rPr>
              <w:t>iju vei</w:t>
            </w:r>
            <w:r w:rsidR="00C43546">
              <w:rPr>
                <w:sz w:val="24"/>
                <w:szCs w:val="24"/>
              </w:rPr>
              <w:t>diem.</w:t>
            </w:r>
            <w:r w:rsidR="00B3503D" w:rsidRPr="00415663">
              <w:rPr>
                <w:sz w:val="24"/>
                <w:szCs w:val="24"/>
              </w:rPr>
              <w:t xml:space="preserve"> </w:t>
            </w:r>
            <w:r w:rsidR="00126924">
              <w:rPr>
                <w:sz w:val="24"/>
                <w:szCs w:val="24"/>
              </w:rPr>
              <w:t xml:space="preserve">Šādas prasības </w:t>
            </w:r>
            <w:r w:rsidR="00B3503D" w:rsidRPr="00415663">
              <w:rPr>
                <w:sz w:val="24"/>
                <w:szCs w:val="24"/>
              </w:rPr>
              <w:t>var attiekties arī uz papildus īpaši veicamajiem pasākumiem, lai paredzētās darbības ietekmi (konkrētajā vietā, apjomā un tehnoloģiskajos risinājumos) samazinātu.</w:t>
            </w:r>
          </w:p>
          <w:p w14:paraId="329804CD" w14:textId="77777777" w:rsidR="00B3503D" w:rsidRPr="00415663" w:rsidRDefault="00B3503D" w:rsidP="00B3503D">
            <w:pPr>
              <w:pStyle w:val="FootnoteText"/>
              <w:ind w:left="111" w:right="180"/>
              <w:jc w:val="both"/>
              <w:rPr>
                <w:sz w:val="24"/>
                <w:szCs w:val="24"/>
              </w:rPr>
            </w:pPr>
            <w:r w:rsidRPr="00415663">
              <w:rPr>
                <w:sz w:val="24"/>
                <w:szCs w:val="24"/>
              </w:rPr>
              <w:t>Piemēri:</w:t>
            </w:r>
          </w:p>
          <w:p w14:paraId="56532E25" w14:textId="017D9454" w:rsidR="00192600" w:rsidRPr="00415663" w:rsidRDefault="00B3503D" w:rsidP="00B3503D">
            <w:pPr>
              <w:pStyle w:val="FootnoteText"/>
              <w:ind w:left="111" w:right="180"/>
              <w:jc w:val="both"/>
              <w:rPr>
                <w:sz w:val="24"/>
                <w:szCs w:val="24"/>
              </w:rPr>
            </w:pPr>
            <w:r w:rsidRPr="00415663">
              <w:rPr>
                <w:sz w:val="24"/>
                <w:szCs w:val="24"/>
              </w:rPr>
              <w:t xml:space="preserve">Izvērtējot iespējamo paredzētās darbības ietekmi uz vidi un iespēju to pilnvērtīgi samazināt, tehniskajos noteikumos var būt izvirzītas vides aizsardzības prasības, kas ierobežo paredzētās darbības īstenošanas vietu, piemēram, ceļa būvniecībai </w:t>
            </w:r>
            <w:r w:rsidR="007C51E8">
              <w:rPr>
                <w:sz w:val="24"/>
                <w:szCs w:val="24"/>
              </w:rPr>
              <w:t>–</w:t>
            </w:r>
            <w:r w:rsidR="007C51E8" w:rsidRPr="00415663">
              <w:rPr>
                <w:sz w:val="24"/>
                <w:szCs w:val="24"/>
              </w:rPr>
              <w:t xml:space="preserve"> </w:t>
            </w:r>
            <w:r w:rsidRPr="00415663">
              <w:rPr>
                <w:sz w:val="24"/>
                <w:szCs w:val="24"/>
              </w:rPr>
              <w:t xml:space="preserve">ierobežojot ceļa platumu, </w:t>
            </w:r>
            <w:proofErr w:type="gramStart"/>
            <w:r w:rsidRPr="00415663">
              <w:rPr>
                <w:sz w:val="24"/>
                <w:szCs w:val="24"/>
              </w:rPr>
              <w:t xml:space="preserve">nepieļaujot </w:t>
            </w:r>
            <w:proofErr w:type="spellStart"/>
            <w:r w:rsidRPr="00415663">
              <w:rPr>
                <w:sz w:val="24"/>
                <w:szCs w:val="24"/>
              </w:rPr>
              <w:t>sāngrāvju</w:t>
            </w:r>
            <w:proofErr w:type="spellEnd"/>
            <w:r w:rsidRPr="00415663">
              <w:rPr>
                <w:sz w:val="24"/>
                <w:szCs w:val="24"/>
              </w:rPr>
              <w:t xml:space="preserve"> būvniecību,</w:t>
            </w:r>
            <w:proofErr w:type="gramEnd"/>
            <w:r w:rsidRPr="00415663">
              <w:rPr>
                <w:sz w:val="24"/>
                <w:szCs w:val="24"/>
              </w:rPr>
              <w:t xml:space="preserve"> vai aprobežojot to dziļumu, lai ierobežotu nosusināšanas ietekmes izplatību. </w:t>
            </w:r>
            <w:r w:rsidR="00192600" w:rsidRPr="00415663">
              <w:rPr>
                <w:sz w:val="24"/>
                <w:szCs w:val="24"/>
              </w:rPr>
              <w:t>T</w:t>
            </w:r>
            <w:r w:rsidRPr="00415663">
              <w:rPr>
                <w:sz w:val="24"/>
                <w:szCs w:val="24"/>
              </w:rPr>
              <w:t xml:space="preserve">ehniskajos noteikumos, kas tiek izdoti būvniecībai Baltijas jūras un Rīgas jūras līča krasta kāpu aizsargjoslā, var būt izvirzīta prasība attiecībā uz būvniecības vietu, lai radītu iespējami mazāku ietekmi uz kāpu reljefu, </w:t>
            </w:r>
            <w:r w:rsidR="00126924">
              <w:rPr>
                <w:sz w:val="24"/>
                <w:szCs w:val="24"/>
              </w:rPr>
              <w:t>prasības</w:t>
            </w:r>
            <w:r w:rsidRPr="00415663">
              <w:rPr>
                <w:sz w:val="24"/>
                <w:szCs w:val="24"/>
              </w:rPr>
              <w:t xml:space="preserve"> vietas izvēlei vai darbības apjomam var tikt izvirzīti arī vēja elektrostacijām, derīgo izrakteņu ieguvei, piemēram</w:t>
            </w:r>
            <w:r w:rsidR="00C43546">
              <w:rPr>
                <w:sz w:val="24"/>
                <w:szCs w:val="24"/>
              </w:rPr>
              <w:t>, lai palielinātu attālumu līdz</w:t>
            </w:r>
            <w:r w:rsidRPr="00415663">
              <w:rPr>
                <w:sz w:val="24"/>
                <w:szCs w:val="24"/>
              </w:rPr>
              <w:t xml:space="preserve"> dzīvojamām un publiskas apbūves teritorijām. Tehniskajos noteikumos, kas tiek izdoti rūpniecības un infrastruktūras objektiem</w:t>
            </w:r>
            <w:r w:rsidR="00192600" w:rsidRPr="00415663">
              <w:rPr>
                <w:sz w:val="24"/>
                <w:szCs w:val="24"/>
              </w:rPr>
              <w:t xml:space="preserve">, </w:t>
            </w:r>
            <w:r w:rsidRPr="00415663">
              <w:rPr>
                <w:sz w:val="24"/>
                <w:szCs w:val="24"/>
              </w:rPr>
              <w:t>var būt izvirzītas prasības</w:t>
            </w:r>
            <w:r w:rsidR="00C43546">
              <w:rPr>
                <w:sz w:val="24"/>
                <w:szCs w:val="24"/>
              </w:rPr>
              <w:t xml:space="preserve"> saistībā ar tehnoloģiju veidiem, piemēram,</w:t>
            </w:r>
            <w:r w:rsidRPr="00415663">
              <w:rPr>
                <w:sz w:val="24"/>
                <w:szCs w:val="24"/>
              </w:rPr>
              <w:t xml:space="preserve"> uzstādīt iekārtas, kas nodrošina noteiktu vides sniegumu, piemēram, ne lielāku skaņas jaudu par noteiktu decibelu dB</w:t>
            </w:r>
            <w:r w:rsidR="00EE0603">
              <w:rPr>
                <w:sz w:val="24"/>
                <w:szCs w:val="24"/>
              </w:rPr>
              <w:t xml:space="preserve"> </w:t>
            </w:r>
            <w:r w:rsidRPr="00415663">
              <w:rPr>
                <w:sz w:val="24"/>
                <w:szCs w:val="24"/>
              </w:rPr>
              <w:t xml:space="preserve">(A) līmeni. </w:t>
            </w:r>
          </w:p>
          <w:p w14:paraId="0CFCE92B" w14:textId="501E29DA" w:rsidR="00B3503D" w:rsidRPr="00415663" w:rsidRDefault="00B3503D" w:rsidP="00B3503D">
            <w:pPr>
              <w:pStyle w:val="FootnoteText"/>
              <w:ind w:left="111" w:right="180"/>
              <w:jc w:val="both"/>
              <w:rPr>
                <w:sz w:val="24"/>
                <w:szCs w:val="24"/>
              </w:rPr>
            </w:pPr>
            <w:r w:rsidRPr="00415663">
              <w:rPr>
                <w:sz w:val="24"/>
                <w:szCs w:val="24"/>
              </w:rPr>
              <w:t xml:space="preserve">Tehnisko noteikumu uzdevums, līdzvērtīgi kā ietekmes uz vidi novērtējuma gadījumā, ir novērst </w:t>
            </w:r>
            <w:r w:rsidRPr="00415663">
              <w:rPr>
                <w:sz w:val="24"/>
                <w:szCs w:val="24"/>
              </w:rPr>
              <w:lastRenderedPageBreak/>
              <w:t>vai samazināt fizisko un juridisko personu paredzēto darbību nelabvēlīgo ietekmi uz vidi. Katrs no noregulētajiem aspektiem ir saistīts ar ietekmi uz vidi, tai skaitā cilvēku, viņa veselību un drošību, kā arī bioloģisko daudzveidību, augsni, zemes dzīlēm, ūdeni, gaisu, klimatu, ainavu, materiālajām vērtībām, kultūras un dabas mantojumu, iespējamo pakļautību avāriju vai katastrofu riskiem un visu minēto jomu mijiedarbību.</w:t>
            </w:r>
          </w:p>
          <w:p w14:paraId="1103A13D" w14:textId="77777777" w:rsidR="009A193B" w:rsidRPr="00F30A80" w:rsidRDefault="009A193B" w:rsidP="003451FF">
            <w:pPr>
              <w:pStyle w:val="FootnoteText"/>
              <w:ind w:left="111" w:right="180"/>
              <w:jc w:val="both"/>
              <w:rPr>
                <w:color w:val="FF0000"/>
                <w:sz w:val="24"/>
                <w:szCs w:val="24"/>
              </w:rPr>
            </w:pPr>
          </w:p>
          <w:p w14:paraId="534D4E7E" w14:textId="0216FBD2" w:rsidR="009278D3" w:rsidRDefault="009A193B" w:rsidP="003451FF">
            <w:pPr>
              <w:pStyle w:val="FootnoteText"/>
              <w:ind w:left="111" w:right="180"/>
              <w:jc w:val="both"/>
              <w:rPr>
                <w:sz w:val="24"/>
                <w:szCs w:val="24"/>
              </w:rPr>
            </w:pPr>
            <w:r w:rsidRPr="00F30A80">
              <w:rPr>
                <w:sz w:val="24"/>
                <w:szCs w:val="24"/>
              </w:rPr>
              <w:t xml:space="preserve">VVD </w:t>
            </w:r>
            <w:r w:rsidR="00476087">
              <w:rPr>
                <w:sz w:val="24"/>
                <w:szCs w:val="24"/>
              </w:rPr>
              <w:t>t</w:t>
            </w:r>
            <w:r w:rsidRPr="00F30A80">
              <w:rPr>
                <w:sz w:val="24"/>
                <w:szCs w:val="24"/>
              </w:rPr>
              <w:t>ehniskos noteikumus izdod atbilstoši MK noteikum</w:t>
            </w:r>
            <w:r w:rsidR="00B97D15">
              <w:rPr>
                <w:sz w:val="24"/>
                <w:szCs w:val="24"/>
              </w:rPr>
              <w:t>u</w:t>
            </w:r>
            <w:r w:rsidRPr="00F30A80">
              <w:rPr>
                <w:sz w:val="24"/>
                <w:szCs w:val="24"/>
              </w:rPr>
              <w:t xml:space="preserve"> Nr.</w:t>
            </w:r>
            <w:r w:rsidR="004F1C50">
              <w:rPr>
                <w:sz w:val="24"/>
                <w:szCs w:val="24"/>
              </w:rPr>
              <w:t> </w:t>
            </w:r>
            <w:r w:rsidR="00B97D15">
              <w:rPr>
                <w:sz w:val="24"/>
                <w:szCs w:val="24"/>
              </w:rPr>
              <w:t>30</w:t>
            </w:r>
            <w:r w:rsidRPr="00F30A80">
              <w:rPr>
                <w:sz w:val="24"/>
                <w:szCs w:val="24"/>
              </w:rPr>
              <w:t xml:space="preserve"> un</w:t>
            </w:r>
            <w:r w:rsidR="00B97D15">
              <w:rPr>
                <w:sz w:val="24"/>
                <w:szCs w:val="24"/>
              </w:rPr>
              <w:t xml:space="preserve"> Likuma 13. panta otrajai daļai</w:t>
            </w:r>
            <w:r w:rsidRPr="00F30A80">
              <w:rPr>
                <w:sz w:val="24"/>
                <w:szCs w:val="24"/>
              </w:rPr>
              <w:t>.</w:t>
            </w:r>
          </w:p>
          <w:p w14:paraId="57C90D7E" w14:textId="5467901A" w:rsidR="00476087" w:rsidRDefault="009278D3" w:rsidP="003451FF">
            <w:pPr>
              <w:pStyle w:val="FootnoteText"/>
              <w:ind w:left="111" w:right="180"/>
              <w:jc w:val="both"/>
              <w:rPr>
                <w:sz w:val="24"/>
                <w:szCs w:val="24"/>
              </w:rPr>
            </w:pPr>
            <w:r>
              <w:rPr>
                <w:sz w:val="24"/>
                <w:szCs w:val="24"/>
              </w:rPr>
              <w:t xml:space="preserve">Tehniskajos noteikumos tiek </w:t>
            </w:r>
            <w:r w:rsidR="00476087">
              <w:rPr>
                <w:sz w:val="24"/>
                <w:szCs w:val="24"/>
              </w:rPr>
              <w:t>izvirzītas</w:t>
            </w:r>
            <w:r>
              <w:rPr>
                <w:sz w:val="24"/>
                <w:szCs w:val="24"/>
              </w:rPr>
              <w:t xml:space="preserve"> vides aizsardzības prasības</w:t>
            </w:r>
            <w:r w:rsidR="00476087">
              <w:rPr>
                <w:sz w:val="24"/>
                <w:szCs w:val="24"/>
              </w:rPr>
              <w:t xml:space="preserve">, kuras ir svarīgas tieši konkrētās paredzētās darbības veikšanā. </w:t>
            </w:r>
            <w:r w:rsidR="00670F89">
              <w:rPr>
                <w:sz w:val="24"/>
                <w:szCs w:val="24"/>
              </w:rPr>
              <w:t xml:space="preserve">Tie ir uzdevumi paredzētās darbības veikšanai (piemēram, nosaka konkrētu paredzētās darbības īstenošanas vietu īpašumā, nosaka darbības veikšanas laiku, izmantojamos </w:t>
            </w:r>
            <w:r w:rsidR="00C43546">
              <w:rPr>
                <w:sz w:val="24"/>
                <w:szCs w:val="24"/>
              </w:rPr>
              <w:t>tehnoloģiju veidus</w:t>
            </w:r>
            <w:r w:rsidR="00670F89">
              <w:rPr>
                <w:sz w:val="24"/>
                <w:szCs w:val="24"/>
              </w:rPr>
              <w:t xml:space="preserve">, materiālus). </w:t>
            </w:r>
            <w:r w:rsidR="00476087">
              <w:rPr>
                <w:sz w:val="24"/>
                <w:szCs w:val="24"/>
              </w:rPr>
              <w:t>Tehnisko noteikumu prasības nedublē normatīvo aktu prasības</w:t>
            </w:r>
            <w:r w:rsidR="00670F89">
              <w:rPr>
                <w:sz w:val="24"/>
                <w:szCs w:val="24"/>
              </w:rPr>
              <w:t>.</w:t>
            </w:r>
          </w:p>
          <w:p w14:paraId="57176CD2" w14:textId="1D28C7C9" w:rsidR="009278D3" w:rsidRDefault="00476087" w:rsidP="003451FF">
            <w:pPr>
              <w:pStyle w:val="FootnoteText"/>
              <w:ind w:left="111" w:right="180"/>
              <w:jc w:val="both"/>
              <w:rPr>
                <w:sz w:val="24"/>
                <w:szCs w:val="24"/>
              </w:rPr>
            </w:pPr>
            <w:r>
              <w:rPr>
                <w:sz w:val="24"/>
                <w:szCs w:val="24"/>
              </w:rPr>
              <w:t>Atbilstoši MK noteikumu Nr.</w:t>
            </w:r>
            <w:r w:rsidR="007C51E8">
              <w:rPr>
                <w:sz w:val="24"/>
                <w:szCs w:val="24"/>
              </w:rPr>
              <w:t> </w:t>
            </w:r>
            <w:r>
              <w:rPr>
                <w:sz w:val="24"/>
                <w:szCs w:val="24"/>
              </w:rPr>
              <w:t>30 2.</w:t>
            </w:r>
            <w:r w:rsidR="007C51E8">
              <w:rPr>
                <w:sz w:val="24"/>
                <w:szCs w:val="24"/>
              </w:rPr>
              <w:t> </w:t>
            </w:r>
            <w:r>
              <w:rPr>
                <w:sz w:val="24"/>
                <w:szCs w:val="24"/>
              </w:rPr>
              <w:t xml:space="preserve">punktam paredzētās darbības veicējam tehniskie noteikumi ir saistoši un ir jāievēro </w:t>
            </w:r>
            <w:r w:rsidR="009278D3">
              <w:rPr>
                <w:sz w:val="24"/>
                <w:szCs w:val="24"/>
              </w:rPr>
              <w:t>papildus</w:t>
            </w:r>
            <w:r>
              <w:rPr>
                <w:sz w:val="24"/>
                <w:szCs w:val="24"/>
              </w:rPr>
              <w:t xml:space="preserve"> normatīvo aktu prasībām.</w:t>
            </w:r>
          </w:p>
          <w:p w14:paraId="38B68A28" w14:textId="77777777" w:rsidR="00CB44F5" w:rsidRDefault="009A193B" w:rsidP="00476087">
            <w:pPr>
              <w:pStyle w:val="FootnoteText"/>
              <w:ind w:left="111" w:right="180"/>
              <w:jc w:val="both"/>
              <w:rPr>
                <w:sz w:val="24"/>
                <w:szCs w:val="24"/>
              </w:rPr>
            </w:pPr>
            <w:r w:rsidRPr="00F30A80">
              <w:rPr>
                <w:sz w:val="24"/>
                <w:szCs w:val="24"/>
              </w:rPr>
              <w:t xml:space="preserve"> </w:t>
            </w:r>
          </w:p>
          <w:p w14:paraId="4DDF0084" w14:textId="1CDCE3C7" w:rsidR="00476087" w:rsidRDefault="00476087" w:rsidP="00476087">
            <w:pPr>
              <w:pStyle w:val="naiskr"/>
              <w:spacing w:before="0" w:after="0"/>
              <w:ind w:left="82" w:right="161"/>
              <w:jc w:val="both"/>
            </w:pPr>
            <w:r>
              <w:t xml:space="preserve">Administratīvā pārkāpuma process ir vienīgais efektīvais līdzeklis, ja pārkāpums ir pabeigts un </w:t>
            </w:r>
            <w:r w:rsidR="00126924">
              <w:t>tehnisko noteikumu prasību</w:t>
            </w:r>
            <w:r w:rsidRPr="00B24B32">
              <w:t xml:space="preserve"> pārkāpuma </w:t>
            </w:r>
            <w:r>
              <w:t>rezultātā radušās kaitīg</w:t>
            </w:r>
            <w:r w:rsidR="00670F89">
              <w:t>ā</w:t>
            </w:r>
            <w:r>
              <w:t xml:space="preserve">s sekas videi vai cilvēkiem </w:t>
            </w:r>
            <w:r w:rsidRPr="00B24B32">
              <w:t xml:space="preserve">nav novēršamas vai </w:t>
            </w:r>
            <w:r>
              <w:t xml:space="preserve">seku nelabvēlīgā ietekme ir </w:t>
            </w:r>
            <w:r w:rsidR="00670F89">
              <w:t xml:space="preserve">vienīgi </w:t>
            </w:r>
            <w:r>
              <w:t xml:space="preserve">samazināma ar kompensējošiem pasākumiem. </w:t>
            </w:r>
            <w:r w:rsidR="002C48B0">
              <w:t>Nevar</w:t>
            </w:r>
            <w:r w:rsidR="002C48B0" w:rsidRPr="00B24B32">
              <w:t xml:space="preserve"> „atgriezties pagātnē” un piespiest pārtraukt vai neizdarīt pārkāpumu</w:t>
            </w:r>
            <w:r w:rsidR="002C48B0">
              <w:t>.</w:t>
            </w:r>
          </w:p>
          <w:p w14:paraId="7F239593" w14:textId="77777777" w:rsidR="00476087" w:rsidRDefault="00036158" w:rsidP="00476087">
            <w:pPr>
              <w:pStyle w:val="FootnoteText"/>
              <w:ind w:left="111" w:right="180"/>
              <w:jc w:val="both"/>
              <w:rPr>
                <w:sz w:val="24"/>
                <w:szCs w:val="24"/>
              </w:rPr>
            </w:pPr>
            <w:r w:rsidRPr="00036158">
              <w:rPr>
                <w:sz w:val="24"/>
                <w:szCs w:val="24"/>
              </w:rPr>
              <w:t>Labākai izpratnei anotācijā tiek sniegti tehniskos noteikumos izvirzīto vides aizsardzības prasību piemēri</w:t>
            </w:r>
            <w:r>
              <w:rPr>
                <w:sz w:val="24"/>
                <w:szCs w:val="24"/>
              </w:rPr>
              <w:t xml:space="preserve"> no VVD prakses.</w:t>
            </w:r>
            <w:r>
              <w:rPr>
                <w:i/>
                <w:sz w:val="24"/>
                <w:szCs w:val="24"/>
              </w:rPr>
              <w:t xml:space="preserve"> </w:t>
            </w:r>
            <w:r w:rsidR="00670F89" w:rsidRPr="002C48B0">
              <w:rPr>
                <w:i/>
                <w:sz w:val="24"/>
                <w:szCs w:val="24"/>
              </w:rPr>
              <w:t>Piemēram, tehniskie noteikumi ir jāsaņem upju un ezeru padziļināšanas un tīrīšanas darbu veikšanai</w:t>
            </w:r>
            <w:r w:rsidR="00FF7296">
              <w:rPr>
                <w:sz w:val="24"/>
                <w:szCs w:val="24"/>
              </w:rPr>
              <w:t>:</w:t>
            </w:r>
          </w:p>
          <w:p w14:paraId="132E2F80" w14:textId="2F03F0D0" w:rsidR="00FF7296" w:rsidRDefault="00FF7296" w:rsidP="00FF7296">
            <w:pPr>
              <w:pStyle w:val="FootnoteText"/>
              <w:numPr>
                <w:ilvl w:val="0"/>
                <w:numId w:val="21"/>
              </w:numPr>
              <w:ind w:right="180"/>
              <w:jc w:val="both"/>
              <w:rPr>
                <w:sz w:val="24"/>
                <w:szCs w:val="24"/>
              </w:rPr>
            </w:pPr>
            <w:r>
              <w:rPr>
                <w:sz w:val="24"/>
                <w:szCs w:val="24"/>
              </w:rPr>
              <w:t xml:space="preserve">Tehnisko noteikumu </w:t>
            </w:r>
            <w:r w:rsidR="00126924">
              <w:rPr>
                <w:sz w:val="24"/>
                <w:szCs w:val="24"/>
              </w:rPr>
              <w:t>prasība</w:t>
            </w:r>
            <w:r>
              <w:rPr>
                <w:sz w:val="24"/>
                <w:szCs w:val="24"/>
              </w:rPr>
              <w:t xml:space="preserve"> – </w:t>
            </w:r>
            <w:r w:rsidRPr="001E2472">
              <w:rPr>
                <w:i/>
                <w:iCs/>
                <w:sz w:val="24"/>
                <w:szCs w:val="24"/>
              </w:rPr>
              <w:t xml:space="preserve">upes posma padziļināšanu neveikt zivju nārsta laikā no </w:t>
            </w:r>
            <w:proofErr w:type="gramStart"/>
            <w:r w:rsidRPr="001E2472">
              <w:rPr>
                <w:i/>
                <w:iCs/>
                <w:sz w:val="24"/>
                <w:szCs w:val="24"/>
              </w:rPr>
              <w:t>1.marta</w:t>
            </w:r>
            <w:proofErr w:type="gramEnd"/>
            <w:r w:rsidRPr="001E2472">
              <w:rPr>
                <w:i/>
                <w:iCs/>
                <w:sz w:val="24"/>
                <w:szCs w:val="24"/>
              </w:rPr>
              <w:t xml:space="preserve"> līdz 30.aprīlim.</w:t>
            </w:r>
            <w:r>
              <w:rPr>
                <w:sz w:val="24"/>
                <w:szCs w:val="24"/>
              </w:rPr>
              <w:t xml:space="preserve"> </w:t>
            </w:r>
            <w:r w:rsidR="6CD16C98">
              <w:rPr>
                <w:sz w:val="24"/>
                <w:szCs w:val="24"/>
              </w:rPr>
              <w:t>Zvejniecības jomas n</w:t>
            </w:r>
            <w:r>
              <w:rPr>
                <w:sz w:val="24"/>
                <w:szCs w:val="24"/>
              </w:rPr>
              <w:t xml:space="preserve">ormatīvajos aktos </w:t>
            </w:r>
            <w:r w:rsidR="6CD16C98">
              <w:rPr>
                <w:sz w:val="24"/>
                <w:szCs w:val="24"/>
              </w:rPr>
              <w:t>noteikti konkrēti</w:t>
            </w:r>
            <w:r>
              <w:rPr>
                <w:sz w:val="24"/>
                <w:szCs w:val="24"/>
              </w:rPr>
              <w:t xml:space="preserve"> aizliegum</w:t>
            </w:r>
            <w:r w:rsidR="6CD16C98">
              <w:rPr>
                <w:sz w:val="24"/>
                <w:szCs w:val="24"/>
              </w:rPr>
              <w:t>i</w:t>
            </w:r>
            <w:r>
              <w:rPr>
                <w:sz w:val="24"/>
                <w:szCs w:val="24"/>
              </w:rPr>
              <w:t xml:space="preserve"> zvejot zivis, bet nav aizlieguma ietekmēt nārsta vietas un nārstojošās zivis. Ja paredzētās darbības veicējs upes padziļināšanu tomēr veic 29.-</w:t>
            </w:r>
            <w:proofErr w:type="gramStart"/>
            <w:r>
              <w:rPr>
                <w:sz w:val="24"/>
                <w:szCs w:val="24"/>
              </w:rPr>
              <w:t>30.aprīlī</w:t>
            </w:r>
            <w:proofErr w:type="gramEnd"/>
            <w:r>
              <w:rPr>
                <w:sz w:val="24"/>
                <w:szCs w:val="24"/>
              </w:rPr>
              <w:t xml:space="preserve">, tad pārkāpums ir izdarīts un tā sekas nav iespējams novērst, jo saduļķojuma un mehāniskas iedarbības rezultātā ir bojātas nārsta vietas un zivju mazuļu attīstīšanās nav iespējama. </w:t>
            </w:r>
          </w:p>
          <w:p w14:paraId="6DE10828" w14:textId="2454A0E2" w:rsidR="00FF7296" w:rsidRDefault="00FF7296" w:rsidP="00FF7296">
            <w:pPr>
              <w:pStyle w:val="FootnoteText"/>
              <w:numPr>
                <w:ilvl w:val="0"/>
                <w:numId w:val="21"/>
              </w:numPr>
              <w:ind w:right="200"/>
              <w:jc w:val="both"/>
              <w:rPr>
                <w:sz w:val="24"/>
                <w:szCs w:val="24"/>
              </w:rPr>
            </w:pPr>
            <w:r>
              <w:rPr>
                <w:sz w:val="24"/>
                <w:szCs w:val="24"/>
              </w:rPr>
              <w:t xml:space="preserve">Tehnisko noteikumu </w:t>
            </w:r>
            <w:r w:rsidR="00126924">
              <w:rPr>
                <w:sz w:val="24"/>
                <w:szCs w:val="24"/>
              </w:rPr>
              <w:t>prasība</w:t>
            </w:r>
            <w:r>
              <w:rPr>
                <w:sz w:val="24"/>
                <w:szCs w:val="24"/>
              </w:rPr>
              <w:t xml:space="preserve"> – </w:t>
            </w:r>
            <w:r w:rsidRPr="00FF7296">
              <w:rPr>
                <w:i/>
                <w:sz w:val="24"/>
                <w:szCs w:val="24"/>
              </w:rPr>
              <w:t>padziļināšanas darbus veikt no krasta uz upes vidusdaļu</w:t>
            </w:r>
            <w:r>
              <w:rPr>
                <w:i/>
                <w:sz w:val="24"/>
                <w:szCs w:val="24"/>
              </w:rPr>
              <w:t xml:space="preserve">, </w:t>
            </w:r>
            <w:r>
              <w:rPr>
                <w:sz w:val="24"/>
                <w:szCs w:val="24"/>
              </w:rPr>
              <w:t xml:space="preserve">jo šāda kustība vairāk pasargā zivis no iekļūšanas zemessūcējā un traumēšanas. Ja tomēr darbības veicējs uzsācis padziļināšanu no upes vidusdaļas, tad pārkāpums ir pabeigts un tā sekas nav novēršamas. </w:t>
            </w:r>
          </w:p>
          <w:p w14:paraId="6D02CB62" w14:textId="582590FC" w:rsidR="00670F89" w:rsidRDefault="00FF7296" w:rsidP="002C48B0">
            <w:pPr>
              <w:pStyle w:val="FootnoteText"/>
              <w:numPr>
                <w:ilvl w:val="0"/>
                <w:numId w:val="21"/>
              </w:numPr>
              <w:ind w:right="200"/>
              <w:jc w:val="both"/>
              <w:rPr>
                <w:sz w:val="24"/>
                <w:szCs w:val="24"/>
              </w:rPr>
            </w:pPr>
            <w:r w:rsidRPr="002C48B0">
              <w:rPr>
                <w:sz w:val="24"/>
                <w:szCs w:val="24"/>
              </w:rPr>
              <w:t xml:space="preserve">Tehnisko noteikumu </w:t>
            </w:r>
            <w:r w:rsidR="00126924">
              <w:rPr>
                <w:sz w:val="24"/>
                <w:szCs w:val="24"/>
              </w:rPr>
              <w:t>prasība</w:t>
            </w:r>
            <w:r w:rsidRPr="002C48B0">
              <w:rPr>
                <w:sz w:val="24"/>
                <w:szCs w:val="24"/>
              </w:rPr>
              <w:t xml:space="preserve"> – </w:t>
            </w:r>
            <w:r w:rsidRPr="002C48B0">
              <w:rPr>
                <w:i/>
                <w:sz w:val="24"/>
                <w:szCs w:val="24"/>
              </w:rPr>
              <w:t>ar zemessūcēju nedarboties pēc plkst.</w:t>
            </w:r>
            <w:r w:rsidR="007C51E8">
              <w:rPr>
                <w:i/>
                <w:sz w:val="24"/>
                <w:szCs w:val="24"/>
              </w:rPr>
              <w:t> </w:t>
            </w:r>
            <w:r w:rsidRPr="002C48B0">
              <w:rPr>
                <w:i/>
                <w:sz w:val="24"/>
                <w:szCs w:val="24"/>
              </w:rPr>
              <w:t xml:space="preserve">18:00, lai neradītu traucējošu troksni tuvumā esošajā viensētā. </w:t>
            </w:r>
            <w:r w:rsidRPr="002C48B0">
              <w:rPr>
                <w:sz w:val="24"/>
                <w:szCs w:val="24"/>
              </w:rPr>
              <w:t xml:space="preserve">Normatīvie akti nosaka pieļaujamo trokšņa līmeni dienā un naktī, </w:t>
            </w:r>
            <w:r w:rsidR="002C48B0">
              <w:rPr>
                <w:sz w:val="24"/>
                <w:szCs w:val="24"/>
              </w:rPr>
              <w:t xml:space="preserve">un </w:t>
            </w:r>
            <w:r w:rsidR="002C48B0" w:rsidRPr="002C48B0">
              <w:rPr>
                <w:sz w:val="24"/>
                <w:szCs w:val="24"/>
              </w:rPr>
              <w:t>zemessūcējs prognozējoši šos normatīvus nepārkāps. T</w:t>
            </w:r>
            <w:r w:rsidRPr="002C48B0">
              <w:rPr>
                <w:sz w:val="24"/>
                <w:szCs w:val="24"/>
              </w:rPr>
              <w:t xml:space="preserve">omēr tehnisko noteikumu mērķis ir nodrošināt </w:t>
            </w:r>
            <w:r w:rsidR="002C48B0" w:rsidRPr="002C48B0">
              <w:rPr>
                <w:sz w:val="24"/>
                <w:szCs w:val="24"/>
              </w:rPr>
              <w:t>augstu</w:t>
            </w:r>
            <w:r w:rsidRPr="002C48B0">
              <w:rPr>
                <w:sz w:val="24"/>
                <w:szCs w:val="24"/>
              </w:rPr>
              <w:t xml:space="preserve"> dzīves līmeņa kvalitāti</w:t>
            </w:r>
            <w:r w:rsidR="002C48B0">
              <w:rPr>
                <w:sz w:val="24"/>
                <w:szCs w:val="24"/>
              </w:rPr>
              <w:t xml:space="preserve"> un nepieļaut nekādus t</w:t>
            </w:r>
            <w:r w:rsidR="00DB2424">
              <w:rPr>
                <w:sz w:val="24"/>
                <w:szCs w:val="24"/>
              </w:rPr>
              <w:t>raucējumus iedzīvotājiem pēc pl</w:t>
            </w:r>
            <w:r w:rsidR="002C48B0">
              <w:rPr>
                <w:sz w:val="24"/>
                <w:szCs w:val="24"/>
              </w:rPr>
              <w:t>k</w:t>
            </w:r>
            <w:r w:rsidR="00DB2424">
              <w:rPr>
                <w:sz w:val="24"/>
                <w:szCs w:val="24"/>
              </w:rPr>
              <w:t>s</w:t>
            </w:r>
            <w:r w:rsidR="002C48B0">
              <w:rPr>
                <w:sz w:val="24"/>
                <w:szCs w:val="24"/>
              </w:rPr>
              <w:t>t.</w:t>
            </w:r>
            <w:r w:rsidR="007C51E8">
              <w:rPr>
                <w:sz w:val="24"/>
                <w:szCs w:val="24"/>
              </w:rPr>
              <w:t> </w:t>
            </w:r>
            <w:r w:rsidR="002C48B0">
              <w:rPr>
                <w:sz w:val="24"/>
                <w:szCs w:val="24"/>
              </w:rPr>
              <w:t>18:00 - laikā, kad tie parasti atrodas mājās. Ja tomēr upes padziļināšana tiek veikta pēc plkst.</w:t>
            </w:r>
            <w:r w:rsidR="007C51E8">
              <w:rPr>
                <w:sz w:val="24"/>
                <w:szCs w:val="24"/>
              </w:rPr>
              <w:t> </w:t>
            </w:r>
            <w:r w:rsidR="002C48B0">
              <w:rPr>
                <w:sz w:val="24"/>
                <w:szCs w:val="24"/>
              </w:rPr>
              <w:t xml:space="preserve">19:00, tad iedzīvotāji cieš no trokšņa, bet pārkāpums ir pabeigts un nav cita ietekmēšanas veida kā vien administratīvais sods. </w:t>
            </w:r>
          </w:p>
          <w:p w14:paraId="1F415B53" w14:textId="0BE7D18E" w:rsidR="0099666E" w:rsidRDefault="002C48B0" w:rsidP="002C48B0">
            <w:pPr>
              <w:pStyle w:val="FootnoteText"/>
              <w:numPr>
                <w:ilvl w:val="0"/>
                <w:numId w:val="21"/>
              </w:numPr>
              <w:ind w:right="200"/>
              <w:jc w:val="both"/>
              <w:rPr>
                <w:sz w:val="24"/>
                <w:szCs w:val="24"/>
              </w:rPr>
            </w:pPr>
            <w:r w:rsidRPr="00036158">
              <w:rPr>
                <w:sz w:val="24"/>
                <w:szCs w:val="24"/>
              </w:rPr>
              <w:t>Tehnisko n</w:t>
            </w:r>
            <w:r w:rsidR="000F7767" w:rsidRPr="00036158">
              <w:rPr>
                <w:sz w:val="24"/>
                <w:szCs w:val="24"/>
              </w:rPr>
              <w:t xml:space="preserve">oteikumu </w:t>
            </w:r>
            <w:r w:rsidR="00126924">
              <w:rPr>
                <w:sz w:val="24"/>
                <w:szCs w:val="24"/>
              </w:rPr>
              <w:t>prasība</w:t>
            </w:r>
            <w:r w:rsidR="000F7767" w:rsidRPr="00036158">
              <w:rPr>
                <w:sz w:val="24"/>
                <w:szCs w:val="24"/>
              </w:rPr>
              <w:t xml:space="preserve"> - </w:t>
            </w:r>
            <w:r w:rsidR="000F7767" w:rsidRPr="00036158">
              <w:rPr>
                <w:i/>
                <w:sz w:val="24"/>
                <w:szCs w:val="24"/>
              </w:rPr>
              <w:t>atstāt neskartus trīs niedru pudurus putnu ligzdošanai un nārstam</w:t>
            </w:r>
            <w:r w:rsidRPr="00036158">
              <w:rPr>
                <w:i/>
                <w:sz w:val="24"/>
                <w:szCs w:val="24"/>
              </w:rPr>
              <w:t xml:space="preserve">. </w:t>
            </w:r>
            <w:r w:rsidR="00036158" w:rsidRPr="00036158">
              <w:rPr>
                <w:sz w:val="24"/>
                <w:szCs w:val="24"/>
              </w:rPr>
              <w:t xml:space="preserve">Ja tomēr paredzētās darbības veicējs šo </w:t>
            </w:r>
            <w:r w:rsidR="00126924">
              <w:rPr>
                <w:sz w:val="24"/>
                <w:szCs w:val="24"/>
              </w:rPr>
              <w:t>prasību</w:t>
            </w:r>
            <w:r w:rsidR="00036158" w:rsidRPr="00036158">
              <w:rPr>
                <w:sz w:val="24"/>
                <w:szCs w:val="24"/>
              </w:rPr>
              <w:t xml:space="preserve"> neievēro, tad pārkāpuma sekas novērst nevar, bet šajā un citos gadījumos var VVD var uzdot veikt kompensējošus pasākumus, kuri mazinās negatīvās sekas. Piemēram, izrakto niedru vietā uzstādīt mākslīgu zaru – niedru veidojumu. Kamēr administratīvā procesa ietvaros (t.sk. var būt arī piespiedu izpilde) tiks panākta kompensējošu pasākumu izpilde, daba cietīs no izdarītā pārkāpuma sekām. </w:t>
            </w:r>
          </w:p>
          <w:p w14:paraId="29594836" w14:textId="77777777" w:rsidR="00036158" w:rsidRPr="00B24B32" w:rsidRDefault="00036158" w:rsidP="00036158">
            <w:pPr>
              <w:pStyle w:val="FootnoteText"/>
              <w:ind w:left="471" w:right="200"/>
              <w:jc w:val="both"/>
              <w:rPr>
                <w:sz w:val="24"/>
                <w:szCs w:val="24"/>
              </w:rPr>
            </w:pPr>
          </w:p>
          <w:p w14:paraId="6133F6EA" w14:textId="6CBE0C78" w:rsidR="00A24F6E" w:rsidRPr="00D325F4" w:rsidRDefault="00FE3D0C" w:rsidP="00A24F6E">
            <w:pPr>
              <w:pStyle w:val="naiskr"/>
              <w:spacing w:before="0" w:after="0"/>
              <w:ind w:left="111" w:right="161"/>
              <w:jc w:val="both"/>
            </w:pPr>
            <w:r>
              <w:t>Salīdzinājumā ar L</w:t>
            </w:r>
            <w:r w:rsidR="00A24F6E">
              <w:t>ikumprojekta 27.</w:t>
            </w:r>
            <w:r w:rsidR="00B56BC5">
              <w:t> </w:t>
            </w:r>
            <w:r w:rsidR="00A24F6E">
              <w:t>panta trešajā</w:t>
            </w:r>
            <w:proofErr w:type="gramStart"/>
            <w:r w:rsidR="00A24F6E">
              <w:t xml:space="preserve">  </w:t>
            </w:r>
            <w:proofErr w:type="gramEnd"/>
            <w:r w:rsidR="00A24F6E">
              <w:t xml:space="preserve">daļā noteikto sankciju, naudas sods par tehnisko noteikumu neievērošanu ir noteikts mazāks, jo parasti tiek pārkāpta viena vai atsevišķas vides aizsardzības prasības. Savukārt, ja persona nav saņēmusi tehniskos noteikumus vispār, tad persona brīvi darbojas pēc saviem ieskatiem un neievēro nevienu vides aizsardzības prasību, jo tās nav noteiktas un attiecīgi </w:t>
            </w:r>
            <w:r w:rsidR="00D2652A">
              <w:t xml:space="preserve">personai </w:t>
            </w:r>
            <w:r w:rsidR="00A24F6E">
              <w:t>nav zināmas</w:t>
            </w:r>
            <w:r w:rsidR="00B56BC5">
              <w:t>, līdz ar to iespējamais kaitējums ir lielāks</w:t>
            </w:r>
            <w:r w:rsidR="00A24F6E">
              <w:t xml:space="preserve">. Tāpat </w:t>
            </w:r>
            <w:r w:rsidR="00D2652A">
              <w:t xml:space="preserve">šajā gadījumā nav veikts paredzētās darbības vietas izvērtējums, proti, uzsākot darbību bez tehniskiem noteikumiem, pastāv risks iznīcināt aizsargājamus vai citādi vērtīgus augus un biotopus. Piemēram, bez tehniskiem noteikumiem māja krasta kāpu aizsargjoslā var būt uzcelta, iznīcinot kāpu reljefu un īpaši aizsargājamu biotopu, bet pēc celtniecības uzsākšanas šīs dabas vērtības vairs nav konstatējamas un to aizsardzība post </w:t>
            </w:r>
            <w:proofErr w:type="spellStart"/>
            <w:r w:rsidR="00D2652A">
              <w:t>factum</w:t>
            </w:r>
            <w:proofErr w:type="spellEnd"/>
            <w:r w:rsidR="00D2652A">
              <w:t xml:space="preserve"> neiespējama. </w:t>
            </w:r>
            <w:r w:rsidR="00A24F6E">
              <w:t>Tāpēc darbība bez tehniskiem noteikumiem ir būtiskāks pārkāpums nekā tehnisko noteikumu neievērošana</w:t>
            </w:r>
            <w:r w:rsidR="00D2652A">
              <w:t xml:space="preserve">, tai skaitā arī tāpēc, ka tehniskie noteikumi, neskatoties uz savu nosaukumu, ir atļauja veikt paredzēto darbību. </w:t>
            </w:r>
            <w:r w:rsidR="00A24F6E">
              <w:t xml:space="preserve"> </w:t>
            </w:r>
          </w:p>
          <w:p w14:paraId="21944ACC" w14:textId="77777777" w:rsidR="008351F9" w:rsidRPr="002C48B0" w:rsidRDefault="008351F9" w:rsidP="0087416F">
            <w:pPr>
              <w:pStyle w:val="FootnoteText"/>
              <w:ind w:right="180"/>
              <w:jc w:val="both"/>
              <w:rPr>
                <w:sz w:val="24"/>
                <w:szCs w:val="24"/>
              </w:rPr>
            </w:pPr>
          </w:p>
          <w:p w14:paraId="51063B24" w14:textId="77777777" w:rsidR="00AE301A" w:rsidRPr="00B24B32" w:rsidRDefault="0087416F" w:rsidP="0087416F">
            <w:pPr>
              <w:pStyle w:val="naiskr"/>
              <w:spacing w:before="0" w:after="0"/>
              <w:ind w:right="161"/>
              <w:jc w:val="both"/>
            </w:pPr>
            <w:r>
              <w:t xml:space="preserve">  </w:t>
            </w:r>
          </w:p>
          <w:p w14:paraId="7717B568" w14:textId="453A3AB9" w:rsidR="00AE301A" w:rsidRDefault="00AE301A" w:rsidP="00D71651">
            <w:pPr>
              <w:pStyle w:val="FootnoteText"/>
              <w:ind w:left="82" w:right="180"/>
              <w:jc w:val="both"/>
              <w:rPr>
                <w:sz w:val="24"/>
                <w:szCs w:val="24"/>
              </w:rPr>
            </w:pPr>
            <w:r w:rsidRPr="00B24B32">
              <w:rPr>
                <w:sz w:val="24"/>
                <w:szCs w:val="24"/>
              </w:rPr>
              <w:t>Ar administratīvā procesa palīdzību var ietekmē</w:t>
            </w:r>
            <w:r w:rsidR="00D71651" w:rsidRPr="00B24B32">
              <w:rPr>
                <w:sz w:val="24"/>
                <w:szCs w:val="24"/>
              </w:rPr>
              <w:t xml:space="preserve">t </w:t>
            </w:r>
            <w:r w:rsidR="00021133" w:rsidRPr="00B24B32">
              <w:rPr>
                <w:sz w:val="24"/>
                <w:szCs w:val="24"/>
              </w:rPr>
              <w:t>ierosinātāju</w:t>
            </w:r>
            <w:r w:rsidR="00D71651" w:rsidRPr="00B24B32">
              <w:rPr>
                <w:sz w:val="24"/>
                <w:szCs w:val="24"/>
              </w:rPr>
              <w:t>, ja veic pastāvīgu</w:t>
            </w:r>
            <w:r w:rsidR="00B56BC5">
              <w:rPr>
                <w:sz w:val="24"/>
                <w:szCs w:val="24"/>
              </w:rPr>
              <w:t xml:space="preserve"> vai </w:t>
            </w:r>
            <w:r w:rsidRPr="00B24B32">
              <w:rPr>
                <w:sz w:val="24"/>
                <w:szCs w:val="24"/>
              </w:rPr>
              <w:t>ilgstošu darbību. Ja darbība ir īslaicīga, tad administratīv</w:t>
            </w:r>
            <w:r w:rsidR="00B24B32">
              <w:rPr>
                <w:sz w:val="24"/>
                <w:szCs w:val="24"/>
              </w:rPr>
              <w:t>ais</w:t>
            </w:r>
            <w:r w:rsidRPr="00B24B32">
              <w:rPr>
                <w:sz w:val="24"/>
                <w:szCs w:val="24"/>
              </w:rPr>
              <w:t xml:space="preserve"> process beigsies tad, kad jau prettiesiskā rīcība būs paveikta. Arī šādos gadījumo</w:t>
            </w:r>
            <w:r w:rsidR="00021133" w:rsidRPr="00B24B32">
              <w:rPr>
                <w:sz w:val="24"/>
                <w:szCs w:val="24"/>
              </w:rPr>
              <w:t>s</w:t>
            </w:r>
            <w:r w:rsidRPr="00B24B32">
              <w:rPr>
                <w:sz w:val="24"/>
                <w:szCs w:val="24"/>
              </w:rPr>
              <w:t xml:space="preserve"> efektīv</w:t>
            </w:r>
            <w:r w:rsidR="00021133" w:rsidRPr="00B24B32">
              <w:rPr>
                <w:sz w:val="24"/>
                <w:szCs w:val="24"/>
              </w:rPr>
              <w:t>s līdzeklis</w:t>
            </w:r>
            <w:r w:rsidRPr="00B24B32">
              <w:rPr>
                <w:sz w:val="24"/>
                <w:szCs w:val="24"/>
              </w:rPr>
              <w:t xml:space="preserve"> ir administratīvais sods, kas attur no pārkāpuma turpināšanas vai izdarīšanas citās reizēs.</w:t>
            </w:r>
          </w:p>
          <w:p w14:paraId="6397551C" w14:textId="77777777" w:rsidR="00CB44F5" w:rsidRPr="00CB44F5" w:rsidRDefault="00CB44F5" w:rsidP="00D71651">
            <w:pPr>
              <w:pStyle w:val="FootnoteText"/>
              <w:ind w:left="111" w:right="180"/>
              <w:jc w:val="both"/>
              <w:rPr>
                <w:sz w:val="24"/>
                <w:szCs w:val="24"/>
              </w:rPr>
            </w:pPr>
          </w:p>
          <w:p w14:paraId="3FA8F69A" w14:textId="77777777" w:rsidR="0034773D" w:rsidRPr="00F52577" w:rsidRDefault="0034773D" w:rsidP="00D71651">
            <w:pPr>
              <w:pStyle w:val="naiskr"/>
              <w:spacing w:before="0" w:after="0"/>
              <w:ind w:left="124" w:right="161"/>
              <w:jc w:val="both"/>
            </w:pPr>
            <w:r w:rsidRPr="0034773D">
              <w:t xml:space="preserve">2. </w:t>
            </w:r>
            <w:r w:rsidRPr="00F52577">
              <w:t>Likumprojektā, kurā tiek izteikt</w:t>
            </w:r>
            <w:r w:rsidR="00887DEA" w:rsidRPr="00F52577">
              <w:t>a</w:t>
            </w:r>
            <w:r w:rsidRPr="00F52577">
              <w:t xml:space="preserve"> Likuma 27. panta otrā daļa, piemērojamo sankciju apmērs netiek mainīts un ir līdzvērtīgs pašlaik LAPK noteiktajam 88.</w:t>
            </w:r>
            <w:r w:rsidRPr="00F52577">
              <w:rPr>
                <w:vertAlign w:val="superscript"/>
              </w:rPr>
              <w:t xml:space="preserve">7 </w:t>
            </w:r>
            <w:r w:rsidRPr="00F52577">
              <w:t>panta otrajā daļā par:</w:t>
            </w:r>
          </w:p>
          <w:p w14:paraId="53240032" w14:textId="11549ED1" w:rsidR="00194A05" w:rsidRDefault="0034773D" w:rsidP="00194A05">
            <w:pPr>
              <w:pStyle w:val="naiskr"/>
              <w:spacing w:before="0" w:after="0"/>
              <w:ind w:left="720" w:right="161"/>
              <w:jc w:val="both"/>
            </w:pPr>
            <w:r w:rsidRPr="003F2960">
              <w:t xml:space="preserve">- </w:t>
            </w:r>
            <w:r w:rsidRPr="00415663">
              <w:t xml:space="preserve">paredzētās darbības veikšanu, neievērojot </w:t>
            </w:r>
            <w:r w:rsidR="00194A05" w:rsidRPr="00415663">
              <w:t>paredzētās darbības īstenošanas vietas, apjoma un tehnoloģi</w:t>
            </w:r>
            <w:r w:rsidR="002F516B" w:rsidRPr="00415663">
              <w:t>ju veidu</w:t>
            </w:r>
            <w:r w:rsidR="00194A05" w:rsidRPr="00415663">
              <w:t xml:space="preserve"> vai ietekmes novēršanas, samazināšanas, kompensēšanas un</w:t>
            </w:r>
            <w:proofErr w:type="gramStart"/>
            <w:r w:rsidR="00194A05" w:rsidRPr="00415663">
              <w:t xml:space="preserve">  </w:t>
            </w:r>
            <w:proofErr w:type="gramEnd"/>
            <w:r w:rsidR="00194A05" w:rsidRPr="00415663">
              <w:t xml:space="preserve">monitoringa </w:t>
            </w:r>
            <w:r w:rsidR="00126924">
              <w:t>prasības,</w:t>
            </w:r>
            <w:r w:rsidR="00194A05" w:rsidRPr="00415663">
              <w:t xml:space="preserve"> kas noteikt</w:t>
            </w:r>
            <w:r w:rsidR="00126924">
              <w:t>as</w:t>
            </w:r>
            <w:r w:rsidR="00194A05" w:rsidRPr="00415663">
              <w:t xml:space="preserve"> kompetentās institūcijas </w:t>
            </w:r>
            <w:r w:rsidR="00194A05" w:rsidRPr="003F2960">
              <w:t>atzinumā par paredzētās darbības ietekmes uz vidi novērtējuma ziņojumu;</w:t>
            </w:r>
          </w:p>
          <w:p w14:paraId="31454E9D" w14:textId="4F0703B3" w:rsidR="00794B6B" w:rsidRDefault="00B56BC5" w:rsidP="7B791600">
            <w:pPr>
              <w:pStyle w:val="FootnoteText"/>
              <w:ind w:right="180"/>
              <w:jc w:val="both"/>
              <w:rPr>
                <w:sz w:val="24"/>
                <w:szCs w:val="24"/>
              </w:rPr>
            </w:pPr>
            <w:r>
              <w:rPr>
                <w:sz w:val="24"/>
                <w:szCs w:val="24"/>
              </w:rPr>
              <w:t xml:space="preserve">Vides pārraudzības valsts biroja (turpmāk – </w:t>
            </w:r>
            <w:r w:rsidR="0034773D" w:rsidRPr="00F52577">
              <w:rPr>
                <w:sz w:val="24"/>
                <w:szCs w:val="24"/>
              </w:rPr>
              <w:t>VPVB</w:t>
            </w:r>
            <w:r>
              <w:rPr>
                <w:sz w:val="24"/>
                <w:szCs w:val="24"/>
              </w:rPr>
              <w:t xml:space="preserve">) </w:t>
            </w:r>
            <w:r w:rsidR="0034773D" w:rsidRPr="00F52577">
              <w:rPr>
                <w:sz w:val="24"/>
                <w:szCs w:val="24"/>
              </w:rPr>
              <w:t xml:space="preserve">atzinums ir </w:t>
            </w:r>
            <w:proofErr w:type="spellStart"/>
            <w:r w:rsidR="0034773D" w:rsidRPr="00F52577">
              <w:rPr>
                <w:sz w:val="24"/>
                <w:szCs w:val="24"/>
              </w:rPr>
              <w:t>starplēmums</w:t>
            </w:r>
            <w:proofErr w:type="spellEnd"/>
            <w:r w:rsidR="0034773D" w:rsidRPr="00F52577">
              <w:rPr>
                <w:sz w:val="24"/>
                <w:szCs w:val="24"/>
              </w:rPr>
              <w:t xml:space="preserve"> procesā, kas noslēdzas ar akcepta lēmumu, un Likuma 22. panta desmitā daļa deleģē kompetentajai institūcijai (VPVB) šajā </w:t>
            </w:r>
            <w:proofErr w:type="spellStart"/>
            <w:r w:rsidR="0034773D" w:rsidRPr="00F52577">
              <w:rPr>
                <w:sz w:val="24"/>
                <w:szCs w:val="24"/>
              </w:rPr>
              <w:t>starplēmumā</w:t>
            </w:r>
            <w:proofErr w:type="spellEnd"/>
            <w:r w:rsidR="0034773D" w:rsidRPr="00F52577">
              <w:rPr>
                <w:sz w:val="24"/>
                <w:szCs w:val="24"/>
              </w:rPr>
              <w:t xml:space="preserve">, ja nepieciešams, norādīt nosacījumus, ar kādiem paredzētā darbība ir īstenojama vai nav pieļaujama. </w:t>
            </w:r>
            <w:r w:rsidR="00887DEA" w:rsidRPr="00F52577">
              <w:rPr>
                <w:sz w:val="24"/>
                <w:szCs w:val="24"/>
              </w:rPr>
              <w:t>Likuma 22.</w:t>
            </w:r>
            <w:r>
              <w:rPr>
                <w:sz w:val="24"/>
                <w:szCs w:val="24"/>
              </w:rPr>
              <w:t> </w:t>
            </w:r>
            <w:r w:rsidR="00887DEA" w:rsidRPr="00F52577">
              <w:rPr>
                <w:sz w:val="24"/>
                <w:szCs w:val="24"/>
              </w:rPr>
              <w:t xml:space="preserve">panta </w:t>
            </w:r>
            <w:r w:rsidR="262E60D9" w:rsidRPr="00F52577">
              <w:rPr>
                <w:sz w:val="24"/>
                <w:szCs w:val="24"/>
              </w:rPr>
              <w:t xml:space="preserve">divi </w:t>
            </w:r>
            <w:proofErr w:type="spellStart"/>
            <w:r w:rsidR="262E60D9" w:rsidRPr="00F52577">
              <w:rPr>
                <w:sz w:val="24"/>
                <w:szCs w:val="24"/>
              </w:rPr>
              <w:t>prim</w:t>
            </w:r>
            <w:proofErr w:type="spellEnd"/>
            <w:r w:rsidR="262E60D9" w:rsidRPr="00F52577">
              <w:rPr>
                <w:sz w:val="24"/>
                <w:szCs w:val="24"/>
              </w:rPr>
              <w:t xml:space="preserve"> </w:t>
            </w:r>
            <w:r w:rsidR="00887DEA" w:rsidRPr="00F52577">
              <w:rPr>
                <w:sz w:val="24"/>
                <w:szCs w:val="24"/>
              </w:rPr>
              <w:t xml:space="preserve">daļa noteic, </w:t>
            </w:r>
            <w:proofErr w:type="gramStart"/>
            <w:r w:rsidR="00887DEA" w:rsidRPr="00F52577">
              <w:rPr>
                <w:sz w:val="24"/>
                <w:szCs w:val="24"/>
              </w:rPr>
              <w:t>ka</w:t>
            </w:r>
            <w:proofErr w:type="gramEnd"/>
            <w:r w:rsidR="00887DEA" w:rsidRPr="00F52577">
              <w:rPr>
                <w:sz w:val="24"/>
                <w:szCs w:val="24"/>
              </w:rPr>
              <w:t xml:space="preserve"> ja pieņemts lēmums akceptēt paredzēto darbību, tad tā īstenojama ievērojot nosacījumus, kas norādīti VPVB atzinumā.</w:t>
            </w:r>
            <w:r w:rsidR="004B3B60" w:rsidRPr="00F52577">
              <w:rPr>
                <w:sz w:val="24"/>
                <w:szCs w:val="24"/>
              </w:rPr>
              <w:t xml:space="preserve"> </w:t>
            </w:r>
            <w:r w:rsidR="0034773D" w:rsidRPr="00F52577">
              <w:rPr>
                <w:sz w:val="24"/>
                <w:szCs w:val="24"/>
              </w:rPr>
              <w:t xml:space="preserve">Soda piemērošana šajā gadījumā ir objektīva, jo ietekmes uz vidi novērtējuma procedūra tiek piemērota darbībām, kuras, sava apjoma vai veida dēļ, rada būtisku ietekmi uz vidi. Latvijā ietekmes uz vidi novērtējuma procedūra tiek piemērota </w:t>
            </w:r>
            <w:proofErr w:type="gramStart"/>
            <w:r w:rsidR="0034773D" w:rsidRPr="00F52577">
              <w:rPr>
                <w:sz w:val="24"/>
                <w:szCs w:val="24"/>
              </w:rPr>
              <w:t>lielu satiksmes</w:t>
            </w:r>
            <w:proofErr w:type="gramEnd"/>
            <w:r w:rsidR="0034773D" w:rsidRPr="00F52577">
              <w:rPr>
                <w:sz w:val="24"/>
                <w:szCs w:val="24"/>
              </w:rPr>
              <w:t xml:space="preserve"> u.c. infrastruktūras objektu, piemēram, autoceļu, dzelzceļa, elektropārvades līniju būvniecībai, lieliem lauksaimniecības vai rūpniecības objektiem, piemēram, intensīvās lopu audzēšanas kompleksiem, derīgo izrakteņu ieguvei lielos apmēros, atkritumu pārstrādes u.c. objektiem un rūpnīcām. </w:t>
            </w:r>
            <w:r w:rsidR="00600B2F" w:rsidRPr="00F52577">
              <w:rPr>
                <w:sz w:val="24"/>
                <w:szCs w:val="24"/>
              </w:rPr>
              <w:t>Turklāt, kā</w:t>
            </w:r>
            <w:proofErr w:type="gramStart"/>
            <w:r w:rsidR="00600B2F" w:rsidRPr="00F52577">
              <w:rPr>
                <w:sz w:val="24"/>
                <w:szCs w:val="24"/>
              </w:rPr>
              <w:t xml:space="preserve"> atzīts judikatūrā</w:t>
            </w:r>
            <w:proofErr w:type="gramEnd"/>
            <w:r w:rsidR="00600B2F" w:rsidRPr="00F52577">
              <w:rPr>
                <w:sz w:val="24"/>
                <w:szCs w:val="24"/>
              </w:rPr>
              <w:t xml:space="preserve">, tad </w:t>
            </w:r>
            <w:r w:rsidR="00600B2F" w:rsidRPr="262E60D9">
              <w:rPr>
                <w:i/>
                <w:iCs/>
                <w:sz w:val="24"/>
                <w:szCs w:val="24"/>
              </w:rPr>
              <w:t>“No Administratīvā procesa likuma neizriet obligāta prasība, ka administratīvajam aktam ir jāsastāv no viena dokumenta. Tādējādi nav būtiski, cik dokumenti veido administratīvo aktu (tā pamatojumu). Būtiski ir, lai būtu objektīvi saprotams, ka iestāde konkrētu dokumentu uzskata par administratīvā akta sastāvdaļu, un lai iestāde šo dokumentu būtu paziņojusi (izsniegusi, nosūtījusi) adresātam, ja šis dokuments jau iepriekš nav bijis adresāta rīcībā</w:t>
            </w:r>
            <w:r w:rsidR="00600B2F" w:rsidRPr="00600B2F">
              <w:rPr>
                <w:sz w:val="24"/>
                <w:szCs w:val="24"/>
              </w:rPr>
              <w:t>.” (</w:t>
            </w:r>
            <w:r w:rsidR="00600B2F" w:rsidRPr="262E60D9">
              <w:rPr>
                <w:i/>
                <w:iCs/>
                <w:sz w:val="24"/>
                <w:szCs w:val="24"/>
              </w:rPr>
              <w:t xml:space="preserve">sk., </w:t>
            </w:r>
            <w:proofErr w:type="gramStart"/>
            <w:r w:rsidR="00600B2F" w:rsidRPr="262E60D9">
              <w:rPr>
                <w:i/>
                <w:iCs/>
                <w:sz w:val="24"/>
                <w:szCs w:val="24"/>
              </w:rPr>
              <w:t>piemēram</w:t>
            </w:r>
            <w:proofErr w:type="gramEnd"/>
            <w:r w:rsidR="00600B2F" w:rsidRPr="262E60D9">
              <w:rPr>
                <w:i/>
                <w:iCs/>
                <w:sz w:val="24"/>
                <w:szCs w:val="24"/>
              </w:rPr>
              <w:t xml:space="preserve"> Latvijas Republikas Augstākās tiesas Senāta Administratīvo lietu departamenta 2007. gada 25. jūnija Spriedumu lietā Nr. A42322905 (SKA – 294/2007</w:t>
            </w:r>
            <w:r w:rsidR="00600B2F" w:rsidRPr="00600B2F">
              <w:rPr>
                <w:sz w:val="24"/>
                <w:szCs w:val="24"/>
              </w:rPr>
              <w:t>.)</w:t>
            </w:r>
            <w:r w:rsidR="004B3B60">
              <w:rPr>
                <w:sz w:val="24"/>
                <w:szCs w:val="24"/>
              </w:rPr>
              <w:t xml:space="preserve">. </w:t>
            </w:r>
            <w:r w:rsidR="004B3B60" w:rsidRPr="00F52577">
              <w:rPr>
                <w:sz w:val="24"/>
                <w:szCs w:val="24"/>
              </w:rPr>
              <w:t xml:space="preserve">Tādejādi ir secināms, ka līdz ar pozitīvu akcepta lēmumu, ar kuru akceptēta paredzētā darbība, savu galīgā noregulējuma raksturu iegūst arī VPVB </w:t>
            </w:r>
            <w:proofErr w:type="spellStart"/>
            <w:r w:rsidR="004B3B60" w:rsidRPr="00F52577">
              <w:rPr>
                <w:sz w:val="24"/>
                <w:szCs w:val="24"/>
              </w:rPr>
              <w:t>sta</w:t>
            </w:r>
            <w:r w:rsidR="00F52577">
              <w:rPr>
                <w:sz w:val="24"/>
                <w:szCs w:val="24"/>
              </w:rPr>
              <w:t>rplēmumā</w:t>
            </w:r>
            <w:proofErr w:type="spellEnd"/>
            <w:r w:rsidR="00F52577">
              <w:rPr>
                <w:sz w:val="24"/>
                <w:szCs w:val="24"/>
              </w:rPr>
              <w:t xml:space="preserve"> (atzinumā) saskaņā ar Likuma</w:t>
            </w:r>
            <w:r w:rsidR="004B3B60" w:rsidRPr="00F52577">
              <w:rPr>
                <w:sz w:val="24"/>
                <w:szCs w:val="24"/>
              </w:rPr>
              <w:t xml:space="preserve"> 20. panta desmito daļu noteiktie nosacījumi (tie kļūst par akcepta lēmuma sastāvdaļu un kopā ar to ir arī apstrīdami). To ievērošanu paredzētās darbības realizācijā paredz </w:t>
            </w:r>
            <w:r w:rsidR="00F52577">
              <w:rPr>
                <w:sz w:val="24"/>
                <w:szCs w:val="24"/>
              </w:rPr>
              <w:t>Likuma</w:t>
            </w:r>
            <w:r w:rsidR="004B3B60" w:rsidRPr="00F52577">
              <w:rPr>
                <w:sz w:val="24"/>
                <w:szCs w:val="24"/>
              </w:rPr>
              <w:t xml:space="preserve"> 22. panta </w:t>
            </w:r>
            <w:r>
              <w:rPr>
                <w:sz w:val="24"/>
                <w:szCs w:val="24"/>
              </w:rPr>
              <w:t>2.</w:t>
            </w:r>
            <w:r w:rsidRPr="00AE7D10">
              <w:rPr>
                <w:sz w:val="24"/>
                <w:szCs w:val="24"/>
                <w:vertAlign w:val="superscript"/>
              </w:rPr>
              <w:t>1</w:t>
            </w:r>
            <w:r>
              <w:rPr>
                <w:sz w:val="24"/>
                <w:szCs w:val="24"/>
              </w:rPr>
              <w:t> </w:t>
            </w:r>
            <w:r w:rsidRPr="00F52577">
              <w:rPr>
                <w:sz w:val="24"/>
                <w:szCs w:val="24"/>
              </w:rPr>
              <w:t>daļa</w:t>
            </w:r>
            <w:r w:rsidR="00F52577">
              <w:rPr>
                <w:sz w:val="24"/>
                <w:szCs w:val="24"/>
                <w:shd w:val="clear" w:color="auto" w:fill="FFFFFF"/>
              </w:rPr>
              <w:t>, kurā</w:t>
            </w:r>
            <w:r w:rsidR="004B3B60" w:rsidRPr="00F52577">
              <w:rPr>
                <w:sz w:val="24"/>
                <w:szCs w:val="24"/>
              </w:rPr>
              <w:t xml:space="preserve"> VPVB nosacījumus padara saistošus akcepta lēmums, nevis vēlāk sekojoša būvatļauja vai licence. Tas atbilst arī judikatūrā nostiprinātajiem secinājumiem par to, ka gadījumos, kad akcepta lēmums kļuvis neapstrīdams, strīds par </w:t>
            </w:r>
            <w:r w:rsidR="00F52577">
              <w:rPr>
                <w:sz w:val="24"/>
                <w:szCs w:val="24"/>
              </w:rPr>
              <w:t>ietekmes uz vidi novērtējuma</w:t>
            </w:r>
            <w:r w:rsidR="004B3B60" w:rsidRPr="00F52577">
              <w:rPr>
                <w:sz w:val="24"/>
                <w:szCs w:val="24"/>
              </w:rPr>
              <w:t xml:space="preserve"> tiesiskumu un </w:t>
            </w:r>
            <w:r w:rsidR="00F52577">
              <w:rPr>
                <w:sz w:val="24"/>
                <w:szCs w:val="24"/>
              </w:rPr>
              <w:t xml:space="preserve">tā </w:t>
            </w:r>
            <w:r w:rsidR="004B3B60" w:rsidRPr="00F52577">
              <w:rPr>
                <w:sz w:val="24"/>
                <w:szCs w:val="24"/>
              </w:rPr>
              <w:t xml:space="preserve">gaitā pieņemtajiem </w:t>
            </w:r>
            <w:proofErr w:type="spellStart"/>
            <w:r w:rsidR="004B3B60" w:rsidRPr="00F52577">
              <w:rPr>
                <w:sz w:val="24"/>
                <w:szCs w:val="24"/>
              </w:rPr>
              <w:t>starplēmumiem</w:t>
            </w:r>
            <w:proofErr w:type="spellEnd"/>
            <w:r w:rsidR="004B3B60" w:rsidRPr="00F52577">
              <w:rPr>
                <w:sz w:val="24"/>
                <w:szCs w:val="24"/>
              </w:rPr>
              <w:t xml:space="preserve"> vairs nav pieļaujams. </w:t>
            </w:r>
            <w:r w:rsidR="00F52577">
              <w:rPr>
                <w:sz w:val="24"/>
                <w:szCs w:val="24"/>
              </w:rPr>
              <w:t>Ietekmes uz vidi novērtējuma</w:t>
            </w:r>
            <w:r w:rsidR="004B3B60" w:rsidRPr="00F52577">
              <w:rPr>
                <w:sz w:val="24"/>
                <w:szCs w:val="24"/>
              </w:rPr>
              <w:t xml:space="preserve"> ietvaros pieņemti </w:t>
            </w:r>
            <w:proofErr w:type="spellStart"/>
            <w:r w:rsidR="004B3B60" w:rsidRPr="00F52577">
              <w:rPr>
                <w:sz w:val="24"/>
                <w:szCs w:val="24"/>
              </w:rPr>
              <w:t>starplēmumi</w:t>
            </w:r>
            <w:proofErr w:type="spellEnd"/>
            <w:r w:rsidR="004B3B60" w:rsidRPr="00F52577">
              <w:rPr>
                <w:sz w:val="24"/>
                <w:szCs w:val="24"/>
              </w:rPr>
              <w:t xml:space="preserve"> tiesas kontrolei pakļaujami tikai reizē ar akcepta lēmumu (</w:t>
            </w:r>
            <w:r w:rsidR="004B3B60" w:rsidRPr="262E60D9">
              <w:rPr>
                <w:i/>
                <w:iCs/>
                <w:sz w:val="24"/>
                <w:szCs w:val="24"/>
              </w:rPr>
              <w:t>sk. Augstākās tiesas 2018. gada 4. janvāra lēmumu lietā Nr. A420358914, SKA-794/2018</w:t>
            </w:r>
            <w:r w:rsidR="004B3B60" w:rsidRPr="00F52577">
              <w:rPr>
                <w:sz w:val="24"/>
                <w:szCs w:val="24"/>
              </w:rPr>
              <w:t xml:space="preserve">). </w:t>
            </w:r>
            <w:r w:rsidR="00F52577">
              <w:rPr>
                <w:sz w:val="24"/>
                <w:szCs w:val="24"/>
              </w:rPr>
              <w:t>A</w:t>
            </w:r>
            <w:r w:rsidR="004B3B60" w:rsidRPr="00F52577">
              <w:rPr>
                <w:sz w:val="24"/>
                <w:szCs w:val="24"/>
              </w:rPr>
              <w:t xml:space="preserve">kcepta lēmumam </w:t>
            </w:r>
            <w:r w:rsidR="00F52577">
              <w:rPr>
                <w:sz w:val="24"/>
                <w:szCs w:val="24"/>
              </w:rPr>
              <w:t>var sekot arī</w:t>
            </w:r>
            <w:r w:rsidR="004B3B60" w:rsidRPr="00F52577">
              <w:rPr>
                <w:sz w:val="24"/>
                <w:szCs w:val="24"/>
              </w:rPr>
              <w:t xml:space="preserve"> tādi administratīvie akti,</w:t>
            </w:r>
            <w:r w:rsidR="00E070C3">
              <w:rPr>
                <w:sz w:val="24"/>
                <w:szCs w:val="24"/>
              </w:rPr>
              <w:t xml:space="preserve"> kā būvatļauja, piesārņojošās darbības atļauja vai z</w:t>
            </w:r>
            <w:r w:rsidR="004A5581">
              <w:rPr>
                <w:sz w:val="24"/>
                <w:szCs w:val="24"/>
              </w:rPr>
              <w:t>emes dzīļu izmantošanas licence</w:t>
            </w:r>
            <w:r w:rsidR="00E070C3">
              <w:rPr>
                <w:sz w:val="24"/>
                <w:szCs w:val="24"/>
              </w:rPr>
              <w:t>, kas ir specifiski konkrētai paredzētajai darb</w:t>
            </w:r>
            <w:r w:rsidR="00415663">
              <w:rPr>
                <w:sz w:val="24"/>
                <w:szCs w:val="24"/>
              </w:rPr>
              <w:t>ībai.</w:t>
            </w:r>
            <w:r w:rsidR="004B3B60" w:rsidRPr="00F52577">
              <w:rPr>
                <w:sz w:val="24"/>
                <w:szCs w:val="24"/>
              </w:rPr>
              <w:t xml:space="preserve"> </w:t>
            </w:r>
            <w:r w:rsidR="00F52577">
              <w:rPr>
                <w:sz w:val="24"/>
                <w:szCs w:val="24"/>
              </w:rPr>
              <w:t>VPVB atzinum</w:t>
            </w:r>
            <w:r w:rsidR="004A5581">
              <w:rPr>
                <w:sz w:val="24"/>
                <w:szCs w:val="24"/>
              </w:rPr>
              <w:t>ā norā</w:t>
            </w:r>
            <w:r w:rsidR="00126924">
              <w:rPr>
                <w:sz w:val="24"/>
                <w:szCs w:val="24"/>
              </w:rPr>
              <w:t xml:space="preserve">dītais, </w:t>
            </w:r>
            <w:r w:rsidR="004B3B60" w:rsidRPr="00F52577">
              <w:rPr>
                <w:sz w:val="24"/>
                <w:szCs w:val="24"/>
              </w:rPr>
              <w:t>piemēram, prasība veikt monitoringu putnu migrācijas sezonā, nav nedz būvatļ</w:t>
            </w:r>
            <w:r w:rsidR="00F52577">
              <w:rPr>
                <w:sz w:val="24"/>
                <w:szCs w:val="24"/>
              </w:rPr>
              <w:t>aujas, nedz licences priekšmets</w:t>
            </w:r>
            <w:r w:rsidR="004B3B60" w:rsidRPr="00F52577">
              <w:rPr>
                <w:sz w:val="24"/>
                <w:szCs w:val="24"/>
              </w:rPr>
              <w:t xml:space="preserve">. VPVB atzinuma </w:t>
            </w:r>
            <w:r w:rsidR="00126924">
              <w:rPr>
                <w:sz w:val="24"/>
                <w:szCs w:val="24"/>
              </w:rPr>
              <w:t>prasības</w:t>
            </w:r>
            <w:r w:rsidR="004B3B60" w:rsidRPr="00F52577">
              <w:rPr>
                <w:sz w:val="24"/>
                <w:szCs w:val="24"/>
              </w:rPr>
              <w:t xml:space="preserve"> ir patstāvīgas prasības, kas iegūst galējo noregulējumu ar pozitīvu akcepta lēmumu, un atbildība par to ievērošanu (arī administratīvā atbildība) nav risināma caur būvatļauju vai licenci.</w:t>
            </w:r>
            <w:r w:rsidR="00E03F2E">
              <w:rPr>
                <w:sz w:val="24"/>
                <w:szCs w:val="24"/>
              </w:rPr>
              <w:t xml:space="preserve"> Šobrīd ietekmes uz vidi novērtējuma jomā VPVB ar normatīvajiem aktiem nav deleģētu uzdevumu pēc sava atzinuma izdošanas, piemēram, sniegt atbilstības saskaņojumus vai veikt objektu praktiskās darbību uzraudzību. </w:t>
            </w:r>
            <w:proofErr w:type="gramStart"/>
            <w:r w:rsidR="00E03F2E">
              <w:rPr>
                <w:sz w:val="24"/>
                <w:szCs w:val="24"/>
              </w:rPr>
              <w:t>Attiecīgi,</w:t>
            </w:r>
            <w:proofErr w:type="gramEnd"/>
            <w:r w:rsidR="00E03F2E">
              <w:rPr>
                <w:sz w:val="24"/>
                <w:szCs w:val="24"/>
              </w:rPr>
              <w:t xml:space="preserve"> kontroli par VPVB atzinumā ietverto </w:t>
            </w:r>
            <w:r w:rsidR="00126924">
              <w:rPr>
                <w:sz w:val="24"/>
                <w:szCs w:val="24"/>
              </w:rPr>
              <w:t>prasību</w:t>
            </w:r>
            <w:r w:rsidR="00E03F2E">
              <w:rPr>
                <w:sz w:val="24"/>
                <w:szCs w:val="24"/>
              </w:rPr>
              <w:t xml:space="preserve"> ievērošanu nodrošina VVD, kas ir viena </w:t>
            </w:r>
            <w:r w:rsidR="00E03F2E" w:rsidRPr="00D8491C">
              <w:rPr>
                <w:sz w:val="24"/>
                <w:szCs w:val="24"/>
              </w:rPr>
              <w:t>no ietekmes uz vidi novērtējuma</w:t>
            </w:r>
            <w:r w:rsidR="00D8491C" w:rsidRPr="00D8491C">
              <w:rPr>
                <w:sz w:val="24"/>
                <w:szCs w:val="24"/>
              </w:rPr>
              <w:t xml:space="preserve"> </w:t>
            </w:r>
            <w:r w:rsidR="00E03F2E" w:rsidRPr="00D8491C">
              <w:rPr>
                <w:sz w:val="24"/>
                <w:szCs w:val="24"/>
              </w:rPr>
              <w:t>procedūrā</w:t>
            </w:r>
            <w:r w:rsidR="00E03F2E">
              <w:rPr>
                <w:sz w:val="24"/>
                <w:szCs w:val="24"/>
              </w:rPr>
              <w:t xml:space="preserve"> iesaistītajām institūcijām un kurai atbilstoši </w:t>
            </w:r>
            <w:r w:rsidR="714B8FA6">
              <w:rPr>
                <w:sz w:val="24"/>
                <w:szCs w:val="24"/>
              </w:rPr>
              <w:t>L</w:t>
            </w:r>
            <w:r w:rsidR="00E03F2E">
              <w:rPr>
                <w:sz w:val="24"/>
                <w:szCs w:val="24"/>
              </w:rPr>
              <w:t>ikum</w:t>
            </w:r>
            <w:r w:rsidR="5EB8AF5B">
              <w:rPr>
                <w:sz w:val="24"/>
                <w:szCs w:val="24"/>
              </w:rPr>
              <w:t>am</w:t>
            </w:r>
            <w:r w:rsidR="00E03F2E">
              <w:rPr>
                <w:sz w:val="24"/>
                <w:szCs w:val="24"/>
              </w:rPr>
              <w:t xml:space="preserve"> tiek nosūtīts VPVB atzinums.</w:t>
            </w:r>
            <w:r w:rsidR="00D8491C">
              <w:rPr>
                <w:sz w:val="24"/>
                <w:szCs w:val="24"/>
              </w:rPr>
              <w:t xml:space="preserve"> </w:t>
            </w:r>
            <w:r w:rsidR="00CC080C">
              <w:rPr>
                <w:sz w:val="24"/>
                <w:szCs w:val="24"/>
              </w:rPr>
              <w:t xml:space="preserve">VPVB, izdodot atzinumu, apsver, kādas atļaujas (un vai vispār) pēc </w:t>
            </w:r>
            <w:r w:rsidR="00D8491C">
              <w:rPr>
                <w:sz w:val="24"/>
                <w:szCs w:val="24"/>
              </w:rPr>
              <w:t>ietekmes uz vidi novērtējuma procedūras</w:t>
            </w:r>
            <w:r w:rsidR="00CC080C">
              <w:rPr>
                <w:sz w:val="24"/>
                <w:szCs w:val="24"/>
              </w:rPr>
              <w:t xml:space="preserve"> sekos</w:t>
            </w:r>
            <w:r w:rsidR="00D325F4">
              <w:rPr>
                <w:sz w:val="24"/>
                <w:szCs w:val="24"/>
              </w:rPr>
              <w:t>. VPVB savā atzinumā arī var noteikt</w:t>
            </w:r>
            <w:r w:rsidR="00CC080C">
              <w:rPr>
                <w:sz w:val="24"/>
                <w:szCs w:val="24"/>
              </w:rPr>
              <w:t xml:space="preserve">, ka paredzēto darbību īstenošanai nepieciešams saņemt VVD tehniskos noteikumus (nodrošina īstenošanas kontroli būvniecības procesā), bet attiecībā uz, piemēram, monitoringu, </w:t>
            </w:r>
            <w:r>
              <w:rPr>
                <w:sz w:val="24"/>
                <w:szCs w:val="24"/>
              </w:rPr>
              <w:t xml:space="preserve">– </w:t>
            </w:r>
            <w:r w:rsidR="00D17E6F">
              <w:rPr>
                <w:sz w:val="24"/>
                <w:szCs w:val="24"/>
              </w:rPr>
              <w:t>noteikt</w:t>
            </w:r>
            <w:r w:rsidR="00CC080C">
              <w:rPr>
                <w:sz w:val="24"/>
                <w:szCs w:val="24"/>
              </w:rPr>
              <w:t xml:space="preserve">, ka monitoringa rezultāti jāiesniedz arī </w:t>
            </w:r>
            <w:r>
              <w:rPr>
                <w:sz w:val="24"/>
                <w:szCs w:val="24"/>
              </w:rPr>
              <w:t xml:space="preserve">Dabas aizsardzības pārvaldē </w:t>
            </w:r>
            <w:r w:rsidR="00CC080C">
              <w:rPr>
                <w:sz w:val="24"/>
                <w:szCs w:val="24"/>
              </w:rPr>
              <w:t xml:space="preserve">vai VVD. </w:t>
            </w:r>
          </w:p>
          <w:p w14:paraId="4AE5B261" w14:textId="5B25D0FA" w:rsidR="00A80309" w:rsidRDefault="00E3300B" w:rsidP="00794B6B">
            <w:pPr>
              <w:pStyle w:val="FootnoteText"/>
              <w:ind w:right="180"/>
              <w:jc w:val="both"/>
              <w:rPr>
                <w:sz w:val="24"/>
                <w:szCs w:val="24"/>
              </w:rPr>
            </w:pPr>
            <w:r w:rsidRPr="00794B6B">
              <w:rPr>
                <w:sz w:val="24"/>
                <w:szCs w:val="24"/>
              </w:rPr>
              <w:t>Paredzētajām darbībām, kurām</w:t>
            </w:r>
            <w:r w:rsidR="00A80309" w:rsidRPr="00794B6B">
              <w:rPr>
                <w:sz w:val="24"/>
                <w:szCs w:val="24"/>
              </w:rPr>
              <w:t xml:space="preserve"> tiek veikts </w:t>
            </w:r>
            <w:r w:rsidRPr="00794B6B">
              <w:rPr>
                <w:sz w:val="24"/>
                <w:szCs w:val="24"/>
              </w:rPr>
              <w:t>ietekmes uz vidi novērtējums</w:t>
            </w:r>
            <w:r w:rsidR="00126924">
              <w:rPr>
                <w:sz w:val="24"/>
                <w:szCs w:val="24"/>
              </w:rPr>
              <w:t xml:space="preserve"> un izvirzītas prasības</w:t>
            </w:r>
            <w:r w:rsidR="00A80309" w:rsidRPr="00794B6B">
              <w:rPr>
                <w:sz w:val="24"/>
                <w:szCs w:val="24"/>
              </w:rPr>
              <w:t xml:space="preserve">, </w:t>
            </w:r>
            <w:r w:rsidRPr="00794B6B">
              <w:rPr>
                <w:sz w:val="24"/>
                <w:szCs w:val="24"/>
              </w:rPr>
              <w:t>ir darbības ar būtisku ietekmi, arī paaugstinātas,</w:t>
            </w:r>
            <w:r w:rsidR="00A80309" w:rsidRPr="00794B6B">
              <w:rPr>
                <w:sz w:val="24"/>
                <w:szCs w:val="24"/>
              </w:rPr>
              <w:t xml:space="preserve"> darbības ar ķīmiskām vai radioaktīvām vielām</w:t>
            </w:r>
            <w:r w:rsidR="004A5581">
              <w:rPr>
                <w:sz w:val="24"/>
                <w:szCs w:val="24"/>
              </w:rPr>
              <w:t>.</w:t>
            </w:r>
            <w:r w:rsidR="00A80309" w:rsidRPr="00794B6B">
              <w:rPr>
                <w:sz w:val="24"/>
                <w:szCs w:val="24"/>
              </w:rPr>
              <w:t xml:space="preserve"> </w:t>
            </w:r>
            <w:r w:rsidRPr="00794B6B">
              <w:rPr>
                <w:sz w:val="24"/>
                <w:szCs w:val="24"/>
              </w:rPr>
              <w:t>Šīm darbībām</w:t>
            </w:r>
            <w:r w:rsidR="00A80309" w:rsidRPr="00794B6B">
              <w:rPr>
                <w:sz w:val="24"/>
                <w:szCs w:val="24"/>
              </w:rPr>
              <w:t xml:space="preserve"> ir ietekme ne tikai uz dabu, bet arī cilvēku dzīvību un veselību. Nepareiza rīcība </w:t>
            </w:r>
            <w:r w:rsidRPr="00794B6B">
              <w:rPr>
                <w:sz w:val="24"/>
                <w:szCs w:val="24"/>
              </w:rPr>
              <w:t>darbībā</w:t>
            </w:r>
            <w:r w:rsidR="00A80309" w:rsidRPr="00794B6B">
              <w:rPr>
                <w:sz w:val="24"/>
                <w:szCs w:val="24"/>
              </w:rPr>
              <w:t xml:space="preserve"> var izraisīt gan letāl</w:t>
            </w:r>
            <w:r w:rsidRPr="00794B6B">
              <w:rPr>
                <w:sz w:val="24"/>
                <w:szCs w:val="24"/>
              </w:rPr>
              <w:t>as, gan toksiskas sekas. Tāpēc ietekmes uz vidi novērtējuma</w:t>
            </w:r>
            <w:r w:rsidR="00126924">
              <w:rPr>
                <w:sz w:val="24"/>
                <w:szCs w:val="24"/>
              </w:rPr>
              <w:t xml:space="preserve"> rezultātā tiek izvirzītas prasības,</w:t>
            </w:r>
            <w:r w:rsidR="00B24B32" w:rsidRPr="00794B6B">
              <w:rPr>
                <w:sz w:val="24"/>
                <w:szCs w:val="24"/>
              </w:rPr>
              <w:t xml:space="preserve"> </w:t>
            </w:r>
            <w:r w:rsidR="00A80309" w:rsidRPr="00794B6B">
              <w:rPr>
                <w:sz w:val="24"/>
                <w:szCs w:val="24"/>
              </w:rPr>
              <w:t>gan drošības nolūkos, lai nepieļautu, piemēram, vielu noplūdi, sprādzienu un cilvēku nāvi, gan noteikti ierobežojumi pašai darbībai, lai piesārņojuma koncentrācijas nepārsniegtu līmeņus, kas cilvēku veselībai ir kaitīgi. Viens no šādiem ierobežojumiem</w:t>
            </w:r>
            <w:r w:rsidR="00B24B32" w:rsidRPr="00794B6B">
              <w:rPr>
                <w:sz w:val="24"/>
                <w:szCs w:val="24"/>
              </w:rPr>
              <w:t xml:space="preserve">, kurus iekļauj </w:t>
            </w:r>
            <w:r w:rsidR="00126924">
              <w:rPr>
                <w:sz w:val="24"/>
                <w:szCs w:val="24"/>
              </w:rPr>
              <w:t>prasībās</w:t>
            </w:r>
            <w:r w:rsidR="00B24B32" w:rsidRPr="00794B6B">
              <w:rPr>
                <w:sz w:val="24"/>
                <w:szCs w:val="24"/>
              </w:rPr>
              <w:t>,</w:t>
            </w:r>
            <w:r w:rsidR="00A80309" w:rsidRPr="00794B6B">
              <w:rPr>
                <w:sz w:val="24"/>
                <w:szCs w:val="24"/>
              </w:rPr>
              <w:t xml:space="preserve"> var būt aizliegums pārkraut ķīmiskos produktus pie noteiktiem meteoroloģiskiem apstākļiem, vai ierobežot stundu skaitu dienā, cik pieļaujams veikt kādus noteiktus proc</w:t>
            </w:r>
            <w:r w:rsidR="00B24B32" w:rsidRPr="00794B6B">
              <w:rPr>
                <w:sz w:val="24"/>
                <w:szCs w:val="24"/>
              </w:rPr>
              <w:t xml:space="preserve">esus. Tieši tādēļ darbībai ir veikts ietekmes uz vidi novērtējums, </w:t>
            </w:r>
            <w:r w:rsidR="00A80309" w:rsidRPr="00794B6B">
              <w:rPr>
                <w:sz w:val="24"/>
                <w:szCs w:val="24"/>
              </w:rPr>
              <w:t xml:space="preserve">ir aprēķināts, ka tā ir maksimālā pieļaujamā darbības jauda, minimālais pieļaujamais darbu drošības līmenis. Ja </w:t>
            </w:r>
            <w:r w:rsidR="00B24B32" w:rsidRPr="00794B6B">
              <w:rPr>
                <w:sz w:val="24"/>
                <w:szCs w:val="24"/>
              </w:rPr>
              <w:t>paredzētās darbības ierosinātājs</w:t>
            </w:r>
            <w:r w:rsidR="00A80309" w:rsidRPr="00794B6B">
              <w:rPr>
                <w:sz w:val="24"/>
                <w:szCs w:val="24"/>
              </w:rPr>
              <w:t xml:space="preserve">, kas veic darbību, pārkāpj </w:t>
            </w:r>
            <w:r w:rsidR="00126924">
              <w:rPr>
                <w:sz w:val="24"/>
                <w:szCs w:val="24"/>
              </w:rPr>
              <w:t>šīs prasības</w:t>
            </w:r>
            <w:r w:rsidR="00A80309" w:rsidRPr="00794B6B">
              <w:rPr>
                <w:sz w:val="24"/>
                <w:szCs w:val="24"/>
              </w:rPr>
              <w:t xml:space="preserve">, tūlītēji jau nebūs konstatējama cilvēku nāve un masveida saindēšanās, bet piesārņojuma koncentrācijas pārkāpuma brīdī jau būs bijušas un būs </w:t>
            </w:r>
            <w:r w:rsidR="00794B6B" w:rsidRPr="00794B6B">
              <w:rPr>
                <w:sz w:val="24"/>
                <w:szCs w:val="24"/>
              </w:rPr>
              <w:t>pārsniegts pieļaujamais</w:t>
            </w:r>
            <w:r w:rsidR="00A80309" w:rsidRPr="00794B6B">
              <w:rPr>
                <w:sz w:val="24"/>
                <w:szCs w:val="24"/>
              </w:rPr>
              <w:t xml:space="preserve"> līmeni</w:t>
            </w:r>
            <w:r w:rsidR="00794B6B" w:rsidRPr="00794B6B">
              <w:rPr>
                <w:sz w:val="24"/>
                <w:szCs w:val="24"/>
              </w:rPr>
              <w:t>s</w:t>
            </w:r>
            <w:r w:rsidR="00A80309" w:rsidRPr="00794B6B">
              <w:rPr>
                <w:sz w:val="24"/>
                <w:szCs w:val="24"/>
              </w:rPr>
              <w:t xml:space="preserve"> (to novērst vairs nav iespējams). Nodrošināt situācijas nopietnībai adekvātu reaģētspēju tikai ar administratīviem </w:t>
            </w:r>
            <w:r w:rsidR="003C52D1">
              <w:rPr>
                <w:sz w:val="24"/>
                <w:szCs w:val="24"/>
              </w:rPr>
              <w:t xml:space="preserve">piespiedu </w:t>
            </w:r>
            <w:r w:rsidR="00A80309" w:rsidRPr="00794B6B">
              <w:rPr>
                <w:sz w:val="24"/>
                <w:szCs w:val="24"/>
              </w:rPr>
              <w:t xml:space="preserve">līdzekļiem šādu pārkāpumu gadījumā nav iespējams, jo katrs atsevišķs pārkāpums netiks atzīts kā tik būtisks, lai pamatotu darbības atļaujas atcelšanu vai darbības apturēšanu, tomēr gaidīt un fiksēt vairākus šādus atkārtotus pārkāpumus nevar atļauties cilvēku un viņu veselības dēļ. Tādēļ par piemērotu un efektīvu līdzekli šādos gadījumos ir uzskatāma administratīva soda saglabāšana, jo tam ir atturoša funkcija. </w:t>
            </w:r>
            <w:r w:rsidR="00794B6B" w:rsidRPr="00794B6B">
              <w:rPr>
                <w:sz w:val="24"/>
                <w:szCs w:val="24"/>
              </w:rPr>
              <w:t>Paredzētās darbības ierosinātāja</w:t>
            </w:r>
            <w:r w:rsidR="00A80309" w:rsidRPr="00794B6B">
              <w:rPr>
                <w:sz w:val="24"/>
                <w:szCs w:val="24"/>
              </w:rPr>
              <w:t xml:space="preserve"> motīvi, neievērot </w:t>
            </w:r>
            <w:r w:rsidR="00126924">
              <w:rPr>
                <w:sz w:val="24"/>
                <w:szCs w:val="24"/>
              </w:rPr>
              <w:t>prasības</w:t>
            </w:r>
            <w:r w:rsidR="00A80309" w:rsidRPr="00794B6B">
              <w:rPr>
                <w:sz w:val="24"/>
                <w:szCs w:val="24"/>
              </w:rPr>
              <w:t xml:space="preserve">, ir galvenokārt ekonomiski, </w:t>
            </w:r>
            <w:r w:rsidR="003C52D1">
              <w:rPr>
                <w:sz w:val="24"/>
                <w:szCs w:val="24"/>
              </w:rPr>
              <w:t>–</w:t>
            </w:r>
            <w:r w:rsidR="003C52D1" w:rsidRPr="00794B6B">
              <w:rPr>
                <w:sz w:val="24"/>
                <w:szCs w:val="24"/>
              </w:rPr>
              <w:t xml:space="preserve"> </w:t>
            </w:r>
            <w:r w:rsidR="00A80309" w:rsidRPr="00794B6B">
              <w:rPr>
                <w:sz w:val="24"/>
                <w:szCs w:val="24"/>
              </w:rPr>
              <w:t xml:space="preserve">tas ir finansiāli dārgāk, ja iekārta nevar darboties uz pilnu jaudu, ja iekārtām un procesiem ir dīkstāve. Ja par šādu pārkāpumu ir naudas sods, tas darbojas atturoši, jo riskēt pārkāpt </w:t>
            </w:r>
            <w:r w:rsidR="00126924">
              <w:rPr>
                <w:sz w:val="24"/>
                <w:szCs w:val="24"/>
              </w:rPr>
              <w:t xml:space="preserve">prasības </w:t>
            </w:r>
            <w:r w:rsidR="00A80309" w:rsidRPr="00794B6B">
              <w:rPr>
                <w:sz w:val="24"/>
                <w:szCs w:val="24"/>
              </w:rPr>
              <w:t>vairs neatmaksājas (tas nav finansiāli izdevīgi).</w:t>
            </w:r>
          </w:p>
          <w:p w14:paraId="349A4E63" w14:textId="4C3F1ABD" w:rsidR="00D17E6F" w:rsidRDefault="00B91C6A" w:rsidP="00794B6B">
            <w:pPr>
              <w:pStyle w:val="FootnoteText"/>
              <w:ind w:right="180"/>
              <w:jc w:val="both"/>
              <w:rPr>
                <w:sz w:val="24"/>
                <w:szCs w:val="24"/>
              </w:rPr>
            </w:pPr>
            <w:r>
              <w:rPr>
                <w:sz w:val="24"/>
                <w:szCs w:val="24"/>
              </w:rPr>
              <w:t xml:space="preserve">Skaidrojums par </w:t>
            </w:r>
            <w:r w:rsidR="00415663">
              <w:rPr>
                <w:sz w:val="24"/>
                <w:szCs w:val="24"/>
              </w:rPr>
              <w:t xml:space="preserve">VPVB </w:t>
            </w:r>
            <w:r>
              <w:rPr>
                <w:sz w:val="24"/>
                <w:szCs w:val="24"/>
              </w:rPr>
              <w:t>a</w:t>
            </w:r>
            <w:r w:rsidR="00126924">
              <w:rPr>
                <w:sz w:val="24"/>
                <w:szCs w:val="24"/>
              </w:rPr>
              <w:t>tzinumā ietvertajām prasībām</w:t>
            </w:r>
            <w:r>
              <w:rPr>
                <w:sz w:val="24"/>
                <w:szCs w:val="24"/>
              </w:rPr>
              <w:t>:</w:t>
            </w:r>
          </w:p>
          <w:p w14:paraId="0936506C" w14:textId="22DA9F0C" w:rsidR="00407B46" w:rsidRPr="00B91C6A" w:rsidRDefault="00B91C6A" w:rsidP="7B791600">
            <w:pPr>
              <w:jc w:val="both"/>
              <w:rPr>
                <w:rFonts w:ascii="Times New Roman" w:eastAsia="Calibri" w:hAnsi="Times New Roman" w:cs="Times New Roman"/>
                <w:sz w:val="24"/>
                <w:szCs w:val="24"/>
              </w:rPr>
            </w:pPr>
            <w:r w:rsidRPr="7B791600">
              <w:rPr>
                <w:rFonts w:ascii="Times New Roman" w:eastAsia="Calibri" w:hAnsi="Times New Roman" w:cs="Times New Roman"/>
                <w:sz w:val="24"/>
                <w:szCs w:val="24"/>
              </w:rPr>
              <w:t>Likum</w:t>
            </w:r>
            <w:r w:rsidR="202891D8" w:rsidRPr="7B791600">
              <w:rPr>
                <w:rFonts w:ascii="Times New Roman" w:eastAsia="Calibri" w:hAnsi="Times New Roman" w:cs="Times New Roman"/>
                <w:sz w:val="24"/>
                <w:szCs w:val="24"/>
              </w:rPr>
              <w:t>a</w:t>
            </w:r>
            <w:r w:rsidRPr="7B791600">
              <w:rPr>
                <w:rFonts w:ascii="Times New Roman" w:eastAsia="Calibri" w:hAnsi="Times New Roman" w:cs="Times New Roman"/>
                <w:sz w:val="24"/>
                <w:szCs w:val="24"/>
              </w:rPr>
              <w:t xml:space="preserve"> mērķis saskaņā ar </w:t>
            </w:r>
            <w:r w:rsidR="003C52D1">
              <w:rPr>
                <w:rFonts w:ascii="Times New Roman" w:eastAsia="Calibri" w:hAnsi="Times New Roman" w:cs="Times New Roman"/>
                <w:sz w:val="24"/>
                <w:szCs w:val="24"/>
              </w:rPr>
              <w:t xml:space="preserve">tā </w:t>
            </w:r>
            <w:r w:rsidRPr="7B791600">
              <w:rPr>
                <w:rFonts w:ascii="Times New Roman" w:eastAsia="Calibri" w:hAnsi="Times New Roman" w:cs="Times New Roman"/>
                <w:sz w:val="24"/>
                <w:szCs w:val="24"/>
              </w:rPr>
              <w:t xml:space="preserve">2. pantu ir novērst vai samazināt fizisko un juridisko personu paredzēto darbību vai plānošanas dokumentu īstenošanas nelabvēlīgo ietekmi uz vidi. Attiecīgi </w:t>
            </w:r>
            <w:r w:rsidR="003C52D1">
              <w:rPr>
                <w:rFonts w:ascii="Times New Roman" w:eastAsia="Calibri" w:hAnsi="Times New Roman" w:cs="Times New Roman"/>
                <w:sz w:val="24"/>
                <w:szCs w:val="24"/>
              </w:rPr>
              <w:t>–</w:t>
            </w:r>
            <w:r w:rsidR="003C52D1" w:rsidRPr="7B791600">
              <w:rPr>
                <w:rFonts w:ascii="Times New Roman" w:eastAsia="Calibri" w:hAnsi="Times New Roman" w:cs="Times New Roman"/>
                <w:sz w:val="24"/>
                <w:szCs w:val="24"/>
              </w:rPr>
              <w:t xml:space="preserve"> </w:t>
            </w:r>
            <w:r w:rsidR="00126924" w:rsidRPr="7B791600">
              <w:rPr>
                <w:rFonts w:ascii="Times New Roman" w:eastAsia="Calibri" w:hAnsi="Times New Roman" w:cs="Times New Roman"/>
                <w:sz w:val="24"/>
                <w:szCs w:val="24"/>
              </w:rPr>
              <w:t>prasības</w:t>
            </w:r>
            <w:r w:rsidRPr="7B791600">
              <w:rPr>
                <w:rFonts w:ascii="Times New Roman" w:eastAsia="Calibri" w:hAnsi="Times New Roman" w:cs="Times New Roman"/>
                <w:sz w:val="24"/>
                <w:szCs w:val="24"/>
              </w:rPr>
              <w:t>, kas ietekmes uz vidi novērtējuma pr</w:t>
            </w:r>
            <w:r w:rsidR="004A5581" w:rsidRPr="7B791600">
              <w:rPr>
                <w:rFonts w:ascii="Times New Roman" w:eastAsia="Calibri" w:hAnsi="Times New Roman" w:cs="Times New Roman"/>
                <w:sz w:val="24"/>
                <w:szCs w:val="24"/>
              </w:rPr>
              <w:t>ocedūras rezultātā tiek noteiktas</w:t>
            </w:r>
            <w:r w:rsidRPr="7B791600">
              <w:rPr>
                <w:rFonts w:ascii="Times New Roman" w:eastAsia="Calibri" w:hAnsi="Times New Roman" w:cs="Times New Roman"/>
                <w:sz w:val="24"/>
                <w:szCs w:val="24"/>
              </w:rPr>
              <w:t xml:space="preserve"> VPVB atzinumā, tiek izvirzīt</w:t>
            </w:r>
            <w:r w:rsidR="00126924" w:rsidRPr="7B791600">
              <w:rPr>
                <w:rFonts w:ascii="Times New Roman" w:eastAsia="Calibri" w:hAnsi="Times New Roman" w:cs="Times New Roman"/>
                <w:sz w:val="24"/>
                <w:szCs w:val="24"/>
              </w:rPr>
              <w:t>as</w:t>
            </w:r>
            <w:r w:rsidRPr="7B791600">
              <w:rPr>
                <w:rFonts w:ascii="Times New Roman" w:eastAsia="Calibri" w:hAnsi="Times New Roman" w:cs="Times New Roman"/>
                <w:sz w:val="24"/>
                <w:szCs w:val="24"/>
              </w:rPr>
              <w:t xml:space="preserve"> nolūkā nepieļaut (novērst vai mazināt) būtisku negatīvu ietekmi uz vidi. Tie var attiekties gan uz paredzētās darbības vietas izvēli, paredzētās darbības apjomu un jaudu, kā arī tehnoloģiju veidu, ar kādiem paredzētā darbība īstenojama. </w:t>
            </w:r>
            <w:r w:rsidR="00126924" w:rsidRPr="7B791600">
              <w:rPr>
                <w:rFonts w:ascii="Times New Roman" w:eastAsia="Calibri" w:hAnsi="Times New Roman" w:cs="Times New Roman"/>
                <w:sz w:val="24"/>
                <w:szCs w:val="24"/>
              </w:rPr>
              <w:t>Šādas prasības</w:t>
            </w:r>
            <w:r w:rsidRPr="7B791600">
              <w:rPr>
                <w:rFonts w:ascii="Times New Roman" w:eastAsia="Calibri" w:hAnsi="Times New Roman" w:cs="Times New Roman"/>
                <w:sz w:val="24"/>
                <w:szCs w:val="24"/>
              </w:rPr>
              <w:t xml:space="preserve"> var attiekties arī uz papildus īpaši veicamajiem pasākumiem, lai paredzētās darbības ietekmi (konkrētajā vietā, apjomā un tehnoloģiskajos risinājumos) samazinātu, kā arī </w:t>
            </w:r>
            <w:r w:rsidR="003C52D1">
              <w:rPr>
                <w:rFonts w:ascii="Times New Roman" w:eastAsia="Calibri" w:hAnsi="Times New Roman" w:cs="Times New Roman"/>
                <w:sz w:val="24"/>
                <w:szCs w:val="24"/>
              </w:rPr>
              <w:t>–</w:t>
            </w:r>
            <w:r w:rsidR="003C52D1" w:rsidRPr="7B791600">
              <w:rPr>
                <w:rFonts w:ascii="Times New Roman" w:eastAsia="Calibri" w:hAnsi="Times New Roman" w:cs="Times New Roman"/>
                <w:sz w:val="24"/>
                <w:szCs w:val="24"/>
              </w:rPr>
              <w:t xml:space="preserve"> </w:t>
            </w:r>
            <w:r w:rsidRPr="7B791600">
              <w:rPr>
                <w:rFonts w:ascii="Times New Roman" w:eastAsia="Calibri" w:hAnsi="Times New Roman" w:cs="Times New Roman"/>
                <w:sz w:val="24"/>
                <w:szCs w:val="24"/>
              </w:rPr>
              <w:t>lai</w:t>
            </w:r>
            <w:proofErr w:type="gramStart"/>
            <w:r w:rsidRPr="7B791600">
              <w:rPr>
                <w:rFonts w:ascii="Times New Roman" w:eastAsia="Calibri" w:hAnsi="Times New Roman" w:cs="Times New Roman"/>
                <w:sz w:val="24"/>
                <w:szCs w:val="24"/>
              </w:rPr>
              <w:t xml:space="preserve">  </w:t>
            </w:r>
            <w:proofErr w:type="gramEnd"/>
            <w:r w:rsidRPr="7B791600">
              <w:rPr>
                <w:rFonts w:ascii="Times New Roman" w:eastAsia="Calibri" w:hAnsi="Times New Roman" w:cs="Times New Roman"/>
                <w:sz w:val="24"/>
                <w:szCs w:val="24"/>
              </w:rPr>
              <w:t>nodrošinātu ietekmes uzraudzību un kontroli caur vides monitoringu. Papildus, ja ietekmes uz vidi novērtējums tiek veikts cita starpā, lai novērtētu ietekmi uz Eiropas nozīmes aizsargājamo dabas teritoriju (</w:t>
            </w:r>
            <w:proofErr w:type="spellStart"/>
            <w:r w:rsidRPr="7B791600">
              <w:rPr>
                <w:rFonts w:ascii="Times New Roman" w:eastAsia="Calibri" w:hAnsi="Times New Roman" w:cs="Times New Roman"/>
                <w:sz w:val="24"/>
                <w:szCs w:val="24"/>
              </w:rPr>
              <w:t>Natura</w:t>
            </w:r>
            <w:proofErr w:type="spellEnd"/>
            <w:r w:rsidRPr="7B791600">
              <w:rPr>
                <w:rFonts w:ascii="Times New Roman" w:eastAsia="Calibri" w:hAnsi="Times New Roman" w:cs="Times New Roman"/>
                <w:sz w:val="24"/>
                <w:szCs w:val="24"/>
              </w:rPr>
              <w:t xml:space="preserve"> 2000), atzinumā var tikt noteikt</w:t>
            </w:r>
            <w:r w:rsidR="00126924" w:rsidRPr="7B791600">
              <w:rPr>
                <w:rFonts w:ascii="Times New Roman" w:eastAsia="Calibri" w:hAnsi="Times New Roman" w:cs="Times New Roman"/>
                <w:sz w:val="24"/>
                <w:szCs w:val="24"/>
              </w:rPr>
              <w:t>as prasības</w:t>
            </w:r>
            <w:r w:rsidRPr="7B791600">
              <w:rPr>
                <w:rFonts w:ascii="Times New Roman" w:eastAsia="Calibri" w:hAnsi="Times New Roman" w:cs="Times New Roman"/>
                <w:sz w:val="24"/>
                <w:szCs w:val="24"/>
              </w:rPr>
              <w:t xml:space="preserve"> negatīvas ietekmes uz attiecīgo teritoriju kompensēšanai, ja paredzētā darbība atbilst likuma </w:t>
            </w:r>
            <w:r w:rsidRPr="003C52D1">
              <w:rPr>
                <w:rFonts w:ascii="Times New Roman" w:eastAsia="Calibri" w:hAnsi="Times New Roman" w:cs="Times New Roman"/>
                <w:sz w:val="24"/>
                <w:szCs w:val="24"/>
              </w:rPr>
              <w:t>“</w:t>
            </w:r>
            <w:r w:rsidRPr="001E2472">
              <w:rPr>
                <w:rFonts w:ascii="Times New Roman" w:eastAsia="Calibri" w:hAnsi="Times New Roman" w:cs="Times New Roman"/>
                <w:iCs/>
                <w:sz w:val="24"/>
                <w:szCs w:val="24"/>
              </w:rPr>
              <w:t>Par īpaši aizsargājamām dabas teritorijām</w:t>
            </w:r>
            <w:r w:rsidR="00407B46" w:rsidRPr="003C52D1">
              <w:rPr>
                <w:rFonts w:ascii="Times New Roman" w:eastAsia="Calibri" w:hAnsi="Times New Roman" w:cs="Times New Roman"/>
                <w:sz w:val="24"/>
                <w:szCs w:val="24"/>
              </w:rPr>
              <w:t>”</w:t>
            </w:r>
            <w:r w:rsidR="00407B46" w:rsidRPr="7B791600">
              <w:rPr>
                <w:rFonts w:ascii="Times New Roman" w:eastAsia="Calibri" w:hAnsi="Times New Roman" w:cs="Times New Roman"/>
                <w:sz w:val="24"/>
                <w:szCs w:val="24"/>
              </w:rPr>
              <w:t xml:space="preserve"> </w:t>
            </w:r>
            <w:r w:rsidR="00126924" w:rsidRPr="7B791600">
              <w:rPr>
                <w:rFonts w:ascii="Times New Roman" w:eastAsia="Calibri" w:hAnsi="Times New Roman" w:cs="Times New Roman"/>
                <w:sz w:val="24"/>
                <w:szCs w:val="24"/>
              </w:rPr>
              <w:t xml:space="preserve">43. panta </w:t>
            </w:r>
            <w:proofErr w:type="gramStart"/>
            <w:r w:rsidR="00126924" w:rsidRPr="7B791600">
              <w:rPr>
                <w:rFonts w:ascii="Times New Roman" w:eastAsia="Calibri" w:hAnsi="Times New Roman" w:cs="Times New Roman"/>
                <w:sz w:val="24"/>
                <w:szCs w:val="24"/>
              </w:rPr>
              <w:t>devītās daļai</w:t>
            </w:r>
            <w:proofErr w:type="gramEnd"/>
            <w:r w:rsidR="00126924" w:rsidRPr="7B791600">
              <w:rPr>
                <w:rFonts w:ascii="Times New Roman" w:eastAsia="Calibri" w:hAnsi="Times New Roman" w:cs="Times New Roman"/>
                <w:sz w:val="24"/>
                <w:szCs w:val="24"/>
              </w:rPr>
              <w:t>.</w:t>
            </w:r>
          </w:p>
          <w:p w14:paraId="66AF63B4" w14:textId="77777777" w:rsidR="00B91C6A" w:rsidRPr="00B91C6A" w:rsidRDefault="00B91C6A" w:rsidP="00B91C6A">
            <w:pPr>
              <w:rPr>
                <w:rFonts w:ascii="Times New Roman" w:eastAsia="Calibri" w:hAnsi="Times New Roman" w:cs="Times New Roman"/>
                <w:sz w:val="24"/>
                <w:szCs w:val="24"/>
              </w:rPr>
            </w:pPr>
            <w:r w:rsidRPr="00B91C6A">
              <w:rPr>
                <w:rFonts w:ascii="Times New Roman" w:eastAsia="Calibri" w:hAnsi="Times New Roman" w:cs="Times New Roman"/>
                <w:sz w:val="24"/>
                <w:szCs w:val="24"/>
              </w:rPr>
              <w:t>Piemēri:</w:t>
            </w:r>
          </w:p>
          <w:p w14:paraId="7190DDA2" w14:textId="77F50E27" w:rsidR="00B91C6A" w:rsidRDefault="00B91C6A" w:rsidP="00B91C6A">
            <w:pPr>
              <w:pStyle w:val="ListParagraph"/>
              <w:numPr>
                <w:ilvl w:val="0"/>
                <w:numId w:val="22"/>
              </w:numPr>
              <w:jc w:val="both"/>
              <w:rPr>
                <w:rFonts w:ascii="Times New Roman" w:eastAsia="Calibri" w:hAnsi="Times New Roman" w:cs="Times New Roman"/>
                <w:sz w:val="24"/>
                <w:szCs w:val="24"/>
              </w:rPr>
            </w:pPr>
            <w:r w:rsidRPr="00B91C6A">
              <w:rPr>
                <w:rFonts w:ascii="Times New Roman" w:eastAsia="Calibri" w:hAnsi="Times New Roman" w:cs="Times New Roman"/>
                <w:i/>
                <w:sz w:val="24"/>
                <w:szCs w:val="24"/>
              </w:rPr>
              <w:t xml:space="preserve">Vieta, apjoms un tehnoloģiju veids. </w:t>
            </w:r>
            <w:r w:rsidRPr="00B91C6A">
              <w:rPr>
                <w:rFonts w:ascii="Times New Roman" w:eastAsia="Calibri" w:hAnsi="Times New Roman" w:cs="Times New Roman"/>
                <w:sz w:val="24"/>
                <w:szCs w:val="24"/>
              </w:rPr>
              <w:t xml:space="preserve">Saskaņā ar </w:t>
            </w:r>
            <w:r w:rsidR="003C52D1">
              <w:rPr>
                <w:rFonts w:ascii="Times New Roman" w:eastAsia="Calibri" w:hAnsi="Times New Roman" w:cs="Times New Roman"/>
                <w:sz w:val="24"/>
                <w:szCs w:val="24"/>
              </w:rPr>
              <w:t>L</w:t>
            </w:r>
            <w:r w:rsidR="003C52D1" w:rsidRPr="00B91C6A">
              <w:rPr>
                <w:rFonts w:ascii="Times New Roman" w:eastAsia="Calibri" w:hAnsi="Times New Roman" w:cs="Times New Roman"/>
                <w:sz w:val="24"/>
                <w:szCs w:val="24"/>
              </w:rPr>
              <w:t xml:space="preserve">ikuma </w:t>
            </w:r>
            <w:r w:rsidRPr="00B91C6A">
              <w:rPr>
                <w:rFonts w:ascii="Times New Roman" w:eastAsia="Calibri" w:hAnsi="Times New Roman" w:cs="Times New Roman"/>
                <w:sz w:val="24"/>
                <w:szCs w:val="24"/>
              </w:rPr>
              <w:t>17.</w:t>
            </w:r>
            <w:r w:rsidR="003C52D1">
              <w:rPr>
                <w:rFonts w:ascii="Times New Roman" w:eastAsia="Calibri" w:hAnsi="Times New Roman" w:cs="Times New Roman"/>
                <w:sz w:val="24"/>
                <w:szCs w:val="24"/>
              </w:rPr>
              <w:t> </w:t>
            </w:r>
            <w:r w:rsidRPr="00B91C6A">
              <w:rPr>
                <w:rFonts w:ascii="Times New Roman" w:eastAsia="Calibri" w:hAnsi="Times New Roman" w:cs="Times New Roman"/>
                <w:sz w:val="24"/>
                <w:szCs w:val="24"/>
              </w:rPr>
              <w:t>panta trešās daļas 2.</w:t>
            </w:r>
            <w:r w:rsidR="003C52D1">
              <w:rPr>
                <w:rFonts w:ascii="Times New Roman" w:eastAsia="Calibri" w:hAnsi="Times New Roman" w:cs="Times New Roman"/>
                <w:sz w:val="24"/>
                <w:szCs w:val="24"/>
              </w:rPr>
              <w:t> </w:t>
            </w:r>
            <w:r w:rsidRPr="00B91C6A">
              <w:rPr>
                <w:rFonts w:ascii="Times New Roman" w:eastAsia="Calibri" w:hAnsi="Times New Roman" w:cs="Times New Roman"/>
                <w:sz w:val="24"/>
                <w:szCs w:val="24"/>
              </w:rPr>
              <w:t>punktu ietekmes uz vidi novērtējumu veic, novērtējot paredzētās darbības n</w:t>
            </w:r>
            <w:r w:rsidRPr="00B91C6A">
              <w:rPr>
                <w:rFonts w:ascii="Times New Roman" w:eastAsia="Calibri" w:hAnsi="Times New Roman" w:cs="Times New Roman"/>
                <w:sz w:val="24"/>
                <w:szCs w:val="24"/>
                <w:shd w:val="clear" w:color="auto" w:fill="FFFFFF"/>
              </w:rPr>
              <w:t xml:space="preserve">orises </w:t>
            </w:r>
            <w:r w:rsidRPr="00407B46">
              <w:rPr>
                <w:rFonts w:ascii="Times New Roman" w:eastAsia="Calibri" w:hAnsi="Times New Roman" w:cs="Times New Roman"/>
                <w:i/>
                <w:sz w:val="24"/>
                <w:szCs w:val="24"/>
                <w:shd w:val="clear" w:color="auto" w:fill="FFFFFF"/>
              </w:rPr>
              <w:t>vietu</w:t>
            </w:r>
            <w:r w:rsidRPr="00B91C6A">
              <w:rPr>
                <w:rFonts w:ascii="Times New Roman" w:eastAsia="Calibri" w:hAnsi="Times New Roman" w:cs="Times New Roman"/>
                <w:sz w:val="24"/>
                <w:szCs w:val="24"/>
                <w:shd w:val="clear" w:color="auto" w:fill="FFFFFF"/>
              </w:rPr>
              <w:t xml:space="preserve"> un paredzētās darbības </w:t>
            </w:r>
            <w:r w:rsidRPr="00407B46">
              <w:rPr>
                <w:rFonts w:ascii="Times New Roman" w:eastAsia="Calibri" w:hAnsi="Times New Roman" w:cs="Times New Roman"/>
                <w:i/>
                <w:sz w:val="24"/>
                <w:szCs w:val="24"/>
                <w:shd w:val="clear" w:color="auto" w:fill="FFFFFF"/>
              </w:rPr>
              <w:t>apjomu</w:t>
            </w:r>
            <w:r w:rsidRPr="00B91C6A">
              <w:rPr>
                <w:rFonts w:ascii="Times New Roman" w:eastAsia="Calibri" w:hAnsi="Times New Roman" w:cs="Times New Roman"/>
                <w:sz w:val="24"/>
                <w:szCs w:val="24"/>
                <w:shd w:val="clear" w:color="auto" w:fill="FFFFFF"/>
              </w:rPr>
              <w:t xml:space="preserve">, kā arī iespējamas un samērīgas </w:t>
            </w:r>
            <w:r w:rsidRPr="00407B46">
              <w:rPr>
                <w:rFonts w:ascii="Times New Roman" w:eastAsia="Calibri" w:hAnsi="Times New Roman" w:cs="Times New Roman"/>
                <w:sz w:val="24"/>
                <w:szCs w:val="24"/>
                <w:u w:val="single"/>
                <w:shd w:val="clear" w:color="auto" w:fill="FFFFFF"/>
              </w:rPr>
              <w:t>alternatīvas</w:t>
            </w:r>
            <w:r w:rsidRPr="00B91C6A">
              <w:rPr>
                <w:rFonts w:ascii="Times New Roman" w:eastAsia="Calibri" w:hAnsi="Times New Roman" w:cs="Times New Roman"/>
                <w:sz w:val="24"/>
                <w:szCs w:val="24"/>
                <w:shd w:val="clear" w:color="auto" w:fill="FFFFFF"/>
              </w:rPr>
              <w:t xml:space="preserve"> attiecībā uz paredzētās darbības vietu vai izmantojamo </w:t>
            </w:r>
            <w:r w:rsidRPr="00407B46">
              <w:rPr>
                <w:rFonts w:ascii="Times New Roman" w:eastAsia="Calibri" w:hAnsi="Times New Roman" w:cs="Times New Roman"/>
                <w:i/>
                <w:sz w:val="24"/>
                <w:szCs w:val="24"/>
                <w:shd w:val="clear" w:color="auto" w:fill="FFFFFF"/>
              </w:rPr>
              <w:t>tehnoloģiju veidiem</w:t>
            </w:r>
            <w:r w:rsidRPr="00B91C6A">
              <w:rPr>
                <w:rFonts w:ascii="Times New Roman" w:eastAsia="Calibri" w:hAnsi="Times New Roman" w:cs="Times New Roman"/>
                <w:sz w:val="24"/>
                <w:szCs w:val="24"/>
                <w:shd w:val="clear" w:color="auto" w:fill="FFFFFF"/>
              </w:rPr>
              <w:t>.</w:t>
            </w:r>
            <w:r w:rsidR="00407B46">
              <w:rPr>
                <w:rFonts w:ascii="Times New Roman" w:eastAsia="Calibri" w:hAnsi="Times New Roman" w:cs="Times New Roman"/>
                <w:sz w:val="24"/>
                <w:szCs w:val="24"/>
                <w:shd w:val="clear" w:color="auto" w:fill="FFFFFF"/>
              </w:rPr>
              <w:t xml:space="preserve">   Jāsaprot, ka katra paredzētā darbība ir specifiska un tai var tik izskatītas vietas alternatīvas</w:t>
            </w:r>
            <w:r w:rsidR="00AE12F7">
              <w:rPr>
                <w:rFonts w:ascii="Times New Roman" w:eastAsia="Calibri" w:hAnsi="Times New Roman" w:cs="Times New Roman"/>
                <w:sz w:val="24"/>
                <w:szCs w:val="24"/>
                <w:shd w:val="clear" w:color="auto" w:fill="FFFFFF"/>
              </w:rPr>
              <w:t>, ja tas ir pieļaujams, var ap</w:t>
            </w:r>
            <w:r w:rsidR="00407B46">
              <w:rPr>
                <w:rFonts w:ascii="Times New Roman" w:eastAsia="Calibri" w:hAnsi="Times New Roman" w:cs="Times New Roman"/>
                <w:sz w:val="24"/>
                <w:szCs w:val="24"/>
                <w:shd w:val="clear" w:color="auto" w:fill="FFFFFF"/>
              </w:rPr>
              <w:t>skatīt k</w:t>
            </w:r>
            <w:r w:rsidR="00DC7AB1">
              <w:rPr>
                <w:rFonts w:ascii="Times New Roman" w:eastAsia="Calibri" w:hAnsi="Times New Roman" w:cs="Times New Roman"/>
                <w:sz w:val="24"/>
                <w:szCs w:val="24"/>
                <w:shd w:val="clear" w:color="auto" w:fill="FFFFFF"/>
              </w:rPr>
              <w:t>ā alternatīvu ap</w:t>
            </w:r>
            <w:r w:rsidR="00407B46">
              <w:rPr>
                <w:rFonts w:ascii="Times New Roman" w:eastAsia="Calibri" w:hAnsi="Times New Roman" w:cs="Times New Roman"/>
                <w:sz w:val="24"/>
                <w:szCs w:val="24"/>
                <w:shd w:val="clear" w:color="auto" w:fill="FFFFFF"/>
              </w:rPr>
              <w:t xml:space="preserve">jomu vai arī tehnoloģiju veidu. </w:t>
            </w:r>
            <w:r w:rsidR="00407B46" w:rsidRPr="00407B46">
              <w:rPr>
                <w:rFonts w:ascii="Times New Roman" w:eastAsia="Calibri" w:hAnsi="Times New Roman" w:cs="Times New Roman"/>
                <w:sz w:val="24"/>
                <w:szCs w:val="24"/>
                <w:shd w:val="clear" w:color="auto" w:fill="FFFFFF"/>
              </w:rPr>
              <w:t>Tehnoloģiju veidi</w:t>
            </w:r>
            <w:r w:rsidR="00407B46">
              <w:rPr>
                <w:rFonts w:ascii="Times New Roman" w:eastAsia="Calibri" w:hAnsi="Times New Roman" w:cs="Times New Roman"/>
                <w:sz w:val="24"/>
                <w:szCs w:val="24"/>
                <w:shd w:val="clear" w:color="auto" w:fill="FFFFFF"/>
              </w:rPr>
              <w:t xml:space="preserve"> ir viens no alternatīvu risinājumiem</w:t>
            </w:r>
            <w:proofErr w:type="gramStart"/>
            <w:r w:rsidR="00407B46">
              <w:rPr>
                <w:rFonts w:ascii="Times New Roman" w:eastAsia="Calibri" w:hAnsi="Times New Roman" w:cs="Times New Roman"/>
                <w:sz w:val="24"/>
                <w:szCs w:val="24"/>
                <w:shd w:val="clear" w:color="auto" w:fill="FFFFFF"/>
              </w:rPr>
              <w:t xml:space="preserve"> un</w:t>
            </w:r>
            <w:proofErr w:type="gramEnd"/>
            <w:r w:rsidR="00407B46">
              <w:rPr>
                <w:rFonts w:ascii="Times New Roman" w:eastAsia="Calibri" w:hAnsi="Times New Roman" w:cs="Times New Roman"/>
                <w:sz w:val="24"/>
                <w:szCs w:val="24"/>
                <w:shd w:val="clear" w:color="auto" w:fill="FFFFFF"/>
              </w:rPr>
              <w:t xml:space="preserve"> tie ir</w:t>
            </w:r>
            <w:r w:rsidR="00407B46" w:rsidRPr="00407B46">
              <w:rPr>
                <w:rFonts w:ascii="Times New Roman" w:eastAsia="Calibri" w:hAnsi="Times New Roman" w:cs="Times New Roman"/>
                <w:sz w:val="24"/>
                <w:szCs w:val="24"/>
                <w:shd w:val="clear" w:color="auto" w:fill="FFFFFF"/>
              </w:rPr>
              <w:t xml:space="preserve"> jāsaprot kā tādi, kas ir piemēro</w:t>
            </w:r>
            <w:r w:rsidR="00AE12F7">
              <w:rPr>
                <w:rFonts w:ascii="Times New Roman" w:eastAsia="Calibri" w:hAnsi="Times New Roman" w:cs="Times New Roman"/>
                <w:sz w:val="24"/>
                <w:szCs w:val="24"/>
                <w:shd w:val="clear" w:color="auto" w:fill="FFFFFF"/>
              </w:rPr>
              <w:t>jami</w:t>
            </w:r>
            <w:r w:rsidR="00407B46" w:rsidRPr="00407B46">
              <w:rPr>
                <w:rFonts w:ascii="Times New Roman" w:eastAsia="Calibri" w:hAnsi="Times New Roman" w:cs="Times New Roman"/>
                <w:sz w:val="24"/>
                <w:szCs w:val="24"/>
                <w:shd w:val="clear" w:color="auto" w:fill="FFFFFF"/>
              </w:rPr>
              <w:t xml:space="preserve"> paredzētajai darbībai, kā arī jānorāda galvenie iemesli, kas lika izvēlēties konkrēto tehnoloģiju veidu, iekļaujot arī ietekmes uz vidi salīdzinājumu.</w:t>
            </w:r>
            <w:r w:rsidR="00AE12F7">
              <w:rPr>
                <w:rFonts w:ascii="Times New Roman" w:eastAsia="Calibri" w:hAnsi="Times New Roman" w:cs="Times New Roman"/>
                <w:sz w:val="24"/>
                <w:szCs w:val="24"/>
                <w:shd w:val="clear" w:color="auto" w:fill="FFFFFF"/>
              </w:rPr>
              <w:t xml:space="preserve"> </w:t>
            </w:r>
            <w:r w:rsidRPr="00B91C6A">
              <w:rPr>
                <w:rFonts w:ascii="Times New Roman" w:eastAsia="Calibri" w:hAnsi="Times New Roman" w:cs="Times New Roman"/>
                <w:sz w:val="24"/>
                <w:szCs w:val="24"/>
                <w:shd w:val="clear" w:color="auto" w:fill="FFFFFF"/>
              </w:rPr>
              <w:t xml:space="preserve"> Atkarībā no paredzētās darbības (piemēram, dzelzceļa līnija, lidosta, intensīva cūku audzēšana, metalurģija) ietekmes uz vidi novērtējuma rezultātā ar kompetentās institūcijas atzinumu var tikt noteikts, ka dzelzceļa līnijas būvn</w:t>
            </w:r>
            <w:r w:rsidR="00407B46">
              <w:rPr>
                <w:rFonts w:ascii="Times New Roman" w:eastAsia="Calibri" w:hAnsi="Times New Roman" w:cs="Times New Roman"/>
                <w:sz w:val="24"/>
                <w:szCs w:val="24"/>
                <w:shd w:val="clear" w:color="auto" w:fill="FFFFFF"/>
              </w:rPr>
              <w:t>iecība īstenojama kādā konkrētā</w:t>
            </w:r>
            <w:r w:rsidRPr="00B91C6A">
              <w:rPr>
                <w:rFonts w:ascii="Times New Roman" w:eastAsia="Calibri" w:hAnsi="Times New Roman" w:cs="Times New Roman"/>
                <w:sz w:val="24"/>
                <w:szCs w:val="24"/>
                <w:shd w:val="clear" w:color="auto" w:fill="FFFFFF"/>
              </w:rPr>
              <w:t xml:space="preserve"> trasē</w:t>
            </w:r>
            <w:r w:rsidR="00407B46">
              <w:rPr>
                <w:rFonts w:ascii="Times New Roman" w:eastAsia="Calibri" w:hAnsi="Times New Roman" w:cs="Times New Roman"/>
                <w:sz w:val="24"/>
                <w:szCs w:val="24"/>
                <w:shd w:val="clear" w:color="auto" w:fill="FFFFFF"/>
              </w:rPr>
              <w:t xml:space="preserve">, </w:t>
            </w:r>
            <w:r w:rsidRPr="00B91C6A">
              <w:rPr>
                <w:rFonts w:ascii="Times New Roman" w:eastAsia="Calibri" w:hAnsi="Times New Roman" w:cs="Times New Roman"/>
                <w:sz w:val="24"/>
                <w:szCs w:val="24"/>
                <w:shd w:val="clear" w:color="auto" w:fill="FFFFFF"/>
              </w:rPr>
              <w:t xml:space="preserve">ka lidostas darbībā ievērojami ierobežojumi gaisa kuģu lidojumiem (vai to skaitam) naktī, ka limitējams dzīvnieku vietu skaits </w:t>
            </w:r>
            <w:proofErr w:type="gramStart"/>
            <w:r w:rsidRPr="00B91C6A">
              <w:rPr>
                <w:rFonts w:ascii="Times New Roman" w:eastAsia="Calibri" w:hAnsi="Times New Roman" w:cs="Times New Roman"/>
                <w:sz w:val="24"/>
                <w:szCs w:val="24"/>
                <w:shd w:val="clear" w:color="auto" w:fill="FFFFFF"/>
              </w:rPr>
              <w:t>dzīvnieku novietnēs vai ražotnē īstenojama kāds konkrēts tehnoloģiju veids</w:t>
            </w:r>
            <w:proofErr w:type="gramEnd"/>
            <w:r w:rsidRPr="00B91C6A">
              <w:rPr>
                <w:rFonts w:ascii="Times New Roman" w:eastAsia="Calibri" w:hAnsi="Times New Roman" w:cs="Times New Roman"/>
                <w:sz w:val="24"/>
                <w:szCs w:val="24"/>
                <w:shd w:val="clear" w:color="auto" w:fill="FFFFFF"/>
              </w:rPr>
              <w:t xml:space="preserve"> (piemēram, </w:t>
            </w:r>
            <w:proofErr w:type="spellStart"/>
            <w:r w:rsidRPr="00B91C6A">
              <w:rPr>
                <w:rFonts w:ascii="Times New Roman" w:eastAsia="Calibri" w:hAnsi="Times New Roman" w:cs="Times New Roman"/>
                <w:sz w:val="24"/>
                <w:szCs w:val="24"/>
                <w:shd w:val="clear" w:color="auto" w:fill="FFFFFF"/>
              </w:rPr>
              <w:t>ferrosakausējumu</w:t>
            </w:r>
            <w:proofErr w:type="spellEnd"/>
            <w:r w:rsidRPr="00B91C6A">
              <w:rPr>
                <w:rFonts w:ascii="Times New Roman" w:eastAsia="Calibri" w:hAnsi="Times New Roman" w:cs="Times New Roman"/>
                <w:sz w:val="24"/>
                <w:szCs w:val="24"/>
                <w:shd w:val="clear" w:color="auto" w:fill="FFFFFF"/>
              </w:rPr>
              <w:t xml:space="preserve"> ražošanas vai </w:t>
            </w:r>
            <w:proofErr w:type="spellStart"/>
            <w:r w:rsidRPr="00B91C6A">
              <w:rPr>
                <w:rFonts w:ascii="Times New Roman" w:eastAsia="Calibri" w:hAnsi="Times New Roman" w:cs="Times New Roman"/>
                <w:sz w:val="24"/>
                <w:szCs w:val="24"/>
                <w:shd w:val="clear" w:color="auto" w:fill="FFFFFF"/>
              </w:rPr>
              <w:t>hidrometalurģijas</w:t>
            </w:r>
            <w:proofErr w:type="spellEnd"/>
            <w:r w:rsidRPr="00B91C6A">
              <w:rPr>
                <w:rFonts w:ascii="Times New Roman" w:eastAsia="Calibri" w:hAnsi="Times New Roman" w:cs="Times New Roman"/>
                <w:sz w:val="24"/>
                <w:szCs w:val="24"/>
                <w:shd w:val="clear" w:color="auto" w:fill="FFFFFF"/>
              </w:rPr>
              <w:t xml:space="preserve"> process). Katrs no noregulētajiem aspektiem ir saistīts ar ietekmi uz vidi, tai skaitā </w:t>
            </w:r>
            <w:r w:rsidRPr="00B91C6A">
              <w:rPr>
                <w:rFonts w:ascii="Times New Roman" w:eastAsia="Calibri" w:hAnsi="Times New Roman" w:cs="Times New Roman"/>
                <w:sz w:val="24"/>
                <w:szCs w:val="24"/>
              </w:rPr>
              <w:t xml:space="preserve">cilvēku, viņa veselību un drošību, kā arī bioloģisko daudzveidību, augsni, zemes dzīlēm, ūdeni, gaisu, klimatu, ainavu, materiālajām vērtībām, kultūras un dabas mantojumu, iespējamo pakļautību avāriju vai katastrofu riskiem un visu minēto jomu mijiedarbību. </w:t>
            </w:r>
          </w:p>
          <w:p w14:paraId="5D93899C" w14:textId="0F2CE409" w:rsidR="00B91C6A" w:rsidRDefault="00B91C6A" w:rsidP="7B791600">
            <w:pPr>
              <w:pStyle w:val="ListParagraph"/>
              <w:numPr>
                <w:ilvl w:val="0"/>
                <w:numId w:val="22"/>
              </w:numPr>
              <w:jc w:val="both"/>
              <w:rPr>
                <w:rFonts w:ascii="Times New Roman" w:eastAsia="Calibri" w:hAnsi="Times New Roman" w:cs="Times New Roman"/>
                <w:sz w:val="24"/>
                <w:szCs w:val="24"/>
              </w:rPr>
            </w:pPr>
            <w:r w:rsidRPr="7B791600">
              <w:rPr>
                <w:rFonts w:ascii="Times New Roman" w:eastAsia="Calibri" w:hAnsi="Times New Roman" w:cs="Times New Roman"/>
                <w:i/>
                <w:iCs/>
                <w:sz w:val="24"/>
                <w:szCs w:val="24"/>
              </w:rPr>
              <w:t>Ietekmes novēršanas un samazināšanas pasākumi.</w:t>
            </w:r>
            <w:r>
              <w:rPr>
                <w:rFonts w:ascii="Times New Roman" w:eastAsia="Calibri" w:hAnsi="Times New Roman" w:cs="Times New Roman"/>
                <w:sz w:val="24"/>
                <w:szCs w:val="24"/>
              </w:rPr>
              <w:t xml:space="preserve"> </w:t>
            </w:r>
            <w:r w:rsidR="004A5581">
              <w:rPr>
                <w:rFonts w:ascii="Times New Roman" w:eastAsia="Calibri" w:hAnsi="Times New Roman" w:cs="Times New Roman"/>
                <w:sz w:val="24"/>
                <w:szCs w:val="24"/>
              </w:rPr>
              <w:t>Saskaņā ar L</w:t>
            </w:r>
            <w:r w:rsidRPr="00B91C6A">
              <w:rPr>
                <w:rFonts w:ascii="Times New Roman" w:eastAsia="Calibri" w:hAnsi="Times New Roman" w:cs="Times New Roman"/>
                <w:sz w:val="24"/>
                <w:szCs w:val="24"/>
              </w:rPr>
              <w:t>ikuma</w:t>
            </w:r>
            <w:bookmarkStart w:id="2" w:name="_Hlk29910896"/>
            <w:r w:rsidR="004A5581">
              <w:rPr>
                <w:rFonts w:ascii="Times New Roman" w:eastAsia="Calibri" w:hAnsi="Times New Roman" w:cs="Times New Roman"/>
                <w:sz w:val="24"/>
                <w:szCs w:val="24"/>
              </w:rPr>
              <w:t xml:space="preserve"> </w:t>
            </w:r>
            <w:r w:rsidRPr="00B91C6A">
              <w:rPr>
                <w:rFonts w:ascii="Times New Roman" w:eastAsia="Calibri" w:hAnsi="Times New Roman" w:cs="Times New Roman"/>
                <w:sz w:val="24"/>
                <w:szCs w:val="24"/>
              </w:rPr>
              <w:t>17. panta trešās daļas 4.</w:t>
            </w:r>
            <w:r>
              <w:rPr>
                <w:rFonts w:ascii="Times New Roman" w:eastAsia="Calibri" w:hAnsi="Times New Roman" w:cs="Times New Roman"/>
                <w:sz w:val="24"/>
                <w:szCs w:val="24"/>
              </w:rPr>
              <w:t> </w:t>
            </w:r>
            <w:r w:rsidRPr="00B91C6A">
              <w:rPr>
                <w:rFonts w:ascii="Times New Roman" w:eastAsia="Calibri" w:hAnsi="Times New Roman" w:cs="Times New Roman"/>
                <w:sz w:val="24"/>
                <w:szCs w:val="24"/>
              </w:rPr>
              <w:t>punktu ietekmes uz vidi novērtējumu veic, novērtējot tehnolo</w:t>
            </w:r>
            <w:bookmarkEnd w:id="2"/>
            <w:r w:rsidRPr="00B91C6A">
              <w:rPr>
                <w:rFonts w:ascii="Times New Roman" w:eastAsia="Calibri" w:hAnsi="Times New Roman" w:cs="Times New Roman"/>
                <w:sz w:val="24"/>
                <w:szCs w:val="24"/>
              </w:rPr>
              <w:t xml:space="preserve">ģiskos un citus risinājumus, kas paredzēti, lai novērstu, nepieļautu vai mazinātu </w:t>
            </w:r>
            <w:proofErr w:type="gramStart"/>
            <w:r w:rsidRPr="00B91C6A">
              <w:rPr>
                <w:rFonts w:ascii="Times New Roman" w:eastAsia="Calibri" w:hAnsi="Times New Roman" w:cs="Times New Roman"/>
                <w:sz w:val="24"/>
                <w:szCs w:val="24"/>
              </w:rPr>
              <w:t>un,</w:t>
            </w:r>
            <w:proofErr w:type="gramEnd"/>
            <w:r w:rsidRPr="00B91C6A">
              <w:rPr>
                <w:rFonts w:ascii="Times New Roman" w:eastAsia="Calibri" w:hAnsi="Times New Roman" w:cs="Times New Roman"/>
                <w:sz w:val="24"/>
                <w:szCs w:val="24"/>
              </w:rPr>
              <w:t xml:space="preserve"> ja iespējams, atlīdzinātu paredzētās darbības nelabvēlīgo ietekmi uz vidi. Savukārt </w:t>
            </w:r>
            <w:r w:rsidR="2B374946" w:rsidRPr="00B91C6A">
              <w:rPr>
                <w:rFonts w:ascii="Times New Roman" w:eastAsia="Calibri" w:hAnsi="Times New Roman" w:cs="Times New Roman"/>
                <w:sz w:val="24"/>
                <w:szCs w:val="24"/>
              </w:rPr>
              <w:t>L</w:t>
            </w:r>
            <w:r w:rsidRPr="00B91C6A">
              <w:rPr>
                <w:rFonts w:ascii="Times New Roman" w:eastAsia="Calibri" w:hAnsi="Times New Roman" w:cs="Times New Roman"/>
                <w:sz w:val="24"/>
                <w:szCs w:val="24"/>
              </w:rPr>
              <w:t xml:space="preserve">ikuma 24. pants paredz, ka paredzētās darbības ierosinātājs ir atbildīgs par risinājumu īstenošanu, kuri paredzēti, lai novērstu, nepieļautu vai mazinātu </w:t>
            </w:r>
            <w:proofErr w:type="gramStart"/>
            <w:r w:rsidRPr="00B91C6A">
              <w:rPr>
                <w:rFonts w:ascii="Times New Roman" w:eastAsia="Calibri" w:hAnsi="Times New Roman" w:cs="Times New Roman"/>
                <w:sz w:val="24"/>
                <w:szCs w:val="24"/>
              </w:rPr>
              <w:t>un,</w:t>
            </w:r>
            <w:proofErr w:type="gramEnd"/>
            <w:r w:rsidRPr="00B91C6A">
              <w:rPr>
                <w:rFonts w:ascii="Times New Roman" w:eastAsia="Calibri" w:hAnsi="Times New Roman" w:cs="Times New Roman"/>
                <w:sz w:val="24"/>
                <w:szCs w:val="24"/>
              </w:rPr>
              <w:t xml:space="preserve"> ja iespējams, atlīdzinātu paredzētās darbības būtisko negatīvo ietekmi uz vidi. </w:t>
            </w:r>
            <w:r w:rsidRPr="00B91C6A">
              <w:rPr>
                <w:rFonts w:ascii="Times New Roman" w:eastAsia="Calibri" w:hAnsi="Times New Roman" w:cs="Times New Roman"/>
                <w:sz w:val="24"/>
                <w:szCs w:val="24"/>
                <w:shd w:val="clear" w:color="auto" w:fill="FFFFFF"/>
              </w:rPr>
              <w:t xml:space="preserve">Atkarībā no paredzētās darbības (piemēram, dzelzceļa līnija, intensīva cūku audzēšana, metalurģija) ietekmes uz vidi novērtējuma rezultātā ar kompetentās institūcijas atzinumu var tikt noteikts, ka īstenojami prettrokšņa pasākumi (piemēram, gar dzelzceļa līniju būvējama prettrokšņa siena), ka dzīvnieku novietņu ventilācijas sistēma aprīkojama ar gaisa filtriem, ka </w:t>
            </w:r>
            <w:r w:rsidRPr="00B91C6A">
              <w:rPr>
                <w:rFonts w:ascii="Times New Roman" w:eastAsia="Calibri" w:hAnsi="Times New Roman" w:cs="Times New Roman"/>
                <w:sz w:val="24"/>
                <w:szCs w:val="24"/>
              </w:rPr>
              <w:t>dūmgāzu attīrīšanas efektivitātei jābūt tādai, lai piesārņojuma koncentrācija pēc attīrīšanas tiktu nodrošināta vismaz līdz noteiktai pakāpei (piemēram, SO</w:t>
            </w:r>
            <w:r w:rsidRPr="00B91C6A">
              <w:rPr>
                <w:rFonts w:ascii="Times New Roman" w:eastAsia="Calibri" w:hAnsi="Times New Roman" w:cs="Times New Roman"/>
                <w:sz w:val="24"/>
                <w:szCs w:val="24"/>
                <w:vertAlign w:val="subscript"/>
              </w:rPr>
              <w:t>2</w:t>
            </w:r>
            <w:r w:rsidRPr="00B91C6A">
              <w:rPr>
                <w:rFonts w:ascii="Times New Roman" w:eastAsia="Calibri" w:hAnsi="Times New Roman" w:cs="Times New Roman"/>
                <w:sz w:val="24"/>
                <w:szCs w:val="24"/>
              </w:rPr>
              <w:t xml:space="preserve"> </w:t>
            </w:r>
            <w:r w:rsidR="00922ABE">
              <w:rPr>
                <w:rFonts w:ascii="Times New Roman" w:eastAsia="Calibri" w:hAnsi="Times New Roman" w:cs="Times New Roman"/>
                <w:sz w:val="24"/>
                <w:szCs w:val="24"/>
              </w:rPr>
              <w:t xml:space="preserve">(sēra dioksīds) </w:t>
            </w:r>
            <w:r w:rsidRPr="00B91C6A">
              <w:rPr>
                <w:rFonts w:ascii="Times New Roman" w:eastAsia="Calibri" w:hAnsi="Times New Roman" w:cs="Times New Roman"/>
                <w:sz w:val="24"/>
                <w:szCs w:val="24"/>
              </w:rPr>
              <w:t>vai kopējās cietās daļiņas mg/m</w:t>
            </w:r>
            <w:r w:rsidRPr="00B91C6A">
              <w:rPr>
                <w:rFonts w:ascii="Times New Roman" w:eastAsia="Calibri" w:hAnsi="Times New Roman" w:cs="Times New Roman"/>
                <w:sz w:val="24"/>
                <w:szCs w:val="24"/>
                <w:vertAlign w:val="superscript"/>
              </w:rPr>
              <w:t>3</w:t>
            </w:r>
            <w:r w:rsidR="00851E63">
              <w:rPr>
                <w:rFonts w:ascii="Times New Roman" w:eastAsia="Calibri" w:hAnsi="Times New Roman" w:cs="Times New Roman"/>
                <w:sz w:val="24"/>
                <w:szCs w:val="24"/>
              </w:rPr>
              <w:t>). Jāatzīmē, ka visus ietekmes novēršamas</w:t>
            </w:r>
            <w:proofErr w:type="gramStart"/>
            <w:r w:rsidR="00851E63">
              <w:rPr>
                <w:rFonts w:ascii="Times New Roman" w:eastAsia="Calibri" w:hAnsi="Times New Roman" w:cs="Times New Roman"/>
                <w:sz w:val="24"/>
                <w:szCs w:val="24"/>
              </w:rPr>
              <w:t xml:space="preserve"> un</w:t>
            </w:r>
            <w:proofErr w:type="gramEnd"/>
            <w:r w:rsidR="00851E63">
              <w:rPr>
                <w:rFonts w:ascii="Times New Roman" w:eastAsia="Calibri" w:hAnsi="Times New Roman" w:cs="Times New Roman"/>
                <w:sz w:val="24"/>
                <w:szCs w:val="24"/>
              </w:rPr>
              <w:t xml:space="preserve"> samazināšanas pasākumus izvēlas ierosinātājs, savukārt atzinumā ar konkrētām prasībām jau nosaka</w:t>
            </w:r>
            <w:r w:rsidR="00922ABE">
              <w:rPr>
                <w:rFonts w:ascii="Times New Roman" w:eastAsia="Calibri" w:hAnsi="Times New Roman" w:cs="Times New Roman"/>
                <w:sz w:val="24"/>
                <w:szCs w:val="24"/>
              </w:rPr>
              <w:t>,</w:t>
            </w:r>
            <w:r w:rsidR="00851E63">
              <w:rPr>
                <w:rFonts w:ascii="Times New Roman" w:eastAsia="Calibri" w:hAnsi="Times New Roman" w:cs="Times New Roman"/>
                <w:sz w:val="24"/>
                <w:szCs w:val="24"/>
              </w:rPr>
              <w:t xml:space="preserve"> kurš no izvēlētajiem pasākumiem ir</w:t>
            </w:r>
            <w:r w:rsidR="00922ABE">
              <w:rPr>
                <w:rFonts w:ascii="Times New Roman" w:eastAsia="Calibri" w:hAnsi="Times New Roman" w:cs="Times New Roman"/>
                <w:sz w:val="24"/>
                <w:szCs w:val="24"/>
              </w:rPr>
              <w:t xml:space="preserve"> vai </w:t>
            </w:r>
            <w:r w:rsidR="00851E63">
              <w:rPr>
                <w:rFonts w:ascii="Times New Roman" w:eastAsia="Calibri" w:hAnsi="Times New Roman" w:cs="Times New Roman"/>
                <w:sz w:val="24"/>
                <w:szCs w:val="24"/>
              </w:rPr>
              <w:t>nav pieļaujams un kā to vislabāk realizēts. Ierosinātājs izvirzot ietekmes novēršanas</w:t>
            </w:r>
            <w:proofErr w:type="gramStart"/>
            <w:r w:rsidR="00851E63">
              <w:rPr>
                <w:rFonts w:ascii="Times New Roman" w:eastAsia="Calibri" w:hAnsi="Times New Roman" w:cs="Times New Roman"/>
                <w:sz w:val="24"/>
                <w:szCs w:val="24"/>
              </w:rPr>
              <w:t xml:space="preserve"> un</w:t>
            </w:r>
            <w:proofErr w:type="gramEnd"/>
            <w:r w:rsidR="00851E63">
              <w:rPr>
                <w:rFonts w:ascii="Times New Roman" w:eastAsia="Calibri" w:hAnsi="Times New Roman" w:cs="Times New Roman"/>
                <w:sz w:val="24"/>
                <w:szCs w:val="24"/>
              </w:rPr>
              <w:t xml:space="preserve"> samazināšanas pasākumus savai paredzētajai darbībai apzinās, ka pēc tam tiks izvirzītas konkrētas prasības to īstenošanai. </w:t>
            </w:r>
          </w:p>
          <w:p w14:paraId="001305F5" w14:textId="5B05680C" w:rsidR="00B91C6A" w:rsidRDefault="00B91C6A" w:rsidP="7B791600">
            <w:pPr>
              <w:pStyle w:val="ListParagraph"/>
              <w:numPr>
                <w:ilvl w:val="0"/>
                <w:numId w:val="22"/>
              </w:numPr>
              <w:jc w:val="both"/>
              <w:rPr>
                <w:rFonts w:ascii="Times New Roman" w:eastAsia="Calibri" w:hAnsi="Times New Roman" w:cs="Times New Roman"/>
                <w:sz w:val="24"/>
                <w:szCs w:val="24"/>
              </w:rPr>
            </w:pPr>
            <w:r w:rsidRPr="7B791600">
              <w:rPr>
                <w:rFonts w:ascii="Times New Roman" w:eastAsia="Calibri" w:hAnsi="Times New Roman" w:cs="Times New Roman"/>
                <w:sz w:val="24"/>
                <w:szCs w:val="24"/>
              </w:rPr>
              <w:t xml:space="preserve">Likuma 20. panta otrā daļa noteic, ka nosacījumi atzinumā var tikt noteikti arī paredzētās darbības ietekmes uz vidi monitoringam, kas saistīts ar Eiropas Parlamenta un Padomes </w:t>
            </w:r>
            <w:r w:rsidR="00922ABE" w:rsidRPr="7B791600">
              <w:rPr>
                <w:rFonts w:ascii="Times New Roman" w:eastAsia="Calibri" w:hAnsi="Times New Roman" w:cs="Times New Roman"/>
                <w:sz w:val="24"/>
                <w:szCs w:val="24"/>
              </w:rPr>
              <w:t>2014. gada 16. aprī</w:t>
            </w:r>
            <w:r w:rsidR="00922ABE">
              <w:rPr>
                <w:rFonts w:ascii="Times New Roman" w:eastAsia="Calibri" w:hAnsi="Times New Roman" w:cs="Times New Roman"/>
                <w:sz w:val="24"/>
                <w:szCs w:val="24"/>
              </w:rPr>
              <w:t>ļa</w:t>
            </w:r>
            <w:r w:rsidR="00922ABE" w:rsidRPr="7B791600">
              <w:rPr>
                <w:rFonts w:ascii="Times New Roman" w:eastAsia="Calibri" w:hAnsi="Times New Roman" w:cs="Times New Roman"/>
                <w:sz w:val="24"/>
                <w:szCs w:val="24"/>
              </w:rPr>
              <w:t xml:space="preserve"> </w:t>
            </w:r>
            <w:r w:rsidRPr="7B791600">
              <w:rPr>
                <w:rFonts w:ascii="Times New Roman" w:eastAsia="Calibri" w:hAnsi="Times New Roman" w:cs="Times New Roman"/>
                <w:sz w:val="24"/>
                <w:szCs w:val="24"/>
              </w:rPr>
              <w:t>direktīvas 2014/52/ES, ar ko groza Direktīvu 2011/92/ES par dažu sabiedrisku un privātu projektu ietekmes uz vidi novērtējumu</w:t>
            </w:r>
            <w:r w:rsidR="00F114A8">
              <w:rPr>
                <w:rFonts w:ascii="Times New Roman" w:eastAsia="Calibri" w:hAnsi="Times New Roman" w:cs="Times New Roman"/>
                <w:sz w:val="24"/>
                <w:szCs w:val="24"/>
              </w:rPr>
              <w:t xml:space="preserve"> (turpmāk – Direktīva </w:t>
            </w:r>
            <w:r w:rsidR="00F114A8" w:rsidRPr="7B791600">
              <w:rPr>
                <w:rFonts w:ascii="Times New Roman" w:eastAsia="Calibri" w:hAnsi="Times New Roman" w:cs="Times New Roman"/>
                <w:sz w:val="24"/>
                <w:szCs w:val="24"/>
              </w:rPr>
              <w:t>2014/52/ES</w:t>
            </w:r>
            <w:r w:rsidR="00F114A8">
              <w:rPr>
                <w:rFonts w:ascii="Times New Roman" w:eastAsia="Calibri" w:hAnsi="Times New Roman" w:cs="Times New Roman"/>
                <w:sz w:val="24"/>
                <w:szCs w:val="24"/>
              </w:rPr>
              <w:t>)</w:t>
            </w:r>
            <w:r w:rsidR="00F30F4F" w:rsidRPr="7B791600">
              <w:rPr>
                <w:rFonts w:ascii="Times New Roman" w:eastAsia="Calibri" w:hAnsi="Times New Roman" w:cs="Times New Roman"/>
                <w:sz w:val="24"/>
                <w:szCs w:val="24"/>
              </w:rPr>
              <w:t>,</w:t>
            </w:r>
            <w:r w:rsidRPr="7B791600">
              <w:rPr>
                <w:rFonts w:ascii="Times New Roman" w:eastAsia="Calibri" w:hAnsi="Times New Roman" w:cs="Times New Roman"/>
                <w:sz w:val="24"/>
                <w:szCs w:val="24"/>
              </w:rPr>
              <w:t xml:space="preserve"> 8.a.</w:t>
            </w:r>
            <w:r w:rsidR="00F30F4F" w:rsidRPr="7B791600">
              <w:rPr>
                <w:rFonts w:ascii="Times New Roman" w:eastAsia="Calibri" w:hAnsi="Times New Roman" w:cs="Times New Roman"/>
                <w:sz w:val="24"/>
                <w:szCs w:val="24"/>
              </w:rPr>
              <w:t> </w:t>
            </w:r>
            <w:r w:rsidRPr="7B791600">
              <w:rPr>
                <w:rFonts w:ascii="Times New Roman" w:eastAsia="Calibri" w:hAnsi="Times New Roman" w:cs="Times New Roman"/>
                <w:sz w:val="24"/>
                <w:szCs w:val="24"/>
              </w:rPr>
              <w:t xml:space="preserve">panta 4. punkta prasību, ka dalībvalstis nodrošina, ka attīstītājs īsteno projekta īpašības vai pasākumus, kas paredzēti nolūkā nepieļaut, novērst, mazināt </w:t>
            </w:r>
            <w:proofErr w:type="gramStart"/>
            <w:r w:rsidRPr="7B791600">
              <w:rPr>
                <w:rFonts w:ascii="Times New Roman" w:eastAsia="Calibri" w:hAnsi="Times New Roman" w:cs="Times New Roman"/>
                <w:sz w:val="24"/>
                <w:szCs w:val="24"/>
              </w:rPr>
              <w:t>un,</w:t>
            </w:r>
            <w:proofErr w:type="gramEnd"/>
            <w:r w:rsidRPr="7B791600">
              <w:rPr>
                <w:rFonts w:ascii="Times New Roman" w:eastAsia="Calibri" w:hAnsi="Times New Roman" w:cs="Times New Roman"/>
                <w:sz w:val="24"/>
                <w:szCs w:val="24"/>
              </w:rPr>
              <w:t xml:space="preserve"> ja iespējams, kompensēt būtisku negatīvu ietekmi uz vidi, un nosaka procedūras nozīmīgas nelabvēlīgas ietekmes uz vidi monitoringam. Saskaņā ar Vides aizsardzības likuma 1. panta 22. punktu vides monitorings ir sistemātiski, regulāri un mērķtiecīgi vides stāvokļa, sugu un biotopu, kā arī piesārņojuma emisiju novērojumi, mērījumi un analīze. </w:t>
            </w:r>
            <w:r w:rsidR="00F30F4F" w:rsidRPr="7B791600">
              <w:rPr>
                <w:rFonts w:ascii="Times New Roman" w:eastAsia="Calibri" w:hAnsi="Times New Roman" w:cs="Times New Roman"/>
                <w:sz w:val="24"/>
                <w:szCs w:val="24"/>
              </w:rPr>
              <w:t>Prasības vides monitoringam var tikt noteiktas, piemēram, lai novērojumos un mērījumos (piemēram, biotopu parauglaukumos, putnu bojāejas uzskaitē) iegūtu analīzei un reaģēšanai nepieciešamo informāciju par prognozētu vai iepriekš neprognozētu derīgo izrakteņu ieguves izraisītas</w:t>
            </w:r>
            <w:r w:rsidR="00472540" w:rsidRPr="7B791600">
              <w:rPr>
                <w:rFonts w:ascii="Times New Roman" w:eastAsia="Calibri" w:hAnsi="Times New Roman" w:cs="Times New Roman"/>
                <w:sz w:val="24"/>
                <w:szCs w:val="24"/>
              </w:rPr>
              <w:t xml:space="preserve"> </w:t>
            </w:r>
            <w:r w:rsidR="00F30F4F" w:rsidRPr="7B791600">
              <w:rPr>
                <w:rFonts w:ascii="Times New Roman" w:eastAsia="Calibri" w:hAnsi="Times New Roman" w:cs="Times New Roman"/>
                <w:sz w:val="24"/>
                <w:szCs w:val="24"/>
              </w:rPr>
              <w:t>nosusināšanas ietekmi uz augiem, vēja elektrostaciju rotoru izraisītu ietekmi uz putniem. Prasības monitoringam var tikt izvirzītas arī, lai uzraudzītu un kontrolētu tehnoloģisko procesu fizikālos parametrus (piemēram, dūmgāzu sadedzināšanas temperatūru), no kā atkarīgas emisijas vidē u.c.</w:t>
            </w:r>
          </w:p>
          <w:p w14:paraId="74D84B23" w14:textId="7BBA5225" w:rsidR="00B91C6A" w:rsidRPr="00F30F4F" w:rsidRDefault="00B91C6A" w:rsidP="7B791600">
            <w:pPr>
              <w:pStyle w:val="ListParagraph"/>
              <w:numPr>
                <w:ilvl w:val="0"/>
                <w:numId w:val="22"/>
              </w:numPr>
              <w:jc w:val="both"/>
              <w:rPr>
                <w:rFonts w:ascii="Times New Roman" w:eastAsia="Calibri" w:hAnsi="Times New Roman" w:cs="Times New Roman"/>
                <w:sz w:val="24"/>
                <w:szCs w:val="24"/>
              </w:rPr>
            </w:pPr>
            <w:r w:rsidRPr="7B791600">
              <w:rPr>
                <w:rFonts w:ascii="Times New Roman" w:eastAsia="Calibri" w:hAnsi="Times New Roman" w:cs="Times New Roman"/>
                <w:sz w:val="24"/>
                <w:szCs w:val="24"/>
              </w:rPr>
              <w:t xml:space="preserve">Saskaņā ar </w:t>
            </w:r>
            <w:r w:rsidR="586ECA59" w:rsidRPr="7B791600">
              <w:rPr>
                <w:rFonts w:ascii="Times New Roman" w:eastAsia="Calibri" w:hAnsi="Times New Roman" w:cs="Times New Roman"/>
                <w:sz w:val="24"/>
                <w:szCs w:val="24"/>
              </w:rPr>
              <w:t>L</w:t>
            </w:r>
            <w:r w:rsidRPr="7B791600">
              <w:rPr>
                <w:rFonts w:ascii="Times New Roman" w:eastAsia="Calibri" w:hAnsi="Times New Roman" w:cs="Times New Roman"/>
                <w:sz w:val="24"/>
                <w:szCs w:val="24"/>
              </w:rPr>
              <w:t>ikuma</w:t>
            </w:r>
            <w:r w:rsidR="00472540" w:rsidRPr="7B791600">
              <w:rPr>
                <w:rFonts w:ascii="Times New Roman" w:eastAsia="Calibri" w:hAnsi="Times New Roman" w:cs="Times New Roman"/>
                <w:sz w:val="24"/>
                <w:szCs w:val="24"/>
              </w:rPr>
              <w:t xml:space="preserve"> </w:t>
            </w:r>
            <w:r w:rsidRPr="7B791600">
              <w:rPr>
                <w:rFonts w:ascii="Times New Roman" w:eastAsia="Calibri" w:hAnsi="Times New Roman" w:cs="Times New Roman"/>
                <w:sz w:val="24"/>
                <w:szCs w:val="24"/>
              </w:rPr>
              <w:t>17</w:t>
            </w:r>
            <w:r w:rsidR="00922ABE" w:rsidRPr="7B791600">
              <w:rPr>
                <w:rFonts w:ascii="Times New Roman" w:eastAsia="Calibri" w:hAnsi="Times New Roman" w:cs="Times New Roman"/>
                <w:sz w:val="24"/>
                <w:szCs w:val="24"/>
              </w:rPr>
              <w:t>.</w:t>
            </w:r>
            <w:r w:rsidR="00922ABE">
              <w:rPr>
                <w:rFonts w:ascii="Times New Roman" w:eastAsia="Calibri" w:hAnsi="Times New Roman" w:cs="Times New Roman"/>
                <w:sz w:val="24"/>
                <w:szCs w:val="24"/>
              </w:rPr>
              <w:t> </w:t>
            </w:r>
            <w:r w:rsidRPr="7B791600">
              <w:rPr>
                <w:rFonts w:ascii="Times New Roman" w:eastAsia="Calibri" w:hAnsi="Times New Roman" w:cs="Times New Roman"/>
                <w:sz w:val="24"/>
                <w:szCs w:val="24"/>
              </w:rPr>
              <w:t>panta trešās daļas 5.</w:t>
            </w:r>
            <w:r w:rsidR="00922ABE">
              <w:rPr>
                <w:rFonts w:ascii="Times New Roman" w:eastAsia="Calibri" w:hAnsi="Times New Roman" w:cs="Times New Roman"/>
                <w:sz w:val="24"/>
                <w:szCs w:val="24"/>
              </w:rPr>
              <w:t> </w:t>
            </w:r>
            <w:r w:rsidRPr="7B791600">
              <w:rPr>
                <w:rFonts w:ascii="Times New Roman" w:eastAsia="Calibri" w:hAnsi="Times New Roman" w:cs="Times New Roman"/>
                <w:sz w:val="24"/>
                <w:szCs w:val="24"/>
              </w:rPr>
              <w:t>punktu ietekmes uz vidi novērtējuma ietvaros tiek noteikti arī kompensējošie pasākumi, ja tādi nosakāmi saskaņā ar likumu “</w:t>
            </w:r>
            <w:hyperlink r:id="rId8">
              <w:r w:rsidRPr="7B791600">
                <w:rPr>
                  <w:rFonts w:ascii="Times New Roman" w:eastAsia="Calibri" w:hAnsi="Times New Roman" w:cs="Times New Roman"/>
                  <w:sz w:val="24"/>
                  <w:szCs w:val="24"/>
                </w:rPr>
                <w:t>Par īpaši aizsargājamām dabas teritorijām</w:t>
              </w:r>
            </w:hyperlink>
            <w:r w:rsidRPr="7B791600">
              <w:rPr>
                <w:rFonts w:ascii="Times New Roman" w:eastAsia="Calibri" w:hAnsi="Times New Roman" w:cs="Times New Roman"/>
                <w:sz w:val="24"/>
                <w:szCs w:val="24"/>
              </w:rPr>
              <w:t>”, ņemot vērā paredzētās darbības un tās risinājumu iespējamo ietekmi uz Eiropas nozīmes aizsargājamo dabas teritoriju (</w:t>
            </w:r>
            <w:proofErr w:type="spellStart"/>
            <w:r w:rsidRPr="7B791600">
              <w:rPr>
                <w:rFonts w:ascii="Times New Roman" w:eastAsia="Calibri" w:hAnsi="Times New Roman" w:cs="Times New Roman"/>
                <w:sz w:val="24"/>
                <w:szCs w:val="24"/>
              </w:rPr>
              <w:t>Natura</w:t>
            </w:r>
            <w:proofErr w:type="spellEnd"/>
            <w:r w:rsidRPr="7B791600">
              <w:rPr>
                <w:rFonts w:ascii="Times New Roman" w:eastAsia="Calibri" w:hAnsi="Times New Roman" w:cs="Times New Roman"/>
                <w:sz w:val="24"/>
                <w:szCs w:val="24"/>
              </w:rPr>
              <w:t xml:space="preserve"> 2000). </w:t>
            </w:r>
            <w:proofErr w:type="gramStart"/>
            <w:r w:rsidRPr="7B791600">
              <w:rPr>
                <w:rFonts w:ascii="Times New Roman" w:eastAsia="Calibri" w:hAnsi="Times New Roman" w:cs="Times New Roman"/>
                <w:sz w:val="24"/>
                <w:szCs w:val="24"/>
              </w:rPr>
              <w:t>Vadoties no</w:t>
            </w:r>
            <w:proofErr w:type="gramEnd"/>
            <w:r w:rsidRPr="7B791600">
              <w:rPr>
                <w:rFonts w:ascii="Times New Roman" w:eastAsia="Calibri" w:hAnsi="Times New Roman" w:cs="Times New Roman"/>
                <w:sz w:val="24"/>
                <w:szCs w:val="24"/>
              </w:rPr>
              <w:t xml:space="preserve"> ietekmes uz vidi novērtējuma rezultātiem, ja pieņemts attiecīgs Ministru kabineta lēmums (likuma “</w:t>
            </w:r>
            <w:hyperlink r:id="rId9">
              <w:r w:rsidRPr="7B791600">
                <w:rPr>
                  <w:rFonts w:ascii="Times New Roman" w:eastAsia="Calibri" w:hAnsi="Times New Roman" w:cs="Times New Roman"/>
                  <w:sz w:val="24"/>
                  <w:szCs w:val="24"/>
                </w:rPr>
                <w:t>Par īpaši aizsargājamām dabas teritorijām</w:t>
              </w:r>
            </w:hyperlink>
            <w:r w:rsidRPr="7B791600">
              <w:rPr>
                <w:rFonts w:ascii="Times New Roman" w:eastAsia="Calibri" w:hAnsi="Times New Roman" w:cs="Times New Roman"/>
                <w:sz w:val="24"/>
                <w:szCs w:val="24"/>
              </w:rPr>
              <w:t>” 43.</w:t>
            </w:r>
            <w:r w:rsidR="00922ABE">
              <w:rPr>
                <w:rFonts w:ascii="Times New Roman" w:eastAsia="Calibri" w:hAnsi="Times New Roman" w:cs="Times New Roman"/>
                <w:sz w:val="24"/>
                <w:szCs w:val="24"/>
              </w:rPr>
              <w:t> </w:t>
            </w:r>
            <w:r w:rsidRPr="7B791600">
              <w:rPr>
                <w:rFonts w:ascii="Times New Roman" w:eastAsia="Calibri" w:hAnsi="Times New Roman" w:cs="Times New Roman"/>
                <w:sz w:val="24"/>
                <w:szCs w:val="24"/>
              </w:rPr>
              <w:t>panta devītā un desmitā daļa), kompetentās iestādes atzinumā var tikt noteikti arī nosacījumi ietekmes kompensējošo pasākumu īstenošanai, piemēram, attiecī</w:t>
            </w:r>
            <w:r w:rsidR="00F30F4F" w:rsidRPr="7B791600">
              <w:rPr>
                <w:rFonts w:ascii="Times New Roman" w:eastAsia="Calibri" w:hAnsi="Times New Roman" w:cs="Times New Roman"/>
                <w:sz w:val="24"/>
                <w:szCs w:val="24"/>
              </w:rPr>
              <w:t>go</w:t>
            </w:r>
            <w:r w:rsidRPr="7B791600">
              <w:rPr>
                <w:rFonts w:ascii="Times New Roman" w:eastAsia="Calibri" w:hAnsi="Times New Roman" w:cs="Times New Roman"/>
                <w:sz w:val="24"/>
                <w:szCs w:val="24"/>
              </w:rPr>
              <w:t xml:space="preserve"> dabas vērtību kompensējošas teritorijas izveidi, tās īstenošanas vietu, apjomu, laika grafiku u.c. </w:t>
            </w:r>
            <w:r w:rsidR="00126924" w:rsidRPr="7B791600">
              <w:rPr>
                <w:rFonts w:ascii="Times New Roman" w:eastAsia="Calibri" w:hAnsi="Times New Roman" w:cs="Times New Roman"/>
                <w:sz w:val="24"/>
                <w:szCs w:val="24"/>
              </w:rPr>
              <w:t>prasības.</w:t>
            </w:r>
            <w:r w:rsidRPr="7B791600">
              <w:rPr>
                <w:rFonts w:ascii="Times New Roman" w:eastAsia="Calibri" w:hAnsi="Times New Roman" w:cs="Times New Roman"/>
                <w:sz w:val="24"/>
                <w:szCs w:val="24"/>
              </w:rPr>
              <w:t xml:space="preserve">. </w:t>
            </w:r>
          </w:p>
          <w:p w14:paraId="46D4AAFF" w14:textId="77777777" w:rsidR="00B91C6A" w:rsidRDefault="00B91C6A" w:rsidP="00794B6B">
            <w:pPr>
              <w:pStyle w:val="FootnoteText"/>
              <w:ind w:right="180"/>
              <w:jc w:val="both"/>
              <w:rPr>
                <w:sz w:val="24"/>
                <w:szCs w:val="24"/>
              </w:rPr>
            </w:pPr>
          </w:p>
          <w:p w14:paraId="68F908CE" w14:textId="2FFBAA36" w:rsidR="00794B6B" w:rsidRDefault="00794B6B" w:rsidP="00794B6B">
            <w:pPr>
              <w:pStyle w:val="FootnoteText"/>
              <w:ind w:right="180"/>
              <w:jc w:val="both"/>
              <w:rPr>
                <w:sz w:val="24"/>
                <w:szCs w:val="24"/>
              </w:rPr>
            </w:pPr>
            <w:r w:rsidRPr="00F52577">
              <w:rPr>
                <w:sz w:val="24"/>
                <w:szCs w:val="24"/>
              </w:rPr>
              <w:t>VPVB 2018. gadā izsniedzis 17 atzinumus par ietekmes uz vidi novērtējuma ziņojumu</w:t>
            </w:r>
            <w:r w:rsidR="00922ABE">
              <w:rPr>
                <w:sz w:val="24"/>
                <w:szCs w:val="24"/>
              </w:rPr>
              <w:t>.</w:t>
            </w:r>
            <w:r w:rsidR="00922ABE">
              <w:rPr>
                <w:rStyle w:val="FootnoteReference"/>
                <w:sz w:val="24"/>
                <w:szCs w:val="24"/>
              </w:rPr>
              <w:footnoteReference w:id="2"/>
            </w:r>
            <w:r w:rsidRPr="00F52577">
              <w:rPr>
                <w:sz w:val="24"/>
                <w:szCs w:val="24"/>
              </w:rPr>
              <w:t xml:space="preserve"> </w:t>
            </w:r>
          </w:p>
          <w:p w14:paraId="34D3B14F" w14:textId="77777777" w:rsidR="00A80309" w:rsidRPr="00F52577" w:rsidRDefault="00A80309" w:rsidP="0034773D">
            <w:pPr>
              <w:pStyle w:val="FootnoteText"/>
              <w:ind w:right="180"/>
              <w:jc w:val="both"/>
              <w:rPr>
                <w:sz w:val="24"/>
                <w:szCs w:val="24"/>
              </w:rPr>
            </w:pPr>
          </w:p>
          <w:p w14:paraId="384601CF" w14:textId="77777777" w:rsidR="0034773D" w:rsidRPr="00F30A80" w:rsidRDefault="0034773D" w:rsidP="003451FF">
            <w:pPr>
              <w:pStyle w:val="FootnoteText"/>
              <w:ind w:left="111" w:right="180"/>
              <w:jc w:val="both"/>
              <w:rPr>
                <w:color w:val="FF0000"/>
                <w:sz w:val="24"/>
                <w:szCs w:val="24"/>
              </w:rPr>
            </w:pPr>
          </w:p>
          <w:p w14:paraId="70C0416E" w14:textId="77777777" w:rsidR="009A193B" w:rsidRPr="00F30A80" w:rsidRDefault="0034773D" w:rsidP="003451FF">
            <w:pPr>
              <w:pStyle w:val="naiskr"/>
              <w:spacing w:before="0" w:after="0"/>
              <w:ind w:left="111" w:right="161"/>
              <w:jc w:val="both"/>
            </w:pPr>
            <w:r>
              <w:t>3</w:t>
            </w:r>
            <w:r w:rsidR="009A193B" w:rsidRPr="00F30A80">
              <w:t xml:space="preserve">. Likumprojekta 27. panta trešā daļa noteic, ka piemērojamo soda sankciju </w:t>
            </w:r>
            <w:r w:rsidR="009A193B" w:rsidRPr="00D325F4">
              <w:t>apmērs tiek mainīts salīdzinājumā</w:t>
            </w:r>
            <w:r w:rsidR="009A193B" w:rsidRPr="00F30A80">
              <w:t xml:space="preserve"> ar LAPK 88.</w:t>
            </w:r>
            <w:r w:rsidR="009A193B" w:rsidRPr="00F30A80">
              <w:rPr>
                <w:vertAlign w:val="superscript"/>
              </w:rPr>
              <w:t xml:space="preserve">7 </w:t>
            </w:r>
            <w:r w:rsidR="009A193B" w:rsidRPr="00F30A80">
              <w:t>trešajā daļā noteikto par:</w:t>
            </w:r>
          </w:p>
          <w:p w14:paraId="1A9B13FF" w14:textId="77777777" w:rsidR="009A193B" w:rsidRPr="00F30A80" w:rsidRDefault="009A193B" w:rsidP="003451FF">
            <w:pPr>
              <w:pStyle w:val="naiskr"/>
              <w:spacing w:before="0" w:after="0"/>
              <w:ind w:left="111" w:right="161"/>
              <w:jc w:val="both"/>
            </w:pPr>
            <w:r w:rsidRPr="00F30A80">
              <w:t>- paredzētās darbības veikšanu bez ietekmes sākotnējā izvērtējuma vai VVD izdotiem tehniskajiem noteikumiem.</w:t>
            </w:r>
          </w:p>
          <w:p w14:paraId="4A5ADB01" w14:textId="77777777" w:rsidR="00D325F4" w:rsidRDefault="00D325F4" w:rsidP="00D325F4">
            <w:pPr>
              <w:pStyle w:val="naiskr"/>
              <w:spacing w:before="0" w:after="0"/>
              <w:ind w:right="161"/>
              <w:jc w:val="both"/>
            </w:pPr>
          </w:p>
          <w:p w14:paraId="20286321" w14:textId="64BDB10E" w:rsidR="00D67886" w:rsidRDefault="007221C9" w:rsidP="00D325F4">
            <w:pPr>
              <w:pStyle w:val="naiskr"/>
              <w:spacing w:before="0" w:after="0"/>
              <w:ind w:right="161"/>
              <w:jc w:val="both"/>
            </w:pPr>
            <w:r>
              <w:t>Likumprojekta 27.</w:t>
            </w:r>
            <w:r w:rsidR="00922ABE">
              <w:t> </w:t>
            </w:r>
            <w:r>
              <w:t xml:space="preserve">panta trešajā daļā par darbību bez tehniskiem noteikumiem maksimālā sankcija juridiskām personām tiek samazināta no 14000 uz 12000 </w:t>
            </w:r>
            <w:proofErr w:type="spellStart"/>
            <w:r w:rsidR="00922ABE" w:rsidRPr="001E2472">
              <w:rPr>
                <w:i/>
              </w:rPr>
              <w:t>euro</w:t>
            </w:r>
            <w:proofErr w:type="spellEnd"/>
            <w:r>
              <w:t xml:space="preserve">, lai maksimālo iespējamo naudas sodu noteiktu par darbību bez ietekmes uz vidi novērtējumu. Lai arī darbība bez tehniskiem noteikumiem nav tik vidi ietekmējoša kā darbība bez ietekmes uz vidi novērtējuma, arī šajos gadījumos piemērojams atturošs sods, jo darbības sekas parasti ir novēršamas ilgtermiņā vai nav pilnībā novēršamas. </w:t>
            </w:r>
          </w:p>
          <w:p w14:paraId="1A908623" w14:textId="733AB559" w:rsidR="00D325F4" w:rsidRPr="00D325F4" w:rsidRDefault="007221C9" w:rsidP="00D325F4">
            <w:pPr>
              <w:pStyle w:val="naiskr"/>
              <w:spacing w:before="0" w:after="0"/>
              <w:ind w:right="161"/>
              <w:jc w:val="both"/>
            </w:pPr>
            <w:r>
              <w:t>Savukārt Likumprojekta 27.</w:t>
            </w:r>
            <w:r w:rsidR="00922ABE">
              <w:t> </w:t>
            </w:r>
            <w:r>
              <w:t>panta trešajā daļā fiziskām personām piemērojamais maksimālais naudas sods</w:t>
            </w:r>
            <w:r w:rsidR="00D67886">
              <w:t xml:space="preserve"> no 1420 soda vienībām </w:t>
            </w:r>
            <w:r>
              <w:t>ir samazināts līdz 400 naudas vienībām, jo lielāku naudas sodu nepieļauj Administratīvās atbildības likuma 16.</w:t>
            </w:r>
            <w:r w:rsidR="00922ABE">
              <w:t> </w:t>
            </w:r>
            <w:r>
              <w:t xml:space="preserve">panta </w:t>
            </w:r>
            <w:r w:rsidR="009B1616">
              <w:t>ceturtā</w:t>
            </w:r>
            <w:r>
              <w:t xml:space="preserve"> daļa. </w:t>
            </w:r>
            <w:r w:rsidR="009A193B" w:rsidRPr="00F30A80">
              <w:t>Sākotnējais izvērtējums un tehniskie noteikumi ir būtiski vides aizsardzības preventīvie instrumenti, lai nepieļautu paredzēto darbību, kam var būt būtiska ietekme uz vidi, realizāciju, bez būtiskas nelabvēlīgas ietekmes novēršanas vai samazināšanas pasākumu īstenošanas. Tā kā šādu pasākumu īstenošana ir visas sabiedrības interesēs, sankcijām par to neievērošanu jābūt efektīvām un atturošām. Likumprojekta 27. panta trešā daļa paredz, ka soda sankcijas tiks piemērotas, ja darbība tiks veikta bez ietekmes sākotnējā izvērtējuma. LAPK neparedzēja soda piemērošanu, ja darbība veikta bez sākotnējā izvērtējuma. Likuma 3.</w:t>
            </w:r>
            <w:r w:rsidR="009A193B" w:rsidRPr="00F30A80">
              <w:rPr>
                <w:vertAlign w:val="superscript"/>
              </w:rPr>
              <w:t xml:space="preserve">2 </w:t>
            </w:r>
            <w:r w:rsidR="009A193B" w:rsidRPr="00F30A80">
              <w:t>pantā noteikts, kad ir nepieciešams sākotnējais izvērtējums, kā arī 13. panta ceturtajā daļā noteikts, ka Ministru kabinets nosaka paredzētās darbības, kuru veikšanai nepieciešami tehniskie noteikumi. Pēc sākotnējā izvērtējuma tiek piemērots lēmums par ietekmes uz vidi novērtējuma piemērošanu vai nepiemērošanu. Gadījumā, ja piemērots lēmums par ietekmes uz vidi novērtējuma nepiemērošanu jāsaņem no VVD tehniskie noteikumi</w:t>
            </w:r>
            <w:r w:rsidR="00E074D5">
              <w:t>.</w:t>
            </w:r>
            <w:r w:rsidR="00D325F4">
              <w:t xml:space="preserve"> </w:t>
            </w:r>
          </w:p>
          <w:p w14:paraId="3576BF36" w14:textId="77777777" w:rsidR="009A193B" w:rsidRPr="00F30A80" w:rsidRDefault="009A193B" w:rsidP="003451FF">
            <w:pPr>
              <w:pStyle w:val="naiskr"/>
              <w:spacing w:before="0" w:after="0"/>
              <w:ind w:left="111" w:right="161"/>
              <w:jc w:val="both"/>
            </w:pPr>
          </w:p>
          <w:p w14:paraId="279253EF" w14:textId="77777777" w:rsidR="009A193B" w:rsidRPr="00F30A80" w:rsidRDefault="00F52577" w:rsidP="003451FF">
            <w:pPr>
              <w:pStyle w:val="naiskr"/>
              <w:spacing w:before="0" w:after="0"/>
              <w:ind w:left="111" w:right="161"/>
              <w:jc w:val="both"/>
            </w:pPr>
            <w:r>
              <w:t>4</w:t>
            </w:r>
            <w:r w:rsidR="009A193B" w:rsidRPr="00F30A80">
              <w:t xml:space="preserve">. Likumprojekta 27. panta ceturtā daļa noteic, ka piemērojamo soda sankciju apmērs </w:t>
            </w:r>
            <w:r w:rsidR="009A193B" w:rsidRPr="007221C9">
              <w:t xml:space="preserve">tiek mainīts </w:t>
            </w:r>
            <w:r w:rsidR="009A193B" w:rsidRPr="00532FCC">
              <w:t>salīdzinājumā ar LAPK 88.</w:t>
            </w:r>
            <w:r w:rsidR="009A193B" w:rsidRPr="00532FCC">
              <w:rPr>
                <w:vertAlign w:val="superscript"/>
              </w:rPr>
              <w:t xml:space="preserve">7 </w:t>
            </w:r>
            <w:r w:rsidR="009A193B" w:rsidRPr="00532FCC">
              <w:t>pirmajā daļā noteikto par:</w:t>
            </w:r>
          </w:p>
          <w:p w14:paraId="33AABF15" w14:textId="77777777" w:rsidR="009A193B" w:rsidRPr="00F30A80" w:rsidRDefault="009A193B" w:rsidP="003451FF">
            <w:pPr>
              <w:pStyle w:val="naiskr"/>
              <w:spacing w:before="0" w:after="0"/>
              <w:ind w:left="111" w:right="161"/>
              <w:jc w:val="both"/>
            </w:pPr>
            <w:r w:rsidRPr="00F30A80">
              <w:t xml:space="preserve">- paredzētās darbības uzsākšanu bez ietekmes uz vidi novērtējuma veikšanas un attiecīgās valsts institūcijas, pašvaldības, citas likumā noteiktas institūcijas vai Ministru kabineta paredzētās darbības akcepta saņemšanas.  </w:t>
            </w:r>
          </w:p>
          <w:p w14:paraId="38715881" w14:textId="40C37EA0" w:rsidR="009B1616" w:rsidRDefault="009A193B" w:rsidP="009B1616">
            <w:pPr>
              <w:pStyle w:val="naiskr"/>
              <w:spacing w:before="0" w:after="0"/>
              <w:ind w:right="161"/>
              <w:jc w:val="both"/>
            </w:pPr>
            <w:r w:rsidRPr="00F30A80">
              <w:t xml:space="preserve">Likumprojekts paredz palielināt soda sankciju apmēru, gadījumos, ja darbība veikta bez ietekmes uz vidi novērtējuma, nosakot fiziskām personām piemērojamo sodu no </w:t>
            </w:r>
            <w:r w:rsidR="00E43CFF">
              <w:t>140</w:t>
            </w:r>
            <w:r w:rsidRPr="00F30A80">
              <w:t xml:space="preserve"> līdz </w:t>
            </w:r>
            <w:r w:rsidR="00E43CFF">
              <w:t>400</w:t>
            </w:r>
            <w:r w:rsidR="00E43CFF" w:rsidRPr="00F30A80">
              <w:t xml:space="preserve"> </w:t>
            </w:r>
            <w:r w:rsidRPr="00F30A80">
              <w:t xml:space="preserve">naudas soda vienībām. Savukārt juridiskām personām piemērojamais sods tiek noteikts no </w:t>
            </w:r>
            <w:r w:rsidR="00E43CFF">
              <w:t>200</w:t>
            </w:r>
            <w:r w:rsidR="00E43CFF" w:rsidRPr="00F30A80">
              <w:t xml:space="preserve"> </w:t>
            </w:r>
            <w:r w:rsidRPr="00F30A80">
              <w:t xml:space="preserve">līdz </w:t>
            </w:r>
            <w:r w:rsidR="00E43CFF">
              <w:t>2800</w:t>
            </w:r>
            <w:r w:rsidRPr="00F30A80">
              <w:t xml:space="preserve"> naudas soda vienībām. </w:t>
            </w:r>
            <w:r w:rsidR="00D325F4" w:rsidRPr="00D325F4">
              <w:t>Latvijas Administratīvo pārkāpumu kodeksa 88.</w:t>
            </w:r>
            <w:r w:rsidR="00D325F4" w:rsidRPr="00D325F4">
              <w:rPr>
                <w:vertAlign w:val="superscript"/>
              </w:rPr>
              <w:t>7</w:t>
            </w:r>
            <w:r w:rsidR="00922ABE">
              <w:rPr>
                <w:vertAlign w:val="superscript"/>
              </w:rPr>
              <w:t> </w:t>
            </w:r>
            <w:r w:rsidR="00D325F4" w:rsidRPr="00D325F4">
              <w:t>panta pirmā daļa paredzēja maksimālo naudas sodu fiziskām personām 1400</w:t>
            </w:r>
            <w:r w:rsidR="00922ABE">
              <w:t> </w:t>
            </w:r>
            <w:proofErr w:type="spellStart"/>
            <w:r w:rsidR="00922ABE" w:rsidRPr="001E2472">
              <w:rPr>
                <w:i/>
              </w:rPr>
              <w:t>euro</w:t>
            </w:r>
            <w:proofErr w:type="spellEnd"/>
            <w:r w:rsidR="00D325F4" w:rsidRPr="00D325F4">
              <w:t xml:space="preserve"> un juridiskām personām 4300 </w:t>
            </w:r>
            <w:proofErr w:type="spellStart"/>
            <w:r w:rsidR="00922ABE" w:rsidRPr="001E2472">
              <w:rPr>
                <w:i/>
              </w:rPr>
              <w:t>euro</w:t>
            </w:r>
            <w:proofErr w:type="spellEnd"/>
            <w:r w:rsidR="00D325F4" w:rsidRPr="00D325F4">
              <w:t>, ja paredzētā darbība tiek realizēta bez ietekmes uz vidi novērtējuma veikšanas. Savukārt Latvijas Administratīvo pārkāpumu kodeksa 88</w:t>
            </w:r>
            <w:r w:rsidR="00D325F4" w:rsidRPr="00D325F4">
              <w:rPr>
                <w:vertAlign w:val="superscript"/>
              </w:rPr>
              <w:t>7</w:t>
            </w:r>
            <w:r w:rsidR="00D325F4" w:rsidRPr="00D325F4">
              <w:t xml:space="preserve">.panta trešā daļa par darbību bez tehniskiem noteikumiem paredzēja daudz augstākas sankcijas – fiziskām personām līdz 7100 </w:t>
            </w:r>
            <w:proofErr w:type="spellStart"/>
            <w:r w:rsidR="00922ABE" w:rsidRPr="001E2472">
              <w:rPr>
                <w:i/>
              </w:rPr>
              <w:t>euro</w:t>
            </w:r>
            <w:proofErr w:type="spellEnd"/>
            <w:r w:rsidR="00D325F4" w:rsidRPr="00D325F4">
              <w:t xml:space="preserve">, bet juridiskām personām līdz 14 000 </w:t>
            </w:r>
            <w:proofErr w:type="spellStart"/>
            <w:r w:rsidR="00922ABE" w:rsidRPr="001E2472">
              <w:rPr>
                <w:i/>
              </w:rPr>
              <w:t>euro</w:t>
            </w:r>
            <w:proofErr w:type="spellEnd"/>
            <w:r w:rsidR="00D325F4" w:rsidRPr="00D325F4">
              <w:t xml:space="preserve">. Tomēr darbība bez ietekmes uz vidi novērtējuma veikšanas ir daudz būtiskāks pārkāpums nekā darbība bez tehniskiem noteikumiem, jo ietekmes uz vidi novērtējums tiek </w:t>
            </w:r>
            <w:proofErr w:type="gramStart"/>
            <w:r w:rsidR="00D325F4" w:rsidRPr="00D325F4">
              <w:t>piemērots vidi</w:t>
            </w:r>
            <w:proofErr w:type="gramEnd"/>
            <w:r w:rsidR="00D325F4" w:rsidRPr="00D325F4">
              <w:t xml:space="preserve"> un sabiedrību visvairāk ietekmējošām darbībām, kā arī ietekmes uz vidi novērtējuma procedūras izmaksas pā</w:t>
            </w:r>
            <w:r w:rsidR="00D325F4">
              <w:t>rsniedz maksimālo soda sankciju</w:t>
            </w:r>
            <w:r w:rsidR="00D325F4" w:rsidRPr="00D325F4">
              <w:t xml:space="preserve">, tāpēc šāds sods nav atturošs. </w:t>
            </w:r>
            <w:r w:rsidRPr="00F30A80">
              <w:t xml:space="preserve">Likuma 21. panta pirmajā daļā noteikts, ka paredzētās darbības akcepts ir pieņemts attiecīgās valsts institūcijas, pašvaldības, citas likumā noteiktas institūcijas vai Ministru kabineta lēmums par atļauju uzsākt darbību. Attiecībā uz soda sankcijām par paredzētās darbības uzsākšanu bez ietekmes uz vidi novērtējuma, vēršam uzmanību, ka </w:t>
            </w:r>
            <w:r w:rsidR="00756ED5">
              <w:t>Direktīva</w:t>
            </w:r>
            <w:r w:rsidR="00F114A8">
              <w:t>s</w:t>
            </w:r>
            <w:r w:rsidR="00756ED5">
              <w:t xml:space="preserve"> 2014/52/ES</w:t>
            </w:r>
            <w:r w:rsidRPr="00F30A80">
              <w:t xml:space="preserve"> 1. panta 13.</w:t>
            </w:r>
            <w:r w:rsidR="004C2434">
              <w:t> </w:t>
            </w:r>
            <w:r w:rsidRPr="00F30A80">
              <w:t>punkta izteiktais 10.a pants noteic “</w:t>
            </w:r>
            <w:r w:rsidRPr="00F30A80">
              <w:rPr>
                <w:i/>
              </w:rPr>
              <w:t xml:space="preserve">Dalībvalstis pieņem noteikumus par sankcijām, kuras piemēro par attiecīgās valsts noteikumu pārkāpumiem un kuras pieņem saskaņā ar šo direktīvu. Paredzētās sankcijas ir </w:t>
            </w:r>
            <w:r w:rsidRPr="00F30A80">
              <w:rPr>
                <w:i/>
                <w:u w:val="single"/>
              </w:rPr>
              <w:t>iedarbīgas, samērīgas un atturošas</w:t>
            </w:r>
            <w:r w:rsidRPr="00F30A80">
              <w:t>.”. Piemēram, Polijā sods par darbības veikšanu bez ietekmes uz vidi novērtējuma vai obligāto nosacījumu neievērošanu juridiskām personām var pārsniegt 200</w:t>
            </w:r>
            <w:r w:rsidR="00922ABE">
              <w:t> </w:t>
            </w:r>
            <w:r w:rsidR="00922ABE" w:rsidRPr="00F30A80">
              <w:t>000</w:t>
            </w:r>
            <w:r w:rsidR="00922ABE">
              <w:t> </w:t>
            </w:r>
            <w:proofErr w:type="spellStart"/>
            <w:r w:rsidR="002D73D2" w:rsidRPr="00D01950">
              <w:rPr>
                <w:i/>
              </w:rPr>
              <w:t>euro</w:t>
            </w:r>
            <w:proofErr w:type="spellEnd"/>
            <w:r w:rsidR="002D73D2" w:rsidRPr="00F30A80">
              <w:t xml:space="preserve"> </w:t>
            </w:r>
            <w:r w:rsidRPr="00F30A80">
              <w:t>(</w:t>
            </w:r>
            <w:r w:rsidR="002D73D2">
              <w:t>viens </w:t>
            </w:r>
            <w:r w:rsidRPr="00F30A80">
              <w:t>milj</w:t>
            </w:r>
            <w:r w:rsidR="002D73D2">
              <w:t>. </w:t>
            </w:r>
            <w:r w:rsidRPr="00F30A80">
              <w:t xml:space="preserve">zlotu). </w:t>
            </w:r>
          </w:p>
          <w:p w14:paraId="6F5D1877" w14:textId="77777777" w:rsidR="009A193B" w:rsidRDefault="009A193B" w:rsidP="00794B6B">
            <w:pPr>
              <w:pStyle w:val="naiskr"/>
              <w:spacing w:before="0" w:after="0"/>
              <w:ind w:right="161"/>
              <w:jc w:val="both"/>
            </w:pPr>
          </w:p>
          <w:p w14:paraId="1FDB7D20" w14:textId="77777777" w:rsidR="00D67886" w:rsidRPr="00D67886" w:rsidRDefault="00D67886" w:rsidP="00D67886">
            <w:pPr>
              <w:spacing w:after="119" w:line="240" w:lineRule="auto"/>
              <w:jc w:val="both"/>
              <w:rPr>
                <w:rFonts w:ascii="Times New Roman" w:hAnsi="Times New Roman" w:cs="Times New Roman"/>
                <w:bCs/>
                <w:sz w:val="24"/>
                <w:szCs w:val="24"/>
                <w:u w:val="single"/>
              </w:rPr>
            </w:pPr>
            <w:r w:rsidRPr="00D67886">
              <w:rPr>
                <w:rFonts w:ascii="Times New Roman" w:hAnsi="Times New Roman" w:cs="Times New Roman"/>
                <w:bCs/>
                <w:sz w:val="24"/>
                <w:szCs w:val="24"/>
                <w:u w:val="single"/>
              </w:rPr>
              <w:t>Informācija par sodu apmēra izmaiņām:</w:t>
            </w:r>
          </w:p>
          <w:p w14:paraId="425C0001" w14:textId="77777777" w:rsidR="00D67886" w:rsidRDefault="00D67886" w:rsidP="00D67886">
            <w:pPr>
              <w:spacing w:after="119" w:line="240" w:lineRule="auto"/>
              <w:jc w:val="both"/>
              <w:rPr>
                <w:rFonts w:ascii="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2650"/>
              <w:gridCol w:w="2651"/>
            </w:tblGrid>
            <w:tr w:rsidR="00D67886" w14:paraId="10D304CB" w14:textId="77777777" w:rsidTr="7B791600">
              <w:tc>
                <w:tcPr>
                  <w:tcW w:w="2650" w:type="dxa"/>
                </w:tcPr>
                <w:p w14:paraId="5E78F5DC" w14:textId="77777777" w:rsidR="00D67886" w:rsidRPr="00B73718" w:rsidRDefault="00D67886" w:rsidP="00D67886">
                  <w:pPr>
                    <w:spacing w:after="119"/>
                    <w:jc w:val="both"/>
                    <w:rPr>
                      <w:rFonts w:ascii="Times New Roman" w:hAnsi="Times New Roman" w:cs="Times New Roman"/>
                      <w:bCs/>
                      <w:sz w:val="24"/>
                      <w:szCs w:val="24"/>
                    </w:rPr>
                  </w:pPr>
                  <w:r w:rsidRPr="00B73718">
                    <w:rPr>
                      <w:rFonts w:ascii="Times New Roman" w:hAnsi="Times New Roman" w:cs="Times New Roman"/>
                      <w:b/>
                      <w:bCs/>
                      <w:sz w:val="24"/>
                      <w:szCs w:val="24"/>
                    </w:rPr>
                    <w:t>LAPK 88.</w:t>
                  </w:r>
                  <w:r w:rsidRPr="00B73718">
                    <w:rPr>
                      <w:rFonts w:ascii="Times New Roman" w:hAnsi="Times New Roman" w:cs="Times New Roman"/>
                      <w:b/>
                      <w:bCs/>
                      <w:sz w:val="24"/>
                      <w:szCs w:val="24"/>
                      <w:vertAlign w:val="superscript"/>
                    </w:rPr>
                    <w:t>7  </w:t>
                  </w:r>
                  <w:r w:rsidRPr="00B73718">
                    <w:rPr>
                      <w:rFonts w:ascii="Times New Roman" w:hAnsi="Times New Roman" w:cs="Times New Roman"/>
                      <w:b/>
                      <w:bCs/>
                      <w:sz w:val="24"/>
                      <w:szCs w:val="24"/>
                    </w:rPr>
                    <w:t>panta ceturtā daļa</w:t>
                  </w:r>
                </w:p>
              </w:tc>
              <w:tc>
                <w:tcPr>
                  <w:tcW w:w="2651" w:type="dxa"/>
                </w:tcPr>
                <w:p w14:paraId="617CEE68" w14:textId="77777777" w:rsidR="00D67886" w:rsidRPr="00B73718" w:rsidRDefault="00D67886" w:rsidP="00D67886">
                  <w:pPr>
                    <w:spacing w:after="119"/>
                    <w:jc w:val="both"/>
                    <w:rPr>
                      <w:rFonts w:ascii="Times New Roman" w:hAnsi="Times New Roman" w:cs="Times New Roman"/>
                      <w:bCs/>
                      <w:sz w:val="24"/>
                      <w:szCs w:val="24"/>
                    </w:rPr>
                  </w:pPr>
                  <w:r w:rsidRPr="00B73718">
                    <w:rPr>
                      <w:rFonts w:ascii="Times New Roman" w:hAnsi="Times New Roman" w:cs="Times New Roman"/>
                      <w:b/>
                      <w:bCs/>
                      <w:sz w:val="24"/>
                      <w:szCs w:val="24"/>
                    </w:rPr>
                    <w:t>Likuma 27.  panta pirmā daļa</w:t>
                  </w:r>
                </w:p>
              </w:tc>
            </w:tr>
            <w:tr w:rsidR="00D67886" w14:paraId="7FBF440E" w14:textId="77777777" w:rsidTr="7B791600">
              <w:tc>
                <w:tcPr>
                  <w:tcW w:w="2650" w:type="dxa"/>
                </w:tcPr>
                <w:p w14:paraId="0A6BA0A3" w14:textId="77777777" w:rsidR="00D67886" w:rsidRPr="00B73718" w:rsidRDefault="00D67886" w:rsidP="00D67886">
                  <w:pPr>
                    <w:spacing w:after="119"/>
                    <w:jc w:val="both"/>
                    <w:rPr>
                      <w:rFonts w:ascii="Times New Roman" w:hAnsi="Times New Roman" w:cs="Times New Roman"/>
                      <w:bCs/>
                      <w:sz w:val="24"/>
                      <w:szCs w:val="24"/>
                    </w:rPr>
                  </w:pPr>
                  <w:r w:rsidRPr="00B73718">
                    <w:rPr>
                      <w:rFonts w:ascii="Times New Roman" w:hAnsi="Times New Roman" w:cs="Times New Roman"/>
                      <w:sz w:val="24"/>
                      <w:szCs w:val="24"/>
                    </w:rPr>
                    <w:t>Fiziskajām personām no 14 līdz 140 naudas soda vienībām. Juridiskajām personām – no 28 līdz 580 naudas soda vienībām</w:t>
                  </w:r>
                </w:p>
              </w:tc>
              <w:tc>
                <w:tcPr>
                  <w:tcW w:w="2651" w:type="dxa"/>
                </w:tcPr>
                <w:p w14:paraId="5DFE4C3A" w14:textId="77777777" w:rsidR="00D67886" w:rsidRPr="00B73718" w:rsidRDefault="00D67886" w:rsidP="00D67886">
                  <w:pPr>
                    <w:spacing w:after="119"/>
                    <w:jc w:val="both"/>
                    <w:rPr>
                      <w:rFonts w:ascii="Times New Roman" w:hAnsi="Times New Roman" w:cs="Times New Roman"/>
                      <w:bCs/>
                      <w:sz w:val="24"/>
                      <w:szCs w:val="24"/>
                    </w:rPr>
                  </w:pPr>
                  <w:r w:rsidRPr="00B73718">
                    <w:rPr>
                      <w:rFonts w:ascii="Times New Roman" w:hAnsi="Times New Roman" w:cs="Times New Roman"/>
                      <w:sz w:val="24"/>
                      <w:szCs w:val="24"/>
                    </w:rPr>
                    <w:t>Fiziskajām personām no 14 līdz 140 naudas soda vienībām. Juridiskajām personām – no 28 līdz 580 naudas soda vienībām</w:t>
                  </w:r>
                </w:p>
              </w:tc>
            </w:tr>
            <w:tr w:rsidR="00D67886" w14:paraId="2C52C4E6" w14:textId="77777777" w:rsidTr="7B791600">
              <w:tc>
                <w:tcPr>
                  <w:tcW w:w="2650" w:type="dxa"/>
                </w:tcPr>
                <w:p w14:paraId="67A2B802" w14:textId="65EFC9B3" w:rsidR="00D67886" w:rsidRPr="00B73718" w:rsidRDefault="00D67886" w:rsidP="00D67886">
                  <w:pPr>
                    <w:spacing w:after="119"/>
                    <w:jc w:val="both"/>
                    <w:rPr>
                      <w:rFonts w:ascii="Times New Roman" w:hAnsi="Times New Roman" w:cs="Times New Roman"/>
                      <w:b/>
                      <w:bCs/>
                      <w:sz w:val="24"/>
                      <w:szCs w:val="24"/>
                    </w:rPr>
                  </w:pPr>
                  <w:r w:rsidRPr="00B73718">
                    <w:rPr>
                      <w:rFonts w:ascii="Times New Roman" w:hAnsi="Times New Roman" w:cs="Times New Roman"/>
                      <w:b/>
                      <w:sz w:val="24"/>
                      <w:szCs w:val="24"/>
                    </w:rPr>
                    <w:t>LAPK 88.</w:t>
                  </w:r>
                  <w:r w:rsidR="00D1642F">
                    <w:rPr>
                      <w:rFonts w:ascii="Times New Roman" w:hAnsi="Times New Roman" w:cs="Times New Roman"/>
                      <w:b/>
                      <w:sz w:val="24"/>
                      <w:szCs w:val="24"/>
                      <w:vertAlign w:val="superscript"/>
                    </w:rPr>
                    <w:t>7 </w:t>
                  </w:r>
                  <w:r w:rsidRPr="00B73718">
                    <w:rPr>
                      <w:rFonts w:ascii="Times New Roman" w:hAnsi="Times New Roman" w:cs="Times New Roman"/>
                      <w:b/>
                      <w:sz w:val="24"/>
                      <w:szCs w:val="24"/>
                    </w:rPr>
                    <w:t>panta otrā daļa</w:t>
                  </w:r>
                </w:p>
              </w:tc>
              <w:tc>
                <w:tcPr>
                  <w:tcW w:w="2651" w:type="dxa"/>
                </w:tcPr>
                <w:p w14:paraId="687A065B" w14:textId="2045CFD3" w:rsidR="00D67886" w:rsidRPr="00B73718" w:rsidRDefault="00D67886" w:rsidP="7B791600">
                  <w:pPr>
                    <w:spacing w:after="119"/>
                    <w:jc w:val="both"/>
                    <w:rPr>
                      <w:rFonts w:ascii="Times New Roman" w:hAnsi="Times New Roman" w:cs="Times New Roman"/>
                      <w:b/>
                      <w:bCs/>
                      <w:sz w:val="24"/>
                      <w:szCs w:val="24"/>
                    </w:rPr>
                  </w:pPr>
                  <w:r w:rsidRPr="7B791600">
                    <w:rPr>
                      <w:rFonts w:ascii="Times New Roman" w:hAnsi="Times New Roman" w:cs="Times New Roman"/>
                      <w:b/>
                      <w:bCs/>
                      <w:sz w:val="24"/>
                      <w:szCs w:val="24"/>
                    </w:rPr>
                    <w:t>Likum</w:t>
                  </w:r>
                  <w:r w:rsidR="29AAA8D6" w:rsidRPr="7B791600">
                    <w:rPr>
                      <w:rFonts w:ascii="Times New Roman" w:hAnsi="Times New Roman" w:cs="Times New Roman"/>
                      <w:b/>
                      <w:bCs/>
                      <w:sz w:val="24"/>
                      <w:szCs w:val="24"/>
                    </w:rPr>
                    <w:t>a</w:t>
                  </w:r>
                  <w:r w:rsidRPr="7B791600">
                    <w:rPr>
                      <w:rFonts w:ascii="Times New Roman" w:hAnsi="Times New Roman" w:cs="Times New Roman"/>
                      <w:b/>
                      <w:bCs/>
                      <w:sz w:val="24"/>
                      <w:szCs w:val="24"/>
                    </w:rPr>
                    <w:t xml:space="preserve"> 27. panta otrā daļa</w:t>
                  </w:r>
                </w:p>
              </w:tc>
            </w:tr>
            <w:tr w:rsidR="00D67886" w14:paraId="6550F873" w14:textId="77777777" w:rsidTr="7B791600">
              <w:tc>
                <w:tcPr>
                  <w:tcW w:w="2650" w:type="dxa"/>
                </w:tcPr>
                <w:p w14:paraId="7E587E59" w14:textId="77777777" w:rsidR="00D67886" w:rsidRPr="00B73718" w:rsidRDefault="00D67886" w:rsidP="00D67886">
                  <w:pPr>
                    <w:spacing w:after="119"/>
                    <w:jc w:val="both"/>
                    <w:rPr>
                      <w:rFonts w:ascii="Times New Roman" w:hAnsi="Times New Roman" w:cs="Times New Roman"/>
                      <w:bCs/>
                      <w:sz w:val="24"/>
                      <w:szCs w:val="24"/>
                    </w:rPr>
                  </w:pPr>
                  <w:r w:rsidRPr="00B73718">
                    <w:rPr>
                      <w:rFonts w:ascii="Times New Roman" w:hAnsi="Times New Roman" w:cs="Times New Roman"/>
                      <w:sz w:val="24"/>
                      <w:szCs w:val="24"/>
                    </w:rPr>
                    <w:t>Fiziskajām personām no 14 līdz 140 naudas soda vienībām. Juridiskajām personām – no 86 līdz 580 naudas soda vienībām</w:t>
                  </w:r>
                </w:p>
              </w:tc>
              <w:tc>
                <w:tcPr>
                  <w:tcW w:w="2651" w:type="dxa"/>
                </w:tcPr>
                <w:p w14:paraId="23F41186" w14:textId="77777777" w:rsidR="00D67886" w:rsidRPr="00B73718" w:rsidRDefault="00D67886" w:rsidP="00D67886">
                  <w:pPr>
                    <w:spacing w:after="119"/>
                    <w:jc w:val="both"/>
                    <w:rPr>
                      <w:rFonts w:ascii="Times New Roman" w:hAnsi="Times New Roman" w:cs="Times New Roman"/>
                      <w:bCs/>
                      <w:sz w:val="24"/>
                      <w:szCs w:val="24"/>
                    </w:rPr>
                  </w:pPr>
                  <w:r w:rsidRPr="00B73718">
                    <w:rPr>
                      <w:rFonts w:ascii="Times New Roman" w:hAnsi="Times New Roman" w:cs="Times New Roman"/>
                      <w:sz w:val="24"/>
                      <w:szCs w:val="24"/>
                    </w:rPr>
                    <w:t>Fiziskajām personām no 14 līdz 140 naudas soda vienībām. Juridiskajām personām – no 86 līdz 580 naudas soda vienībām</w:t>
                  </w:r>
                </w:p>
              </w:tc>
            </w:tr>
            <w:tr w:rsidR="00D67886" w14:paraId="115F0E62" w14:textId="77777777" w:rsidTr="7B791600">
              <w:tc>
                <w:tcPr>
                  <w:tcW w:w="2650" w:type="dxa"/>
                </w:tcPr>
                <w:p w14:paraId="6E584B83" w14:textId="6EDCD74D" w:rsidR="00D67886" w:rsidRPr="00B73718" w:rsidRDefault="00D67886" w:rsidP="00D67886">
                  <w:pPr>
                    <w:spacing w:after="119"/>
                    <w:jc w:val="both"/>
                    <w:rPr>
                      <w:rFonts w:ascii="Times New Roman" w:hAnsi="Times New Roman" w:cs="Times New Roman"/>
                      <w:b/>
                      <w:bCs/>
                      <w:sz w:val="24"/>
                      <w:szCs w:val="24"/>
                    </w:rPr>
                  </w:pPr>
                  <w:r w:rsidRPr="00B73718">
                    <w:rPr>
                      <w:rFonts w:ascii="Times New Roman" w:hAnsi="Times New Roman" w:cs="Times New Roman"/>
                      <w:b/>
                      <w:sz w:val="24"/>
                      <w:szCs w:val="24"/>
                    </w:rPr>
                    <w:t>LAPK 88.</w:t>
                  </w:r>
                  <w:r w:rsidR="00D1642F">
                    <w:rPr>
                      <w:rFonts w:ascii="Times New Roman" w:hAnsi="Times New Roman" w:cs="Times New Roman"/>
                      <w:b/>
                      <w:sz w:val="24"/>
                      <w:szCs w:val="24"/>
                      <w:vertAlign w:val="superscript"/>
                    </w:rPr>
                    <w:t>7 </w:t>
                  </w:r>
                  <w:r w:rsidR="00D1642F">
                    <w:rPr>
                      <w:rFonts w:ascii="Times New Roman" w:hAnsi="Times New Roman" w:cs="Times New Roman"/>
                      <w:b/>
                      <w:sz w:val="24"/>
                      <w:szCs w:val="24"/>
                    </w:rPr>
                    <w:t xml:space="preserve">panta </w:t>
                  </w:r>
                  <w:r w:rsidR="005672A6">
                    <w:rPr>
                      <w:rFonts w:ascii="Times New Roman" w:hAnsi="Times New Roman" w:cs="Times New Roman"/>
                      <w:b/>
                      <w:sz w:val="24"/>
                      <w:szCs w:val="24"/>
                    </w:rPr>
                    <w:t>trešā daļa</w:t>
                  </w:r>
                </w:p>
              </w:tc>
              <w:tc>
                <w:tcPr>
                  <w:tcW w:w="2651" w:type="dxa"/>
                </w:tcPr>
                <w:p w14:paraId="4C55C478" w14:textId="43818B3F" w:rsidR="00D67886" w:rsidRPr="00B73718" w:rsidRDefault="00D67886" w:rsidP="7B791600">
                  <w:pPr>
                    <w:spacing w:after="119"/>
                    <w:jc w:val="both"/>
                    <w:rPr>
                      <w:rFonts w:ascii="Times New Roman" w:hAnsi="Times New Roman" w:cs="Times New Roman"/>
                      <w:b/>
                      <w:bCs/>
                      <w:sz w:val="24"/>
                      <w:szCs w:val="24"/>
                    </w:rPr>
                  </w:pPr>
                  <w:r w:rsidRPr="7B791600">
                    <w:rPr>
                      <w:rFonts w:ascii="Times New Roman" w:hAnsi="Times New Roman" w:cs="Times New Roman"/>
                      <w:b/>
                      <w:bCs/>
                      <w:sz w:val="24"/>
                      <w:szCs w:val="24"/>
                    </w:rPr>
                    <w:t>Likum</w:t>
                  </w:r>
                  <w:r w:rsidR="11749C93" w:rsidRPr="7B791600">
                    <w:rPr>
                      <w:rFonts w:ascii="Times New Roman" w:hAnsi="Times New Roman" w:cs="Times New Roman"/>
                      <w:b/>
                      <w:bCs/>
                      <w:sz w:val="24"/>
                      <w:szCs w:val="24"/>
                    </w:rPr>
                    <w:t>a</w:t>
                  </w:r>
                  <w:r w:rsidRPr="7B791600">
                    <w:rPr>
                      <w:rFonts w:ascii="Times New Roman" w:hAnsi="Times New Roman" w:cs="Times New Roman"/>
                      <w:b/>
                      <w:bCs/>
                      <w:sz w:val="24"/>
                      <w:szCs w:val="24"/>
                    </w:rPr>
                    <w:t xml:space="preserve"> 27. panta trešā daļa</w:t>
                  </w:r>
                </w:p>
              </w:tc>
            </w:tr>
            <w:tr w:rsidR="00D67886" w14:paraId="4090D027" w14:textId="77777777" w:rsidTr="7B791600">
              <w:tc>
                <w:tcPr>
                  <w:tcW w:w="2650" w:type="dxa"/>
                </w:tcPr>
                <w:p w14:paraId="06B77077" w14:textId="77777777" w:rsidR="00D67886" w:rsidRPr="00B73718" w:rsidRDefault="00D67886" w:rsidP="00D67886">
                  <w:pPr>
                    <w:spacing w:after="119"/>
                    <w:jc w:val="both"/>
                    <w:rPr>
                      <w:rFonts w:ascii="Times New Roman" w:hAnsi="Times New Roman" w:cs="Times New Roman"/>
                      <w:bCs/>
                      <w:sz w:val="24"/>
                      <w:szCs w:val="24"/>
                    </w:rPr>
                  </w:pPr>
                  <w:r w:rsidRPr="00B73718">
                    <w:rPr>
                      <w:rFonts w:ascii="Times New Roman" w:hAnsi="Times New Roman" w:cs="Times New Roman"/>
                      <w:sz w:val="24"/>
                      <w:szCs w:val="24"/>
                    </w:rPr>
                    <w:t>Fiziskajām personām no 28 līdz 1420 naudas soda vienībām. Juridiskajām personām – no 86 līdz 2800 naudas soda vienībām</w:t>
                  </w:r>
                </w:p>
              </w:tc>
              <w:tc>
                <w:tcPr>
                  <w:tcW w:w="2651" w:type="dxa"/>
                </w:tcPr>
                <w:p w14:paraId="466234CF" w14:textId="77777777" w:rsidR="00D67886" w:rsidRPr="00B73718" w:rsidRDefault="00D67886" w:rsidP="00D67886">
                  <w:pPr>
                    <w:spacing w:after="119"/>
                    <w:jc w:val="both"/>
                    <w:rPr>
                      <w:rFonts w:ascii="Times New Roman" w:hAnsi="Times New Roman" w:cs="Times New Roman"/>
                      <w:bCs/>
                      <w:sz w:val="24"/>
                      <w:szCs w:val="24"/>
                    </w:rPr>
                  </w:pPr>
                  <w:r w:rsidRPr="00B73718">
                    <w:rPr>
                      <w:rFonts w:ascii="Times New Roman" w:hAnsi="Times New Roman" w:cs="Times New Roman"/>
                      <w:sz w:val="24"/>
                      <w:szCs w:val="24"/>
                    </w:rPr>
                    <w:t xml:space="preserve">Fiziskajām personām no 28 līdz 400 naudas soda vienībām. Juridiskajām personām – no 86 līdz 2400 naudas soda vienībām </w:t>
                  </w:r>
                </w:p>
              </w:tc>
            </w:tr>
            <w:tr w:rsidR="00D67886" w14:paraId="2BC9AE48" w14:textId="77777777" w:rsidTr="7B791600">
              <w:tc>
                <w:tcPr>
                  <w:tcW w:w="2650" w:type="dxa"/>
                </w:tcPr>
                <w:p w14:paraId="0E8E31AD" w14:textId="3CBE4CB2" w:rsidR="00D67886" w:rsidRPr="00B73718" w:rsidRDefault="00D67886" w:rsidP="005672A6">
                  <w:pPr>
                    <w:spacing w:after="119"/>
                    <w:jc w:val="both"/>
                    <w:rPr>
                      <w:rFonts w:ascii="Times New Roman" w:hAnsi="Times New Roman" w:cs="Times New Roman"/>
                      <w:b/>
                      <w:sz w:val="24"/>
                      <w:szCs w:val="24"/>
                    </w:rPr>
                  </w:pPr>
                  <w:r w:rsidRPr="00B73718">
                    <w:rPr>
                      <w:rFonts w:ascii="Times New Roman" w:hAnsi="Times New Roman" w:cs="Times New Roman"/>
                      <w:b/>
                      <w:sz w:val="24"/>
                      <w:szCs w:val="24"/>
                    </w:rPr>
                    <w:t>LAPK 88.</w:t>
                  </w:r>
                  <w:r w:rsidR="005672A6">
                    <w:rPr>
                      <w:rFonts w:ascii="Times New Roman" w:hAnsi="Times New Roman" w:cs="Times New Roman"/>
                      <w:b/>
                      <w:sz w:val="24"/>
                      <w:szCs w:val="24"/>
                      <w:vertAlign w:val="superscript"/>
                    </w:rPr>
                    <w:t>7 </w:t>
                  </w:r>
                  <w:r w:rsidR="005672A6" w:rsidRPr="005672A6">
                    <w:rPr>
                      <w:rFonts w:ascii="Times New Roman" w:hAnsi="Times New Roman" w:cs="Times New Roman"/>
                      <w:b/>
                      <w:sz w:val="24"/>
                      <w:szCs w:val="24"/>
                    </w:rPr>
                    <w:t>panta</w:t>
                  </w:r>
                  <w:r w:rsidR="005672A6">
                    <w:rPr>
                      <w:rFonts w:ascii="Times New Roman" w:hAnsi="Times New Roman" w:cs="Times New Roman"/>
                      <w:b/>
                      <w:sz w:val="24"/>
                      <w:szCs w:val="24"/>
                      <w:vertAlign w:val="superscript"/>
                    </w:rPr>
                    <w:t xml:space="preserve"> </w:t>
                  </w:r>
                  <w:r w:rsidR="005672A6">
                    <w:rPr>
                      <w:rFonts w:ascii="Times New Roman" w:hAnsi="Times New Roman" w:cs="Times New Roman"/>
                      <w:b/>
                      <w:sz w:val="24"/>
                      <w:szCs w:val="24"/>
                    </w:rPr>
                    <w:t>pirmā daļa</w:t>
                  </w:r>
                </w:p>
              </w:tc>
              <w:tc>
                <w:tcPr>
                  <w:tcW w:w="2651" w:type="dxa"/>
                </w:tcPr>
                <w:p w14:paraId="00147498" w14:textId="0F628FE3" w:rsidR="00D67886" w:rsidRPr="00B73718" w:rsidRDefault="00D67886" w:rsidP="7B791600">
                  <w:pPr>
                    <w:spacing w:after="119"/>
                    <w:jc w:val="both"/>
                    <w:rPr>
                      <w:rFonts w:ascii="Times New Roman" w:hAnsi="Times New Roman" w:cs="Times New Roman"/>
                      <w:b/>
                      <w:bCs/>
                      <w:sz w:val="24"/>
                      <w:szCs w:val="24"/>
                    </w:rPr>
                  </w:pPr>
                  <w:r w:rsidRPr="7B791600">
                    <w:rPr>
                      <w:rFonts w:ascii="Times New Roman" w:hAnsi="Times New Roman" w:cs="Times New Roman"/>
                      <w:b/>
                      <w:bCs/>
                      <w:sz w:val="24"/>
                      <w:szCs w:val="24"/>
                    </w:rPr>
                    <w:t>Likum</w:t>
                  </w:r>
                  <w:r w:rsidR="4F29766B" w:rsidRPr="7B791600">
                    <w:rPr>
                      <w:rFonts w:ascii="Times New Roman" w:hAnsi="Times New Roman" w:cs="Times New Roman"/>
                      <w:b/>
                      <w:bCs/>
                      <w:sz w:val="24"/>
                      <w:szCs w:val="24"/>
                    </w:rPr>
                    <w:t>a</w:t>
                  </w:r>
                  <w:r w:rsidRPr="7B791600">
                    <w:rPr>
                      <w:rFonts w:ascii="Times New Roman" w:hAnsi="Times New Roman" w:cs="Times New Roman"/>
                      <w:b/>
                      <w:bCs/>
                      <w:sz w:val="24"/>
                      <w:szCs w:val="24"/>
                    </w:rPr>
                    <w:t xml:space="preserve"> 27. panta ceturtā daļa</w:t>
                  </w:r>
                </w:p>
              </w:tc>
            </w:tr>
            <w:tr w:rsidR="00D67886" w14:paraId="09DAB7CB" w14:textId="77777777" w:rsidTr="7B791600">
              <w:tc>
                <w:tcPr>
                  <w:tcW w:w="2650" w:type="dxa"/>
                </w:tcPr>
                <w:p w14:paraId="732FC96F" w14:textId="77777777" w:rsidR="00D67886" w:rsidRPr="00B73718" w:rsidRDefault="00D67886" w:rsidP="00D67886">
                  <w:pPr>
                    <w:spacing w:after="119"/>
                    <w:jc w:val="both"/>
                    <w:rPr>
                      <w:rFonts w:ascii="Times New Roman" w:hAnsi="Times New Roman" w:cs="Times New Roman"/>
                      <w:sz w:val="24"/>
                      <w:szCs w:val="24"/>
                    </w:rPr>
                  </w:pPr>
                  <w:r w:rsidRPr="00B73718">
                    <w:rPr>
                      <w:rFonts w:ascii="Times New Roman" w:hAnsi="Times New Roman" w:cs="Times New Roman"/>
                      <w:sz w:val="24"/>
                      <w:szCs w:val="24"/>
                    </w:rPr>
                    <w:t>Fiziskajām personām no 86 līdz 280 naudas soda vienībām. Juridiskajām personām – no 140 līdz 860 naudas soda vienībām</w:t>
                  </w:r>
                </w:p>
              </w:tc>
              <w:tc>
                <w:tcPr>
                  <w:tcW w:w="2651" w:type="dxa"/>
                </w:tcPr>
                <w:p w14:paraId="0B4FA788" w14:textId="77777777" w:rsidR="00D67886" w:rsidRPr="00B73718" w:rsidRDefault="00D67886" w:rsidP="00D67886">
                  <w:pPr>
                    <w:spacing w:after="119"/>
                    <w:jc w:val="both"/>
                    <w:rPr>
                      <w:rFonts w:ascii="Times New Roman" w:hAnsi="Times New Roman" w:cs="Times New Roman"/>
                      <w:sz w:val="24"/>
                      <w:szCs w:val="24"/>
                    </w:rPr>
                  </w:pPr>
                  <w:r w:rsidRPr="00B73718">
                    <w:rPr>
                      <w:rFonts w:ascii="Times New Roman" w:hAnsi="Times New Roman" w:cs="Times New Roman"/>
                      <w:sz w:val="24"/>
                      <w:szCs w:val="24"/>
                    </w:rPr>
                    <w:t>Fiziskajām personām no 140 līdz 400 naudas soda vienībām. Juridiskajām personām – no 200 līdz 2800 naudas soda vienībām</w:t>
                  </w:r>
                </w:p>
              </w:tc>
            </w:tr>
          </w:tbl>
          <w:p w14:paraId="211E3B73" w14:textId="77777777" w:rsidR="00D67886" w:rsidRPr="00F30A80" w:rsidRDefault="00D67886" w:rsidP="00794B6B">
            <w:pPr>
              <w:pStyle w:val="naiskr"/>
              <w:spacing w:before="0" w:after="0"/>
              <w:ind w:right="161"/>
              <w:jc w:val="both"/>
            </w:pPr>
          </w:p>
          <w:p w14:paraId="618071A2" w14:textId="1D9DAAB9" w:rsidR="009A193B" w:rsidRPr="00F30A80" w:rsidRDefault="001E0836" w:rsidP="7B791600">
            <w:pPr>
              <w:pStyle w:val="naiskr"/>
              <w:spacing w:before="0" w:after="0"/>
              <w:ind w:left="82" w:right="161"/>
              <w:jc w:val="both"/>
              <w:rPr>
                <w:b/>
                <w:bCs/>
              </w:rPr>
            </w:pPr>
            <w:r>
              <w:t xml:space="preserve">Atbilstoši </w:t>
            </w:r>
            <w:r w:rsidR="00D01950">
              <w:t>A</w:t>
            </w:r>
            <w:r>
              <w:t>dministratīvās atbildības likuma</w:t>
            </w:r>
            <w:r w:rsidR="009A193B">
              <w:t xml:space="preserve"> 1</w:t>
            </w:r>
            <w:r w:rsidR="00D01950">
              <w:t>6</w:t>
            </w:r>
            <w:r w:rsidR="009A193B">
              <w:t xml:space="preserve">. panta pirmajai un otrajai daļai naudas sods ir noteikta naudas summa, kas administratīvi sodītajai personai jāmaksā par izdarītu administratīvo pārkāpumu, un vienas naudas soda vienības vērtība ir pieci </w:t>
            </w:r>
            <w:proofErr w:type="spellStart"/>
            <w:r w:rsidR="009A193B" w:rsidRPr="7B791600">
              <w:rPr>
                <w:i/>
                <w:iCs/>
              </w:rPr>
              <w:t>euro</w:t>
            </w:r>
            <w:proofErr w:type="spellEnd"/>
            <w:r w:rsidR="009A193B">
              <w:t xml:space="preserve">. </w:t>
            </w:r>
          </w:p>
          <w:p w14:paraId="17943CFB" w14:textId="77777777" w:rsidR="00401725" w:rsidRPr="000800E2" w:rsidRDefault="008277F1" w:rsidP="009B1616">
            <w:pPr>
              <w:spacing w:after="120" w:line="240" w:lineRule="auto"/>
              <w:ind w:left="82" w:right="57"/>
              <w:jc w:val="both"/>
              <w:rPr>
                <w:rFonts w:ascii="Times New Roman" w:hAnsi="Times New Roman" w:cs="Times New Roman"/>
                <w:sz w:val="24"/>
                <w:szCs w:val="24"/>
              </w:rPr>
            </w:pPr>
            <w:r w:rsidRPr="003C53F1">
              <w:rPr>
                <w:rFonts w:ascii="Times New Roman" w:hAnsi="Times New Roman" w:cs="Times New Roman"/>
                <w:sz w:val="24"/>
                <w:szCs w:val="24"/>
              </w:rPr>
              <w:t>Likumprojekts izstrādāts atbilstoši informatīvajā ziņojumā ietvertajām rekomendācijām.</w:t>
            </w:r>
            <w:r w:rsidR="00042C66">
              <w:rPr>
                <w:rFonts w:ascii="Times New Roman" w:hAnsi="Times New Roman" w:cs="Times New Roman"/>
                <w:sz w:val="24"/>
                <w:szCs w:val="24"/>
              </w:rPr>
              <w:t xml:space="preserve"> Tā </w:t>
            </w:r>
            <w:r w:rsidRPr="00042C66">
              <w:rPr>
                <w:rFonts w:ascii="Times New Roman" w:hAnsi="Times New Roman" w:cs="Times New Roman"/>
                <w:sz w:val="24"/>
                <w:szCs w:val="24"/>
              </w:rPr>
              <w:t>pieņemšana pilnībā nodrošinās informatīvajā ziņojumā minēto nostādņu ieviešanu.</w:t>
            </w:r>
          </w:p>
        </w:tc>
      </w:tr>
      <w:tr w:rsidR="008277F1" w:rsidRPr="00183FDD" w14:paraId="33E38EC8"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2B137B8B"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3.</w:t>
            </w:r>
          </w:p>
        </w:tc>
        <w:tc>
          <w:tcPr>
            <w:tcW w:w="3031" w:type="dxa"/>
            <w:tcBorders>
              <w:top w:val="outset" w:sz="6" w:space="0" w:color="auto"/>
              <w:left w:val="outset" w:sz="6" w:space="0" w:color="auto"/>
              <w:bottom w:val="outset" w:sz="6" w:space="0" w:color="auto"/>
              <w:right w:val="outset" w:sz="6" w:space="0" w:color="auto"/>
            </w:tcBorders>
            <w:hideMark/>
          </w:tcPr>
          <w:p w14:paraId="2577516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5401" w:type="dxa"/>
            <w:tcBorders>
              <w:top w:val="outset" w:sz="6" w:space="0" w:color="auto"/>
              <w:left w:val="outset" w:sz="6" w:space="0" w:color="auto"/>
              <w:bottom w:val="outset" w:sz="6" w:space="0" w:color="auto"/>
              <w:right w:val="outset" w:sz="6" w:space="0" w:color="auto"/>
            </w:tcBorders>
            <w:hideMark/>
          </w:tcPr>
          <w:p w14:paraId="6D7B7279" w14:textId="77777777" w:rsidR="008277F1" w:rsidRPr="003C53F1" w:rsidRDefault="007F78C1" w:rsidP="00EB6B22">
            <w:pPr>
              <w:spacing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 xml:space="preserve">Izstrādājot grozījumus, </w:t>
            </w:r>
            <w:r w:rsidR="008277F1" w:rsidRPr="003C53F1">
              <w:rPr>
                <w:rFonts w:ascii="Times New Roman" w:hAnsi="Times New Roman" w:cs="Times New Roman"/>
                <w:iCs/>
                <w:sz w:val="24"/>
                <w:szCs w:val="24"/>
              </w:rPr>
              <w:t>Vides aizsardzības un reģionālās attīstības ministrija (t</w:t>
            </w:r>
            <w:r w:rsidR="003C53F1">
              <w:rPr>
                <w:rFonts w:ascii="Times New Roman" w:hAnsi="Times New Roman" w:cs="Times New Roman"/>
                <w:iCs/>
                <w:sz w:val="24"/>
                <w:szCs w:val="24"/>
              </w:rPr>
              <w:t xml:space="preserve">urpmāk – VARAM) </w:t>
            </w:r>
            <w:r>
              <w:rPr>
                <w:rFonts w:ascii="Times New Roman" w:hAnsi="Times New Roman" w:cs="Times New Roman"/>
                <w:iCs/>
                <w:sz w:val="24"/>
                <w:szCs w:val="24"/>
              </w:rPr>
              <w:t xml:space="preserve">balstījās uz </w:t>
            </w:r>
            <w:r w:rsidR="00DC695C">
              <w:rPr>
                <w:rFonts w:ascii="Times New Roman" w:hAnsi="Times New Roman" w:cs="Times New Roman"/>
                <w:iCs/>
                <w:sz w:val="24"/>
                <w:szCs w:val="24"/>
              </w:rPr>
              <w:t>VVD</w:t>
            </w:r>
            <w:r w:rsidR="008277F1" w:rsidRPr="003C53F1">
              <w:rPr>
                <w:rFonts w:ascii="Times New Roman" w:hAnsi="Times New Roman" w:cs="Times New Roman"/>
                <w:iCs/>
                <w:sz w:val="24"/>
                <w:szCs w:val="24"/>
              </w:rPr>
              <w:t xml:space="preserve"> un </w:t>
            </w:r>
            <w:r w:rsidR="00EB6B22">
              <w:rPr>
                <w:rFonts w:ascii="Times New Roman" w:hAnsi="Times New Roman" w:cs="Times New Roman"/>
                <w:iCs/>
                <w:sz w:val="24"/>
                <w:szCs w:val="24"/>
              </w:rPr>
              <w:t>VPVB</w:t>
            </w:r>
            <w:r>
              <w:rPr>
                <w:rFonts w:ascii="Times New Roman" w:hAnsi="Times New Roman" w:cs="Times New Roman"/>
                <w:iCs/>
                <w:sz w:val="24"/>
                <w:szCs w:val="24"/>
              </w:rPr>
              <w:t xml:space="preserve"> priekšlikumiem</w:t>
            </w:r>
            <w:r w:rsidR="008277F1" w:rsidRPr="003C53F1">
              <w:rPr>
                <w:rFonts w:ascii="Times New Roman" w:hAnsi="Times New Roman" w:cs="Times New Roman"/>
                <w:iCs/>
                <w:sz w:val="24"/>
                <w:szCs w:val="24"/>
              </w:rPr>
              <w:t>.</w:t>
            </w:r>
          </w:p>
        </w:tc>
      </w:tr>
      <w:tr w:rsidR="008277F1" w:rsidRPr="00183FDD" w14:paraId="6AB44D7D"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3BE96E31"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3031" w:type="dxa"/>
            <w:tcBorders>
              <w:top w:val="outset" w:sz="6" w:space="0" w:color="auto"/>
              <w:left w:val="outset" w:sz="6" w:space="0" w:color="auto"/>
              <w:bottom w:val="outset" w:sz="6" w:space="0" w:color="auto"/>
              <w:right w:val="outset" w:sz="6" w:space="0" w:color="auto"/>
            </w:tcBorders>
            <w:hideMark/>
          </w:tcPr>
          <w:p w14:paraId="053517F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5401" w:type="dxa"/>
            <w:tcBorders>
              <w:top w:val="outset" w:sz="6" w:space="0" w:color="auto"/>
              <w:left w:val="outset" w:sz="6" w:space="0" w:color="auto"/>
              <w:bottom w:val="outset" w:sz="6" w:space="0" w:color="auto"/>
              <w:right w:val="outset" w:sz="6" w:space="0" w:color="auto"/>
            </w:tcBorders>
            <w:hideMark/>
          </w:tcPr>
          <w:p w14:paraId="60E5CB47" w14:textId="763CDDF5" w:rsidR="008277F1" w:rsidRPr="00183FDD" w:rsidRDefault="008277F1" w:rsidP="00894177">
            <w:pPr>
              <w:spacing w:after="0" w:line="240" w:lineRule="auto"/>
              <w:rPr>
                <w:rFonts w:ascii="Times New Roman" w:eastAsia="Times New Roman" w:hAnsi="Times New Roman" w:cs="Times New Roman"/>
                <w:sz w:val="24"/>
                <w:szCs w:val="24"/>
                <w:lang w:eastAsia="lv-LV"/>
              </w:rPr>
            </w:pPr>
            <w:r w:rsidRPr="00183FDD">
              <w:rPr>
                <w:rFonts w:ascii="Times New Roman" w:eastAsia="Times New Roman" w:hAnsi="Times New Roman" w:cs="Times New Roman"/>
                <w:sz w:val="24"/>
                <w:szCs w:val="24"/>
                <w:lang w:eastAsia="lv-LV"/>
              </w:rPr>
              <w:t>Nav</w:t>
            </w:r>
            <w:r w:rsidR="00472540">
              <w:rPr>
                <w:rFonts w:ascii="Times New Roman" w:eastAsia="Times New Roman" w:hAnsi="Times New Roman" w:cs="Times New Roman"/>
                <w:sz w:val="24"/>
                <w:szCs w:val="24"/>
                <w:lang w:eastAsia="lv-LV"/>
              </w:rPr>
              <w:t>.</w:t>
            </w:r>
          </w:p>
        </w:tc>
      </w:tr>
    </w:tbl>
    <w:p w14:paraId="220DA76D"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32A978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CD379"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06690" w:rsidRPr="00183FDD" w14:paraId="146E9EA6"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7C46FC"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BBE86E"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FD0B2F7" w14:textId="77777777" w:rsidR="00EB6B22" w:rsidRPr="00352D2D" w:rsidRDefault="00406690" w:rsidP="00EB6B22">
            <w:pPr>
              <w:spacing w:line="240" w:lineRule="auto"/>
              <w:ind w:left="45"/>
              <w:jc w:val="both"/>
              <w:rPr>
                <w:rFonts w:ascii="Times New Roman" w:hAnsi="Times New Roman" w:cs="Times New Roman"/>
                <w:sz w:val="24"/>
                <w:szCs w:val="24"/>
              </w:rPr>
            </w:pPr>
            <w:r w:rsidRPr="00352D2D">
              <w:rPr>
                <w:rFonts w:ascii="Times New Roman" w:hAnsi="Times New Roman" w:cs="Times New Roman"/>
                <w:sz w:val="24"/>
                <w:szCs w:val="24"/>
              </w:rPr>
              <w:t xml:space="preserve">Likumprojektā ietvertais regulējums attiecas uz </w:t>
            </w:r>
            <w:r w:rsidR="00824171">
              <w:rPr>
                <w:rFonts w:ascii="Times New Roman" w:hAnsi="Times New Roman" w:cs="Times New Roman"/>
                <w:sz w:val="24"/>
                <w:szCs w:val="24"/>
              </w:rPr>
              <w:t>personām, kur</w:t>
            </w:r>
            <w:r w:rsidR="00EB6B22">
              <w:rPr>
                <w:rFonts w:ascii="Times New Roman" w:hAnsi="Times New Roman" w:cs="Times New Roman"/>
                <w:sz w:val="24"/>
                <w:szCs w:val="24"/>
              </w:rPr>
              <w:t>ām piemērota ietekmes uz vidi novērtējuma procedūra, vai kuras plānot paredzēto darbību, kurai būs nepieciešamas ietekmes uz vidi novērtējuma procedūra</w:t>
            </w:r>
            <w:r w:rsidRPr="00352D2D">
              <w:rPr>
                <w:rFonts w:ascii="Times New Roman" w:hAnsi="Times New Roman" w:cs="Times New Roman"/>
                <w:sz w:val="24"/>
                <w:szCs w:val="24"/>
              </w:rPr>
              <w:t>, kā arī visiem sabiedrības locekļiem</w:t>
            </w:r>
            <w:r w:rsidR="00824171">
              <w:rPr>
                <w:rFonts w:ascii="Times New Roman" w:hAnsi="Times New Roman" w:cs="Times New Roman"/>
                <w:sz w:val="24"/>
                <w:szCs w:val="24"/>
              </w:rPr>
              <w:t xml:space="preserve"> kopumā</w:t>
            </w:r>
            <w:r w:rsidRPr="00352D2D">
              <w:rPr>
                <w:rFonts w:ascii="Times New Roman" w:hAnsi="Times New Roman" w:cs="Times New Roman"/>
                <w:sz w:val="24"/>
                <w:szCs w:val="24"/>
              </w:rPr>
              <w:t>.</w:t>
            </w:r>
          </w:p>
        </w:tc>
      </w:tr>
      <w:tr w:rsidR="00406690" w:rsidRPr="00183FDD" w14:paraId="7A2F3E9B"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C915E0"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592ED5"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3666FFB" w14:textId="77777777" w:rsidR="000800E2" w:rsidRPr="00E20374" w:rsidRDefault="000800E2" w:rsidP="000800E2">
            <w:pPr>
              <w:pStyle w:val="naiskr"/>
              <w:spacing w:before="0" w:after="120"/>
              <w:jc w:val="both"/>
              <w:rPr>
                <w:i/>
              </w:rPr>
            </w:pPr>
            <w:r w:rsidRPr="00E20374">
              <w:rPr>
                <w:i/>
              </w:rPr>
              <w:t xml:space="preserve">Par </w:t>
            </w:r>
            <w:r w:rsidR="00EB6B22">
              <w:rPr>
                <w:i/>
              </w:rPr>
              <w:t>likumprojekta</w:t>
            </w:r>
            <w:r w:rsidRPr="00E20374">
              <w:rPr>
                <w:i/>
              </w:rPr>
              <w:t xml:space="preserve"> ietekmi uz vidi</w:t>
            </w:r>
          </w:p>
          <w:p w14:paraId="2BE2B86B" w14:textId="77777777" w:rsidR="000800E2" w:rsidRPr="00E20374" w:rsidRDefault="000800E2" w:rsidP="000800E2">
            <w:pPr>
              <w:pStyle w:val="naiskr"/>
              <w:spacing w:before="0" w:after="120"/>
              <w:ind w:left="62"/>
              <w:jc w:val="both"/>
            </w:pPr>
            <w:r w:rsidRPr="00E20374">
              <w:t xml:space="preserve">Paredzams, ka </w:t>
            </w:r>
            <w:r w:rsidR="00EB6B22">
              <w:t xml:space="preserve">likumprojekts </w:t>
            </w:r>
            <w:r w:rsidRPr="00E20374">
              <w:t xml:space="preserve">pozitīvi ietekmēs vidi, ņemot vērā soda palielināšanu atsevišķās pozīcijās, piemēram, </w:t>
            </w:r>
            <w:r w:rsidR="00EB6B22">
              <w:t>ja darbība tiek uzsākta bez ietekmes uz vidi novērtējuma procedūras</w:t>
            </w:r>
            <w:r w:rsidRPr="00E20374">
              <w:t>, kas</w:t>
            </w:r>
            <w:r w:rsidR="00EB6B22">
              <w:t xml:space="preserve"> ir būtisks un bieži vien neatgriezenisks pārkāpums pret vidi.</w:t>
            </w:r>
            <w:r w:rsidRPr="00E20374">
              <w:t xml:space="preserve"> </w:t>
            </w:r>
          </w:p>
          <w:p w14:paraId="33C9983F" w14:textId="77777777" w:rsidR="000800E2" w:rsidRPr="00E20374" w:rsidRDefault="000800E2" w:rsidP="000800E2">
            <w:pPr>
              <w:pStyle w:val="naiskr"/>
              <w:spacing w:before="0" w:after="120"/>
              <w:jc w:val="both"/>
              <w:rPr>
                <w:i/>
              </w:rPr>
            </w:pPr>
            <w:r w:rsidRPr="00E20374">
              <w:rPr>
                <w:i/>
              </w:rPr>
              <w:t xml:space="preserve">Par </w:t>
            </w:r>
            <w:r w:rsidR="00EB6B22">
              <w:rPr>
                <w:i/>
              </w:rPr>
              <w:t xml:space="preserve">likumprojekta </w:t>
            </w:r>
            <w:r w:rsidRPr="00E20374">
              <w:rPr>
                <w:i/>
              </w:rPr>
              <w:t>ietekmi uz veselību</w:t>
            </w:r>
          </w:p>
          <w:p w14:paraId="57E26547" w14:textId="77777777" w:rsidR="000800E2" w:rsidRPr="00E20374" w:rsidRDefault="00EB6B22" w:rsidP="000800E2">
            <w:pPr>
              <w:pStyle w:val="naiskr"/>
              <w:spacing w:before="0" w:after="120"/>
              <w:ind w:left="62"/>
              <w:jc w:val="both"/>
            </w:pPr>
            <w:r>
              <w:t>Likumprojekts</w:t>
            </w:r>
            <w:r w:rsidR="000800E2" w:rsidRPr="00E20374">
              <w:t xml:space="preserve"> paredz, ka tiek </w:t>
            </w:r>
            <w:r>
              <w:t>palielināts sods par to, ja darbība tiek uzsākta bez ietekmes uz vidi novērtējuma procedūras,</w:t>
            </w:r>
            <w:r w:rsidR="000800E2" w:rsidRPr="00E20374">
              <w:t xml:space="preserve"> kam pakārtoti ir arī pozitīva </w:t>
            </w:r>
            <w:r w:rsidR="006D1A49">
              <w:t>ietekme uz c</w:t>
            </w:r>
            <w:r w:rsidR="006A76D8">
              <w:t>ilvēka veselību. Gadījumā, ja tiek uzsākta šāda darbībai, tad tā ir bīstama kā videi, tā arī veselībai.</w:t>
            </w:r>
            <w:r w:rsidR="006D1A49">
              <w:t xml:space="preserve"> </w:t>
            </w:r>
          </w:p>
          <w:p w14:paraId="23543E12" w14:textId="77777777" w:rsidR="000800E2" w:rsidRPr="00E20374" w:rsidRDefault="000800E2" w:rsidP="000800E2">
            <w:pPr>
              <w:pStyle w:val="naiskr"/>
              <w:spacing w:before="0" w:after="120"/>
              <w:ind w:left="62"/>
              <w:jc w:val="both"/>
              <w:rPr>
                <w:i/>
              </w:rPr>
            </w:pPr>
            <w:r w:rsidRPr="00E20374">
              <w:rPr>
                <w:i/>
              </w:rPr>
              <w:t>Par noteikumu projekta ietekmi uz uzņēmējdarbības vidi</w:t>
            </w:r>
          </w:p>
          <w:p w14:paraId="71DDF3E1" w14:textId="77777777" w:rsidR="000800E2" w:rsidRDefault="000800E2" w:rsidP="000800E2">
            <w:pPr>
              <w:spacing w:line="240" w:lineRule="auto"/>
              <w:ind w:left="45"/>
              <w:jc w:val="both"/>
              <w:rPr>
                <w:rFonts w:ascii="Times New Roman" w:hAnsi="Times New Roman" w:cs="Times New Roman"/>
                <w:sz w:val="24"/>
                <w:szCs w:val="24"/>
              </w:rPr>
            </w:pPr>
            <w:r w:rsidRPr="000800E2">
              <w:rPr>
                <w:rFonts w:ascii="Times New Roman" w:hAnsi="Times New Roman" w:cs="Times New Roman"/>
                <w:sz w:val="24"/>
                <w:szCs w:val="24"/>
              </w:rPr>
              <w:t xml:space="preserve">Noteikumu projekts ietekmē uzņēmējdarbības vidi. Sagaidāms, ka negodprātīgu komersantu skaits samazināsies, jo naudas soda apmērs atsevišķos gadījumos būs lielāks, nekā prasību izpilde atbilstoši normatīvajos aktos par </w:t>
            </w:r>
            <w:r w:rsidR="00F00FDE">
              <w:rPr>
                <w:rFonts w:ascii="Times New Roman" w:hAnsi="Times New Roman" w:cs="Times New Roman"/>
                <w:sz w:val="24"/>
                <w:szCs w:val="24"/>
              </w:rPr>
              <w:t>ietekmes uz vidi novērtējumu</w:t>
            </w:r>
            <w:r w:rsidRPr="000800E2">
              <w:rPr>
                <w:rFonts w:ascii="Times New Roman" w:hAnsi="Times New Roman" w:cs="Times New Roman"/>
                <w:sz w:val="24"/>
                <w:szCs w:val="24"/>
              </w:rPr>
              <w:t xml:space="preserve">. Tāpat arī attiecībā uz </w:t>
            </w:r>
            <w:r w:rsidR="00F00FDE">
              <w:rPr>
                <w:rFonts w:ascii="Times New Roman" w:hAnsi="Times New Roman" w:cs="Times New Roman"/>
                <w:sz w:val="24"/>
                <w:szCs w:val="24"/>
              </w:rPr>
              <w:t>ietekmes uz vidi novērtējuma jomu,</w:t>
            </w:r>
            <w:r w:rsidRPr="000800E2">
              <w:rPr>
                <w:rFonts w:ascii="Times New Roman" w:hAnsi="Times New Roman" w:cs="Times New Roman"/>
                <w:sz w:val="24"/>
                <w:szCs w:val="24"/>
              </w:rPr>
              <w:t xml:space="preserve"> pārkāpumu uzskaitījums būs konsolidēts vienā tiesību aktā, atvieglojot uztveramību.</w:t>
            </w:r>
          </w:p>
          <w:p w14:paraId="6AE1F98B" w14:textId="77777777" w:rsidR="00406690" w:rsidRPr="00352D2D" w:rsidRDefault="000800E2" w:rsidP="000800E2">
            <w:pPr>
              <w:spacing w:line="240" w:lineRule="auto"/>
              <w:ind w:left="45"/>
              <w:jc w:val="both"/>
              <w:rPr>
                <w:rFonts w:ascii="Times New Roman" w:hAnsi="Times New Roman" w:cs="Times New Roman"/>
                <w:sz w:val="24"/>
                <w:szCs w:val="24"/>
              </w:rPr>
            </w:pPr>
            <w:r>
              <w:rPr>
                <w:rFonts w:ascii="Times New Roman" w:hAnsi="Times New Roman" w:cs="Times New Roman"/>
                <w:sz w:val="24"/>
                <w:szCs w:val="24"/>
              </w:rPr>
              <w:t>Likumprojektā ietvertais regulējums nerada papildu administratīvo slogu.</w:t>
            </w:r>
          </w:p>
        </w:tc>
      </w:tr>
      <w:tr w:rsidR="00406690" w:rsidRPr="00183FDD" w14:paraId="5C0CC1C7"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1BCE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39398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616FD9" w14:textId="77777777" w:rsidR="00406690" w:rsidRPr="00352D2D" w:rsidRDefault="0050486A" w:rsidP="00472540">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 xml:space="preserve">Administratīvās izmaksas nevar tieši novērtēt, jo katrs pārkāpums </w:t>
            </w:r>
            <w:r w:rsidR="00F00FDE">
              <w:rPr>
                <w:rFonts w:ascii="Times New Roman" w:hAnsi="Times New Roman" w:cs="Times New Roman"/>
                <w:sz w:val="24"/>
                <w:szCs w:val="24"/>
              </w:rPr>
              <w:t>ietekmes uz vidi novērtējuma jomā</w:t>
            </w:r>
            <w:r>
              <w:rPr>
                <w:rFonts w:ascii="Times New Roman" w:hAnsi="Times New Roman" w:cs="Times New Roman"/>
                <w:sz w:val="24"/>
                <w:szCs w:val="24"/>
              </w:rPr>
              <w:t xml:space="preserve"> var būt atšķirīgs un atšķiras arī apstākļi pārkāpuma izdarīšanās laikā, kurus ņem vērā nosakot </w:t>
            </w:r>
            <w:r w:rsidR="00824171">
              <w:rPr>
                <w:rFonts w:ascii="Times New Roman" w:hAnsi="Times New Roman" w:cs="Times New Roman"/>
                <w:sz w:val="24"/>
                <w:szCs w:val="24"/>
              </w:rPr>
              <w:t>piemērojamo</w:t>
            </w:r>
            <w:r>
              <w:rPr>
                <w:rFonts w:ascii="Times New Roman" w:hAnsi="Times New Roman" w:cs="Times New Roman"/>
                <w:sz w:val="24"/>
                <w:szCs w:val="24"/>
              </w:rPr>
              <w:t xml:space="preserve"> soda apmēru.</w:t>
            </w:r>
          </w:p>
        </w:tc>
      </w:tr>
      <w:tr w:rsidR="00406690" w:rsidRPr="00183FDD" w14:paraId="1EC27075"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72E959"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36EF76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166F8E" w14:textId="79758DBD" w:rsidR="00406690" w:rsidRPr="001501AD" w:rsidRDefault="00593EB9" w:rsidP="00894177">
            <w:pPr>
              <w:spacing w:line="240" w:lineRule="auto"/>
              <w:ind w:left="48"/>
              <w:rPr>
                <w:rFonts w:ascii="Times New Roman" w:hAnsi="Times New Roman" w:cs="Times New Roman"/>
                <w:sz w:val="24"/>
                <w:szCs w:val="24"/>
              </w:rPr>
            </w:pPr>
            <w:r>
              <w:rPr>
                <w:rFonts w:ascii="Times New Roman" w:hAnsi="Times New Roman" w:cs="Times New Roman"/>
                <w:sz w:val="24"/>
                <w:szCs w:val="24"/>
              </w:rPr>
              <w:t>Projekts šo jomu neskar</w:t>
            </w:r>
            <w:r w:rsidR="00472540">
              <w:rPr>
                <w:rFonts w:ascii="Times New Roman" w:hAnsi="Times New Roman" w:cs="Times New Roman"/>
                <w:sz w:val="24"/>
                <w:szCs w:val="24"/>
              </w:rPr>
              <w:t>.</w:t>
            </w:r>
          </w:p>
        </w:tc>
      </w:tr>
      <w:tr w:rsidR="00E5323B" w:rsidRPr="00183FDD" w14:paraId="16C0A022"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60F220"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6358340"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DF90EFC" w14:textId="2DCB95C1" w:rsidR="00E5323B" w:rsidRPr="00183FDD" w:rsidRDefault="00406690" w:rsidP="00894177">
            <w:pPr>
              <w:spacing w:after="0" w:line="240" w:lineRule="auto"/>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sz w:val="24"/>
                <w:szCs w:val="24"/>
                <w:lang w:eastAsia="lv-LV"/>
              </w:rPr>
              <w:t>Nav</w:t>
            </w:r>
            <w:r w:rsidR="00472540">
              <w:rPr>
                <w:rFonts w:ascii="Times New Roman" w:eastAsia="Times New Roman" w:hAnsi="Times New Roman" w:cs="Times New Roman"/>
                <w:iCs/>
                <w:sz w:val="24"/>
                <w:szCs w:val="24"/>
                <w:lang w:eastAsia="lv-LV"/>
              </w:rPr>
              <w:t>.</w:t>
            </w:r>
          </w:p>
        </w:tc>
      </w:tr>
    </w:tbl>
    <w:p w14:paraId="76CBEFDF" w14:textId="77777777" w:rsidR="00996A07" w:rsidRDefault="00996A07" w:rsidP="00894177">
      <w:pPr>
        <w:spacing w:after="0" w:line="240" w:lineRule="auto"/>
        <w:rPr>
          <w:rFonts w:ascii="Times New Roman" w:eastAsia="Times New Roman" w:hAnsi="Times New Roman" w:cs="Times New Roman"/>
          <w:iCs/>
          <w:color w:val="414142"/>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10"/>
        <w:gridCol w:w="992"/>
        <w:gridCol w:w="982"/>
        <w:gridCol w:w="1144"/>
        <w:gridCol w:w="1169"/>
        <w:gridCol w:w="1241"/>
        <w:gridCol w:w="1276"/>
        <w:gridCol w:w="992"/>
      </w:tblGrid>
      <w:tr w:rsidR="00996A07" w:rsidRPr="00996A07" w14:paraId="0312906D" w14:textId="77777777" w:rsidTr="002D754F">
        <w:trPr>
          <w:tblCellSpacing w:w="15" w:type="dxa"/>
        </w:trPr>
        <w:tc>
          <w:tcPr>
            <w:tcW w:w="9146" w:type="dxa"/>
            <w:gridSpan w:val="8"/>
            <w:tcBorders>
              <w:top w:val="outset" w:sz="6" w:space="0" w:color="auto"/>
              <w:left w:val="outset" w:sz="6" w:space="0" w:color="auto"/>
              <w:bottom w:val="outset" w:sz="6" w:space="0" w:color="auto"/>
              <w:right w:val="outset" w:sz="6" w:space="0" w:color="auto"/>
            </w:tcBorders>
            <w:vAlign w:val="center"/>
            <w:hideMark/>
          </w:tcPr>
          <w:p w14:paraId="08BE2EB5" w14:textId="77777777" w:rsidR="00996A07" w:rsidRPr="00996A07" w:rsidRDefault="00996A07" w:rsidP="00996A07">
            <w:pPr>
              <w:spacing w:after="0" w:line="240" w:lineRule="auto"/>
              <w:jc w:val="center"/>
              <w:rPr>
                <w:rFonts w:ascii="Times New Roman" w:eastAsia="Times New Roman" w:hAnsi="Times New Roman" w:cs="Times New Roman"/>
                <w:b/>
                <w:bCs/>
                <w:iCs/>
                <w:sz w:val="24"/>
                <w:szCs w:val="24"/>
                <w:lang w:eastAsia="lv-LV"/>
              </w:rPr>
            </w:pPr>
            <w:r w:rsidRPr="00996A07">
              <w:rPr>
                <w:rFonts w:ascii="Times New Roman" w:eastAsia="Times New Roman" w:hAnsi="Times New Roman" w:cs="Times New Roman"/>
                <w:b/>
                <w:bCs/>
                <w:iCs/>
                <w:sz w:val="24"/>
                <w:szCs w:val="24"/>
                <w:lang w:eastAsia="lv-LV"/>
              </w:rPr>
              <w:t>III. Tiesību akta projekta ietekme uz valsts budžetu un pašvaldību budžetiem</w:t>
            </w:r>
          </w:p>
        </w:tc>
      </w:tr>
      <w:tr w:rsidR="00996A07" w:rsidRPr="00996A07" w14:paraId="64505096" w14:textId="77777777" w:rsidTr="00583C19">
        <w:trPr>
          <w:trHeight w:val="421"/>
          <w:tblCellSpacing w:w="15"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14:paraId="7A3B61B0"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Rādītāji</w:t>
            </w:r>
          </w:p>
        </w:tc>
        <w:tc>
          <w:tcPr>
            <w:tcW w:w="194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31F90B4" w14:textId="7E880463" w:rsidR="00996A07" w:rsidRPr="00996A07" w:rsidRDefault="005D7530" w:rsidP="0043679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w:t>
            </w:r>
            <w:r w:rsidR="00436795">
              <w:rPr>
                <w:rFonts w:ascii="Times New Roman" w:eastAsia="Times New Roman" w:hAnsi="Times New Roman" w:cs="Times New Roman"/>
                <w:iCs/>
                <w:sz w:val="24"/>
                <w:szCs w:val="24"/>
                <w:lang w:val="en-US" w:eastAsia="lv-LV"/>
              </w:rPr>
              <w:t>20</w:t>
            </w:r>
            <w:r>
              <w:rPr>
                <w:rFonts w:ascii="Times New Roman" w:eastAsia="Times New Roman" w:hAnsi="Times New Roman" w:cs="Times New Roman"/>
                <w:iCs/>
                <w:sz w:val="24"/>
                <w:szCs w:val="24"/>
                <w:lang w:val="en-US" w:eastAsia="lv-LV"/>
              </w:rPr>
              <w:t>. gads</w:t>
            </w:r>
          </w:p>
        </w:tc>
        <w:tc>
          <w:tcPr>
            <w:tcW w:w="5777" w:type="dxa"/>
            <w:gridSpan w:val="5"/>
            <w:tcBorders>
              <w:top w:val="outset" w:sz="6" w:space="0" w:color="auto"/>
              <w:left w:val="outset" w:sz="6" w:space="0" w:color="auto"/>
              <w:bottom w:val="outset" w:sz="6" w:space="0" w:color="auto"/>
              <w:right w:val="outset" w:sz="6" w:space="0" w:color="auto"/>
            </w:tcBorders>
            <w:vAlign w:val="center"/>
            <w:hideMark/>
          </w:tcPr>
          <w:p w14:paraId="7CFF2C38"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6A76D8">
              <w:rPr>
                <w:rFonts w:ascii="Times New Roman" w:eastAsia="Times New Roman" w:hAnsi="Times New Roman" w:cs="Times New Roman"/>
                <w:iCs/>
                <w:sz w:val="24"/>
                <w:szCs w:val="24"/>
                <w:lang w:eastAsia="lv-LV"/>
              </w:rPr>
              <w:t>Turpmākie trīs gadi</w:t>
            </w:r>
            <w:r w:rsidRPr="00996A07">
              <w:rPr>
                <w:rFonts w:ascii="Times New Roman" w:eastAsia="Times New Roman" w:hAnsi="Times New Roman" w:cs="Times New Roman"/>
                <w:iCs/>
                <w:sz w:val="24"/>
                <w:szCs w:val="24"/>
                <w:lang w:val="en-US" w:eastAsia="lv-LV"/>
              </w:rPr>
              <w:t xml:space="preserve"> (</w:t>
            </w:r>
            <w:r w:rsidRPr="00996A07">
              <w:rPr>
                <w:rFonts w:ascii="Times New Roman" w:eastAsia="Times New Roman" w:hAnsi="Times New Roman" w:cs="Times New Roman"/>
                <w:i/>
                <w:iCs/>
                <w:sz w:val="24"/>
                <w:szCs w:val="24"/>
                <w:lang w:val="en-US" w:eastAsia="lv-LV"/>
              </w:rPr>
              <w:t>euro</w:t>
            </w:r>
            <w:r w:rsidRPr="00996A07">
              <w:rPr>
                <w:rFonts w:ascii="Times New Roman" w:eastAsia="Times New Roman" w:hAnsi="Times New Roman" w:cs="Times New Roman"/>
                <w:iCs/>
                <w:sz w:val="24"/>
                <w:szCs w:val="24"/>
                <w:lang w:val="en-US" w:eastAsia="lv-LV"/>
              </w:rPr>
              <w:t>)</w:t>
            </w:r>
          </w:p>
        </w:tc>
      </w:tr>
      <w:tr w:rsidR="002D754F" w:rsidRPr="00996A07" w14:paraId="1C41E521" w14:textId="77777777" w:rsidTr="00583C19">
        <w:trPr>
          <w:tblCellSpacing w:w="15" w:type="dxa"/>
        </w:trPr>
        <w:tc>
          <w:tcPr>
            <w:tcW w:w="1365" w:type="dxa"/>
            <w:vMerge/>
            <w:tcBorders>
              <w:top w:val="outset" w:sz="6" w:space="0" w:color="auto"/>
              <w:left w:val="outset" w:sz="6" w:space="0" w:color="auto"/>
              <w:bottom w:val="outset" w:sz="6" w:space="0" w:color="auto"/>
              <w:right w:val="outset" w:sz="6" w:space="0" w:color="auto"/>
            </w:tcBorders>
            <w:vAlign w:val="center"/>
            <w:hideMark/>
          </w:tcPr>
          <w:p w14:paraId="78306839"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1944" w:type="dxa"/>
            <w:gridSpan w:val="2"/>
            <w:vMerge/>
            <w:tcBorders>
              <w:top w:val="outset" w:sz="6" w:space="0" w:color="auto"/>
              <w:left w:val="outset" w:sz="6" w:space="0" w:color="auto"/>
              <w:bottom w:val="outset" w:sz="6" w:space="0" w:color="auto"/>
              <w:right w:val="outset" w:sz="6" w:space="0" w:color="auto"/>
            </w:tcBorders>
            <w:vAlign w:val="center"/>
            <w:hideMark/>
          </w:tcPr>
          <w:p w14:paraId="741B5BD3"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2283" w:type="dxa"/>
            <w:gridSpan w:val="2"/>
            <w:tcBorders>
              <w:top w:val="outset" w:sz="6" w:space="0" w:color="auto"/>
              <w:left w:val="outset" w:sz="6" w:space="0" w:color="auto"/>
              <w:bottom w:val="outset" w:sz="6" w:space="0" w:color="auto"/>
              <w:right w:val="outset" w:sz="6" w:space="0" w:color="auto"/>
            </w:tcBorders>
            <w:vAlign w:val="center"/>
            <w:hideMark/>
          </w:tcPr>
          <w:p w14:paraId="589E9713" w14:textId="378168C2" w:rsidR="00996A07" w:rsidRPr="00996A07" w:rsidRDefault="005D7530" w:rsidP="0043679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w:t>
            </w:r>
            <w:r w:rsidR="00436795">
              <w:rPr>
                <w:rFonts w:ascii="Times New Roman" w:eastAsia="Times New Roman" w:hAnsi="Times New Roman" w:cs="Times New Roman"/>
                <w:iCs/>
                <w:sz w:val="24"/>
                <w:szCs w:val="24"/>
                <w:lang w:val="en-US" w:eastAsia="lv-LV"/>
              </w:rPr>
              <w:t>21</w:t>
            </w:r>
          </w:p>
        </w:tc>
        <w:tc>
          <w:tcPr>
            <w:tcW w:w="2487" w:type="dxa"/>
            <w:gridSpan w:val="2"/>
            <w:tcBorders>
              <w:top w:val="outset" w:sz="6" w:space="0" w:color="auto"/>
              <w:left w:val="outset" w:sz="6" w:space="0" w:color="auto"/>
              <w:bottom w:val="outset" w:sz="6" w:space="0" w:color="auto"/>
              <w:right w:val="outset" w:sz="6" w:space="0" w:color="auto"/>
            </w:tcBorders>
            <w:vAlign w:val="center"/>
            <w:hideMark/>
          </w:tcPr>
          <w:p w14:paraId="5716A39F" w14:textId="345F4840" w:rsidR="00996A07" w:rsidRPr="00996A07" w:rsidRDefault="005D7530" w:rsidP="0043679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w:t>
            </w:r>
            <w:r w:rsidR="00436795">
              <w:rPr>
                <w:rFonts w:ascii="Times New Roman" w:eastAsia="Times New Roman" w:hAnsi="Times New Roman" w:cs="Times New Roman"/>
                <w:iCs/>
                <w:sz w:val="24"/>
                <w:szCs w:val="24"/>
                <w:lang w:val="en-US" w:eastAsia="lv-LV"/>
              </w:rPr>
              <w:t>22</w:t>
            </w:r>
          </w:p>
        </w:tc>
        <w:tc>
          <w:tcPr>
            <w:tcW w:w="947" w:type="dxa"/>
            <w:tcBorders>
              <w:top w:val="outset" w:sz="6" w:space="0" w:color="auto"/>
              <w:left w:val="outset" w:sz="6" w:space="0" w:color="auto"/>
              <w:bottom w:val="outset" w:sz="6" w:space="0" w:color="auto"/>
              <w:right w:val="outset" w:sz="6" w:space="0" w:color="auto"/>
            </w:tcBorders>
            <w:vAlign w:val="center"/>
            <w:hideMark/>
          </w:tcPr>
          <w:p w14:paraId="1A8FDDEF" w14:textId="0C242BCC" w:rsidR="00996A07" w:rsidRPr="00996A07" w:rsidRDefault="005D7530" w:rsidP="0043679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w:t>
            </w:r>
            <w:r w:rsidR="00436795">
              <w:rPr>
                <w:rFonts w:ascii="Times New Roman" w:eastAsia="Times New Roman" w:hAnsi="Times New Roman" w:cs="Times New Roman"/>
                <w:iCs/>
                <w:sz w:val="24"/>
                <w:szCs w:val="24"/>
                <w:lang w:val="en-US" w:eastAsia="lv-LV"/>
              </w:rPr>
              <w:t>23</w:t>
            </w:r>
          </w:p>
        </w:tc>
      </w:tr>
      <w:tr w:rsidR="002D754F" w:rsidRPr="00996A07" w14:paraId="083C4A75" w14:textId="77777777" w:rsidTr="00496B74">
        <w:trPr>
          <w:tblCellSpacing w:w="15" w:type="dxa"/>
        </w:trPr>
        <w:tc>
          <w:tcPr>
            <w:tcW w:w="1365" w:type="dxa"/>
            <w:vMerge/>
            <w:tcBorders>
              <w:top w:val="outset" w:sz="6" w:space="0" w:color="auto"/>
              <w:left w:val="outset" w:sz="6" w:space="0" w:color="auto"/>
              <w:bottom w:val="outset" w:sz="6" w:space="0" w:color="auto"/>
              <w:right w:val="outset" w:sz="6" w:space="0" w:color="auto"/>
            </w:tcBorders>
            <w:vAlign w:val="center"/>
            <w:hideMark/>
          </w:tcPr>
          <w:p w14:paraId="26FFEB85"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2FB2090"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saskaņā ar valsts budžetu kārtējam gadam</w:t>
            </w:r>
          </w:p>
        </w:tc>
        <w:tc>
          <w:tcPr>
            <w:tcW w:w="952" w:type="dxa"/>
            <w:tcBorders>
              <w:top w:val="outset" w:sz="6" w:space="0" w:color="auto"/>
              <w:left w:val="outset" w:sz="6" w:space="0" w:color="auto"/>
              <w:bottom w:val="outset" w:sz="6" w:space="0" w:color="auto"/>
              <w:right w:val="outset" w:sz="6" w:space="0" w:color="auto"/>
            </w:tcBorders>
            <w:vAlign w:val="center"/>
            <w:hideMark/>
          </w:tcPr>
          <w:p w14:paraId="371D0696"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izmaiņas kārtējā gadā, salīdzinot ar valsts budžetu kārtējam gadam</w:t>
            </w:r>
          </w:p>
        </w:tc>
        <w:tc>
          <w:tcPr>
            <w:tcW w:w="1114" w:type="dxa"/>
            <w:tcBorders>
              <w:top w:val="outset" w:sz="6" w:space="0" w:color="auto"/>
              <w:left w:val="outset" w:sz="6" w:space="0" w:color="auto"/>
              <w:bottom w:val="outset" w:sz="6" w:space="0" w:color="auto"/>
              <w:right w:val="outset" w:sz="6" w:space="0" w:color="auto"/>
            </w:tcBorders>
            <w:vAlign w:val="center"/>
            <w:hideMark/>
          </w:tcPr>
          <w:p w14:paraId="6F926CE6" w14:textId="77777777" w:rsidR="00996A07" w:rsidRPr="00996A07" w:rsidRDefault="00996A07" w:rsidP="005D7530">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saskaņā ar vidēja termiņa budžeta ietvaru</w:t>
            </w:r>
          </w:p>
        </w:tc>
        <w:tc>
          <w:tcPr>
            <w:tcW w:w="1139" w:type="dxa"/>
            <w:tcBorders>
              <w:top w:val="outset" w:sz="6" w:space="0" w:color="auto"/>
              <w:left w:val="outset" w:sz="6" w:space="0" w:color="auto"/>
              <w:bottom w:val="outset" w:sz="6" w:space="0" w:color="auto"/>
              <w:right w:val="outset" w:sz="6" w:space="0" w:color="auto"/>
            </w:tcBorders>
            <w:vAlign w:val="center"/>
            <w:hideMark/>
          </w:tcPr>
          <w:p w14:paraId="5F68AD89" w14:textId="5B65DBE6" w:rsidR="00996A07" w:rsidRPr="00996A07" w:rsidRDefault="00996A07" w:rsidP="00436795">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sidR="009B6E3D">
              <w:rPr>
                <w:rFonts w:ascii="Times New Roman" w:eastAsia="Times New Roman" w:hAnsi="Times New Roman" w:cs="Times New Roman"/>
                <w:iCs/>
                <w:sz w:val="24"/>
                <w:szCs w:val="24"/>
                <w:lang w:val="sv-SE" w:eastAsia="lv-LV"/>
              </w:rPr>
              <w:t>20</w:t>
            </w:r>
            <w:r w:rsidR="00436795">
              <w:rPr>
                <w:rFonts w:ascii="Times New Roman" w:eastAsia="Times New Roman" w:hAnsi="Times New Roman" w:cs="Times New Roman"/>
                <w:iCs/>
                <w:sz w:val="24"/>
                <w:szCs w:val="24"/>
                <w:lang w:val="sv-SE" w:eastAsia="lv-LV"/>
              </w:rPr>
              <w:t>21</w:t>
            </w:r>
            <w:r w:rsidR="009B6E3D">
              <w:rPr>
                <w:rFonts w:ascii="Times New Roman" w:eastAsia="Times New Roman" w:hAnsi="Times New Roman" w:cs="Times New Roman"/>
                <w:iCs/>
                <w:sz w:val="24"/>
                <w:szCs w:val="24"/>
                <w:lang w:val="sv-SE" w:eastAsia="lv-LV"/>
              </w:rPr>
              <w:t>.</w:t>
            </w:r>
            <w:r w:rsidRPr="00996A07">
              <w:rPr>
                <w:rFonts w:ascii="Times New Roman" w:eastAsia="Times New Roman" w:hAnsi="Times New Roman" w:cs="Times New Roman"/>
                <w:iCs/>
                <w:sz w:val="24"/>
                <w:szCs w:val="24"/>
                <w:lang w:val="sv-SE" w:eastAsia="lv-LV"/>
              </w:rPr>
              <w:t xml:space="preserve"> gadam</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DD655E2" w14:textId="77777777" w:rsidR="00996A07" w:rsidRPr="00996A07" w:rsidRDefault="00996A07" w:rsidP="005D7530">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2A99545" w14:textId="5EBA94AD" w:rsidR="00996A07" w:rsidRPr="00996A07" w:rsidRDefault="00996A07" w:rsidP="00436795">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sidR="009B6E3D">
              <w:rPr>
                <w:rFonts w:ascii="Times New Roman" w:eastAsia="Times New Roman" w:hAnsi="Times New Roman" w:cs="Times New Roman"/>
                <w:iCs/>
                <w:sz w:val="24"/>
                <w:szCs w:val="24"/>
                <w:lang w:val="sv-SE" w:eastAsia="lv-LV"/>
              </w:rPr>
              <w:t>202</w:t>
            </w:r>
            <w:r w:rsidR="00436795">
              <w:rPr>
                <w:rFonts w:ascii="Times New Roman" w:eastAsia="Times New Roman" w:hAnsi="Times New Roman" w:cs="Times New Roman"/>
                <w:iCs/>
                <w:sz w:val="24"/>
                <w:szCs w:val="24"/>
                <w:lang w:val="sv-SE" w:eastAsia="lv-LV"/>
              </w:rPr>
              <w:t>2</w:t>
            </w:r>
            <w:r w:rsidR="009B6E3D">
              <w:rPr>
                <w:rFonts w:ascii="Times New Roman" w:eastAsia="Times New Roman" w:hAnsi="Times New Roman" w:cs="Times New Roman"/>
                <w:iCs/>
                <w:sz w:val="24"/>
                <w:szCs w:val="24"/>
                <w:lang w:val="sv-SE" w:eastAsia="lv-LV"/>
              </w:rPr>
              <w:t xml:space="preserve">. </w:t>
            </w:r>
            <w:r w:rsidRPr="00996A07">
              <w:rPr>
                <w:rFonts w:ascii="Times New Roman" w:eastAsia="Times New Roman" w:hAnsi="Times New Roman" w:cs="Times New Roman"/>
                <w:iCs/>
                <w:sz w:val="24"/>
                <w:szCs w:val="24"/>
                <w:lang w:val="sv-SE" w:eastAsia="lv-LV"/>
              </w:rPr>
              <w:t>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2ED04D90" w14:textId="4940271F" w:rsidR="00996A07" w:rsidRPr="00996A07" w:rsidRDefault="00996A07" w:rsidP="00436795">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sidR="009B6E3D">
              <w:rPr>
                <w:rFonts w:ascii="Times New Roman" w:eastAsia="Times New Roman" w:hAnsi="Times New Roman" w:cs="Times New Roman"/>
                <w:iCs/>
                <w:sz w:val="24"/>
                <w:szCs w:val="24"/>
                <w:lang w:val="sv-SE" w:eastAsia="lv-LV"/>
              </w:rPr>
              <w:t>202</w:t>
            </w:r>
            <w:r w:rsidR="00436795">
              <w:rPr>
                <w:rFonts w:ascii="Times New Roman" w:eastAsia="Times New Roman" w:hAnsi="Times New Roman" w:cs="Times New Roman"/>
                <w:iCs/>
                <w:sz w:val="24"/>
                <w:szCs w:val="24"/>
                <w:lang w:val="sv-SE" w:eastAsia="lv-LV"/>
              </w:rPr>
              <w:t>2</w:t>
            </w:r>
            <w:r w:rsidR="009B6E3D">
              <w:rPr>
                <w:rFonts w:ascii="Times New Roman" w:eastAsia="Times New Roman" w:hAnsi="Times New Roman" w:cs="Times New Roman"/>
                <w:iCs/>
                <w:sz w:val="24"/>
                <w:szCs w:val="24"/>
                <w:lang w:val="sv-SE" w:eastAsia="lv-LV"/>
              </w:rPr>
              <w:t>.</w:t>
            </w:r>
            <w:r w:rsidRPr="00996A07">
              <w:rPr>
                <w:rFonts w:ascii="Times New Roman" w:eastAsia="Times New Roman" w:hAnsi="Times New Roman" w:cs="Times New Roman"/>
                <w:iCs/>
                <w:sz w:val="24"/>
                <w:szCs w:val="24"/>
                <w:lang w:val="sv-SE" w:eastAsia="lv-LV"/>
              </w:rPr>
              <w:t xml:space="preserve"> gadam</w:t>
            </w:r>
          </w:p>
        </w:tc>
      </w:tr>
      <w:tr w:rsidR="002D754F" w:rsidRPr="00996A07" w14:paraId="65F1F0A2"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0C012660"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29E95F"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2</w:t>
            </w:r>
          </w:p>
        </w:tc>
        <w:tc>
          <w:tcPr>
            <w:tcW w:w="952" w:type="dxa"/>
            <w:tcBorders>
              <w:top w:val="outset" w:sz="6" w:space="0" w:color="auto"/>
              <w:left w:val="outset" w:sz="6" w:space="0" w:color="auto"/>
              <w:bottom w:val="outset" w:sz="6" w:space="0" w:color="auto"/>
              <w:right w:val="outset" w:sz="6" w:space="0" w:color="auto"/>
            </w:tcBorders>
            <w:vAlign w:val="center"/>
            <w:hideMark/>
          </w:tcPr>
          <w:p w14:paraId="19EAB9B4"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3</w:t>
            </w:r>
          </w:p>
        </w:tc>
        <w:tc>
          <w:tcPr>
            <w:tcW w:w="1114" w:type="dxa"/>
            <w:tcBorders>
              <w:top w:val="outset" w:sz="6" w:space="0" w:color="auto"/>
              <w:left w:val="outset" w:sz="6" w:space="0" w:color="auto"/>
              <w:bottom w:val="outset" w:sz="6" w:space="0" w:color="auto"/>
              <w:right w:val="outset" w:sz="6" w:space="0" w:color="auto"/>
            </w:tcBorders>
            <w:vAlign w:val="center"/>
            <w:hideMark/>
          </w:tcPr>
          <w:p w14:paraId="5CE30036"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4</w:t>
            </w:r>
          </w:p>
        </w:tc>
        <w:tc>
          <w:tcPr>
            <w:tcW w:w="1139" w:type="dxa"/>
            <w:tcBorders>
              <w:top w:val="outset" w:sz="6" w:space="0" w:color="auto"/>
              <w:left w:val="outset" w:sz="6" w:space="0" w:color="auto"/>
              <w:bottom w:val="outset" w:sz="6" w:space="0" w:color="auto"/>
              <w:right w:val="outset" w:sz="6" w:space="0" w:color="auto"/>
            </w:tcBorders>
            <w:vAlign w:val="center"/>
            <w:hideMark/>
          </w:tcPr>
          <w:p w14:paraId="0B8BFEF2"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5</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4C04FE6"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0C5F70F"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7</w:t>
            </w:r>
          </w:p>
        </w:tc>
        <w:tc>
          <w:tcPr>
            <w:tcW w:w="947" w:type="dxa"/>
            <w:tcBorders>
              <w:top w:val="outset" w:sz="6" w:space="0" w:color="auto"/>
              <w:left w:val="outset" w:sz="6" w:space="0" w:color="auto"/>
              <w:bottom w:val="outset" w:sz="6" w:space="0" w:color="auto"/>
              <w:right w:val="outset" w:sz="6" w:space="0" w:color="auto"/>
            </w:tcBorders>
            <w:vAlign w:val="center"/>
            <w:hideMark/>
          </w:tcPr>
          <w:p w14:paraId="35A3BF62"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8</w:t>
            </w:r>
          </w:p>
        </w:tc>
      </w:tr>
      <w:tr w:rsidR="002D754F" w:rsidRPr="00996A07" w14:paraId="56C576C7"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DA9757C" w14:textId="77777777" w:rsidR="009B6E3D" w:rsidRPr="006A76D8" w:rsidRDefault="009B6E3D" w:rsidP="009B6E3D">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0CC879" w14:textId="77777777" w:rsidR="009B6E3D" w:rsidRPr="00996A07" w:rsidRDefault="00496B74" w:rsidP="009B6E3D">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952" w:type="dxa"/>
            <w:tcBorders>
              <w:top w:val="outset" w:sz="6" w:space="0" w:color="auto"/>
              <w:left w:val="outset" w:sz="6" w:space="0" w:color="auto"/>
              <w:bottom w:val="outset" w:sz="6" w:space="0" w:color="auto"/>
              <w:right w:val="outset" w:sz="6" w:space="0" w:color="auto"/>
            </w:tcBorders>
            <w:hideMark/>
          </w:tcPr>
          <w:p w14:paraId="3A73AD2A"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1114" w:type="dxa"/>
            <w:tcBorders>
              <w:top w:val="outset" w:sz="6" w:space="0" w:color="auto"/>
              <w:left w:val="outset" w:sz="6" w:space="0" w:color="auto"/>
              <w:bottom w:val="outset" w:sz="6" w:space="0" w:color="auto"/>
              <w:right w:val="outset" w:sz="6" w:space="0" w:color="auto"/>
            </w:tcBorders>
            <w:hideMark/>
          </w:tcPr>
          <w:p w14:paraId="02C6EA9F"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1139" w:type="dxa"/>
            <w:tcBorders>
              <w:top w:val="outset" w:sz="6" w:space="0" w:color="auto"/>
              <w:left w:val="outset" w:sz="6" w:space="0" w:color="auto"/>
              <w:bottom w:val="outset" w:sz="6" w:space="0" w:color="auto"/>
              <w:right w:val="outset" w:sz="6" w:space="0" w:color="auto"/>
            </w:tcBorders>
            <w:hideMark/>
          </w:tcPr>
          <w:p w14:paraId="24237861"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1211" w:type="dxa"/>
            <w:tcBorders>
              <w:top w:val="outset" w:sz="6" w:space="0" w:color="auto"/>
              <w:left w:val="outset" w:sz="6" w:space="0" w:color="auto"/>
              <w:bottom w:val="outset" w:sz="6" w:space="0" w:color="auto"/>
              <w:right w:val="outset" w:sz="6" w:space="0" w:color="auto"/>
            </w:tcBorders>
            <w:hideMark/>
          </w:tcPr>
          <w:p w14:paraId="7FCDF7EE"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207B13">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hideMark/>
          </w:tcPr>
          <w:p w14:paraId="1BAD5C60"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207B13">
              <w:rPr>
                <w:rFonts w:ascii="Times New Roman" w:hAnsi="Times New Roman" w:cs="Times New Roman"/>
              </w:rPr>
              <w:t>Nav precīzi aprēķināms</w:t>
            </w:r>
          </w:p>
        </w:tc>
        <w:tc>
          <w:tcPr>
            <w:tcW w:w="947" w:type="dxa"/>
            <w:tcBorders>
              <w:top w:val="outset" w:sz="6" w:space="0" w:color="auto"/>
              <w:left w:val="outset" w:sz="6" w:space="0" w:color="auto"/>
              <w:bottom w:val="outset" w:sz="6" w:space="0" w:color="auto"/>
              <w:right w:val="outset" w:sz="6" w:space="0" w:color="auto"/>
            </w:tcBorders>
            <w:hideMark/>
          </w:tcPr>
          <w:p w14:paraId="64BD8C8A"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2D754F" w:rsidRPr="00996A07" w14:paraId="1FD07897"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706A98AA" w14:textId="77777777" w:rsidR="009B6E3D" w:rsidRPr="006A76D8" w:rsidRDefault="009B6E3D" w:rsidP="009B6E3D">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hideMark/>
          </w:tcPr>
          <w:p w14:paraId="446FB2EF"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496B74" w:rsidRPr="00207B13">
              <w:rPr>
                <w:rFonts w:ascii="Times New Roman" w:hAnsi="Times New Roman" w:cs="Times New Roman"/>
              </w:rPr>
              <w:t>Nav precīzi aprēķināms</w:t>
            </w:r>
          </w:p>
        </w:tc>
        <w:tc>
          <w:tcPr>
            <w:tcW w:w="952" w:type="dxa"/>
            <w:tcBorders>
              <w:top w:val="outset" w:sz="6" w:space="0" w:color="auto"/>
              <w:left w:val="outset" w:sz="6" w:space="0" w:color="auto"/>
              <w:bottom w:val="outset" w:sz="6" w:space="0" w:color="auto"/>
              <w:right w:val="outset" w:sz="6" w:space="0" w:color="auto"/>
            </w:tcBorders>
            <w:hideMark/>
          </w:tcPr>
          <w:p w14:paraId="0C305A5C"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1114" w:type="dxa"/>
            <w:tcBorders>
              <w:top w:val="outset" w:sz="6" w:space="0" w:color="auto"/>
              <w:left w:val="outset" w:sz="6" w:space="0" w:color="auto"/>
              <w:bottom w:val="outset" w:sz="6" w:space="0" w:color="auto"/>
              <w:right w:val="outset" w:sz="6" w:space="0" w:color="auto"/>
            </w:tcBorders>
            <w:hideMark/>
          </w:tcPr>
          <w:p w14:paraId="3607459A"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1139" w:type="dxa"/>
            <w:tcBorders>
              <w:top w:val="outset" w:sz="6" w:space="0" w:color="auto"/>
              <w:left w:val="outset" w:sz="6" w:space="0" w:color="auto"/>
              <w:bottom w:val="outset" w:sz="6" w:space="0" w:color="auto"/>
              <w:right w:val="outset" w:sz="6" w:space="0" w:color="auto"/>
            </w:tcBorders>
            <w:hideMark/>
          </w:tcPr>
          <w:p w14:paraId="5005F80A"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1211" w:type="dxa"/>
            <w:tcBorders>
              <w:top w:val="outset" w:sz="6" w:space="0" w:color="auto"/>
              <w:left w:val="outset" w:sz="6" w:space="0" w:color="auto"/>
              <w:bottom w:val="outset" w:sz="6" w:space="0" w:color="auto"/>
              <w:right w:val="outset" w:sz="6" w:space="0" w:color="auto"/>
            </w:tcBorders>
            <w:hideMark/>
          </w:tcPr>
          <w:p w14:paraId="10098255"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BA45D6">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hideMark/>
          </w:tcPr>
          <w:p w14:paraId="57D9C388"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BA45D6">
              <w:rPr>
                <w:rFonts w:ascii="Times New Roman" w:hAnsi="Times New Roman" w:cs="Times New Roman"/>
              </w:rPr>
              <w:t>Nav precīzi aprēķināms</w:t>
            </w:r>
          </w:p>
        </w:tc>
        <w:tc>
          <w:tcPr>
            <w:tcW w:w="947" w:type="dxa"/>
            <w:tcBorders>
              <w:top w:val="outset" w:sz="6" w:space="0" w:color="auto"/>
              <w:left w:val="outset" w:sz="6" w:space="0" w:color="auto"/>
              <w:bottom w:val="outset" w:sz="6" w:space="0" w:color="auto"/>
              <w:right w:val="outset" w:sz="6" w:space="0" w:color="auto"/>
            </w:tcBorders>
            <w:hideMark/>
          </w:tcPr>
          <w:p w14:paraId="582F0B47"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2D754F" w:rsidRPr="00996A07" w14:paraId="5DA51579"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1BAEEB82"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08DABF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52" w:type="dxa"/>
            <w:tcBorders>
              <w:top w:val="outset" w:sz="6" w:space="0" w:color="auto"/>
              <w:left w:val="outset" w:sz="6" w:space="0" w:color="auto"/>
              <w:bottom w:val="outset" w:sz="6" w:space="0" w:color="auto"/>
              <w:right w:val="outset" w:sz="6" w:space="0" w:color="auto"/>
            </w:tcBorders>
            <w:vAlign w:val="center"/>
            <w:hideMark/>
          </w:tcPr>
          <w:p w14:paraId="760B4FD0"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2B01CF08"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7F70321B"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0E3F2B99"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87854BD" w14:textId="77777777" w:rsidR="00996A07" w:rsidRPr="009B6E3D" w:rsidRDefault="005D7530"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0</w:t>
            </w:r>
            <w:r w:rsidR="00996A07" w:rsidRPr="009B6E3D">
              <w:rPr>
                <w:rFonts w:ascii="Times New Roman" w:eastAsia="Times New Roman" w:hAnsi="Times New Roman" w:cs="Times New Roman"/>
                <w:iCs/>
                <w:lang w:val="en-US" w:eastAsia="lv-LV"/>
              </w:rPr>
              <w:t> </w:t>
            </w:r>
          </w:p>
        </w:tc>
        <w:tc>
          <w:tcPr>
            <w:tcW w:w="947" w:type="dxa"/>
            <w:tcBorders>
              <w:top w:val="outset" w:sz="6" w:space="0" w:color="auto"/>
              <w:left w:val="outset" w:sz="6" w:space="0" w:color="auto"/>
              <w:bottom w:val="outset" w:sz="6" w:space="0" w:color="auto"/>
              <w:right w:val="outset" w:sz="6" w:space="0" w:color="auto"/>
            </w:tcBorders>
            <w:vAlign w:val="center"/>
            <w:hideMark/>
          </w:tcPr>
          <w:p w14:paraId="2B57AD6E"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2D754F" w:rsidRPr="00996A07" w14:paraId="64EAEE15"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135ABDC"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0ED5C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52" w:type="dxa"/>
            <w:tcBorders>
              <w:top w:val="outset" w:sz="6" w:space="0" w:color="auto"/>
              <w:left w:val="outset" w:sz="6" w:space="0" w:color="auto"/>
              <w:bottom w:val="outset" w:sz="6" w:space="0" w:color="auto"/>
              <w:right w:val="outset" w:sz="6" w:space="0" w:color="auto"/>
            </w:tcBorders>
            <w:vAlign w:val="center"/>
            <w:hideMark/>
          </w:tcPr>
          <w:p w14:paraId="0B2C6913"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41C7A457"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22F87E6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3216760F"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2BBF737"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007C3B0"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2D754F" w:rsidRPr="00996A07" w14:paraId="4921DDBA"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3BC8FD8"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 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13E720BF"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52" w:type="dxa"/>
            <w:tcBorders>
              <w:top w:val="outset" w:sz="6" w:space="0" w:color="auto"/>
              <w:left w:val="outset" w:sz="6" w:space="0" w:color="auto"/>
              <w:bottom w:val="outset" w:sz="6" w:space="0" w:color="auto"/>
              <w:right w:val="outset" w:sz="6" w:space="0" w:color="auto"/>
            </w:tcBorders>
            <w:vAlign w:val="center"/>
            <w:hideMark/>
          </w:tcPr>
          <w:p w14:paraId="24DFF99C"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3F778E51"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689B9F8D"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3544D42B"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C8C3756"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A339D2F"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2D754F" w:rsidRPr="00996A07" w14:paraId="0A0BE953"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344179D"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64AC337"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52" w:type="dxa"/>
            <w:tcBorders>
              <w:top w:val="outset" w:sz="6" w:space="0" w:color="auto"/>
              <w:left w:val="outset" w:sz="6" w:space="0" w:color="auto"/>
              <w:bottom w:val="outset" w:sz="6" w:space="0" w:color="auto"/>
              <w:right w:val="outset" w:sz="6" w:space="0" w:color="auto"/>
            </w:tcBorders>
            <w:vAlign w:val="center"/>
            <w:hideMark/>
          </w:tcPr>
          <w:p w14:paraId="0D300560"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064AF90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05409AD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A8142BD"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BEA0035"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0B16F043"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2D754F" w:rsidRPr="00996A07" w14:paraId="615C9F33"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602C45C"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333C188"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52" w:type="dxa"/>
            <w:tcBorders>
              <w:top w:val="outset" w:sz="6" w:space="0" w:color="auto"/>
              <w:left w:val="outset" w:sz="6" w:space="0" w:color="auto"/>
              <w:bottom w:val="outset" w:sz="6" w:space="0" w:color="auto"/>
              <w:right w:val="outset" w:sz="6" w:space="0" w:color="auto"/>
            </w:tcBorders>
            <w:vAlign w:val="center"/>
            <w:hideMark/>
          </w:tcPr>
          <w:p w14:paraId="63945C84"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4DAE1330"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2A22ED1C"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8EF0864"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521A72B"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716D100"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2D754F" w:rsidRPr="00996A07" w14:paraId="092CCF13"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9545C31"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619685"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52" w:type="dxa"/>
            <w:tcBorders>
              <w:top w:val="outset" w:sz="6" w:space="0" w:color="auto"/>
              <w:left w:val="outset" w:sz="6" w:space="0" w:color="auto"/>
              <w:bottom w:val="outset" w:sz="6" w:space="0" w:color="auto"/>
              <w:right w:val="outset" w:sz="6" w:space="0" w:color="auto"/>
            </w:tcBorders>
            <w:vAlign w:val="center"/>
            <w:hideMark/>
          </w:tcPr>
          <w:p w14:paraId="5ED85A89"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2D161B1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441A8C69"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9897B6D"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A50D1ED"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99235F5"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2D754F" w:rsidRPr="00996A07" w14:paraId="5D82C076"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1710C1EE"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EC7983" w14:textId="77777777" w:rsidR="00996A07" w:rsidRPr="00996A07" w:rsidRDefault="009B6E3D" w:rsidP="005D7530">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952" w:type="dxa"/>
            <w:tcBorders>
              <w:top w:val="outset" w:sz="6" w:space="0" w:color="auto"/>
              <w:left w:val="outset" w:sz="6" w:space="0" w:color="auto"/>
              <w:bottom w:val="outset" w:sz="6" w:space="0" w:color="auto"/>
              <w:right w:val="outset" w:sz="6" w:space="0" w:color="auto"/>
            </w:tcBorders>
            <w:vAlign w:val="center"/>
            <w:hideMark/>
          </w:tcPr>
          <w:p w14:paraId="22FE7D52"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9B6E3D" w:rsidRPr="009B6E3D">
              <w:rPr>
                <w:rFonts w:ascii="Times New Roman" w:hAnsi="Times New Roman" w:cs="Times New Roman"/>
              </w:rPr>
              <w:t>Nav precīzi aprēķināms</w:t>
            </w:r>
          </w:p>
        </w:tc>
        <w:tc>
          <w:tcPr>
            <w:tcW w:w="1114" w:type="dxa"/>
            <w:tcBorders>
              <w:top w:val="outset" w:sz="6" w:space="0" w:color="auto"/>
              <w:left w:val="outset" w:sz="6" w:space="0" w:color="auto"/>
              <w:bottom w:val="outset" w:sz="6" w:space="0" w:color="auto"/>
              <w:right w:val="outset" w:sz="6" w:space="0" w:color="auto"/>
            </w:tcBorders>
            <w:vAlign w:val="center"/>
            <w:hideMark/>
          </w:tcPr>
          <w:p w14:paraId="181A6777"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9B6E3D" w:rsidRPr="009B6E3D">
              <w:rPr>
                <w:rFonts w:ascii="Times New Roman" w:hAnsi="Times New Roman" w:cs="Times New Roman"/>
              </w:rPr>
              <w:t>Nav precīzi aprēķināms</w:t>
            </w:r>
          </w:p>
        </w:tc>
        <w:tc>
          <w:tcPr>
            <w:tcW w:w="1139" w:type="dxa"/>
            <w:tcBorders>
              <w:top w:val="outset" w:sz="6" w:space="0" w:color="auto"/>
              <w:left w:val="outset" w:sz="6" w:space="0" w:color="auto"/>
              <w:bottom w:val="outset" w:sz="6" w:space="0" w:color="auto"/>
              <w:right w:val="outset" w:sz="6" w:space="0" w:color="auto"/>
            </w:tcBorders>
            <w:vAlign w:val="center"/>
            <w:hideMark/>
          </w:tcPr>
          <w:p w14:paraId="48000E4E"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9B6E3D" w:rsidRPr="009B6E3D">
              <w:rPr>
                <w:rFonts w:ascii="Times New Roman" w:hAnsi="Times New Roman" w:cs="Times New Roman"/>
              </w:rPr>
              <w:t>Nav precīzi aprēķināms</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531AA84"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9B6E3D" w:rsidRPr="009B6E3D">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D675E2D"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9B6E3D" w:rsidRPr="009B6E3D">
              <w:rPr>
                <w:rFonts w:ascii="Times New Roman" w:hAnsi="Times New Roman" w:cs="Times New Roman"/>
              </w:rPr>
              <w:t>Nav precīzi aprēķināms</w:t>
            </w:r>
          </w:p>
        </w:tc>
        <w:tc>
          <w:tcPr>
            <w:tcW w:w="947" w:type="dxa"/>
            <w:tcBorders>
              <w:top w:val="outset" w:sz="6" w:space="0" w:color="auto"/>
              <w:left w:val="outset" w:sz="6" w:space="0" w:color="auto"/>
              <w:bottom w:val="outset" w:sz="6" w:space="0" w:color="auto"/>
              <w:right w:val="outset" w:sz="6" w:space="0" w:color="auto"/>
            </w:tcBorders>
            <w:vAlign w:val="center"/>
            <w:hideMark/>
          </w:tcPr>
          <w:p w14:paraId="21949E1F"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9B6E3D" w:rsidRPr="009B6E3D">
              <w:rPr>
                <w:rFonts w:ascii="Times New Roman" w:hAnsi="Times New Roman" w:cs="Times New Roman"/>
              </w:rPr>
              <w:t>Nav precīzi aprēķināms</w:t>
            </w:r>
          </w:p>
        </w:tc>
      </w:tr>
      <w:tr w:rsidR="002D754F" w:rsidRPr="00996A07" w14:paraId="05D40DE6"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7C1E475B" w14:textId="77777777" w:rsidR="009B6E3D" w:rsidRPr="006A76D8" w:rsidRDefault="009B6E3D" w:rsidP="009B6E3D">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A45BC1"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952" w:type="dxa"/>
            <w:tcBorders>
              <w:top w:val="outset" w:sz="6" w:space="0" w:color="auto"/>
              <w:left w:val="outset" w:sz="6" w:space="0" w:color="auto"/>
              <w:bottom w:val="outset" w:sz="6" w:space="0" w:color="auto"/>
              <w:right w:val="outset" w:sz="6" w:space="0" w:color="auto"/>
            </w:tcBorders>
            <w:hideMark/>
          </w:tcPr>
          <w:p w14:paraId="2C60D1F5"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1114" w:type="dxa"/>
            <w:tcBorders>
              <w:top w:val="outset" w:sz="6" w:space="0" w:color="auto"/>
              <w:left w:val="outset" w:sz="6" w:space="0" w:color="auto"/>
              <w:bottom w:val="outset" w:sz="6" w:space="0" w:color="auto"/>
              <w:right w:val="outset" w:sz="6" w:space="0" w:color="auto"/>
            </w:tcBorders>
            <w:hideMark/>
          </w:tcPr>
          <w:p w14:paraId="19636B7D"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1139" w:type="dxa"/>
            <w:tcBorders>
              <w:top w:val="outset" w:sz="6" w:space="0" w:color="auto"/>
              <w:left w:val="outset" w:sz="6" w:space="0" w:color="auto"/>
              <w:bottom w:val="outset" w:sz="6" w:space="0" w:color="auto"/>
              <w:right w:val="outset" w:sz="6" w:space="0" w:color="auto"/>
            </w:tcBorders>
            <w:hideMark/>
          </w:tcPr>
          <w:p w14:paraId="161F58D4" w14:textId="77777777" w:rsidR="009B6E3D" w:rsidRPr="00996A07" w:rsidRDefault="009B6E3D" w:rsidP="009B6E3D">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B9F7C41"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06EAF24"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c>
          <w:tcPr>
            <w:tcW w:w="947" w:type="dxa"/>
            <w:tcBorders>
              <w:top w:val="outset" w:sz="6" w:space="0" w:color="auto"/>
              <w:left w:val="outset" w:sz="6" w:space="0" w:color="auto"/>
              <w:bottom w:val="outset" w:sz="6" w:space="0" w:color="auto"/>
              <w:right w:val="outset" w:sz="6" w:space="0" w:color="auto"/>
            </w:tcBorders>
            <w:vAlign w:val="center"/>
            <w:hideMark/>
          </w:tcPr>
          <w:p w14:paraId="7141D6A3" w14:textId="77777777" w:rsidR="009B6E3D" w:rsidRPr="009B6E3D" w:rsidRDefault="009B6E3D" w:rsidP="009B6E3D">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2D754F" w:rsidRPr="00996A07" w14:paraId="296C4269"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325EC93"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0F189D6"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52" w:type="dxa"/>
            <w:tcBorders>
              <w:top w:val="outset" w:sz="6" w:space="0" w:color="auto"/>
              <w:left w:val="outset" w:sz="6" w:space="0" w:color="auto"/>
              <w:bottom w:val="outset" w:sz="6" w:space="0" w:color="auto"/>
              <w:right w:val="outset" w:sz="6" w:space="0" w:color="auto"/>
            </w:tcBorders>
            <w:vAlign w:val="center"/>
            <w:hideMark/>
          </w:tcPr>
          <w:p w14:paraId="5D41A6B0"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3AA4A6DF" w14:textId="77777777"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r w:rsidR="00996A07" w:rsidRPr="00996A07">
              <w:rPr>
                <w:rFonts w:ascii="Times New Roman" w:eastAsia="Times New Roman" w:hAnsi="Times New Roman" w:cs="Times New Roman"/>
                <w:iCs/>
                <w:sz w:val="24"/>
                <w:szCs w:val="24"/>
                <w:lang w:val="en-US" w:eastAsia="lv-LV"/>
              </w:rPr>
              <w:t> </w:t>
            </w:r>
          </w:p>
        </w:tc>
        <w:tc>
          <w:tcPr>
            <w:tcW w:w="1139" w:type="dxa"/>
            <w:tcBorders>
              <w:top w:val="outset" w:sz="6" w:space="0" w:color="auto"/>
              <w:left w:val="outset" w:sz="6" w:space="0" w:color="auto"/>
              <w:bottom w:val="outset" w:sz="6" w:space="0" w:color="auto"/>
              <w:right w:val="outset" w:sz="6" w:space="0" w:color="auto"/>
            </w:tcBorders>
            <w:vAlign w:val="center"/>
            <w:hideMark/>
          </w:tcPr>
          <w:p w14:paraId="59A2994B"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DDFBBBF"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B325EA3" w14:textId="77777777" w:rsidR="00996A07" w:rsidRPr="009B6E3D" w:rsidRDefault="005D7530"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0</w:t>
            </w:r>
            <w:r w:rsidR="00996A07" w:rsidRPr="009B6E3D">
              <w:rPr>
                <w:rFonts w:ascii="Times New Roman" w:eastAsia="Times New Roman" w:hAnsi="Times New Roman" w:cs="Times New Roman"/>
                <w:iCs/>
                <w:lang w:val="en-US" w:eastAsia="lv-LV"/>
              </w:rPr>
              <w:t> </w:t>
            </w:r>
          </w:p>
        </w:tc>
        <w:tc>
          <w:tcPr>
            <w:tcW w:w="947" w:type="dxa"/>
            <w:tcBorders>
              <w:top w:val="outset" w:sz="6" w:space="0" w:color="auto"/>
              <w:left w:val="outset" w:sz="6" w:space="0" w:color="auto"/>
              <w:bottom w:val="outset" w:sz="6" w:space="0" w:color="auto"/>
              <w:right w:val="outset" w:sz="6" w:space="0" w:color="auto"/>
            </w:tcBorders>
            <w:vAlign w:val="center"/>
            <w:hideMark/>
          </w:tcPr>
          <w:p w14:paraId="76655B4B"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2D754F" w:rsidRPr="00996A07" w14:paraId="42E7AECB"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93C7ADB"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6041ECB0"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52" w:type="dxa"/>
            <w:tcBorders>
              <w:top w:val="outset" w:sz="6" w:space="0" w:color="auto"/>
              <w:left w:val="outset" w:sz="6" w:space="0" w:color="auto"/>
              <w:bottom w:val="outset" w:sz="6" w:space="0" w:color="auto"/>
              <w:right w:val="outset" w:sz="6" w:space="0" w:color="auto"/>
            </w:tcBorders>
            <w:vAlign w:val="center"/>
            <w:hideMark/>
          </w:tcPr>
          <w:p w14:paraId="5C220091"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1F7C9258"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09070161"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6CCC9DAF"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0CA2C4D"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71244D6"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2D754F" w:rsidRPr="00996A07" w14:paraId="16EF3402"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4D297A03" w14:textId="77777777" w:rsidR="00996A07" w:rsidRPr="00B13C90" w:rsidRDefault="00996A07" w:rsidP="005D7530">
            <w:pPr>
              <w:spacing w:after="0" w:line="240" w:lineRule="auto"/>
              <w:rPr>
                <w:rFonts w:ascii="Times New Roman" w:eastAsia="Times New Roman" w:hAnsi="Times New Roman" w:cs="Times New Roman"/>
                <w:iCs/>
                <w:sz w:val="24"/>
                <w:szCs w:val="24"/>
                <w:lang w:eastAsia="lv-LV"/>
              </w:rPr>
            </w:pPr>
            <w:r w:rsidRPr="00B13C9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3A9DE1"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eastAsia="lv-LV"/>
              </w:rPr>
            </w:pPr>
            <w:r w:rsidRPr="00996A07">
              <w:rPr>
                <w:rFonts w:ascii="Times New Roman" w:eastAsia="Times New Roman" w:hAnsi="Times New Roman" w:cs="Times New Roman"/>
                <w:iCs/>
                <w:sz w:val="24"/>
                <w:szCs w:val="24"/>
                <w:lang w:eastAsia="lv-LV"/>
              </w:rPr>
              <w:t>X</w:t>
            </w:r>
          </w:p>
        </w:tc>
        <w:tc>
          <w:tcPr>
            <w:tcW w:w="952" w:type="dxa"/>
            <w:tcBorders>
              <w:top w:val="outset" w:sz="6" w:space="0" w:color="auto"/>
              <w:left w:val="outset" w:sz="6" w:space="0" w:color="auto"/>
              <w:bottom w:val="outset" w:sz="6" w:space="0" w:color="auto"/>
              <w:right w:val="outset" w:sz="6" w:space="0" w:color="auto"/>
            </w:tcBorders>
            <w:vAlign w:val="center"/>
            <w:hideMark/>
          </w:tcPr>
          <w:p w14:paraId="22C7A3F2"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tc>
        <w:tc>
          <w:tcPr>
            <w:tcW w:w="1114" w:type="dxa"/>
            <w:tcBorders>
              <w:top w:val="outset" w:sz="6" w:space="0" w:color="auto"/>
              <w:left w:val="outset" w:sz="6" w:space="0" w:color="auto"/>
              <w:bottom w:val="outset" w:sz="6" w:space="0" w:color="auto"/>
              <w:right w:val="outset" w:sz="6" w:space="0" w:color="auto"/>
            </w:tcBorders>
            <w:vAlign w:val="center"/>
            <w:hideMark/>
          </w:tcPr>
          <w:p w14:paraId="5FE94145"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1139" w:type="dxa"/>
            <w:tcBorders>
              <w:top w:val="outset" w:sz="6" w:space="0" w:color="auto"/>
              <w:left w:val="outset" w:sz="6" w:space="0" w:color="auto"/>
              <w:bottom w:val="outset" w:sz="6" w:space="0" w:color="auto"/>
              <w:right w:val="outset" w:sz="6" w:space="0" w:color="auto"/>
            </w:tcBorders>
            <w:vAlign w:val="center"/>
            <w:hideMark/>
          </w:tcPr>
          <w:p w14:paraId="1279E36A"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tc>
        <w:tc>
          <w:tcPr>
            <w:tcW w:w="1211" w:type="dxa"/>
            <w:tcBorders>
              <w:top w:val="outset" w:sz="6" w:space="0" w:color="auto"/>
              <w:left w:val="outset" w:sz="6" w:space="0" w:color="auto"/>
              <w:bottom w:val="outset" w:sz="6" w:space="0" w:color="auto"/>
              <w:right w:val="outset" w:sz="6" w:space="0" w:color="auto"/>
            </w:tcBorders>
            <w:vAlign w:val="center"/>
            <w:hideMark/>
          </w:tcPr>
          <w:p w14:paraId="691609D6" w14:textId="77777777" w:rsidR="00996A07" w:rsidRPr="009B6E3D" w:rsidRDefault="00996A07" w:rsidP="005D7530">
            <w:pPr>
              <w:spacing w:after="0" w:line="240" w:lineRule="auto"/>
              <w:jc w:val="center"/>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D8436A7"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p>
        </w:tc>
        <w:tc>
          <w:tcPr>
            <w:tcW w:w="947" w:type="dxa"/>
            <w:tcBorders>
              <w:top w:val="outset" w:sz="6" w:space="0" w:color="auto"/>
              <w:left w:val="outset" w:sz="6" w:space="0" w:color="auto"/>
              <w:bottom w:val="outset" w:sz="6" w:space="0" w:color="auto"/>
              <w:right w:val="outset" w:sz="6" w:space="0" w:color="auto"/>
            </w:tcBorders>
            <w:vAlign w:val="center"/>
            <w:hideMark/>
          </w:tcPr>
          <w:p w14:paraId="24316B54"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p>
        </w:tc>
      </w:tr>
      <w:tr w:rsidR="002D754F" w:rsidRPr="00996A07" w14:paraId="0FD4A72C"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71AAF6EF"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46D0103B"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370B865E" w14:textId="77777777" w:rsidR="00996A07" w:rsidRPr="009B6E3D" w:rsidRDefault="00996A07" w:rsidP="005D7530">
            <w:pPr>
              <w:spacing w:after="0" w:line="240" w:lineRule="auto"/>
              <w:jc w:val="center"/>
              <w:rPr>
                <w:rFonts w:ascii="Times New Roman" w:eastAsia="Times New Roman" w:hAnsi="Times New Roman" w:cs="Times New Roman"/>
                <w:iCs/>
                <w:sz w:val="24"/>
                <w:szCs w:val="24"/>
                <w:lang w:eastAsia="lv-LV"/>
              </w:rPr>
            </w:pPr>
          </w:p>
          <w:p w14:paraId="502EA34F" w14:textId="77777777" w:rsidR="00996A07" w:rsidRPr="009B6E3D" w:rsidRDefault="00996A07" w:rsidP="005D7530">
            <w:pPr>
              <w:spacing w:after="0" w:line="240" w:lineRule="auto"/>
              <w:jc w:val="center"/>
              <w:rPr>
                <w:rFonts w:ascii="Times New Roman" w:eastAsia="Times New Roman" w:hAnsi="Times New Roman" w:cs="Times New Roman"/>
                <w:iCs/>
                <w:sz w:val="24"/>
                <w:szCs w:val="24"/>
                <w:lang w:eastAsia="lv-LV"/>
              </w:rPr>
            </w:pPr>
          </w:p>
          <w:p w14:paraId="283BDB67" w14:textId="77777777" w:rsidR="00996A07" w:rsidRPr="009B6E3D" w:rsidRDefault="00996A07" w:rsidP="005D7530">
            <w:pPr>
              <w:spacing w:after="0" w:line="240" w:lineRule="auto"/>
              <w:jc w:val="center"/>
              <w:rPr>
                <w:rFonts w:ascii="Times New Roman" w:eastAsia="Times New Roman" w:hAnsi="Times New Roman" w:cs="Times New Roman"/>
                <w:iCs/>
                <w:sz w:val="24"/>
                <w:szCs w:val="24"/>
                <w:lang w:eastAsia="lv-LV"/>
              </w:rPr>
            </w:pPr>
          </w:p>
          <w:p w14:paraId="1B5CBFC2" w14:textId="77777777" w:rsidR="00996A07" w:rsidRPr="009B6E3D" w:rsidRDefault="00996A07" w:rsidP="005D7530">
            <w:pPr>
              <w:spacing w:after="0" w:line="240" w:lineRule="auto"/>
              <w:jc w:val="center"/>
              <w:rPr>
                <w:rFonts w:ascii="Times New Roman" w:eastAsia="Times New Roman" w:hAnsi="Times New Roman" w:cs="Times New Roman"/>
                <w:iCs/>
                <w:sz w:val="24"/>
                <w:szCs w:val="24"/>
                <w:lang w:eastAsia="lv-LV"/>
              </w:rPr>
            </w:pPr>
          </w:p>
          <w:p w14:paraId="503537F0" w14:textId="77777777" w:rsidR="00996A07" w:rsidRPr="009B6E3D" w:rsidRDefault="00996A07" w:rsidP="005D7530">
            <w:pPr>
              <w:spacing w:after="0" w:line="240" w:lineRule="auto"/>
              <w:jc w:val="center"/>
              <w:rPr>
                <w:rFonts w:ascii="Times New Roman" w:eastAsia="Times New Roman" w:hAnsi="Times New Roman" w:cs="Times New Roman"/>
                <w:iCs/>
                <w:sz w:val="24"/>
                <w:szCs w:val="24"/>
                <w:lang w:eastAsia="lv-LV"/>
              </w:rPr>
            </w:pPr>
            <w:r w:rsidRPr="009B6E3D">
              <w:rPr>
                <w:rFonts w:ascii="Times New Roman" w:eastAsia="Times New Roman" w:hAnsi="Times New Roman" w:cs="Times New Roman"/>
                <w:iCs/>
                <w:sz w:val="24"/>
                <w:szCs w:val="24"/>
                <w:lang w:eastAsia="lv-LV"/>
              </w:rPr>
              <w:t>X</w:t>
            </w:r>
          </w:p>
        </w:tc>
        <w:tc>
          <w:tcPr>
            <w:tcW w:w="952" w:type="dxa"/>
            <w:tcBorders>
              <w:top w:val="outset" w:sz="6" w:space="0" w:color="auto"/>
              <w:left w:val="outset" w:sz="6" w:space="0" w:color="auto"/>
              <w:bottom w:val="outset" w:sz="6" w:space="0" w:color="auto"/>
              <w:right w:val="outset" w:sz="6" w:space="0" w:color="auto"/>
            </w:tcBorders>
            <w:vAlign w:val="center"/>
            <w:hideMark/>
          </w:tcPr>
          <w:p w14:paraId="24AFD073" w14:textId="77777777" w:rsidR="00996A07" w:rsidRPr="00996A07" w:rsidRDefault="009B6E3D" w:rsidP="005D7530">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1114" w:type="dxa"/>
            <w:vMerge w:val="restart"/>
            <w:tcBorders>
              <w:top w:val="outset" w:sz="6" w:space="0" w:color="auto"/>
              <w:left w:val="outset" w:sz="6" w:space="0" w:color="auto"/>
              <w:bottom w:val="outset" w:sz="6" w:space="0" w:color="auto"/>
              <w:right w:val="outset" w:sz="6" w:space="0" w:color="auto"/>
            </w:tcBorders>
            <w:vAlign w:val="center"/>
            <w:hideMark/>
          </w:tcPr>
          <w:p w14:paraId="07DC9297"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33F050EC"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255D2BB4"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02625430"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114466F8"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082EEE0C"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1139" w:type="dxa"/>
            <w:tcBorders>
              <w:top w:val="outset" w:sz="6" w:space="0" w:color="auto"/>
              <w:left w:val="outset" w:sz="6" w:space="0" w:color="auto"/>
              <w:bottom w:val="outset" w:sz="6" w:space="0" w:color="auto"/>
              <w:right w:val="outset" w:sz="6" w:space="0" w:color="auto"/>
            </w:tcBorders>
            <w:vAlign w:val="center"/>
            <w:hideMark/>
          </w:tcPr>
          <w:p w14:paraId="0B6F0473" w14:textId="77777777" w:rsidR="00996A07" w:rsidRPr="00996A07" w:rsidRDefault="009B6E3D" w:rsidP="005D7530">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1211" w:type="dxa"/>
            <w:vMerge w:val="restart"/>
            <w:tcBorders>
              <w:top w:val="outset" w:sz="6" w:space="0" w:color="auto"/>
              <w:left w:val="outset" w:sz="6" w:space="0" w:color="auto"/>
              <w:bottom w:val="outset" w:sz="6" w:space="0" w:color="auto"/>
              <w:right w:val="outset" w:sz="6" w:space="0" w:color="auto"/>
            </w:tcBorders>
            <w:vAlign w:val="center"/>
            <w:hideMark/>
          </w:tcPr>
          <w:p w14:paraId="3D0A6B32" w14:textId="77777777" w:rsidR="009B6E3D" w:rsidRDefault="009B6E3D" w:rsidP="005D7530">
            <w:pPr>
              <w:spacing w:after="0" w:line="240" w:lineRule="auto"/>
              <w:jc w:val="center"/>
              <w:rPr>
                <w:rFonts w:ascii="Times New Roman" w:eastAsia="Times New Roman" w:hAnsi="Times New Roman" w:cs="Times New Roman"/>
                <w:iCs/>
                <w:sz w:val="24"/>
                <w:szCs w:val="24"/>
                <w:lang w:val="en-US" w:eastAsia="lv-LV"/>
              </w:rPr>
            </w:pPr>
          </w:p>
          <w:p w14:paraId="53BF3893" w14:textId="77777777" w:rsidR="009B6E3D" w:rsidRDefault="009B6E3D" w:rsidP="005D7530">
            <w:pPr>
              <w:spacing w:after="0" w:line="240" w:lineRule="auto"/>
              <w:jc w:val="center"/>
              <w:rPr>
                <w:rFonts w:ascii="Times New Roman" w:eastAsia="Times New Roman" w:hAnsi="Times New Roman" w:cs="Times New Roman"/>
                <w:iCs/>
                <w:sz w:val="24"/>
                <w:szCs w:val="24"/>
                <w:lang w:val="en-US" w:eastAsia="lv-LV"/>
              </w:rPr>
            </w:pPr>
          </w:p>
          <w:p w14:paraId="69EA5051" w14:textId="77777777" w:rsidR="009B6E3D" w:rsidRDefault="009B6E3D" w:rsidP="005D7530">
            <w:pPr>
              <w:spacing w:after="0" w:line="240" w:lineRule="auto"/>
              <w:jc w:val="center"/>
              <w:rPr>
                <w:rFonts w:ascii="Times New Roman" w:eastAsia="Times New Roman" w:hAnsi="Times New Roman" w:cs="Times New Roman"/>
                <w:iCs/>
                <w:sz w:val="24"/>
                <w:szCs w:val="24"/>
                <w:lang w:val="en-US" w:eastAsia="lv-LV"/>
              </w:rPr>
            </w:pPr>
          </w:p>
          <w:p w14:paraId="5D18295D" w14:textId="77777777" w:rsidR="009B6E3D" w:rsidRDefault="009B6E3D" w:rsidP="005D7530">
            <w:pPr>
              <w:spacing w:after="0" w:line="240" w:lineRule="auto"/>
              <w:jc w:val="center"/>
              <w:rPr>
                <w:rFonts w:ascii="Times New Roman" w:eastAsia="Times New Roman" w:hAnsi="Times New Roman" w:cs="Times New Roman"/>
                <w:iCs/>
                <w:sz w:val="24"/>
                <w:szCs w:val="24"/>
                <w:lang w:val="en-US" w:eastAsia="lv-LV"/>
              </w:rPr>
            </w:pPr>
          </w:p>
          <w:p w14:paraId="02F7AAE2" w14:textId="77777777" w:rsidR="009B6E3D" w:rsidRDefault="009B6E3D" w:rsidP="005D7530">
            <w:pPr>
              <w:spacing w:after="0" w:line="240" w:lineRule="auto"/>
              <w:jc w:val="center"/>
              <w:rPr>
                <w:rFonts w:ascii="Times New Roman" w:eastAsia="Times New Roman" w:hAnsi="Times New Roman" w:cs="Times New Roman"/>
                <w:iCs/>
                <w:sz w:val="24"/>
                <w:szCs w:val="24"/>
                <w:lang w:val="en-US" w:eastAsia="lv-LV"/>
              </w:rPr>
            </w:pPr>
          </w:p>
          <w:p w14:paraId="72634843" w14:textId="77777777" w:rsidR="00996A07" w:rsidRPr="009B6E3D" w:rsidRDefault="009B6E3D" w:rsidP="005D7530">
            <w:pPr>
              <w:spacing w:after="0" w:line="240" w:lineRule="auto"/>
              <w:jc w:val="center"/>
              <w:rPr>
                <w:rFonts w:ascii="Times New Roman" w:eastAsia="Times New Roman" w:hAnsi="Times New Roman" w:cs="Times New Roman"/>
                <w:iCs/>
                <w:lang w:val="en-US" w:eastAsia="lv-LV"/>
              </w:rPr>
            </w:pPr>
            <w:r w:rsidRPr="00996A07">
              <w:rPr>
                <w:rFonts w:ascii="Times New Roman" w:eastAsia="Times New Roman" w:hAnsi="Times New Roman" w:cs="Times New Roman"/>
                <w:iCs/>
                <w:sz w:val="24"/>
                <w:szCs w:val="24"/>
                <w:lang w:val="en-US"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5D819F7"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9B6E3D" w:rsidRPr="009B6E3D">
              <w:rPr>
                <w:rFonts w:ascii="Times New Roman" w:hAnsi="Times New Roman" w:cs="Times New Roman"/>
              </w:rPr>
              <w:t>Nav precīzi aprēķināms</w:t>
            </w:r>
          </w:p>
        </w:tc>
        <w:tc>
          <w:tcPr>
            <w:tcW w:w="947" w:type="dxa"/>
            <w:tcBorders>
              <w:top w:val="outset" w:sz="6" w:space="0" w:color="auto"/>
              <w:left w:val="outset" w:sz="6" w:space="0" w:color="auto"/>
              <w:bottom w:val="outset" w:sz="6" w:space="0" w:color="auto"/>
              <w:right w:val="outset" w:sz="6" w:space="0" w:color="auto"/>
            </w:tcBorders>
            <w:vAlign w:val="center"/>
            <w:hideMark/>
          </w:tcPr>
          <w:p w14:paraId="2E691197"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9B6E3D" w:rsidRPr="009B6E3D">
              <w:rPr>
                <w:rFonts w:ascii="Times New Roman" w:hAnsi="Times New Roman" w:cs="Times New Roman"/>
              </w:rPr>
              <w:t>Nav precīzi aprēķināms</w:t>
            </w:r>
          </w:p>
        </w:tc>
      </w:tr>
      <w:tr w:rsidR="00583C19" w:rsidRPr="00996A07" w14:paraId="471F1FC6"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6C1E0A3D"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77BBC65"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952" w:type="dxa"/>
            <w:tcBorders>
              <w:top w:val="outset" w:sz="6" w:space="0" w:color="auto"/>
              <w:left w:val="outset" w:sz="6" w:space="0" w:color="auto"/>
              <w:bottom w:val="outset" w:sz="6" w:space="0" w:color="auto"/>
              <w:right w:val="outset" w:sz="6" w:space="0" w:color="auto"/>
            </w:tcBorders>
            <w:vAlign w:val="center"/>
            <w:hideMark/>
          </w:tcPr>
          <w:p w14:paraId="40F760CF" w14:textId="77777777" w:rsidR="00996A07" w:rsidRPr="00996A07" w:rsidRDefault="009B6E3D" w:rsidP="005D7530">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1114" w:type="dxa"/>
            <w:vMerge/>
            <w:tcBorders>
              <w:top w:val="outset" w:sz="6" w:space="0" w:color="auto"/>
              <w:left w:val="outset" w:sz="6" w:space="0" w:color="auto"/>
              <w:bottom w:val="outset" w:sz="6" w:space="0" w:color="auto"/>
              <w:right w:val="outset" w:sz="6" w:space="0" w:color="auto"/>
            </w:tcBorders>
            <w:vAlign w:val="center"/>
            <w:hideMark/>
          </w:tcPr>
          <w:p w14:paraId="6D49B12D"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1139" w:type="dxa"/>
            <w:tcBorders>
              <w:top w:val="outset" w:sz="6" w:space="0" w:color="auto"/>
              <w:left w:val="outset" w:sz="6" w:space="0" w:color="auto"/>
              <w:bottom w:val="outset" w:sz="6" w:space="0" w:color="auto"/>
              <w:right w:val="outset" w:sz="6" w:space="0" w:color="auto"/>
            </w:tcBorders>
            <w:vAlign w:val="center"/>
            <w:hideMark/>
          </w:tcPr>
          <w:p w14:paraId="3F1EEC3B" w14:textId="77777777" w:rsidR="00996A07" w:rsidRPr="00996A07" w:rsidRDefault="009B6E3D" w:rsidP="005D7530">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20596808" w14:textId="77777777" w:rsidR="00996A07" w:rsidRPr="009B6E3D" w:rsidRDefault="00996A07" w:rsidP="005D7530">
            <w:pPr>
              <w:spacing w:after="0" w:line="240" w:lineRule="auto"/>
              <w:rPr>
                <w:rFonts w:ascii="Times New Roman" w:eastAsia="Times New Roman" w:hAnsi="Times New Roman" w:cs="Times New Roman"/>
                <w:iCs/>
                <w:lang w:val="en-US"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20F8B128" w14:textId="77777777" w:rsidR="00996A07" w:rsidRPr="009B6E3D" w:rsidRDefault="009B6E3D" w:rsidP="005D7530">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c>
          <w:tcPr>
            <w:tcW w:w="947" w:type="dxa"/>
            <w:tcBorders>
              <w:top w:val="outset" w:sz="6" w:space="0" w:color="auto"/>
              <w:left w:val="outset" w:sz="6" w:space="0" w:color="auto"/>
              <w:bottom w:val="outset" w:sz="6" w:space="0" w:color="auto"/>
              <w:right w:val="outset" w:sz="6" w:space="0" w:color="auto"/>
            </w:tcBorders>
            <w:vAlign w:val="center"/>
            <w:hideMark/>
          </w:tcPr>
          <w:p w14:paraId="7FB1127C" w14:textId="77777777" w:rsidR="00996A07" w:rsidRPr="009B6E3D" w:rsidRDefault="009B6E3D" w:rsidP="005D7530">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r>
      <w:tr w:rsidR="00583C19" w:rsidRPr="00996A07" w14:paraId="19A74A0E"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1012CB2B"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C08FB1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952" w:type="dxa"/>
            <w:tcBorders>
              <w:top w:val="outset" w:sz="6" w:space="0" w:color="auto"/>
              <w:left w:val="outset" w:sz="6" w:space="0" w:color="auto"/>
              <w:bottom w:val="outset" w:sz="6" w:space="0" w:color="auto"/>
              <w:right w:val="outset" w:sz="6" w:space="0" w:color="auto"/>
            </w:tcBorders>
            <w:vAlign w:val="center"/>
            <w:hideMark/>
          </w:tcPr>
          <w:p w14:paraId="3F95DD0D"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vMerge/>
            <w:tcBorders>
              <w:top w:val="outset" w:sz="6" w:space="0" w:color="auto"/>
              <w:left w:val="outset" w:sz="6" w:space="0" w:color="auto"/>
              <w:bottom w:val="outset" w:sz="6" w:space="0" w:color="auto"/>
              <w:right w:val="outset" w:sz="6" w:space="0" w:color="auto"/>
            </w:tcBorders>
            <w:vAlign w:val="center"/>
            <w:hideMark/>
          </w:tcPr>
          <w:p w14:paraId="734E15EF"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1139" w:type="dxa"/>
            <w:tcBorders>
              <w:top w:val="outset" w:sz="6" w:space="0" w:color="auto"/>
              <w:left w:val="outset" w:sz="6" w:space="0" w:color="auto"/>
              <w:bottom w:val="outset" w:sz="6" w:space="0" w:color="auto"/>
              <w:right w:val="outset" w:sz="6" w:space="0" w:color="auto"/>
            </w:tcBorders>
            <w:vAlign w:val="center"/>
            <w:hideMark/>
          </w:tcPr>
          <w:p w14:paraId="15AC6657"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11DEDC78" w14:textId="77777777" w:rsidR="00996A07" w:rsidRPr="009B6E3D" w:rsidRDefault="00996A07" w:rsidP="005D7530">
            <w:pPr>
              <w:spacing w:after="0" w:line="240" w:lineRule="auto"/>
              <w:rPr>
                <w:rFonts w:ascii="Times New Roman" w:eastAsia="Times New Roman" w:hAnsi="Times New Roman" w:cs="Times New Roman"/>
                <w:iCs/>
                <w:lang w:val="en-US"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2DBC984C"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372B77FF" w14:textId="77777777" w:rsidR="00996A07" w:rsidRPr="009B6E3D" w:rsidRDefault="00996A07" w:rsidP="005D7530">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005D7530" w:rsidRPr="009B6E3D">
              <w:rPr>
                <w:rFonts w:ascii="Times New Roman" w:eastAsia="Times New Roman" w:hAnsi="Times New Roman" w:cs="Times New Roman"/>
                <w:iCs/>
                <w:lang w:val="en-US" w:eastAsia="lv-LV"/>
              </w:rPr>
              <w:t>0</w:t>
            </w:r>
          </w:p>
        </w:tc>
      </w:tr>
      <w:tr w:rsidR="00583C19" w:rsidRPr="00996A07" w14:paraId="2C72B51F" w14:textId="77777777" w:rsidTr="00496B74">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41D0BB73"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FB405BD"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952" w:type="dxa"/>
            <w:tcBorders>
              <w:top w:val="outset" w:sz="6" w:space="0" w:color="auto"/>
              <w:left w:val="outset" w:sz="6" w:space="0" w:color="auto"/>
              <w:bottom w:val="outset" w:sz="6" w:space="0" w:color="auto"/>
              <w:right w:val="outset" w:sz="6" w:space="0" w:color="auto"/>
            </w:tcBorders>
            <w:vAlign w:val="center"/>
            <w:hideMark/>
          </w:tcPr>
          <w:p w14:paraId="384D1122"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114" w:type="dxa"/>
            <w:vMerge/>
            <w:tcBorders>
              <w:top w:val="outset" w:sz="6" w:space="0" w:color="auto"/>
              <w:left w:val="outset" w:sz="6" w:space="0" w:color="auto"/>
              <w:bottom w:val="outset" w:sz="6" w:space="0" w:color="auto"/>
              <w:right w:val="outset" w:sz="6" w:space="0" w:color="auto"/>
            </w:tcBorders>
            <w:vAlign w:val="center"/>
            <w:hideMark/>
          </w:tcPr>
          <w:p w14:paraId="7F97075C"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1139" w:type="dxa"/>
            <w:tcBorders>
              <w:top w:val="outset" w:sz="6" w:space="0" w:color="auto"/>
              <w:left w:val="outset" w:sz="6" w:space="0" w:color="auto"/>
              <w:bottom w:val="outset" w:sz="6" w:space="0" w:color="auto"/>
              <w:right w:val="outset" w:sz="6" w:space="0" w:color="auto"/>
            </w:tcBorders>
            <w:vAlign w:val="center"/>
            <w:hideMark/>
          </w:tcPr>
          <w:p w14:paraId="60025599"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549AAE1D"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4D167F14"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15F55C"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588DC128" w14:textId="77777777" w:rsidTr="00583C1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479B32EA" w14:textId="77777777" w:rsidR="00996A07" w:rsidRPr="00B13C90" w:rsidRDefault="00996A07" w:rsidP="005D7530">
            <w:pPr>
              <w:spacing w:after="0" w:line="240" w:lineRule="auto"/>
              <w:rPr>
                <w:rFonts w:ascii="Times New Roman" w:eastAsia="Times New Roman" w:hAnsi="Times New Roman" w:cs="Times New Roman"/>
                <w:iCs/>
                <w:sz w:val="24"/>
                <w:szCs w:val="24"/>
                <w:lang w:eastAsia="lv-LV"/>
              </w:rPr>
            </w:pPr>
            <w:r w:rsidRPr="00B13C9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5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7FD0DE1" w14:textId="1B380F22" w:rsidR="005D7530" w:rsidRPr="005D7530" w:rsidRDefault="00996A07" w:rsidP="005D7530">
            <w:pPr>
              <w:pStyle w:val="FootnoteText"/>
              <w:ind w:left="122" w:right="180"/>
              <w:jc w:val="both"/>
              <w:rPr>
                <w:sz w:val="24"/>
                <w:szCs w:val="24"/>
              </w:rPr>
            </w:pPr>
            <w:r w:rsidRPr="00996A07">
              <w:rPr>
                <w:iCs/>
                <w:sz w:val="24"/>
                <w:szCs w:val="24"/>
              </w:rPr>
              <w:t> </w:t>
            </w:r>
            <w:r w:rsidR="005D7530" w:rsidRPr="005D7530">
              <w:rPr>
                <w:sz w:val="24"/>
                <w:szCs w:val="24"/>
              </w:rPr>
              <w:t>VVD sniedz pārskatu par konstatēto pārkāpumu skaitu un piemēroto soda naudas apmēru pēc LAPK. Minētā informācija ir pieejama VVD tīmekļvietnē</w:t>
            </w:r>
            <w:r w:rsidR="00F114A8">
              <w:rPr>
                <w:rStyle w:val="FootnoteReference"/>
                <w:sz w:val="24"/>
                <w:szCs w:val="24"/>
              </w:rPr>
              <w:footnoteReference w:id="3"/>
            </w:r>
            <w:r w:rsidR="005D7530" w:rsidRPr="005D7530">
              <w:rPr>
                <w:sz w:val="24"/>
                <w:szCs w:val="24"/>
              </w:rPr>
              <w:t>. Ņemot vērā, ka informācija par sodu piemērošanu tiek apkopota pēc LAPK pantiem, neizdalot konstatēto pārkāpumus par atsevišķām LAPK panta daļām, VVD informēja, ka, pamatojoties uz LAPK 84. panta otro daļu, sods nav piemērots vispār. Tādējādi secināms, ka par ietekmes uz vidi novērtējuma regulējošo normatīvo aktu pārkāpšanu piemērotie sodi tikai saskaņā ar LAPK 88.</w:t>
            </w:r>
            <w:r w:rsidR="005D7530" w:rsidRPr="005D7530">
              <w:rPr>
                <w:sz w:val="24"/>
                <w:szCs w:val="24"/>
                <w:vertAlign w:val="superscript"/>
              </w:rPr>
              <w:t>7</w:t>
            </w:r>
            <w:r w:rsidR="005D7530" w:rsidRPr="005D7530">
              <w:rPr>
                <w:sz w:val="24"/>
                <w:szCs w:val="24"/>
              </w:rPr>
              <w:t> pantu.</w:t>
            </w:r>
          </w:p>
          <w:p w14:paraId="320A4688" w14:textId="77777777" w:rsidR="009C1C77" w:rsidRDefault="009C1C77" w:rsidP="009B6E3D">
            <w:pPr>
              <w:pStyle w:val="FootnoteText"/>
              <w:ind w:right="180"/>
              <w:jc w:val="both"/>
              <w:rPr>
                <w:sz w:val="24"/>
                <w:szCs w:val="24"/>
              </w:rPr>
            </w:pPr>
          </w:p>
          <w:p w14:paraId="4F40A86C" w14:textId="77777777" w:rsidR="009C1C77" w:rsidRPr="005D7530" w:rsidRDefault="009C1C77" w:rsidP="005D7530">
            <w:pPr>
              <w:pStyle w:val="FootnoteText"/>
              <w:ind w:left="122" w:right="180"/>
              <w:jc w:val="both"/>
              <w:rPr>
                <w:sz w:val="24"/>
                <w:szCs w:val="24"/>
              </w:rPr>
            </w:pPr>
          </w:p>
          <w:p w14:paraId="7E8A08FA" w14:textId="77777777" w:rsidR="005D7530" w:rsidRPr="005D7530" w:rsidRDefault="005D7530" w:rsidP="005D7530">
            <w:pPr>
              <w:spacing w:after="120"/>
              <w:jc w:val="both"/>
              <w:rPr>
                <w:rFonts w:ascii="Times New Roman" w:hAnsi="Times New Roman" w:cs="Times New Roman"/>
                <w:i/>
                <w:sz w:val="24"/>
                <w:szCs w:val="24"/>
              </w:rPr>
            </w:pPr>
            <w:r w:rsidRPr="005D7530">
              <w:rPr>
                <w:rFonts w:ascii="Times New Roman" w:hAnsi="Times New Roman" w:cs="Times New Roman"/>
                <w:i/>
                <w:sz w:val="24"/>
                <w:szCs w:val="24"/>
              </w:rPr>
              <w:t>Statistika</w:t>
            </w:r>
          </w:p>
          <w:p w14:paraId="1087658B" w14:textId="77777777" w:rsidR="005D7530" w:rsidRPr="005D7530" w:rsidRDefault="005D7530" w:rsidP="005D7530">
            <w:pPr>
              <w:spacing w:after="120"/>
              <w:jc w:val="both"/>
              <w:rPr>
                <w:rFonts w:ascii="Times New Roman" w:hAnsi="Times New Roman" w:cs="Times New Roman"/>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8</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w:t>
            </w:r>
            <w:r w:rsidR="00B13C90" w:rsidRPr="005D7530">
              <w:rPr>
                <w:rFonts w:ascii="Times New Roman" w:hAnsi="Times New Roman" w:cs="Times New Roman"/>
                <w:sz w:val="24"/>
                <w:szCs w:val="24"/>
              </w:rPr>
              <w:t>konstatēj</w:t>
            </w:r>
            <w:r w:rsidR="00B13C90">
              <w:rPr>
                <w:rFonts w:ascii="Times New Roman" w:hAnsi="Times New Roman" w:cs="Times New Roman"/>
                <w:sz w:val="24"/>
                <w:szCs w:val="24"/>
              </w:rPr>
              <w:t>a</w:t>
            </w:r>
            <w:r w:rsidR="00B13C90" w:rsidRPr="005D7530">
              <w:rPr>
                <w:rFonts w:ascii="Times New Roman" w:hAnsi="Times New Roman" w:cs="Times New Roman"/>
                <w:sz w:val="24"/>
                <w:szCs w:val="24"/>
              </w:rPr>
              <w:t xml:space="preserve"> </w:t>
            </w:r>
            <w:r>
              <w:rPr>
                <w:rFonts w:ascii="Times New Roman" w:hAnsi="Times New Roman" w:cs="Times New Roman"/>
                <w:sz w:val="24"/>
                <w:szCs w:val="24"/>
              </w:rPr>
              <w:t>25</w:t>
            </w:r>
            <w:r w:rsidRPr="005D7530">
              <w:rPr>
                <w:rFonts w:ascii="Times New Roman" w:hAnsi="Times New Roman" w:cs="Times New Roman"/>
                <w:sz w:val="24"/>
                <w:szCs w:val="24"/>
              </w:rPr>
              <w:t xml:space="preserve"> pārkāpumus</w:t>
            </w:r>
            <w:proofErr w:type="gramStart"/>
            <w:r w:rsidRPr="005D7530">
              <w:rPr>
                <w:rFonts w:ascii="Times New Roman" w:hAnsi="Times New Roman" w:cs="Times New Roman"/>
                <w:sz w:val="24"/>
                <w:szCs w:val="24"/>
              </w:rPr>
              <w:t xml:space="preserve"> un</w:t>
            </w:r>
            <w:proofErr w:type="gramEnd"/>
            <w:r w:rsidRPr="005D7530">
              <w:rPr>
                <w:rFonts w:ascii="Times New Roman" w:hAnsi="Times New Roman" w:cs="Times New Roman"/>
                <w:sz w:val="24"/>
                <w:szCs w:val="24"/>
              </w:rPr>
              <w:t xml:space="preserve"> kopējais piemēroto soda naudu apmērs ir </w:t>
            </w:r>
            <w:r>
              <w:rPr>
                <w:rFonts w:ascii="Times New Roman" w:hAnsi="Times New Roman" w:cs="Times New Roman"/>
                <w:sz w:val="24"/>
                <w:szCs w:val="24"/>
              </w:rPr>
              <w:t>8630</w:t>
            </w:r>
            <w:r w:rsidRPr="005D7530">
              <w:rPr>
                <w:rFonts w:ascii="Times New Roman" w:hAnsi="Times New Roman" w:cs="Times New Roman"/>
                <w:sz w:val="24"/>
                <w:szCs w:val="24"/>
              </w:rPr>
              <w:t xml:space="preserve"> </w:t>
            </w:r>
            <w:proofErr w:type="spellStart"/>
            <w:r w:rsidRPr="005D7530">
              <w:rPr>
                <w:rFonts w:ascii="Times New Roman" w:hAnsi="Times New Roman" w:cs="Times New Roman"/>
                <w:i/>
                <w:sz w:val="24"/>
                <w:szCs w:val="24"/>
              </w:rPr>
              <w:t>euro</w:t>
            </w:r>
            <w:proofErr w:type="spellEnd"/>
            <w:r w:rsidRPr="005D7530">
              <w:rPr>
                <w:rFonts w:ascii="Times New Roman" w:hAnsi="Times New Roman" w:cs="Times New Roman"/>
                <w:i/>
                <w:sz w:val="24"/>
                <w:szCs w:val="24"/>
              </w:rPr>
              <w:t>.</w:t>
            </w:r>
          </w:p>
          <w:p w14:paraId="354F4FC0" w14:textId="77777777" w:rsidR="005D7530" w:rsidRPr="005D7530" w:rsidRDefault="005D7530" w:rsidP="005D7530">
            <w:pPr>
              <w:spacing w:after="120"/>
              <w:jc w:val="both"/>
              <w:rPr>
                <w:rFonts w:ascii="Times New Roman" w:hAnsi="Times New Roman" w:cs="Times New Roman"/>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7</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w:t>
            </w:r>
            <w:r w:rsidR="00B13C90" w:rsidRPr="005D7530">
              <w:rPr>
                <w:rFonts w:ascii="Times New Roman" w:hAnsi="Times New Roman" w:cs="Times New Roman"/>
                <w:sz w:val="24"/>
                <w:szCs w:val="24"/>
              </w:rPr>
              <w:t>konstatēj</w:t>
            </w:r>
            <w:r w:rsidR="00B13C90">
              <w:rPr>
                <w:rFonts w:ascii="Times New Roman" w:hAnsi="Times New Roman" w:cs="Times New Roman"/>
                <w:sz w:val="24"/>
                <w:szCs w:val="24"/>
              </w:rPr>
              <w:t>a</w:t>
            </w:r>
            <w:r w:rsidR="00B13C90" w:rsidRPr="005D7530">
              <w:rPr>
                <w:rFonts w:ascii="Times New Roman" w:hAnsi="Times New Roman" w:cs="Times New Roman"/>
                <w:sz w:val="24"/>
                <w:szCs w:val="24"/>
              </w:rPr>
              <w:t xml:space="preserve"> </w:t>
            </w:r>
            <w:r>
              <w:rPr>
                <w:rFonts w:ascii="Times New Roman" w:hAnsi="Times New Roman" w:cs="Times New Roman"/>
                <w:sz w:val="24"/>
                <w:szCs w:val="24"/>
              </w:rPr>
              <w:t>19</w:t>
            </w:r>
            <w:r w:rsidRPr="005D7530">
              <w:rPr>
                <w:rFonts w:ascii="Times New Roman" w:hAnsi="Times New Roman" w:cs="Times New Roman"/>
                <w:sz w:val="24"/>
                <w:szCs w:val="24"/>
              </w:rPr>
              <w:t xml:space="preserve"> pārkāpumus</w:t>
            </w:r>
            <w:proofErr w:type="gramStart"/>
            <w:r w:rsidRPr="005D7530">
              <w:rPr>
                <w:rFonts w:ascii="Times New Roman" w:hAnsi="Times New Roman" w:cs="Times New Roman"/>
                <w:sz w:val="24"/>
                <w:szCs w:val="24"/>
              </w:rPr>
              <w:t xml:space="preserve"> un</w:t>
            </w:r>
            <w:proofErr w:type="gramEnd"/>
            <w:r w:rsidRPr="005D7530">
              <w:rPr>
                <w:rFonts w:ascii="Times New Roman" w:hAnsi="Times New Roman" w:cs="Times New Roman"/>
                <w:sz w:val="24"/>
                <w:szCs w:val="24"/>
              </w:rPr>
              <w:t xml:space="preserve"> kopējais piemēroto soda naudu apmērs ir </w:t>
            </w:r>
            <w:r>
              <w:rPr>
                <w:rFonts w:ascii="Times New Roman" w:hAnsi="Times New Roman" w:cs="Times New Roman"/>
                <w:sz w:val="24"/>
                <w:szCs w:val="24"/>
              </w:rPr>
              <w:t>6355</w:t>
            </w:r>
            <w:r w:rsidRPr="005D7530">
              <w:rPr>
                <w:rFonts w:ascii="Times New Roman" w:hAnsi="Times New Roman" w:cs="Times New Roman"/>
                <w:sz w:val="24"/>
                <w:szCs w:val="24"/>
              </w:rPr>
              <w:t xml:space="preserve"> </w:t>
            </w:r>
            <w:proofErr w:type="spellStart"/>
            <w:r w:rsidRPr="005D7530">
              <w:rPr>
                <w:rFonts w:ascii="Times New Roman" w:hAnsi="Times New Roman" w:cs="Times New Roman"/>
                <w:i/>
                <w:sz w:val="24"/>
                <w:szCs w:val="24"/>
              </w:rPr>
              <w:t>euro</w:t>
            </w:r>
            <w:proofErr w:type="spellEnd"/>
            <w:r w:rsidRPr="005D7530">
              <w:rPr>
                <w:rFonts w:ascii="Times New Roman" w:hAnsi="Times New Roman" w:cs="Times New Roman"/>
                <w:i/>
                <w:sz w:val="24"/>
                <w:szCs w:val="24"/>
              </w:rPr>
              <w:t>.</w:t>
            </w:r>
          </w:p>
          <w:p w14:paraId="3EB352D0" w14:textId="77777777" w:rsidR="005D7530" w:rsidRPr="005D7530" w:rsidRDefault="005D7530" w:rsidP="005D7530">
            <w:pPr>
              <w:spacing w:after="120"/>
              <w:jc w:val="both"/>
              <w:rPr>
                <w:rFonts w:ascii="Times New Roman" w:hAnsi="Times New Roman" w:cs="Times New Roman"/>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2016. gadā</w:t>
            </w:r>
            <w:r w:rsidRPr="005D7530">
              <w:rPr>
                <w:rFonts w:ascii="Times New Roman" w:hAnsi="Times New Roman" w:cs="Times New Roman"/>
                <w:sz w:val="24"/>
                <w:szCs w:val="24"/>
              </w:rPr>
              <w:t xml:space="preserve"> </w:t>
            </w:r>
            <w:r w:rsidR="00B13C90" w:rsidRPr="005D7530">
              <w:rPr>
                <w:rFonts w:ascii="Times New Roman" w:hAnsi="Times New Roman" w:cs="Times New Roman"/>
                <w:sz w:val="24"/>
                <w:szCs w:val="24"/>
              </w:rPr>
              <w:t>konstatēj</w:t>
            </w:r>
            <w:r w:rsidR="00B13C90">
              <w:rPr>
                <w:rFonts w:ascii="Times New Roman" w:hAnsi="Times New Roman" w:cs="Times New Roman"/>
                <w:sz w:val="24"/>
                <w:szCs w:val="24"/>
              </w:rPr>
              <w:t>a</w:t>
            </w:r>
            <w:r w:rsidR="00B13C90" w:rsidRPr="005D7530">
              <w:rPr>
                <w:rFonts w:ascii="Times New Roman" w:hAnsi="Times New Roman" w:cs="Times New Roman"/>
                <w:sz w:val="24"/>
                <w:szCs w:val="24"/>
              </w:rPr>
              <w:t xml:space="preserve"> </w:t>
            </w:r>
            <w:r w:rsidRPr="005D7530">
              <w:rPr>
                <w:rFonts w:ascii="Times New Roman" w:hAnsi="Times New Roman" w:cs="Times New Roman"/>
                <w:sz w:val="24"/>
                <w:szCs w:val="24"/>
              </w:rPr>
              <w:t>30 pārkāpumus</w:t>
            </w:r>
            <w:proofErr w:type="gramStart"/>
            <w:r w:rsidRPr="005D7530">
              <w:rPr>
                <w:rFonts w:ascii="Times New Roman" w:hAnsi="Times New Roman" w:cs="Times New Roman"/>
                <w:sz w:val="24"/>
                <w:szCs w:val="24"/>
              </w:rPr>
              <w:t xml:space="preserve"> un</w:t>
            </w:r>
            <w:proofErr w:type="gramEnd"/>
            <w:r w:rsidRPr="005D7530">
              <w:rPr>
                <w:rFonts w:ascii="Times New Roman" w:hAnsi="Times New Roman" w:cs="Times New Roman"/>
                <w:sz w:val="24"/>
                <w:szCs w:val="24"/>
              </w:rPr>
              <w:t xml:space="preserve"> kopējais piemēroto soda naudu apmērs ir 14030 </w:t>
            </w:r>
            <w:proofErr w:type="spellStart"/>
            <w:r w:rsidRPr="005D7530">
              <w:rPr>
                <w:rFonts w:ascii="Times New Roman" w:hAnsi="Times New Roman" w:cs="Times New Roman"/>
                <w:i/>
                <w:sz w:val="24"/>
                <w:szCs w:val="24"/>
              </w:rPr>
              <w:t>euro</w:t>
            </w:r>
            <w:proofErr w:type="spellEnd"/>
            <w:r w:rsidRPr="005D7530">
              <w:rPr>
                <w:rFonts w:ascii="Times New Roman" w:hAnsi="Times New Roman" w:cs="Times New Roman"/>
                <w:i/>
                <w:sz w:val="24"/>
                <w:szCs w:val="24"/>
              </w:rPr>
              <w:t>.</w:t>
            </w:r>
          </w:p>
          <w:p w14:paraId="007CDC25" w14:textId="77777777" w:rsidR="005D7530" w:rsidRPr="005E1886" w:rsidRDefault="005D7530" w:rsidP="005D7530">
            <w:pPr>
              <w:spacing w:after="120"/>
              <w:jc w:val="both"/>
              <w:rPr>
                <w:rFonts w:ascii="Times New Roman" w:hAnsi="Times New Roman" w:cs="Times New Roman"/>
                <w:i/>
                <w:sz w:val="24"/>
                <w:szCs w:val="24"/>
              </w:rPr>
            </w:pPr>
            <w:r w:rsidRPr="005D7530">
              <w:rPr>
                <w:rFonts w:ascii="Times New Roman" w:hAnsi="Times New Roman" w:cs="Times New Roman"/>
                <w:i/>
                <w:sz w:val="24"/>
                <w:szCs w:val="24"/>
              </w:rPr>
              <w:t>Se</w:t>
            </w:r>
            <w:r w:rsidRPr="005E1886">
              <w:rPr>
                <w:rFonts w:ascii="Times New Roman" w:hAnsi="Times New Roman" w:cs="Times New Roman"/>
                <w:i/>
                <w:sz w:val="24"/>
                <w:szCs w:val="24"/>
              </w:rPr>
              <w:t>cinājumi</w:t>
            </w:r>
          </w:p>
          <w:p w14:paraId="51161E1B" w14:textId="77777777" w:rsidR="00996A07" w:rsidRPr="00996A07" w:rsidRDefault="005D7530" w:rsidP="005E1886">
            <w:pPr>
              <w:spacing w:after="0" w:line="240" w:lineRule="auto"/>
              <w:jc w:val="both"/>
              <w:rPr>
                <w:rFonts w:ascii="Times New Roman" w:eastAsia="Times New Roman" w:hAnsi="Times New Roman" w:cs="Times New Roman"/>
                <w:iCs/>
                <w:sz w:val="24"/>
                <w:szCs w:val="24"/>
                <w:lang w:eastAsia="lv-LV"/>
              </w:rPr>
            </w:pPr>
            <w:r w:rsidRPr="005E1886">
              <w:rPr>
                <w:rFonts w:ascii="Times New Roman" w:hAnsi="Times New Roman" w:cs="Times New Roman"/>
                <w:sz w:val="24"/>
                <w:szCs w:val="24"/>
              </w:rPr>
              <w:t>Netiek prognozēts ievērojams pieaugums sodu sankciju pi</w:t>
            </w:r>
            <w:r w:rsidR="005E1886" w:rsidRPr="005E1886">
              <w:rPr>
                <w:rFonts w:ascii="Times New Roman" w:hAnsi="Times New Roman" w:cs="Times New Roman"/>
                <w:sz w:val="24"/>
                <w:szCs w:val="24"/>
              </w:rPr>
              <w:t>emērošanā un soda naudas apmērā</w:t>
            </w:r>
            <w:r w:rsidRPr="005E1886">
              <w:rPr>
                <w:rFonts w:ascii="Times New Roman" w:hAnsi="Times New Roman" w:cs="Times New Roman"/>
                <w:sz w:val="24"/>
                <w:szCs w:val="24"/>
              </w:rPr>
              <w:t>.</w:t>
            </w:r>
          </w:p>
        </w:tc>
      </w:tr>
      <w:tr w:rsidR="00996A07" w:rsidRPr="00996A07" w14:paraId="143752BB" w14:textId="77777777" w:rsidTr="00583C1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1380E8C"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6.1. detalizēts ieņēmumu aprēķins</w:t>
            </w:r>
          </w:p>
        </w:tc>
        <w:tc>
          <w:tcPr>
            <w:tcW w:w="7751" w:type="dxa"/>
            <w:gridSpan w:val="7"/>
            <w:vMerge/>
            <w:tcBorders>
              <w:top w:val="outset" w:sz="6" w:space="0" w:color="auto"/>
              <w:left w:val="outset" w:sz="6" w:space="0" w:color="auto"/>
              <w:bottom w:val="outset" w:sz="6" w:space="0" w:color="auto"/>
              <w:right w:val="outset" w:sz="6" w:space="0" w:color="auto"/>
            </w:tcBorders>
            <w:vAlign w:val="center"/>
            <w:hideMark/>
          </w:tcPr>
          <w:p w14:paraId="6E92E3B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r>
      <w:tr w:rsidR="00996A07" w:rsidRPr="00996A07" w14:paraId="006C1C6A" w14:textId="77777777" w:rsidTr="00583C1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96D82A9"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6.2. detalizēts izdevumu aprēķins</w:t>
            </w:r>
          </w:p>
        </w:tc>
        <w:tc>
          <w:tcPr>
            <w:tcW w:w="7751" w:type="dxa"/>
            <w:gridSpan w:val="7"/>
            <w:vMerge/>
            <w:tcBorders>
              <w:top w:val="outset" w:sz="6" w:space="0" w:color="auto"/>
              <w:left w:val="outset" w:sz="6" w:space="0" w:color="auto"/>
              <w:bottom w:val="outset" w:sz="6" w:space="0" w:color="auto"/>
              <w:right w:val="outset" w:sz="6" w:space="0" w:color="auto"/>
            </w:tcBorders>
            <w:vAlign w:val="center"/>
            <w:hideMark/>
          </w:tcPr>
          <w:p w14:paraId="693A661C"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r>
      <w:tr w:rsidR="00996A07" w:rsidRPr="00996A07" w14:paraId="56BF782B" w14:textId="77777777" w:rsidTr="00583C1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4E8AB29F"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7. Amata vietu skaita izmaiņas</w:t>
            </w:r>
          </w:p>
        </w:tc>
        <w:tc>
          <w:tcPr>
            <w:tcW w:w="7751" w:type="dxa"/>
            <w:gridSpan w:val="7"/>
            <w:tcBorders>
              <w:top w:val="outset" w:sz="6" w:space="0" w:color="auto"/>
              <w:left w:val="outset" w:sz="6" w:space="0" w:color="auto"/>
              <w:bottom w:val="outset" w:sz="6" w:space="0" w:color="auto"/>
              <w:right w:val="outset" w:sz="6" w:space="0" w:color="auto"/>
            </w:tcBorders>
            <w:hideMark/>
          </w:tcPr>
          <w:p w14:paraId="39F36CBB" w14:textId="792885C6" w:rsidR="00996A07" w:rsidRDefault="005D7530"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Nav plānotas amata vietu skaita izmaiņas</w:t>
            </w:r>
            <w:r w:rsidR="00472540">
              <w:rPr>
                <w:rFonts w:ascii="Times New Roman" w:eastAsia="Times New Roman" w:hAnsi="Times New Roman" w:cs="Times New Roman"/>
                <w:iCs/>
                <w:sz w:val="24"/>
                <w:szCs w:val="24"/>
                <w:lang w:eastAsia="lv-LV"/>
              </w:rPr>
              <w:t>.</w:t>
            </w:r>
          </w:p>
          <w:p w14:paraId="4A9F279C" w14:textId="77777777" w:rsidR="009C1C77" w:rsidRPr="006A76D8" w:rsidRDefault="009C1C77" w:rsidP="009B6E3D">
            <w:pPr>
              <w:rPr>
                <w:rFonts w:ascii="Times New Roman" w:eastAsia="Times New Roman" w:hAnsi="Times New Roman" w:cs="Times New Roman"/>
                <w:iCs/>
                <w:sz w:val="24"/>
                <w:szCs w:val="24"/>
                <w:lang w:eastAsia="lv-LV"/>
              </w:rPr>
            </w:pPr>
          </w:p>
        </w:tc>
      </w:tr>
      <w:tr w:rsidR="00996A07" w:rsidRPr="00996A07" w14:paraId="136B91A7" w14:textId="77777777" w:rsidTr="00583C19">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A71E410"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xml:space="preserve">8. </w:t>
            </w:r>
            <w:r w:rsidRPr="006A76D8">
              <w:rPr>
                <w:rFonts w:ascii="Times New Roman" w:eastAsia="Times New Roman" w:hAnsi="Times New Roman" w:cs="Times New Roman"/>
                <w:iCs/>
                <w:sz w:val="24"/>
                <w:szCs w:val="24"/>
                <w:lang w:eastAsia="lv-LV"/>
              </w:rPr>
              <w:t>Cita informācija</w:t>
            </w:r>
          </w:p>
        </w:tc>
        <w:tc>
          <w:tcPr>
            <w:tcW w:w="7751" w:type="dxa"/>
            <w:gridSpan w:val="7"/>
            <w:tcBorders>
              <w:top w:val="outset" w:sz="6" w:space="0" w:color="auto"/>
              <w:left w:val="outset" w:sz="6" w:space="0" w:color="auto"/>
              <w:bottom w:val="outset" w:sz="6" w:space="0" w:color="auto"/>
              <w:right w:val="outset" w:sz="6" w:space="0" w:color="auto"/>
            </w:tcBorders>
            <w:hideMark/>
          </w:tcPr>
          <w:p w14:paraId="4E46F681" w14:textId="77777777" w:rsidR="00996A07" w:rsidRPr="005D7530" w:rsidRDefault="005D7530" w:rsidP="00472540">
            <w:pPr>
              <w:spacing w:after="0" w:line="240" w:lineRule="auto"/>
              <w:jc w:val="both"/>
              <w:rPr>
                <w:rFonts w:ascii="Times New Roman" w:eastAsia="Times New Roman" w:hAnsi="Times New Roman" w:cs="Times New Roman"/>
                <w:iCs/>
                <w:sz w:val="24"/>
                <w:szCs w:val="24"/>
                <w:lang w:val="en-US" w:eastAsia="lv-LV"/>
              </w:rPr>
            </w:pPr>
            <w:r w:rsidRPr="005D7530">
              <w:rPr>
                <w:rFonts w:ascii="Times New Roman" w:hAnsi="Times New Roman" w:cs="Times New Roman"/>
                <w:sz w:val="24"/>
                <w:szCs w:val="24"/>
              </w:rPr>
              <w:t>VVD 201</w:t>
            </w:r>
            <w:r>
              <w:rPr>
                <w:rFonts w:ascii="Times New Roman" w:hAnsi="Times New Roman" w:cs="Times New Roman"/>
                <w:sz w:val="24"/>
                <w:szCs w:val="24"/>
              </w:rPr>
              <w:t>8</w:t>
            </w:r>
            <w:r w:rsidRPr="005D7530">
              <w:rPr>
                <w:rFonts w:ascii="Times New Roman" w:hAnsi="Times New Roman" w:cs="Times New Roman"/>
                <w:sz w:val="24"/>
                <w:szCs w:val="24"/>
              </w:rPr>
              <w:t xml:space="preserve">. gadā </w:t>
            </w:r>
            <w:r w:rsidR="00B13C90">
              <w:rPr>
                <w:rFonts w:ascii="Times New Roman" w:hAnsi="Times New Roman" w:cs="Times New Roman"/>
                <w:sz w:val="24"/>
                <w:szCs w:val="24"/>
              </w:rPr>
              <w:t>konstatēja</w:t>
            </w:r>
            <w:r>
              <w:rPr>
                <w:rFonts w:ascii="Times New Roman" w:hAnsi="Times New Roman" w:cs="Times New Roman"/>
                <w:sz w:val="24"/>
                <w:szCs w:val="24"/>
              </w:rPr>
              <w:t xml:space="preserve"> 25</w:t>
            </w:r>
            <w:r w:rsidRPr="005D7530">
              <w:rPr>
                <w:rFonts w:ascii="Times New Roman" w:hAnsi="Times New Roman" w:cs="Times New Roman"/>
                <w:sz w:val="24"/>
                <w:szCs w:val="24"/>
              </w:rPr>
              <w:t xml:space="preserve"> </w:t>
            </w:r>
            <w:r w:rsidR="00B13C90" w:rsidRPr="005D7530">
              <w:rPr>
                <w:rFonts w:ascii="Times New Roman" w:hAnsi="Times New Roman" w:cs="Times New Roman"/>
                <w:sz w:val="24"/>
                <w:szCs w:val="24"/>
              </w:rPr>
              <w:t>pārkāpum</w:t>
            </w:r>
            <w:r w:rsidR="00B13C90">
              <w:rPr>
                <w:rFonts w:ascii="Times New Roman" w:hAnsi="Times New Roman" w:cs="Times New Roman"/>
                <w:sz w:val="24"/>
                <w:szCs w:val="24"/>
              </w:rPr>
              <w:t>us, par kuriem</w:t>
            </w:r>
            <w:r w:rsidRPr="005D7530">
              <w:rPr>
                <w:rFonts w:ascii="Times New Roman" w:hAnsi="Times New Roman" w:cs="Times New Roman"/>
                <w:sz w:val="24"/>
                <w:szCs w:val="24"/>
              </w:rPr>
              <w:t xml:space="preserve"> kopējais piemērotās soda naudas apmērs sasniedz </w:t>
            </w:r>
            <w:r>
              <w:rPr>
                <w:rFonts w:ascii="Times New Roman" w:hAnsi="Times New Roman" w:cs="Times New Roman"/>
                <w:sz w:val="24"/>
                <w:szCs w:val="24"/>
              </w:rPr>
              <w:t>8630</w:t>
            </w:r>
            <w:r w:rsidRPr="005D7530">
              <w:rPr>
                <w:rFonts w:ascii="Times New Roman" w:hAnsi="Times New Roman" w:cs="Times New Roman"/>
                <w:sz w:val="24"/>
                <w:szCs w:val="24"/>
              </w:rPr>
              <w:t xml:space="preserve"> </w:t>
            </w:r>
            <w:proofErr w:type="spellStart"/>
            <w:r w:rsidRPr="005D7530">
              <w:rPr>
                <w:rFonts w:ascii="Times New Roman" w:hAnsi="Times New Roman" w:cs="Times New Roman"/>
                <w:i/>
                <w:sz w:val="24"/>
                <w:szCs w:val="24"/>
              </w:rPr>
              <w:t>euro</w:t>
            </w:r>
            <w:proofErr w:type="spellEnd"/>
            <w:r w:rsidRPr="005D7530">
              <w:rPr>
                <w:rFonts w:ascii="Times New Roman" w:hAnsi="Times New Roman" w:cs="Times New Roman"/>
                <w:sz w:val="24"/>
                <w:szCs w:val="24"/>
              </w:rPr>
              <w:t>. Tiek prognozēts, ka turpmākajos gados naudas soda apmērs nepalielināsies.</w:t>
            </w:r>
          </w:p>
        </w:tc>
      </w:tr>
    </w:tbl>
    <w:p w14:paraId="20BF5E87" w14:textId="77777777" w:rsidR="00996A07" w:rsidRPr="00996A07" w:rsidRDefault="00996A07" w:rsidP="00894177">
      <w:pPr>
        <w:spacing w:after="0" w:line="240" w:lineRule="auto"/>
        <w:rPr>
          <w:rFonts w:ascii="Times New Roman" w:eastAsia="Times New Roman" w:hAnsi="Times New Roman" w:cs="Times New Roman"/>
          <w:iCs/>
          <w:sz w:val="24"/>
          <w:szCs w:val="24"/>
          <w:lang w:eastAsia="lv-LV"/>
        </w:rPr>
      </w:pPr>
    </w:p>
    <w:p w14:paraId="689A36FC" w14:textId="77777777" w:rsidR="00E5323B" w:rsidRPr="00996A07" w:rsidRDefault="00E5323B" w:rsidP="00894177">
      <w:pPr>
        <w:spacing w:after="0" w:line="240" w:lineRule="auto"/>
        <w:rPr>
          <w:rFonts w:ascii="Times New Roman" w:eastAsia="Times New Roman" w:hAnsi="Times New Roman" w:cs="Times New Roman"/>
          <w:iCs/>
          <w:sz w:val="24"/>
          <w:szCs w:val="24"/>
          <w:lang w:eastAsia="lv-LV"/>
        </w:rPr>
      </w:pPr>
      <w:r w:rsidRPr="00996A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6"/>
      </w:tblGrid>
      <w:tr w:rsidR="00F90AC7" w:rsidRPr="00174413" w14:paraId="46B62001" w14:textId="77777777" w:rsidTr="005D7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C487F" w14:textId="14C5C0AE" w:rsidR="00F90AC7" w:rsidRPr="00174413" w:rsidRDefault="00F90AC7" w:rsidP="00EE0603">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IV. Tiesību akta projekta ietekme uz spēkā esošo tiesību normu sistēmu</w:t>
            </w:r>
          </w:p>
        </w:tc>
      </w:tr>
      <w:tr w:rsidR="00593EB9" w:rsidRPr="00174413" w14:paraId="38866FE4" w14:textId="77777777" w:rsidTr="005D7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F6A78B" w14:textId="181BFFD6" w:rsidR="00593EB9" w:rsidRPr="00174413" w:rsidRDefault="00593EB9" w:rsidP="00593EB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472540">
              <w:rPr>
                <w:rFonts w:ascii="Times New Roman" w:eastAsia="Times New Roman" w:hAnsi="Times New Roman" w:cs="Times New Roman"/>
                <w:iCs/>
                <w:sz w:val="24"/>
                <w:szCs w:val="24"/>
                <w:lang w:eastAsia="lv-LV"/>
              </w:rPr>
              <w:t>.</w:t>
            </w:r>
          </w:p>
        </w:tc>
      </w:tr>
    </w:tbl>
    <w:p w14:paraId="187F42FD" w14:textId="77777777" w:rsidR="00E5323B"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996A07" w:rsidRPr="00044840" w14:paraId="7134774F" w14:textId="77777777" w:rsidTr="005D75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39B07C" w14:textId="77777777" w:rsidR="00996A07" w:rsidRPr="00044840" w:rsidRDefault="00996A07" w:rsidP="00EE0603">
            <w:pPr>
              <w:spacing w:after="0" w:line="240" w:lineRule="auto"/>
              <w:jc w:val="center"/>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w:t>
            </w:r>
            <w:r>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atbilstība Latvijas Republikas starptautiskajām saistībām</w:t>
            </w:r>
          </w:p>
        </w:tc>
      </w:tr>
      <w:tr w:rsidR="00996A07" w:rsidRPr="00044840" w14:paraId="24F55D51" w14:textId="77777777" w:rsidTr="005D75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D211FB"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A087C77"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29B9024" w14:textId="77777777" w:rsidR="00996A07" w:rsidRPr="00044840" w:rsidRDefault="000B11FB" w:rsidP="00063DCF">
            <w:pPr>
              <w:spacing w:after="120"/>
              <w:jc w:val="both"/>
              <w:rPr>
                <w:rFonts w:ascii="Times New Roman" w:hAnsi="Times New Roman" w:cs="Times New Roman"/>
                <w:sz w:val="24"/>
                <w:szCs w:val="24"/>
              </w:rPr>
            </w:pPr>
            <w:r w:rsidRPr="000B11FB">
              <w:rPr>
                <w:rFonts w:ascii="Times New Roman" w:hAnsi="Times New Roman" w:cs="Times New Roman"/>
                <w:sz w:val="24"/>
                <w:szCs w:val="24"/>
              </w:rPr>
              <w:t>Likum</w:t>
            </w:r>
            <w:r w:rsidR="00063DCF">
              <w:rPr>
                <w:rFonts w:ascii="Times New Roman" w:hAnsi="Times New Roman" w:cs="Times New Roman"/>
                <w:sz w:val="24"/>
                <w:szCs w:val="24"/>
              </w:rPr>
              <w:t xml:space="preserve">projektā tiek pārņemtas </w:t>
            </w:r>
            <w:r w:rsidR="00756ED5">
              <w:rPr>
                <w:rFonts w:ascii="Times New Roman" w:hAnsi="Times New Roman" w:cs="Times New Roman"/>
                <w:sz w:val="24"/>
                <w:szCs w:val="24"/>
              </w:rPr>
              <w:t>Direktīvas 2014/52/ES prasības</w:t>
            </w:r>
          </w:p>
        </w:tc>
      </w:tr>
      <w:tr w:rsidR="00996A07" w:rsidRPr="00044840" w14:paraId="0EB85775" w14:textId="77777777" w:rsidTr="005D75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09B4A8"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6485C5"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326CB068"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Projekts šo jomu neskar.</w:t>
            </w:r>
          </w:p>
        </w:tc>
      </w:tr>
      <w:tr w:rsidR="00996A07" w:rsidRPr="00044840" w14:paraId="2C37A54A" w14:textId="77777777" w:rsidTr="005D75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FD688"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1D5EDA3"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0A2B9C" w14:textId="053263BA"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r w:rsidR="00472540">
              <w:rPr>
                <w:rFonts w:ascii="Times New Roman" w:hAnsi="Times New Roman" w:cs="Times New Roman"/>
                <w:sz w:val="24"/>
                <w:szCs w:val="24"/>
              </w:rPr>
              <w:t>.</w:t>
            </w:r>
          </w:p>
        </w:tc>
      </w:tr>
    </w:tbl>
    <w:p w14:paraId="6DCCD965" w14:textId="77777777" w:rsidR="00996A07" w:rsidRPr="00044840" w:rsidRDefault="00996A07" w:rsidP="00996A0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9"/>
        <w:gridCol w:w="2103"/>
        <w:gridCol w:w="2251"/>
        <w:gridCol w:w="2583"/>
      </w:tblGrid>
      <w:tr w:rsidR="00996A07" w:rsidRPr="00044840" w14:paraId="760E010C" w14:textId="77777777" w:rsidTr="001E24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BCDA42" w14:textId="77777777" w:rsidR="00996A07" w:rsidRPr="00044840" w:rsidRDefault="00996A07" w:rsidP="006A76D8">
            <w:pPr>
              <w:spacing w:after="0" w:line="240" w:lineRule="auto"/>
              <w:jc w:val="center"/>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1.</w:t>
            </w:r>
            <w:r>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tabula</w:t>
            </w:r>
            <w:r w:rsidRPr="00044840">
              <w:rPr>
                <w:rFonts w:ascii="Times New Roman" w:eastAsia="Times New Roman" w:hAnsi="Times New Roman" w:cs="Times New Roman"/>
                <w:b/>
                <w:bCs/>
                <w:iCs/>
                <w:sz w:val="24"/>
                <w:szCs w:val="24"/>
                <w:lang w:eastAsia="lv-LV"/>
              </w:rPr>
              <w:br/>
              <w:t>Tiesību akta projekta atbilstība ES tiesību aktiem</w:t>
            </w:r>
          </w:p>
        </w:tc>
      </w:tr>
      <w:tr w:rsidR="00996A07" w:rsidRPr="00044840" w14:paraId="73A14151" w14:textId="77777777" w:rsidTr="001E2472">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124B18DB" w14:textId="77777777" w:rsidR="00996A07" w:rsidRPr="00044840" w:rsidRDefault="00996A07" w:rsidP="005D7530">
            <w:pPr>
              <w:ind w:left="57"/>
              <w:rPr>
                <w:rFonts w:ascii="Times New Roman" w:hAnsi="Times New Roman" w:cs="Times New Roman"/>
                <w:sz w:val="24"/>
                <w:szCs w:val="24"/>
              </w:rPr>
            </w:pPr>
            <w:r w:rsidRPr="00044840">
              <w:rPr>
                <w:rFonts w:ascii="Times New Roman" w:hAnsi="Times New Roman" w:cs="Times New Roman"/>
                <w:sz w:val="24"/>
                <w:szCs w:val="24"/>
              </w:rPr>
              <w:t>Attiecīgā ES tiesību akta datums, numurs un nosaukums</w:t>
            </w:r>
          </w:p>
        </w:tc>
        <w:tc>
          <w:tcPr>
            <w:tcW w:w="3798" w:type="pct"/>
            <w:gridSpan w:val="3"/>
            <w:tcBorders>
              <w:top w:val="outset" w:sz="6" w:space="0" w:color="auto"/>
              <w:left w:val="outset" w:sz="6" w:space="0" w:color="auto"/>
              <w:bottom w:val="outset" w:sz="6" w:space="0" w:color="auto"/>
              <w:right w:val="outset" w:sz="6" w:space="0" w:color="auto"/>
            </w:tcBorders>
            <w:hideMark/>
          </w:tcPr>
          <w:p w14:paraId="660547D2" w14:textId="77777777" w:rsidR="00996A07" w:rsidRPr="00687540" w:rsidRDefault="006A76D8" w:rsidP="000B11FB">
            <w:pPr>
              <w:numPr>
                <w:ilvl w:val="0"/>
                <w:numId w:val="12"/>
              </w:numPr>
              <w:spacing w:after="120" w:line="240" w:lineRule="auto"/>
              <w:ind w:right="55"/>
              <w:jc w:val="both"/>
              <w:rPr>
                <w:rFonts w:ascii="Times New Roman" w:hAnsi="Times New Roman" w:cs="Times New Roman"/>
                <w:sz w:val="24"/>
                <w:szCs w:val="24"/>
              </w:rPr>
            </w:pPr>
            <w:r>
              <w:rPr>
                <w:rFonts w:ascii="Times New Roman" w:hAnsi="Times New Roman" w:cs="Times New Roman"/>
                <w:sz w:val="24"/>
                <w:szCs w:val="24"/>
              </w:rPr>
              <w:t>Direktīva 2014/52/ES</w:t>
            </w:r>
            <w:r w:rsidR="00756ED5">
              <w:rPr>
                <w:rFonts w:ascii="Times New Roman" w:hAnsi="Times New Roman" w:cs="Times New Roman"/>
                <w:sz w:val="24"/>
                <w:szCs w:val="24"/>
              </w:rPr>
              <w:t>.</w:t>
            </w:r>
          </w:p>
        </w:tc>
      </w:tr>
      <w:tr w:rsidR="00996A07" w:rsidRPr="00044840" w14:paraId="0492C009" w14:textId="77777777" w:rsidTr="001E2472">
        <w:trPr>
          <w:tblCellSpacing w:w="15"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0C53AE33"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w:t>
            </w:r>
          </w:p>
        </w:tc>
        <w:tc>
          <w:tcPr>
            <w:tcW w:w="1152" w:type="pct"/>
            <w:tcBorders>
              <w:top w:val="outset" w:sz="6" w:space="0" w:color="auto"/>
              <w:left w:val="outset" w:sz="6" w:space="0" w:color="auto"/>
              <w:bottom w:val="outset" w:sz="6" w:space="0" w:color="auto"/>
              <w:right w:val="outset" w:sz="6" w:space="0" w:color="auto"/>
            </w:tcBorders>
            <w:vAlign w:val="center"/>
            <w:hideMark/>
          </w:tcPr>
          <w:p w14:paraId="014E920E"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B</w:t>
            </w:r>
          </w:p>
        </w:tc>
        <w:tc>
          <w:tcPr>
            <w:tcW w:w="1235" w:type="pct"/>
            <w:tcBorders>
              <w:top w:val="outset" w:sz="6" w:space="0" w:color="auto"/>
              <w:left w:val="outset" w:sz="6" w:space="0" w:color="auto"/>
              <w:bottom w:val="outset" w:sz="6" w:space="0" w:color="auto"/>
              <w:right w:val="outset" w:sz="6" w:space="0" w:color="auto"/>
            </w:tcBorders>
            <w:vAlign w:val="center"/>
            <w:hideMark/>
          </w:tcPr>
          <w:p w14:paraId="3E45C70D"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w:t>
            </w:r>
          </w:p>
        </w:tc>
        <w:tc>
          <w:tcPr>
            <w:tcW w:w="1378" w:type="pct"/>
            <w:tcBorders>
              <w:top w:val="outset" w:sz="6" w:space="0" w:color="auto"/>
              <w:left w:val="outset" w:sz="6" w:space="0" w:color="auto"/>
              <w:bottom w:val="outset" w:sz="6" w:space="0" w:color="auto"/>
              <w:right w:val="outset" w:sz="6" w:space="0" w:color="auto"/>
            </w:tcBorders>
            <w:vAlign w:val="center"/>
            <w:hideMark/>
          </w:tcPr>
          <w:p w14:paraId="15F21EC2"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D</w:t>
            </w:r>
          </w:p>
        </w:tc>
      </w:tr>
      <w:tr w:rsidR="000B11FB" w:rsidRPr="000B11FB" w14:paraId="6E5260D2" w14:textId="77777777" w:rsidTr="001E2472">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0CDDDEA8" w14:textId="77777777" w:rsidR="000B11FB" w:rsidRPr="000B11FB" w:rsidRDefault="000B11FB" w:rsidP="00E074D5">
            <w:pPr>
              <w:ind w:left="57"/>
              <w:jc w:val="center"/>
              <w:rPr>
                <w:rFonts w:ascii="Times New Roman" w:hAnsi="Times New Roman" w:cs="Times New Roman"/>
                <w:spacing w:val="-3"/>
                <w:sz w:val="24"/>
                <w:szCs w:val="24"/>
              </w:rPr>
            </w:pPr>
            <w:r w:rsidRPr="000B11FB">
              <w:rPr>
                <w:rFonts w:ascii="Times New Roman" w:hAnsi="Times New Roman" w:cs="Times New Roman"/>
                <w:spacing w:val="-3"/>
                <w:sz w:val="24"/>
                <w:szCs w:val="24"/>
              </w:rPr>
              <w:t xml:space="preserve">Direktīvas 2014/52/ES </w:t>
            </w:r>
            <w:proofErr w:type="gramStart"/>
            <w:r w:rsidRPr="000B11FB">
              <w:rPr>
                <w:rFonts w:ascii="Times New Roman" w:hAnsi="Times New Roman" w:cs="Times New Roman"/>
                <w:sz w:val="24"/>
                <w:szCs w:val="24"/>
              </w:rPr>
              <w:t>1.panta</w:t>
            </w:r>
            <w:proofErr w:type="gramEnd"/>
            <w:r w:rsidRPr="000B11FB">
              <w:rPr>
                <w:rFonts w:ascii="Times New Roman" w:hAnsi="Times New Roman" w:cs="Times New Roman"/>
                <w:sz w:val="24"/>
                <w:szCs w:val="24"/>
              </w:rPr>
              <w:t xml:space="preserve"> 13.punktā izteiktais 10.a pants</w:t>
            </w:r>
            <w:r w:rsidRPr="000B11FB">
              <w:rPr>
                <w:rFonts w:ascii="Times New Roman" w:hAnsi="Times New Roman" w:cs="Times New Roman"/>
                <w:spacing w:val="-3"/>
                <w:sz w:val="24"/>
                <w:szCs w:val="24"/>
              </w:rPr>
              <w:t xml:space="preserve"> </w:t>
            </w:r>
          </w:p>
        </w:tc>
        <w:tc>
          <w:tcPr>
            <w:tcW w:w="1152" w:type="pct"/>
            <w:tcBorders>
              <w:top w:val="outset" w:sz="6" w:space="0" w:color="auto"/>
              <w:left w:val="outset" w:sz="6" w:space="0" w:color="auto"/>
              <w:bottom w:val="outset" w:sz="6" w:space="0" w:color="auto"/>
              <w:right w:val="outset" w:sz="6" w:space="0" w:color="auto"/>
            </w:tcBorders>
            <w:vAlign w:val="center"/>
          </w:tcPr>
          <w:p w14:paraId="36B38E27" w14:textId="77777777" w:rsidR="000B11FB" w:rsidRPr="000B11FB" w:rsidRDefault="000B11FB" w:rsidP="000B11FB">
            <w:pPr>
              <w:ind w:left="57"/>
              <w:jc w:val="center"/>
              <w:rPr>
                <w:rFonts w:ascii="Times New Roman" w:hAnsi="Times New Roman" w:cs="Times New Roman"/>
                <w:sz w:val="24"/>
                <w:szCs w:val="24"/>
              </w:rPr>
            </w:pPr>
            <w:r w:rsidRPr="000B11FB">
              <w:rPr>
                <w:rFonts w:ascii="Times New Roman" w:hAnsi="Times New Roman" w:cs="Times New Roman"/>
                <w:spacing w:val="-3"/>
                <w:sz w:val="24"/>
                <w:szCs w:val="24"/>
              </w:rPr>
              <w:t xml:space="preserve">Likuma </w:t>
            </w:r>
            <w:r>
              <w:rPr>
                <w:rFonts w:ascii="Times New Roman" w:hAnsi="Times New Roman" w:cs="Times New Roman"/>
                <w:sz w:val="24"/>
                <w:szCs w:val="24"/>
              </w:rPr>
              <w:t>27</w:t>
            </w:r>
            <w:r w:rsidRPr="000B11FB">
              <w:rPr>
                <w:rFonts w:ascii="Times New Roman" w:hAnsi="Times New Roman" w:cs="Times New Roman"/>
                <w:sz w:val="24"/>
                <w:szCs w:val="24"/>
              </w:rPr>
              <w:t>. pants.</w:t>
            </w:r>
          </w:p>
        </w:tc>
        <w:tc>
          <w:tcPr>
            <w:tcW w:w="1235" w:type="pct"/>
            <w:tcBorders>
              <w:top w:val="outset" w:sz="6" w:space="0" w:color="auto"/>
              <w:left w:val="outset" w:sz="6" w:space="0" w:color="auto"/>
              <w:bottom w:val="outset" w:sz="6" w:space="0" w:color="auto"/>
              <w:right w:val="outset" w:sz="6" w:space="0" w:color="auto"/>
            </w:tcBorders>
          </w:tcPr>
          <w:p w14:paraId="21612DB6" w14:textId="77777777" w:rsidR="000B11FB" w:rsidRPr="000B11FB" w:rsidRDefault="000B11FB" w:rsidP="000B11FB">
            <w:pPr>
              <w:ind w:left="57"/>
              <w:jc w:val="center"/>
              <w:rPr>
                <w:rFonts w:ascii="Times New Roman" w:hAnsi="Times New Roman" w:cs="Times New Roman"/>
                <w:sz w:val="24"/>
                <w:szCs w:val="24"/>
              </w:rPr>
            </w:pPr>
            <w:r w:rsidRPr="000B11FB">
              <w:rPr>
                <w:rFonts w:ascii="Times New Roman" w:hAnsi="Times New Roman" w:cs="Times New Roman"/>
                <w:sz w:val="24"/>
                <w:szCs w:val="24"/>
              </w:rPr>
              <w:t>Atbilst pilnībā</w:t>
            </w:r>
          </w:p>
        </w:tc>
        <w:tc>
          <w:tcPr>
            <w:tcW w:w="1378" w:type="pct"/>
            <w:tcBorders>
              <w:top w:val="outset" w:sz="6" w:space="0" w:color="auto"/>
              <w:left w:val="outset" w:sz="6" w:space="0" w:color="auto"/>
              <w:bottom w:val="outset" w:sz="6" w:space="0" w:color="auto"/>
              <w:right w:val="outset" w:sz="6" w:space="0" w:color="auto"/>
            </w:tcBorders>
          </w:tcPr>
          <w:p w14:paraId="282353CB" w14:textId="77777777" w:rsidR="000B11FB" w:rsidRPr="000B11FB" w:rsidRDefault="000B11FB" w:rsidP="000B11FB">
            <w:pPr>
              <w:ind w:left="57"/>
              <w:jc w:val="center"/>
              <w:rPr>
                <w:rFonts w:ascii="Times New Roman" w:hAnsi="Times New Roman" w:cs="Times New Roman"/>
                <w:sz w:val="24"/>
                <w:szCs w:val="24"/>
              </w:rPr>
            </w:pPr>
            <w:r w:rsidRPr="000B11FB">
              <w:rPr>
                <w:rFonts w:ascii="Times New Roman" w:hAnsi="Times New Roman" w:cs="Times New Roman"/>
                <w:sz w:val="24"/>
                <w:szCs w:val="24"/>
              </w:rPr>
              <w:t>Projekts stingrākas prasības neparedz.</w:t>
            </w:r>
          </w:p>
        </w:tc>
      </w:tr>
      <w:tr w:rsidR="00996A07" w:rsidRPr="00044840" w14:paraId="64763A90" w14:textId="77777777" w:rsidTr="001E2472">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69593C77"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proofErr w:type="gramStart"/>
            <w:r w:rsidRPr="00044840">
              <w:rPr>
                <w:rFonts w:ascii="Times New Roman" w:eastAsia="Times New Roman" w:hAnsi="Times New Roman" w:cs="Times New Roman"/>
                <w:iCs/>
                <w:sz w:val="24"/>
                <w:szCs w:val="24"/>
                <w:lang w:eastAsia="lv-LV"/>
              </w:rPr>
              <w:t>Kā ir izmantota ES tiesību aktā paredzētā rīcības brīvība dalībvalstij pārņemt vai ieviest</w:t>
            </w:r>
            <w:proofErr w:type="gramEnd"/>
            <w:r w:rsidRPr="00044840">
              <w:rPr>
                <w:rFonts w:ascii="Times New Roman" w:eastAsia="Times New Roman" w:hAnsi="Times New Roman" w:cs="Times New Roman"/>
                <w:iCs/>
                <w:sz w:val="24"/>
                <w:szCs w:val="24"/>
                <w:lang w:eastAsia="lv-LV"/>
              </w:rPr>
              <w:t xml:space="preserve"> noteiktas ES tiesību akta normas? Kādēļ?</w:t>
            </w:r>
          </w:p>
        </w:tc>
        <w:tc>
          <w:tcPr>
            <w:tcW w:w="3798" w:type="pct"/>
            <w:gridSpan w:val="3"/>
            <w:tcBorders>
              <w:top w:val="outset" w:sz="6" w:space="0" w:color="auto"/>
              <w:left w:val="outset" w:sz="6" w:space="0" w:color="auto"/>
              <w:bottom w:val="outset" w:sz="6" w:space="0" w:color="auto"/>
              <w:right w:val="outset" w:sz="6" w:space="0" w:color="auto"/>
            </w:tcBorders>
            <w:hideMark/>
          </w:tcPr>
          <w:p w14:paraId="1F719BE4"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Projekts šo jomu neskar.</w:t>
            </w:r>
          </w:p>
        </w:tc>
      </w:tr>
      <w:tr w:rsidR="00996A07" w:rsidRPr="00044840" w14:paraId="66EE8203" w14:textId="77777777" w:rsidTr="001E2472">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26B1A41E"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8" w:type="pct"/>
            <w:gridSpan w:val="3"/>
            <w:tcBorders>
              <w:top w:val="outset" w:sz="6" w:space="0" w:color="auto"/>
              <w:left w:val="outset" w:sz="6" w:space="0" w:color="auto"/>
              <w:bottom w:val="outset" w:sz="6" w:space="0" w:color="auto"/>
              <w:right w:val="outset" w:sz="6" w:space="0" w:color="auto"/>
            </w:tcBorders>
            <w:hideMark/>
          </w:tcPr>
          <w:p w14:paraId="07F1EBC4"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Projekts šo jomu neskar.</w:t>
            </w:r>
          </w:p>
        </w:tc>
      </w:tr>
      <w:tr w:rsidR="00996A07" w:rsidRPr="00044840" w14:paraId="4B0BB034" w14:textId="77777777" w:rsidTr="001E2472">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66FE95B0"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798" w:type="pct"/>
            <w:gridSpan w:val="3"/>
            <w:tcBorders>
              <w:top w:val="outset" w:sz="6" w:space="0" w:color="auto"/>
              <w:left w:val="outset" w:sz="6" w:space="0" w:color="auto"/>
              <w:bottom w:val="outset" w:sz="6" w:space="0" w:color="auto"/>
              <w:right w:val="outset" w:sz="6" w:space="0" w:color="auto"/>
            </w:tcBorders>
            <w:hideMark/>
          </w:tcPr>
          <w:p w14:paraId="4FC170A8" w14:textId="0AB63BD8" w:rsidR="00996A07" w:rsidRPr="001E2472" w:rsidRDefault="00996A07">
            <w:pPr>
              <w:spacing w:after="0" w:line="240" w:lineRule="auto"/>
              <w:jc w:val="both"/>
              <w:rPr>
                <w:rFonts w:ascii="Times New Roman" w:hAnsi="Times New Roman" w:cs="Times New Roman"/>
                <w:sz w:val="24"/>
                <w:szCs w:val="24"/>
              </w:rPr>
            </w:pPr>
            <w:r w:rsidRPr="00044840">
              <w:rPr>
                <w:rFonts w:ascii="Times New Roman" w:hAnsi="Times New Roman" w:cs="Times New Roman"/>
                <w:sz w:val="24"/>
                <w:szCs w:val="24"/>
              </w:rPr>
              <w:t xml:space="preserve">Pārējās </w:t>
            </w:r>
            <w:r w:rsidR="00063DCF">
              <w:rPr>
                <w:rFonts w:ascii="Times New Roman" w:hAnsi="Times New Roman" w:cs="Times New Roman"/>
                <w:sz w:val="24"/>
                <w:szCs w:val="24"/>
              </w:rPr>
              <w:t>Direktīvas 2014/52/ES</w:t>
            </w:r>
            <w:r w:rsidR="00063DCF" w:rsidRPr="00044840">
              <w:rPr>
                <w:rFonts w:ascii="Times New Roman" w:hAnsi="Times New Roman" w:cs="Times New Roman"/>
                <w:sz w:val="24"/>
                <w:szCs w:val="24"/>
              </w:rPr>
              <w:t xml:space="preserve"> </w:t>
            </w:r>
            <w:r w:rsidRPr="00044840">
              <w:rPr>
                <w:rFonts w:ascii="Times New Roman" w:hAnsi="Times New Roman" w:cs="Times New Roman"/>
                <w:sz w:val="24"/>
                <w:szCs w:val="24"/>
              </w:rPr>
              <w:t xml:space="preserve">prasības pārņemtas </w:t>
            </w:r>
            <w:r w:rsidR="00F114A8">
              <w:rPr>
                <w:rFonts w:ascii="Times New Roman" w:hAnsi="Times New Roman" w:cs="Times New Roman"/>
                <w:sz w:val="24"/>
                <w:szCs w:val="24"/>
              </w:rPr>
              <w:t>L</w:t>
            </w:r>
            <w:r w:rsidR="00F114A8" w:rsidRPr="00044840">
              <w:rPr>
                <w:rFonts w:ascii="Times New Roman" w:hAnsi="Times New Roman" w:cs="Times New Roman"/>
                <w:sz w:val="24"/>
                <w:szCs w:val="24"/>
              </w:rPr>
              <w:t xml:space="preserve">ikumā </w:t>
            </w:r>
            <w:r w:rsidRPr="00044840">
              <w:rPr>
                <w:rFonts w:ascii="Times New Roman" w:hAnsi="Times New Roman" w:cs="Times New Roman"/>
                <w:sz w:val="24"/>
                <w:szCs w:val="24"/>
              </w:rPr>
              <w:t xml:space="preserve">un Ministru kabineta 2015. gada 13. janvāra noteikumos Nr. 18 </w:t>
            </w:r>
            <w:r w:rsidRPr="00044840">
              <w:rPr>
                <w:rFonts w:ascii="Times New Roman" w:eastAsia="Calibri" w:hAnsi="Times New Roman" w:cs="Times New Roman"/>
                <w:sz w:val="24"/>
                <w:szCs w:val="24"/>
              </w:rPr>
              <w:t>“</w:t>
            </w:r>
            <w:r w:rsidRPr="00044840">
              <w:rPr>
                <w:rFonts w:ascii="Times New Roman" w:hAnsi="Times New Roman" w:cs="Times New Roman"/>
                <w:sz w:val="24"/>
                <w:szCs w:val="24"/>
              </w:rPr>
              <w:t>Kārtība, kādā novērtē paredzētās darbības ietekmi uz vidi un akceptē paredzēto darbību” un Ministru kabineta 2015. gada 27. janvāra noteikumos Nr. 30 “Kārtība, kādā Valsts vides dienests izdod tehniskos noteikumus paredzētajai darbībai”.</w:t>
            </w:r>
          </w:p>
        </w:tc>
      </w:tr>
    </w:tbl>
    <w:p w14:paraId="1A738632" w14:textId="77777777" w:rsidR="00E5323B" w:rsidRPr="00EE0603" w:rsidRDefault="00E5323B" w:rsidP="00894177">
      <w:pPr>
        <w:spacing w:after="0" w:line="240" w:lineRule="auto"/>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EE0603" w14:paraId="7C8B23E8" w14:textId="77777777" w:rsidTr="001E247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EFF4B1" w14:textId="77777777" w:rsidR="00CD526E" w:rsidRPr="00EE0603" w:rsidRDefault="00E5323B" w:rsidP="00894177">
            <w:pPr>
              <w:spacing w:after="0" w:line="240" w:lineRule="auto"/>
              <w:jc w:val="center"/>
              <w:rPr>
                <w:rFonts w:ascii="Times New Roman" w:eastAsia="Times New Roman" w:hAnsi="Times New Roman" w:cs="Times New Roman"/>
                <w:b/>
                <w:bCs/>
                <w:iCs/>
                <w:sz w:val="24"/>
                <w:szCs w:val="24"/>
                <w:lang w:eastAsia="lv-LV"/>
              </w:rPr>
            </w:pPr>
            <w:r w:rsidRPr="00EE0603">
              <w:rPr>
                <w:rFonts w:ascii="Times New Roman" w:eastAsia="Times New Roman" w:hAnsi="Times New Roman" w:cs="Times New Roman"/>
                <w:b/>
                <w:bCs/>
                <w:iCs/>
                <w:sz w:val="24"/>
                <w:szCs w:val="24"/>
                <w:lang w:eastAsia="lv-LV"/>
              </w:rPr>
              <w:t>VI. Sabiedrības līdzdalība un komunikācijas aktivitātes</w:t>
            </w:r>
          </w:p>
        </w:tc>
      </w:tr>
      <w:tr w:rsidR="001501AD" w:rsidRPr="00183FDD" w14:paraId="09EEBFD4" w14:textId="77777777" w:rsidTr="001E2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ED73EC"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84C2EF"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70370604" w14:textId="2104A93F" w:rsidR="001501AD" w:rsidRPr="00044840" w:rsidRDefault="001501AD">
            <w:pPr>
              <w:pStyle w:val="naisf"/>
              <w:spacing w:before="0" w:after="0"/>
              <w:ind w:firstLine="0"/>
            </w:pPr>
            <w:r w:rsidRPr="00044840">
              <w:t>Sabiedrības līdzdalība</w:t>
            </w:r>
            <w:r w:rsidR="000D1942">
              <w:t xml:space="preserve"> </w:t>
            </w:r>
            <w:r w:rsidRPr="00044840">
              <w:t xml:space="preserve">nodrošināta atbilstoši Ministru kabineta 2009. gada 25. augusta noteikumiem Nr. 970 </w:t>
            </w:r>
            <w:r w:rsidRPr="00044840">
              <w:rPr>
                <w:rFonts w:eastAsia="Calibri"/>
                <w:lang w:eastAsia="en-US"/>
              </w:rPr>
              <w:t>“</w:t>
            </w:r>
            <w:r w:rsidRPr="00044840">
              <w:t>Sabiedrības līdzdalības kārtība attīstības plānošanas procesā”</w:t>
            </w:r>
            <w:r w:rsidR="00F114A8">
              <w:t xml:space="preserve"> </w:t>
            </w:r>
            <w:r w:rsidR="00F114A8" w:rsidRPr="00D81961">
              <w:rPr>
                <w:iCs/>
              </w:rPr>
              <w:t>7.4.</w:t>
            </w:r>
            <w:r w:rsidR="00F114A8" w:rsidRPr="006C19D1">
              <w:rPr>
                <w:iCs/>
                <w:vertAlign w:val="superscript"/>
              </w:rPr>
              <w:t>1</w:t>
            </w:r>
            <w:r w:rsidR="00F114A8">
              <w:rPr>
                <w:iCs/>
              </w:rPr>
              <w:t> apakšpunktam</w:t>
            </w:r>
            <w:r w:rsidRPr="00044840">
              <w:t xml:space="preserve">. Ieinteresētajām personām </w:t>
            </w:r>
            <w:r w:rsidR="00F114A8">
              <w:t>bija</w:t>
            </w:r>
            <w:r w:rsidR="00F114A8" w:rsidRPr="00044840">
              <w:t xml:space="preserve"> </w:t>
            </w:r>
            <w:r w:rsidRPr="00044840">
              <w:t>tiesības izteikt viedokli un sniegt rakstiskus priekšlikumus.</w:t>
            </w:r>
          </w:p>
        </w:tc>
      </w:tr>
      <w:tr w:rsidR="001501AD" w:rsidRPr="00183FDD" w14:paraId="67E47519" w14:textId="77777777" w:rsidTr="001E2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1E755"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6546E04"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00D4388" w14:textId="748EF76B" w:rsidR="001501AD" w:rsidRPr="001E2472" w:rsidRDefault="000B11FB" w:rsidP="00715E4D">
            <w:pPr>
              <w:spacing w:after="0" w:line="240" w:lineRule="auto"/>
              <w:jc w:val="both"/>
              <w:rPr>
                <w:rFonts w:ascii="Times New Roman" w:eastAsia="Times New Roman" w:hAnsi="Times New Roman" w:cs="Times New Roman"/>
                <w:sz w:val="24"/>
                <w:szCs w:val="24"/>
                <w:lang w:eastAsia="lv-LV"/>
              </w:rPr>
            </w:pPr>
            <w:r w:rsidRPr="001E2472">
              <w:rPr>
                <w:rFonts w:ascii="Times New Roman" w:eastAsia="Times New Roman" w:hAnsi="Times New Roman" w:cs="Times New Roman"/>
                <w:sz w:val="24"/>
                <w:szCs w:val="24"/>
                <w:lang w:eastAsia="lv-LV"/>
              </w:rPr>
              <w:t>Likumprojekts un tā anotācija ievietota VARAM tīmekļa vietnes</w:t>
            </w:r>
            <w:r w:rsidR="00715E4D">
              <w:rPr>
                <w:rStyle w:val="FootnoteReference"/>
                <w:rFonts w:ascii="Times New Roman" w:eastAsia="Times New Roman" w:hAnsi="Times New Roman" w:cs="Times New Roman"/>
                <w:sz w:val="24"/>
                <w:szCs w:val="24"/>
                <w:lang w:eastAsia="lv-LV"/>
              </w:rPr>
              <w:footnoteReference w:id="4"/>
            </w:r>
            <w:r w:rsidRPr="001E2472">
              <w:rPr>
                <w:rFonts w:ascii="Times New Roman" w:eastAsia="Times New Roman" w:hAnsi="Times New Roman" w:cs="Times New Roman"/>
                <w:sz w:val="24"/>
                <w:szCs w:val="24"/>
                <w:lang w:eastAsia="lv-LV"/>
              </w:rPr>
              <w:t xml:space="preserve"> sadaļā “Sabiedrības līdzdalība”</w:t>
            </w:r>
            <w:r w:rsidR="001E0836" w:rsidRPr="001E2472">
              <w:rPr>
                <w:rFonts w:ascii="Times New Roman" w:eastAsia="Times New Roman" w:hAnsi="Times New Roman" w:cs="Times New Roman"/>
                <w:sz w:val="24"/>
                <w:szCs w:val="24"/>
                <w:lang w:eastAsia="lv-LV"/>
              </w:rPr>
              <w:t xml:space="preserve"> 2019.</w:t>
            </w:r>
            <w:r w:rsidR="00F114A8" w:rsidRPr="001E2472">
              <w:rPr>
                <w:rFonts w:ascii="Times New Roman" w:eastAsia="Times New Roman" w:hAnsi="Times New Roman" w:cs="Times New Roman"/>
                <w:sz w:val="24"/>
                <w:szCs w:val="24"/>
                <w:lang w:eastAsia="lv-LV"/>
              </w:rPr>
              <w:t> </w:t>
            </w:r>
            <w:r w:rsidR="001E0836" w:rsidRPr="001E2472">
              <w:rPr>
                <w:rFonts w:ascii="Times New Roman" w:eastAsia="Times New Roman" w:hAnsi="Times New Roman" w:cs="Times New Roman"/>
                <w:sz w:val="24"/>
                <w:szCs w:val="24"/>
                <w:lang w:eastAsia="lv-LV"/>
              </w:rPr>
              <w:t>gada 30.</w:t>
            </w:r>
            <w:r w:rsidR="00F114A8" w:rsidRPr="001E2472">
              <w:rPr>
                <w:rFonts w:ascii="Times New Roman" w:eastAsia="Times New Roman" w:hAnsi="Times New Roman" w:cs="Times New Roman"/>
                <w:sz w:val="24"/>
                <w:szCs w:val="24"/>
                <w:lang w:eastAsia="lv-LV"/>
              </w:rPr>
              <w:t> </w:t>
            </w:r>
            <w:r w:rsidR="001E0836" w:rsidRPr="001E2472">
              <w:rPr>
                <w:rFonts w:ascii="Times New Roman" w:eastAsia="Times New Roman" w:hAnsi="Times New Roman" w:cs="Times New Roman"/>
                <w:sz w:val="24"/>
                <w:szCs w:val="24"/>
                <w:lang w:eastAsia="lv-LV"/>
              </w:rPr>
              <w:t>janvārī</w:t>
            </w:r>
            <w:r w:rsidR="00F114A8" w:rsidRPr="001E2472">
              <w:rPr>
                <w:rFonts w:ascii="Times New Roman" w:eastAsia="Times New Roman" w:hAnsi="Times New Roman" w:cs="Times New Roman"/>
                <w:sz w:val="24"/>
                <w:szCs w:val="24"/>
                <w:lang w:eastAsia="lv-LV"/>
              </w:rPr>
              <w:t>.</w:t>
            </w:r>
          </w:p>
        </w:tc>
      </w:tr>
      <w:tr w:rsidR="001501AD" w:rsidRPr="00183FDD" w14:paraId="25BFCAAB" w14:textId="77777777" w:rsidTr="001E2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D1EDE"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F45FBDE"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6ADC6FF4" w14:textId="50E7CE87" w:rsidR="001501AD" w:rsidRPr="00044840" w:rsidRDefault="001E0836" w:rsidP="00C01A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komentāri netika saņemti</w:t>
            </w:r>
            <w:r w:rsidR="00472540">
              <w:rPr>
                <w:rFonts w:ascii="Times New Roman" w:eastAsia="Times New Roman" w:hAnsi="Times New Roman" w:cs="Times New Roman"/>
                <w:iCs/>
                <w:sz w:val="24"/>
                <w:szCs w:val="24"/>
                <w:lang w:eastAsia="lv-LV"/>
              </w:rPr>
              <w:t>.</w:t>
            </w:r>
          </w:p>
        </w:tc>
      </w:tr>
      <w:tr w:rsidR="00E5323B" w:rsidRPr="00183FDD" w14:paraId="1DDADE44" w14:textId="77777777" w:rsidTr="001E2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ED2AB"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74CE14"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2129496" w14:textId="67EB0495" w:rsidR="00E5323B" w:rsidRPr="000B11FB" w:rsidRDefault="009E595F" w:rsidP="00894177">
            <w:pPr>
              <w:spacing w:after="0" w:line="240" w:lineRule="auto"/>
              <w:rPr>
                <w:rFonts w:ascii="Times New Roman" w:eastAsia="Times New Roman" w:hAnsi="Times New Roman" w:cs="Times New Roman"/>
                <w:b/>
                <w:iCs/>
                <w:sz w:val="24"/>
                <w:szCs w:val="24"/>
                <w:lang w:eastAsia="lv-LV"/>
              </w:rPr>
            </w:pPr>
            <w:r w:rsidRPr="009E595F">
              <w:rPr>
                <w:rFonts w:ascii="Times New Roman" w:eastAsia="Times New Roman" w:hAnsi="Times New Roman" w:cs="Times New Roman"/>
                <w:iCs/>
                <w:sz w:val="24"/>
                <w:szCs w:val="24"/>
                <w:lang w:eastAsia="lv-LV"/>
              </w:rPr>
              <w:t>Nav</w:t>
            </w:r>
            <w:r w:rsidR="00472540">
              <w:rPr>
                <w:rFonts w:ascii="Times New Roman" w:eastAsia="Times New Roman" w:hAnsi="Times New Roman" w:cs="Times New Roman"/>
                <w:iCs/>
                <w:sz w:val="24"/>
                <w:szCs w:val="24"/>
                <w:lang w:eastAsia="lv-LV"/>
              </w:rPr>
              <w:t>.</w:t>
            </w:r>
          </w:p>
        </w:tc>
      </w:tr>
    </w:tbl>
    <w:p w14:paraId="708D8AC7" w14:textId="77777777" w:rsidR="000B11FB" w:rsidRPr="000B11FB"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27F1C8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11EE5B"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E595F" w:rsidRPr="00183FDD" w14:paraId="6CF28556"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A53C6E" w14:textId="77777777" w:rsidR="009E595F" w:rsidRPr="00183FDD" w:rsidRDefault="009E595F"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B0BFED9" w14:textId="77777777" w:rsidR="009E595F" w:rsidRPr="00183FDD" w:rsidRDefault="009E595F"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63C937A" w14:textId="77777777" w:rsidR="009E595F" w:rsidRPr="003C53F1" w:rsidRDefault="00DC695C" w:rsidP="000B11FB">
            <w:pPr>
              <w:spacing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VARAM,</w:t>
            </w:r>
            <w:r w:rsidR="009E595F">
              <w:rPr>
                <w:rFonts w:ascii="Times New Roman" w:hAnsi="Times New Roman" w:cs="Times New Roman"/>
                <w:iCs/>
                <w:sz w:val="24"/>
                <w:szCs w:val="24"/>
              </w:rPr>
              <w:t xml:space="preserve"> sadarbībā ar </w:t>
            </w:r>
            <w:r>
              <w:rPr>
                <w:rFonts w:ascii="Times New Roman" w:hAnsi="Times New Roman" w:cs="Times New Roman"/>
                <w:iCs/>
                <w:sz w:val="24"/>
                <w:szCs w:val="24"/>
              </w:rPr>
              <w:t>VVD</w:t>
            </w:r>
            <w:r w:rsidR="009E595F" w:rsidRPr="003C53F1">
              <w:rPr>
                <w:rFonts w:ascii="Times New Roman" w:hAnsi="Times New Roman" w:cs="Times New Roman"/>
                <w:iCs/>
                <w:sz w:val="24"/>
                <w:szCs w:val="24"/>
              </w:rPr>
              <w:t xml:space="preserve"> un </w:t>
            </w:r>
            <w:r w:rsidR="000B11FB">
              <w:rPr>
                <w:rFonts w:ascii="Times New Roman" w:hAnsi="Times New Roman" w:cs="Times New Roman"/>
                <w:iCs/>
                <w:sz w:val="24"/>
                <w:szCs w:val="24"/>
              </w:rPr>
              <w:t>VPVB</w:t>
            </w:r>
          </w:p>
        </w:tc>
      </w:tr>
      <w:tr w:rsidR="001501AD" w:rsidRPr="00183FDD" w14:paraId="4EBF4CBE"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F2222A"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56AB8"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izpildes ietekme uz pārvaldes funkcijām un institucionālo struktūru.</w:t>
            </w:r>
            <w:r w:rsidRPr="00183FD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42ABD6EE" w14:textId="3E1BA56A" w:rsidR="001501AD" w:rsidRDefault="000B11FB" w:rsidP="00FE45E7">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Likumprojekta</w:t>
            </w:r>
            <w:r w:rsidR="001501AD" w:rsidRPr="00044840">
              <w:rPr>
                <w:rFonts w:ascii="Times New Roman" w:eastAsia="Calibri" w:hAnsi="Times New Roman" w:cs="Times New Roman"/>
                <w:iCs/>
                <w:sz w:val="24"/>
                <w:szCs w:val="24"/>
              </w:rPr>
              <w:t xml:space="preserve"> īstenošana tiks veikta esošo cilvēkresursu ietvaros. Saistībā ar </w:t>
            </w:r>
            <w:r>
              <w:rPr>
                <w:rFonts w:ascii="Times New Roman" w:eastAsia="Calibri" w:hAnsi="Times New Roman" w:cs="Times New Roman"/>
                <w:iCs/>
                <w:sz w:val="24"/>
                <w:szCs w:val="24"/>
              </w:rPr>
              <w:t>likumprojekta</w:t>
            </w:r>
            <w:r w:rsidR="001501AD" w:rsidRPr="00044840">
              <w:rPr>
                <w:rFonts w:ascii="Times New Roman" w:eastAsia="Calibri" w:hAnsi="Times New Roman" w:cs="Times New Roman"/>
                <w:iCs/>
                <w:sz w:val="24"/>
                <w:szCs w:val="24"/>
              </w:rPr>
              <w:t xml:space="preserve"> izpildi nebūs nepieciešams veidot jaunas institūcijas vai likvidēt, reorganizēt esošās.</w:t>
            </w:r>
            <w:r w:rsidR="00FE45E7">
              <w:rPr>
                <w:rFonts w:ascii="Times New Roman" w:eastAsia="Calibri" w:hAnsi="Times New Roman" w:cs="Times New Roman"/>
                <w:iCs/>
                <w:sz w:val="24"/>
                <w:szCs w:val="24"/>
              </w:rPr>
              <w:t xml:space="preserve"> </w:t>
            </w:r>
            <w:r w:rsidR="007F6BD1">
              <w:rPr>
                <w:rFonts w:ascii="Times New Roman" w:eastAsia="Calibri" w:hAnsi="Times New Roman" w:cs="Times New Roman"/>
                <w:iCs/>
                <w:sz w:val="24"/>
                <w:szCs w:val="24"/>
              </w:rPr>
              <w:t xml:space="preserve">Likumprojekts neietekmē </w:t>
            </w:r>
            <w:r w:rsidR="003C52D1">
              <w:rPr>
                <w:rFonts w:ascii="Times New Roman" w:eastAsia="Calibri" w:hAnsi="Times New Roman" w:cs="Times New Roman"/>
                <w:iCs/>
                <w:sz w:val="24"/>
                <w:szCs w:val="24"/>
              </w:rPr>
              <w:t>VVD</w:t>
            </w:r>
            <w:r w:rsidR="007F6BD1">
              <w:rPr>
                <w:rFonts w:ascii="Times New Roman" w:eastAsia="Calibri" w:hAnsi="Times New Roman" w:cs="Times New Roman"/>
                <w:iCs/>
                <w:sz w:val="24"/>
                <w:szCs w:val="24"/>
              </w:rPr>
              <w:t xml:space="preserve"> funkcijas un uzdevumus</w:t>
            </w:r>
            <w:r w:rsidR="00472540">
              <w:rPr>
                <w:rFonts w:ascii="Times New Roman" w:eastAsia="Calibri" w:hAnsi="Times New Roman" w:cs="Times New Roman"/>
                <w:iCs/>
                <w:sz w:val="24"/>
                <w:szCs w:val="24"/>
              </w:rPr>
              <w:t>.</w:t>
            </w:r>
          </w:p>
          <w:p w14:paraId="55614A3E" w14:textId="77777777" w:rsidR="007F6BD1" w:rsidRDefault="007F6BD1" w:rsidP="00FE45E7">
            <w:pPr>
              <w:spacing w:after="0" w:line="240" w:lineRule="auto"/>
              <w:jc w:val="both"/>
              <w:rPr>
                <w:rFonts w:ascii="Times New Roman" w:eastAsia="Calibri" w:hAnsi="Times New Roman" w:cs="Times New Roman"/>
                <w:iCs/>
                <w:sz w:val="24"/>
                <w:szCs w:val="24"/>
              </w:rPr>
            </w:pPr>
          </w:p>
          <w:p w14:paraId="106A07F0" w14:textId="77777777" w:rsidR="007F6BD1" w:rsidRPr="00044840" w:rsidRDefault="007F6BD1" w:rsidP="00FE45E7">
            <w:pPr>
              <w:spacing w:after="0" w:line="240" w:lineRule="auto"/>
              <w:jc w:val="both"/>
              <w:rPr>
                <w:rFonts w:ascii="Times New Roman" w:eastAsia="Times New Roman" w:hAnsi="Times New Roman" w:cs="Times New Roman"/>
                <w:iCs/>
                <w:sz w:val="24"/>
                <w:szCs w:val="24"/>
                <w:lang w:eastAsia="lv-LV"/>
              </w:rPr>
            </w:pPr>
          </w:p>
        </w:tc>
      </w:tr>
      <w:tr w:rsidR="00E5323B" w:rsidRPr="00183FDD" w14:paraId="4CC9A223"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EFE49A"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D2197AC"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CC4965F" w14:textId="45A5B2D1" w:rsidR="00E5323B" w:rsidRPr="009E595F" w:rsidRDefault="009E595F" w:rsidP="00894177">
            <w:pPr>
              <w:spacing w:after="0" w:line="240" w:lineRule="auto"/>
              <w:rPr>
                <w:rFonts w:ascii="Times New Roman" w:eastAsia="Times New Roman" w:hAnsi="Times New Roman" w:cs="Times New Roman"/>
                <w:iCs/>
                <w:sz w:val="24"/>
                <w:szCs w:val="24"/>
                <w:lang w:eastAsia="lv-LV"/>
              </w:rPr>
            </w:pPr>
            <w:r w:rsidRPr="009E595F">
              <w:rPr>
                <w:rFonts w:ascii="Times New Roman" w:eastAsia="Times New Roman" w:hAnsi="Times New Roman" w:cs="Times New Roman"/>
                <w:iCs/>
                <w:sz w:val="24"/>
                <w:szCs w:val="24"/>
                <w:lang w:eastAsia="lv-LV"/>
              </w:rPr>
              <w:t>Nav</w:t>
            </w:r>
            <w:r w:rsidR="00472540">
              <w:rPr>
                <w:rFonts w:ascii="Times New Roman" w:eastAsia="Times New Roman" w:hAnsi="Times New Roman" w:cs="Times New Roman"/>
                <w:iCs/>
                <w:sz w:val="24"/>
                <w:szCs w:val="24"/>
                <w:lang w:eastAsia="lv-LV"/>
              </w:rPr>
              <w:t>.</w:t>
            </w:r>
          </w:p>
        </w:tc>
      </w:tr>
    </w:tbl>
    <w:p w14:paraId="6E5DFAA5" w14:textId="77777777" w:rsidR="00C25B49" w:rsidRPr="00183FDD" w:rsidRDefault="00C25B49" w:rsidP="00894177">
      <w:pPr>
        <w:spacing w:after="0" w:line="240" w:lineRule="auto"/>
        <w:rPr>
          <w:rFonts w:ascii="Times New Roman" w:hAnsi="Times New Roman" w:cs="Times New Roman"/>
          <w:sz w:val="28"/>
          <w:szCs w:val="28"/>
        </w:rPr>
      </w:pPr>
    </w:p>
    <w:p w14:paraId="2665754B" w14:textId="77777777" w:rsidR="00E5323B" w:rsidRPr="00183FDD" w:rsidRDefault="00E5323B" w:rsidP="00894177">
      <w:pPr>
        <w:spacing w:after="0" w:line="240" w:lineRule="auto"/>
        <w:rPr>
          <w:rFonts w:ascii="Times New Roman" w:hAnsi="Times New Roman" w:cs="Times New Roman"/>
          <w:sz w:val="28"/>
          <w:szCs w:val="28"/>
        </w:rPr>
      </w:pPr>
    </w:p>
    <w:p w14:paraId="1D5180B6" w14:textId="22A0E768" w:rsidR="00894C55" w:rsidRPr="00472540" w:rsidRDefault="002764E3" w:rsidP="00894177">
      <w:pPr>
        <w:tabs>
          <w:tab w:val="left" w:pos="6237"/>
        </w:tabs>
        <w:spacing w:after="0" w:line="240" w:lineRule="auto"/>
        <w:ind w:left="709" w:firstLine="11"/>
        <w:rPr>
          <w:rFonts w:ascii="Times New Roman" w:hAnsi="Times New Roman" w:cs="Times New Roman"/>
          <w:sz w:val="24"/>
          <w:szCs w:val="24"/>
        </w:rPr>
      </w:pPr>
      <w:r w:rsidRPr="00472540">
        <w:rPr>
          <w:rFonts w:ascii="Times New Roman" w:hAnsi="Times New Roman" w:cs="Times New Roman"/>
          <w:sz w:val="24"/>
          <w:szCs w:val="24"/>
        </w:rPr>
        <w:t xml:space="preserve">Vides aizsardzības </w:t>
      </w:r>
      <w:r w:rsidR="00010A90" w:rsidRPr="00472540">
        <w:rPr>
          <w:rFonts w:ascii="Times New Roman" w:hAnsi="Times New Roman" w:cs="Times New Roman"/>
          <w:sz w:val="24"/>
          <w:szCs w:val="24"/>
        </w:rPr>
        <w:t>un</w:t>
      </w:r>
      <w:r w:rsidR="00010A90" w:rsidRPr="00472540">
        <w:rPr>
          <w:rFonts w:ascii="Times New Roman" w:hAnsi="Times New Roman" w:cs="Times New Roman"/>
          <w:sz w:val="24"/>
          <w:szCs w:val="24"/>
        </w:rPr>
        <w:br/>
      </w:r>
      <w:r w:rsidRPr="00472540">
        <w:rPr>
          <w:rFonts w:ascii="Times New Roman" w:hAnsi="Times New Roman" w:cs="Times New Roman"/>
          <w:sz w:val="24"/>
          <w:szCs w:val="24"/>
        </w:rPr>
        <w:t>reģionālās attīstības ministrs</w:t>
      </w:r>
      <w:r w:rsidRPr="00472540">
        <w:rPr>
          <w:rFonts w:ascii="Times New Roman" w:hAnsi="Times New Roman" w:cs="Times New Roman"/>
          <w:sz w:val="24"/>
          <w:szCs w:val="24"/>
        </w:rPr>
        <w:tab/>
      </w:r>
      <w:r w:rsidRPr="00472540">
        <w:rPr>
          <w:rFonts w:ascii="Times New Roman" w:hAnsi="Times New Roman" w:cs="Times New Roman"/>
          <w:sz w:val="24"/>
          <w:szCs w:val="24"/>
        </w:rPr>
        <w:tab/>
      </w:r>
      <w:proofErr w:type="gramStart"/>
      <w:r w:rsidR="00472540">
        <w:rPr>
          <w:rFonts w:ascii="Times New Roman" w:hAnsi="Times New Roman" w:cs="Times New Roman"/>
          <w:sz w:val="24"/>
          <w:szCs w:val="24"/>
        </w:rPr>
        <w:t xml:space="preserve">       </w:t>
      </w:r>
      <w:proofErr w:type="gramEnd"/>
      <w:r w:rsidR="00C5149D" w:rsidRPr="00472540">
        <w:rPr>
          <w:rFonts w:ascii="Times New Roman" w:hAnsi="Times New Roman" w:cs="Times New Roman"/>
          <w:sz w:val="24"/>
          <w:szCs w:val="24"/>
        </w:rPr>
        <w:t>J. Pūce</w:t>
      </w:r>
    </w:p>
    <w:p w14:paraId="5AC37E03" w14:textId="77777777" w:rsidR="00894C55" w:rsidRDefault="00894C55" w:rsidP="00A00B37">
      <w:pPr>
        <w:tabs>
          <w:tab w:val="left" w:pos="6237"/>
        </w:tabs>
        <w:spacing w:after="0" w:line="240" w:lineRule="auto"/>
        <w:rPr>
          <w:rFonts w:ascii="Times New Roman" w:hAnsi="Times New Roman" w:cs="Times New Roman"/>
          <w:sz w:val="28"/>
          <w:szCs w:val="28"/>
        </w:rPr>
      </w:pPr>
    </w:p>
    <w:p w14:paraId="5A3F2BF0" w14:textId="77777777" w:rsidR="00472540" w:rsidRDefault="00472540" w:rsidP="00A00B37">
      <w:pPr>
        <w:tabs>
          <w:tab w:val="left" w:pos="6237"/>
        </w:tabs>
        <w:spacing w:after="0" w:line="240" w:lineRule="auto"/>
        <w:rPr>
          <w:rFonts w:ascii="Times New Roman" w:hAnsi="Times New Roman" w:cs="Times New Roman"/>
          <w:sz w:val="28"/>
          <w:szCs w:val="28"/>
        </w:rPr>
      </w:pPr>
    </w:p>
    <w:p w14:paraId="44858262" w14:textId="77777777" w:rsidR="00472540" w:rsidRPr="00183FDD" w:rsidRDefault="00472540" w:rsidP="00A00B37">
      <w:pPr>
        <w:tabs>
          <w:tab w:val="left" w:pos="6237"/>
        </w:tabs>
        <w:spacing w:after="0" w:line="240" w:lineRule="auto"/>
        <w:rPr>
          <w:rFonts w:ascii="Times New Roman" w:hAnsi="Times New Roman" w:cs="Times New Roman"/>
          <w:sz w:val="28"/>
          <w:szCs w:val="28"/>
        </w:rPr>
      </w:pPr>
    </w:p>
    <w:p w14:paraId="18C62643" w14:textId="77777777" w:rsidR="002764E3" w:rsidRPr="0007183F" w:rsidRDefault="000B11FB" w:rsidP="0089417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Balka 67026916</w:t>
      </w:r>
    </w:p>
    <w:p w14:paraId="04B6A4C5" w14:textId="77777777" w:rsidR="000B11FB" w:rsidRDefault="00472540" w:rsidP="00894177">
      <w:pPr>
        <w:tabs>
          <w:tab w:val="left" w:pos="6237"/>
        </w:tabs>
        <w:spacing w:after="0" w:line="240" w:lineRule="auto"/>
        <w:rPr>
          <w:rFonts w:ascii="Times New Roman" w:hAnsi="Times New Roman" w:cs="Times New Roman"/>
          <w:sz w:val="20"/>
          <w:szCs w:val="20"/>
        </w:rPr>
      </w:pPr>
      <w:hyperlink r:id="rId10" w:history="1">
        <w:r w:rsidR="000B11FB" w:rsidRPr="00D555FE">
          <w:rPr>
            <w:rStyle w:val="Hyperlink"/>
            <w:rFonts w:ascii="Times New Roman" w:hAnsi="Times New Roman" w:cs="Times New Roman"/>
            <w:sz w:val="20"/>
            <w:szCs w:val="20"/>
          </w:rPr>
          <w:t>Sandija.Balka@varam.gov.lv</w:t>
        </w:r>
      </w:hyperlink>
      <w:r w:rsidR="002764E3" w:rsidRPr="0007183F">
        <w:rPr>
          <w:rFonts w:ascii="Times New Roman" w:hAnsi="Times New Roman" w:cs="Times New Roman"/>
          <w:sz w:val="20"/>
          <w:szCs w:val="20"/>
        </w:rPr>
        <w:t xml:space="preserve"> </w:t>
      </w:r>
    </w:p>
    <w:p w14:paraId="6DDBD788" w14:textId="77777777" w:rsidR="000B11FB" w:rsidRPr="000B11FB" w:rsidRDefault="000B11FB" w:rsidP="000B11FB">
      <w:pPr>
        <w:rPr>
          <w:rFonts w:ascii="Times New Roman" w:hAnsi="Times New Roman" w:cs="Times New Roman"/>
          <w:sz w:val="20"/>
          <w:szCs w:val="20"/>
        </w:rPr>
      </w:pPr>
    </w:p>
    <w:p w14:paraId="25E85E90" w14:textId="77777777" w:rsidR="000B11FB" w:rsidRPr="000B11FB" w:rsidRDefault="000B11FB" w:rsidP="000B11FB">
      <w:pPr>
        <w:rPr>
          <w:rFonts w:ascii="Times New Roman" w:hAnsi="Times New Roman" w:cs="Times New Roman"/>
          <w:sz w:val="20"/>
          <w:szCs w:val="20"/>
        </w:rPr>
      </w:pPr>
    </w:p>
    <w:p w14:paraId="5E80925A" w14:textId="77777777" w:rsidR="000B11FB" w:rsidRPr="000B11FB" w:rsidRDefault="000B11FB" w:rsidP="000B11FB">
      <w:pPr>
        <w:rPr>
          <w:rFonts w:ascii="Times New Roman" w:hAnsi="Times New Roman" w:cs="Times New Roman"/>
          <w:sz w:val="20"/>
          <w:szCs w:val="20"/>
        </w:rPr>
      </w:pPr>
    </w:p>
    <w:p w14:paraId="057B70F3" w14:textId="77777777" w:rsidR="00894C55" w:rsidRPr="000B11FB" w:rsidRDefault="00894C55" w:rsidP="000B11FB">
      <w:pPr>
        <w:tabs>
          <w:tab w:val="left" w:pos="1642"/>
        </w:tabs>
        <w:rPr>
          <w:rFonts w:ascii="Times New Roman" w:hAnsi="Times New Roman" w:cs="Times New Roman"/>
          <w:sz w:val="20"/>
          <w:szCs w:val="20"/>
        </w:rPr>
      </w:pPr>
    </w:p>
    <w:sectPr w:rsidR="00894C55" w:rsidRPr="000B11FB" w:rsidSect="001E2472">
      <w:headerReference w:type="even" r:id="rId11"/>
      <w:headerReference w:type="default" r:id="rId12"/>
      <w:footerReference w:type="even" r:id="rId13"/>
      <w:footerReference w:type="default" r:id="rId14"/>
      <w:headerReference w:type="first" r:id="rId15"/>
      <w:footerReference w:type="first" r:id="rId16"/>
      <w:pgSz w:w="11907" w:h="16839" w:code="9"/>
      <w:pgMar w:top="1418" w:right="1134"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36C137F" w16cid:durableId="21C83126"/>
  <w16cid:commentId w16cid:paraId="54B8E433" w16cid:durableId="21C83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016E2" w14:textId="77777777" w:rsidR="00472540" w:rsidRDefault="00472540" w:rsidP="00894C55">
      <w:pPr>
        <w:spacing w:after="0" w:line="240" w:lineRule="auto"/>
      </w:pPr>
      <w:r>
        <w:separator/>
      </w:r>
    </w:p>
  </w:endnote>
  <w:endnote w:type="continuationSeparator" w:id="0">
    <w:p w14:paraId="2C84D367" w14:textId="77777777" w:rsidR="00472540" w:rsidRDefault="00472540" w:rsidP="00894C55">
      <w:pPr>
        <w:spacing w:after="0" w:line="240" w:lineRule="auto"/>
      </w:pPr>
      <w:r>
        <w:continuationSeparator/>
      </w:r>
    </w:p>
  </w:endnote>
  <w:endnote w:type="continuationNotice" w:id="1">
    <w:p w14:paraId="13B4DA28" w14:textId="77777777" w:rsidR="00472540" w:rsidRDefault="00472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8C06" w14:textId="77777777" w:rsidR="00472540" w:rsidRDefault="00472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6E80" w14:textId="255537A6" w:rsidR="00472540" w:rsidRPr="001B4F81" w:rsidRDefault="00472540" w:rsidP="001B4F81">
    <w:pPr>
      <w:pStyle w:val="Footer"/>
      <w:rPr>
        <w:rFonts w:ascii="Times New Roman" w:hAnsi="Times New Roman" w:cs="Times New Roman"/>
        <w:sz w:val="20"/>
        <w:szCs w:val="20"/>
      </w:rPr>
    </w:pPr>
    <w:r w:rsidRPr="00472540">
      <w:rPr>
        <w:rFonts w:ascii="Times New Roman" w:hAnsi="Times New Roman" w:cs="Times New Roman"/>
        <w:sz w:val="20"/>
        <w:szCs w:val="20"/>
      </w:rPr>
      <w:t>VARAMAnot_Groz_IVN_270120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07445099"/>
      <w:docPartObj>
        <w:docPartGallery w:val="Page Numbers (Top of Page)"/>
        <w:docPartUnique/>
      </w:docPartObj>
    </w:sdtPr>
    <w:sdtEndPr>
      <w:rPr>
        <w:noProof/>
      </w:rPr>
    </w:sdtEndPr>
    <w:sdtContent>
      <w:p w14:paraId="657D2419" w14:textId="27B99CD2" w:rsidR="00472540" w:rsidRPr="00555D7A" w:rsidRDefault="00472540" w:rsidP="00555D7A">
        <w:pPr>
          <w:pStyle w:val="Header"/>
          <w:jc w:val="center"/>
          <w:rPr>
            <w:rFonts w:ascii="Times New Roman" w:hAnsi="Times New Roman" w:cs="Times New Roman"/>
            <w:sz w:val="20"/>
            <w:szCs w:val="20"/>
          </w:rPr>
        </w:pPr>
      </w:p>
    </w:sdtContent>
  </w:sdt>
  <w:p w14:paraId="04554AE8" w14:textId="4993004C" w:rsidR="00472540" w:rsidRPr="00555D7A" w:rsidRDefault="00472540" w:rsidP="001B4F81">
    <w:pPr>
      <w:pStyle w:val="Footer"/>
      <w:rPr>
        <w:rFonts w:ascii="Times New Roman" w:hAnsi="Times New Roman" w:cs="Times New Roman"/>
        <w:sz w:val="20"/>
        <w:szCs w:val="20"/>
      </w:rPr>
    </w:pPr>
    <w:r w:rsidRPr="00472540">
      <w:rPr>
        <w:rFonts w:ascii="Times New Roman" w:hAnsi="Times New Roman" w:cs="Times New Roman"/>
        <w:sz w:val="20"/>
        <w:szCs w:val="20"/>
      </w:rPr>
      <w:t>VARAMAnot_Groz_IVN_270120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DF59E" w14:textId="77777777" w:rsidR="00472540" w:rsidRDefault="00472540" w:rsidP="00894C55">
      <w:pPr>
        <w:spacing w:after="0" w:line="240" w:lineRule="auto"/>
      </w:pPr>
      <w:r>
        <w:separator/>
      </w:r>
    </w:p>
  </w:footnote>
  <w:footnote w:type="continuationSeparator" w:id="0">
    <w:p w14:paraId="12891FB4" w14:textId="77777777" w:rsidR="00472540" w:rsidRDefault="00472540" w:rsidP="00894C55">
      <w:pPr>
        <w:spacing w:after="0" w:line="240" w:lineRule="auto"/>
      </w:pPr>
      <w:r>
        <w:continuationSeparator/>
      </w:r>
    </w:p>
  </w:footnote>
  <w:footnote w:type="continuationNotice" w:id="1">
    <w:p w14:paraId="46726BE8" w14:textId="77777777" w:rsidR="00472540" w:rsidRDefault="00472540">
      <w:pPr>
        <w:spacing w:after="0" w:line="240" w:lineRule="auto"/>
      </w:pPr>
    </w:p>
  </w:footnote>
  <w:footnote w:id="2">
    <w:p w14:paraId="30F25444" w14:textId="411D8D45" w:rsidR="00472540" w:rsidRDefault="00472540">
      <w:pPr>
        <w:pStyle w:val="FootnoteText"/>
      </w:pPr>
      <w:r>
        <w:rPr>
          <w:rStyle w:val="FootnoteReference"/>
        </w:rPr>
        <w:footnoteRef/>
      </w:r>
      <w:r>
        <w:t xml:space="preserve"> </w:t>
      </w:r>
      <w:r w:rsidRPr="00922ABE">
        <w:t xml:space="preserve">skat. </w:t>
      </w:r>
      <w:r w:rsidRPr="001E2472">
        <w:t xml:space="preserve">VPVB tīmekļa vietnē </w:t>
      </w:r>
      <w:hyperlink r:id="rId1" w:history="1">
        <w:r w:rsidRPr="001E2472">
          <w:rPr>
            <w:rStyle w:val="Hyperlink"/>
          </w:rPr>
          <w:t>http://www.vpvb.gov.lv/lv/ivn/projekti/?status=3&amp;year=2018</w:t>
        </w:r>
      </w:hyperlink>
    </w:p>
  </w:footnote>
  <w:footnote w:id="3">
    <w:p w14:paraId="184CBD52" w14:textId="26AB14A6" w:rsidR="00472540" w:rsidRDefault="00472540">
      <w:pPr>
        <w:pStyle w:val="FootnoteText"/>
      </w:pPr>
      <w:r>
        <w:rPr>
          <w:rStyle w:val="FootnoteReference"/>
        </w:rPr>
        <w:footnoteRef/>
      </w:r>
      <w:r>
        <w:t xml:space="preserve"> </w:t>
      </w:r>
      <w:r w:rsidRPr="00F114A8">
        <w:t xml:space="preserve">skat. </w:t>
      </w:r>
      <w:hyperlink r:id="rId2" w:history="1">
        <w:r w:rsidRPr="001E2472">
          <w:rPr>
            <w:rStyle w:val="Hyperlink"/>
          </w:rPr>
          <w:t>http://www.vvd.gov.lv/publikacijas-un-statistika/statistikas-dati/</w:t>
        </w:r>
      </w:hyperlink>
    </w:p>
  </w:footnote>
  <w:footnote w:id="4">
    <w:p w14:paraId="2BB6C5E0" w14:textId="4FAE8844" w:rsidR="00472540" w:rsidRDefault="00472540">
      <w:pPr>
        <w:pStyle w:val="FootnoteText"/>
      </w:pPr>
      <w:r>
        <w:rPr>
          <w:rStyle w:val="FootnoteReference"/>
        </w:rPr>
        <w:footnoteRef/>
      </w:r>
      <w:r>
        <w:t xml:space="preserve"> Sk</w:t>
      </w:r>
      <w:r w:rsidRPr="00715E4D">
        <w:t xml:space="preserve">at. </w:t>
      </w:r>
      <w:hyperlink r:id="rId3" w:history="1">
        <w:r w:rsidRPr="00715E4D">
          <w:rPr>
            <w:rStyle w:val="Hyperlink"/>
          </w:rPr>
          <w:t>http://www.varam.gov.lv/lat/lidzd/pazinojumi_par_lidzdalibas_iesp/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3E5C" w14:textId="77777777" w:rsidR="00472540" w:rsidRDefault="00472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59856943"/>
      <w:docPartObj>
        <w:docPartGallery w:val="Page Numbers (Top of Page)"/>
        <w:docPartUnique/>
      </w:docPartObj>
    </w:sdtPr>
    <w:sdtEndPr>
      <w:rPr>
        <w:noProof/>
        <w:sz w:val="24"/>
        <w:szCs w:val="24"/>
      </w:rPr>
    </w:sdtEndPr>
    <w:sdtContent>
      <w:p w14:paraId="659E38B4" w14:textId="77777777" w:rsidR="00472540" w:rsidRPr="00472540" w:rsidRDefault="00472540">
        <w:pPr>
          <w:pStyle w:val="Header"/>
          <w:jc w:val="center"/>
          <w:rPr>
            <w:rFonts w:ascii="Times New Roman" w:hAnsi="Times New Roman" w:cs="Times New Roman"/>
            <w:sz w:val="24"/>
            <w:szCs w:val="24"/>
          </w:rPr>
        </w:pPr>
        <w:r w:rsidRPr="00472540">
          <w:rPr>
            <w:rFonts w:ascii="Times New Roman" w:hAnsi="Times New Roman" w:cs="Times New Roman"/>
            <w:sz w:val="24"/>
            <w:szCs w:val="24"/>
          </w:rPr>
          <w:fldChar w:fldCharType="begin"/>
        </w:r>
        <w:r w:rsidRPr="00472540">
          <w:rPr>
            <w:rFonts w:ascii="Times New Roman" w:hAnsi="Times New Roman" w:cs="Times New Roman"/>
            <w:sz w:val="24"/>
            <w:szCs w:val="24"/>
          </w:rPr>
          <w:instrText xml:space="preserve"> PAGE   \* MERGEFORMAT </w:instrText>
        </w:r>
        <w:r w:rsidRPr="00472540">
          <w:rPr>
            <w:rFonts w:ascii="Times New Roman" w:hAnsi="Times New Roman" w:cs="Times New Roman"/>
            <w:sz w:val="24"/>
            <w:szCs w:val="24"/>
          </w:rPr>
          <w:fldChar w:fldCharType="separate"/>
        </w:r>
        <w:r w:rsidR="00EE0603">
          <w:rPr>
            <w:rFonts w:ascii="Times New Roman" w:hAnsi="Times New Roman" w:cs="Times New Roman"/>
            <w:noProof/>
            <w:sz w:val="24"/>
            <w:szCs w:val="24"/>
          </w:rPr>
          <w:t>22</w:t>
        </w:r>
        <w:r w:rsidRPr="00472540">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AC4E" w14:textId="77777777" w:rsidR="00472540" w:rsidRDefault="0047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11E1D"/>
    <w:multiLevelType w:val="hybridMultilevel"/>
    <w:tmpl w:val="0A90A6E4"/>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C3D21"/>
    <w:multiLevelType w:val="multilevel"/>
    <w:tmpl w:val="B0D0C80A"/>
    <w:lvl w:ilvl="0">
      <w:start w:val="1"/>
      <w:numFmt w:val="decimal"/>
      <w:lvlText w:val="%1."/>
      <w:lvlJc w:val="left"/>
      <w:pPr>
        <w:ind w:left="360" w:hanging="360"/>
      </w:pPr>
      <w:rPr>
        <w:rFonts w:hint="default"/>
        <w:color w:val="auto"/>
        <w:sz w:val="22"/>
      </w:rPr>
    </w:lvl>
    <w:lvl w:ilvl="1">
      <w:start w:val="1"/>
      <w:numFmt w:val="decimal"/>
      <w:lvlText w:val="%1.%2."/>
      <w:lvlJc w:val="left"/>
      <w:pPr>
        <w:ind w:left="471" w:hanging="360"/>
      </w:pPr>
      <w:rPr>
        <w:rFonts w:hint="default"/>
        <w:color w:val="auto"/>
        <w:sz w:val="22"/>
      </w:rPr>
    </w:lvl>
    <w:lvl w:ilvl="2">
      <w:start w:val="1"/>
      <w:numFmt w:val="decimal"/>
      <w:lvlText w:val="%1.%2.%3."/>
      <w:lvlJc w:val="left"/>
      <w:pPr>
        <w:ind w:left="942" w:hanging="720"/>
      </w:pPr>
      <w:rPr>
        <w:rFonts w:hint="default"/>
        <w:color w:val="auto"/>
        <w:sz w:val="22"/>
      </w:rPr>
    </w:lvl>
    <w:lvl w:ilvl="3">
      <w:start w:val="1"/>
      <w:numFmt w:val="decimal"/>
      <w:lvlText w:val="%1.%2.%3.%4."/>
      <w:lvlJc w:val="left"/>
      <w:pPr>
        <w:ind w:left="1053" w:hanging="720"/>
      </w:pPr>
      <w:rPr>
        <w:rFonts w:hint="default"/>
        <w:color w:val="auto"/>
        <w:sz w:val="22"/>
      </w:rPr>
    </w:lvl>
    <w:lvl w:ilvl="4">
      <w:start w:val="1"/>
      <w:numFmt w:val="decimal"/>
      <w:lvlText w:val="%1.%2.%3.%4.%5."/>
      <w:lvlJc w:val="left"/>
      <w:pPr>
        <w:ind w:left="1524" w:hanging="1080"/>
      </w:pPr>
      <w:rPr>
        <w:rFonts w:hint="default"/>
        <w:color w:val="auto"/>
        <w:sz w:val="22"/>
      </w:rPr>
    </w:lvl>
    <w:lvl w:ilvl="5">
      <w:start w:val="1"/>
      <w:numFmt w:val="decimal"/>
      <w:lvlText w:val="%1.%2.%3.%4.%5.%6."/>
      <w:lvlJc w:val="left"/>
      <w:pPr>
        <w:ind w:left="1635" w:hanging="1080"/>
      </w:pPr>
      <w:rPr>
        <w:rFonts w:hint="default"/>
        <w:color w:val="auto"/>
        <w:sz w:val="22"/>
      </w:rPr>
    </w:lvl>
    <w:lvl w:ilvl="6">
      <w:start w:val="1"/>
      <w:numFmt w:val="decimal"/>
      <w:lvlText w:val="%1.%2.%3.%4.%5.%6.%7."/>
      <w:lvlJc w:val="left"/>
      <w:pPr>
        <w:ind w:left="1746" w:hanging="1080"/>
      </w:pPr>
      <w:rPr>
        <w:rFonts w:hint="default"/>
        <w:color w:val="auto"/>
        <w:sz w:val="22"/>
      </w:rPr>
    </w:lvl>
    <w:lvl w:ilvl="7">
      <w:start w:val="1"/>
      <w:numFmt w:val="decimal"/>
      <w:lvlText w:val="%1.%2.%3.%4.%5.%6.%7.%8."/>
      <w:lvlJc w:val="left"/>
      <w:pPr>
        <w:ind w:left="2217" w:hanging="1440"/>
      </w:pPr>
      <w:rPr>
        <w:rFonts w:hint="default"/>
        <w:color w:val="auto"/>
        <w:sz w:val="22"/>
      </w:rPr>
    </w:lvl>
    <w:lvl w:ilvl="8">
      <w:start w:val="1"/>
      <w:numFmt w:val="decimal"/>
      <w:lvlText w:val="%1.%2.%3.%4.%5.%6.%7.%8.%9."/>
      <w:lvlJc w:val="left"/>
      <w:pPr>
        <w:ind w:left="2328" w:hanging="1440"/>
      </w:pPr>
      <w:rPr>
        <w:rFonts w:hint="default"/>
        <w:color w:val="auto"/>
        <w:sz w:val="22"/>
      </w:rPr>
    </w:lvl>
  </w:abstractNum>
  <w:abstractNum w:abstractNumId="3" w15:restartNumberingAfterBreak="0">
    <w:nsid w:val="0FB42953"/>
    <w:multiLevelType w:val="hybridMultilevel"/>
    <w:tmpl w:val="B6BCE904"/>
    <w:lvl w:ilvl="0" w:tplc="E112F89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394411D"/>
    <w:multiLevelType w:val="hybridMultilevel"/>
    <w:tmpl w:val="972AA596"/>
    <w:lvl w:ilvl="0" w:tplc="14B48B2C">
      <w:start w:val="1"/>
      <w:numFmt w:val="decimal"/>
      <w:lvlText w:val="%1."/>
      <w:lvlJc w:val="left"/>
      <w:pPr>
        <w:ind w:left="471" w:hanging="360"/>
      </w:pPr>
      <w:rPr>
        <w:rFonts w:hint="default"/>
        <w:sz w:val="22"/>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5" w15:restartNumberingAfterBreak="0">
    <w:nsid w:val="1D3940BF"/>
    <w:multiLevelType w:val="hybridMultilevel"/>
    <w:tmpl w:val="20FA7FBA"/>
    <w:lvl w:ilvl="0" w:tplc="14B48B2C">
      <w:start w:val="1"/>
      <w:numFmt w:val="decimal"/>
      <w:lvlText w:val="%1."/>
      <w:lvlJc w:val="left"/>
      <w:pPr>
        <w:ind w:left="582" w:hanging="360"/>
      </w:pPr>
      <w:rPr>
        <w:rFonts w:hint="default"/>
        <w:sz w:val="22"/>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6" w15:restartNumberingAfterBreak="0">
    <w:nsid w:val="217955E6"/>
    <w:multiLevelType w:val="multilevel"/>
    <w:tmpl w:val="2B70AEC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85ECB"/>
    <w:multiLevelType w:val="hybridMultilevel"/>
    <w:tmpl w:val="68F62374"/>
    <w:lvl w:ilvl="0" w:tplc="433CCF82">
      <w:start w:val="1"/>
      <w:numFmt w:val="decimal"/>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8" w15:restartNumberingAfterBreak="0">
    <w:nsid w:val="24F87795"/>
    <w:multiLevelType w:val="hybridMultilevel"/>
    <w:tmpl w:val="D214F882"/>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C27B4C"/>
    <w:multiLevelType w:val="hybridMultilevel"/>
    <w:tmpl w:val="BF6C33D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7356A0"/>
    <w:multiLevelType w:val="hybridMultilevel"/>
    <w:tmpl w:val="F3B4D25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8B4ACB"/>
    <w:multiLevelType w:val="hybridMultilevel"/>
    <w:tmpl w:val="24A2C3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094F29"/>
    <w:multiLevelType w:val="hybridMultilevel"/>
    <w:tmpl w:val="4FF287CC"/>
    <w:lvl w:ilvl="0" w:tplc="CE367AF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09576F"/>
    <w:multiLevelType w:val="hybridMultilevel"/>
    <w:tmpl w:val="933280A8"/>
    <w:lvl w:ilvl="0" w:tplc="2744E818">
      <w:numFmt w:val="bullet"/>
      <w:lvlText w:val="-"/>
      <w:lvlJc w:val="left"/>
      <w:pPr>
        <w:ind w:left="516" w:hanging="360"/>
      </w:pPr>
      <w:rPr>
        <w:rFonts w:ascii="Times New Roman" w:eastAsia="Times New Roman" w:hAnsi="Times New Roman" w:cs="Times New Roman" w:hint="default"/>
        <w:color w:val="FF0000"/>
        <w:sz w:val="20"/>
      </w:rPr>
    </w:lvl>
    <w:lvl w:ilvl="1" w:tplc="04260003" w:tentative="1">
      <w:start w:val="1"/>
      <w:numFmt w:val="bullet"/>
      <w:lvlText w:val="o"/>
      <w:lvlJc w:val="left"/>
      <w:pPr>
        <w:ind w:left="1236" w:hanging="360"/>
      </w:pPr>
      <w:rPr>
        <w:rFonts w:ascii="Courier New" w:hAnsi="Courier New" w:cs="Courier New" w:hint="default"/>
      </w:rPr>
    </w:lvl>
    <w:lvl w:ilvl="2" w:tplc="04260005" w:tentative="1">
      <w:start w:val="1"/>
      <w:numFmt w:val="bullet"/>
      <w:lvlText w:val=""/>
      <w:lvlJc w:val="left"/>
      <w:pPr>
        <w:ind w:left="1956" w:hanging="360"/>
      </w:pPr>
      <w:rPr>
        <w:rFonts w:ascii="Wingdings" w:hAnsi="Wingdings" w:hint="default"/>
      </w:rPr>
    </w:lvl>
    <w:lvl w:ilvl="3" w:tplc="04260001" w:tentative="1">
      <w:start w:val="1"/>
      <w:numFmt w:val="bullet"/>
      <w:lvlText w:val=""/>
      <w:lvlJc w:val="left"/>
      <w:pPr>
        <w:ind w:left="2676" w:hanging="360"/>
      </w:pPr>
      <w:rPr>
        <w:rFonts w:ascii="Symbol" w:hAnsi="Symbol" w:hint="default"/>
      </w:rPr>
    </w:lvl>
    <w:lvl w:ilvl="4" w:tplc="04260003" w:tentative="1">
      <w:start w:val="1"/>
      <w:numFmt w:val="bullet"/>
      <w:lvlText w:val="o"/>
      <w:lvlJc w:val="left"/>
      <w:pPr>
        <w:ind w:left="3396" w:hanging="360"/>
      </w:pPr>
      <w:rPr>
        <w:rFonts w:ascii="Courier New" w:hAnsi="Courier New" w:cs="Courier New" w:hint="default"/>
      </w:rPr>
    </w:lvl>
    <w:lvl w:ilvl="5" w:tplc="04260005" w:tentative="1">
      <w:start w:val="1"/>
      <w:numFmt w:val="bullet"/>
      <w:lvlText w:val=""/>
      <w:lvlJc w:val="left"/>
      <w:pPr>
        <w:ind w:left="4116" w:hanging="360"/>
      </w:pPr>
      <w:rPr>
        <w:rFonts w:ascii="Wingdings" w:hAnsi="Wingdings" w:hint="default"/>
      </w:rPr>
    </w:lvl>
    <w:lvl w:ilvl="6" w:tplc="04260001" w:tentative="1">
      <w:start w:val="1"/>
      <w:numFmt w:val="bullet"/>
      <w:lvlText w:val=""/>
      <w:lvlJc w:val="left"/>
      <w:pPr>
        <w:ind w:left="4836" w:hanging="360"/>
      </w:pPr>
      <w:rPr>
        <w:rFonts w:ascii="Symbol" w:hAnsi="Symbol" w:hint="default"/>
      </w:rPr>
    </w:lvl>
    <w:lvl w:ilvl="7" w:tplc="04260003" w:tentative="1">
      <w:start w:val="1"/>
      <w:numFmt w:val="bullet"/>
      <w:lvlText w:val="o"/>
      <w:lvlJc w:val="left"/>
      <w:pPr>
        <w:ind w:left="5556" w:hanging="360"/>
      </w:pPr>
      <w:rPr>
        <w:rFonts w:ascii="Courier New" w:hAnsi="Courier New" w:cs="Courier New" w:hint="default"/>
      </w:rPr>
    </w:lvl>
    <w:lvl w:ilvl="8" w:tplc="04260005" w:tentative="1">
      <w:start w:val="1"/>
      <w:numFmt w:val="bullet"/>
      <w:lvlText w:val=""/>
      <w:lvlJc w:val="left"/>
      <w:pPr>
        <w:ind w:left="6276" w:hanging="360"/>
      </w:pPr>
      <w:rPr>
        <w:rFonts w:ascii="Wingdings" w:hAnsi="Wingdings" w:hint="default"/>
      </w:rPr>
    </w:lvl>
  </w:abstractNum>
  <w:abstractNum w:abstractNumId="14"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61F66410"/>
    <w:multiLevelType w:val="hybridMultilevel"/>
    <w:tmpl w:val="0DDCF0A0"/>
    <w:lvl w:ilvl="0" w:tplc="E112F89A">
      <w:start w:val="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B35AF9"/>
    <w:multiLevelType w:val="hybridMultilevel"/>
    <w:tmpl w:val="BAB6557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2D52EBC"/>
    <w:multiLevelType w:val="hybridMultilevel"/>
    <w:tmpl w:val="4DE250C2"/>
    <w:lvl w:ilvl="0" w:tplc="7610BB04">
      <w:start w:val="1"/>
      <w:numFmt w:val="decimal"/>
      <w:lvlText w:val="%1."/>
      <w:lvlJc w:val="left"/>
      <w:pPr>
        <w:ind w:left="471" w:hanging="360"/>
      </w:pPr>
      <w:rPr>
        <w:rFonts w:hint="default"/>
        <w:i/>
        <w:color w:val="auto"/>
        <w:sz w:val="22"/>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9" w15:restartNumberingAfterBreak="0">
    <w:nsid w:val="7AF14A43"/>
    <w:multiLevelType w:val="hybridMultilevel"/>
    <w:tmpl w:val="38CC3DF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594840"/>
    <w:multiLevelType w:val="hybridMultilevel"/>
    <w:tmpl w:val="AD422C86"/>
    <w:lvl w:ilvl="0" w:tplc="0426000F">
      <w:start w:val="1"/>
      <w:numFmt w:val="decimal"/>
      <w:lvlText w:val="%1."/>
      <w:lvlJc w:val="left"/>
      <w:pPr>
        <w:ind w:left="778" w:hanging="360"/>
      </w:pPr>
    </w:lvl>
    <w:lvl w:ilvl="1" w:tplc="04260019">
      <w:start w:val="1"/>
      <w:numFmt w:val="lowerLetter"/>
      <w:lvlText w:val="%2."/>
      <w:lvlJc w:val="left"/>
      <w:pPr>
        <w:ind w:left="1498" w:hanging="360"/>
      </w:pPr>
    </w:lvl>
    <w:lvl w:ilvl="2" w:tplc="0426001B">
      <w:start w:val="1"/>
      <w:numFmt w:val="lowerRoman"/>
      <w:lvlText w:val="%3."/>
      <w:lvlJc w:val="right"/>
      <w:pPr>
        <w:ind w:left="2218" w:hanging="180"/>
      </w:pPr>
    </w:lvl>
    <w:lvl w:ilvl="3" w:tplc="0426000F">
      <w:start w:val="1"/>
      <w:numFmt w:val="decimal"/>
      <w:lvlText w:val="%4."/>
      <w:lvlJc w:val="left"/>
      <w:pPr>
        <w:ind w:left="2938" w:hanging="360"/>
      </w:pPr>
    </w:lvl>
    <w:lvl w:ilvl="4" w:tplc="04260019">
      <w:start w:val="1"/>
      <w:numFmt w:val="lowerLetter"/>
      <w:lvlText w:val="%5."/>
      <w:lvlJc w:val="left"/>
      <w:pPr>
        <w:ind w:left="3658" w:hanging="360"/>
      </w:pPr>
    </w:lvl>
    <w:lvl w:ilvl="5" w:tplc="0426001B">
      <w:start w:val="1"/>
      <w:numFmt w:val="lowerRoman"/>
      <w:lvlText w:val="%6."/>
      <w:lvlJc w:val="right"/>
      <w:pPr>
        <w:ind w:left="4378" w:hanging="180"/>
      </w:pPr>
    </w:lvl>
    <w:lvl w:ilvl="6" w:tplc="0426000F">
      <w:start w:val="1"/>
      <w:numFmt w:val="decimal"/>
      <w:lvlText w:val="%7."/>
      <w:lvlJc w:val="left"/>
      <w:pPr>
        <w:ind w:left="5098" w:hanging="360"/>
      </w:pPr>
    </w:lvl>
    <w:lvl w:ilvl="7" w:tplc="04260019">
      <w:start w:val="1"/>
      <w:numFmt w:val="lowerLetter"/>
      <w:lvlText w:val="%8."/>
      <w:lvlJc w:val="left"/>
      <w:pPr>
        <w:ind w:left="5818" w:hanging="360"/>
      </w:pPr>
    </w:lvl>
    <w:lvl w:ilvl="8" w:tplc="0426001B">
      <w:start w:val="1"/>
      <w:numFmt w:val="lowerRoman"/>
      <w:lvlText w:val="%9."/>
      <w:lvlJc w:val="right"/>
      <w:pPr>
        <w:ind w:left="6538" w:hanging="180"/>
      </w:pPr>
    </w:lvl>
  </w:abstractNum>
  <w:abstractNum w:abstractNumId="21" w15:restartNumberingAfterBreak="0">
    <w:nsid w:val="7E001CDB"/>
    <w:multiLevelType w:val="hybridMultilevel"/>
    <w:tmpl w:val="86C23F80"/>
    <w:lvl w:ilvl="0" w:tplc="CE367AF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1"/>
  </w:num>
  <w:num w:numId="4">
    <w:abstractNumId w:val="12"/>
  </w:num>
  <w:num w:numId="5">
    <w:abstractNumId w:val="15"/>
  </w:num>
  <w:num w:numId="6">
    <w:abstractNumId w:val="10"/>
  </w:num>
  <w:num w:numId="7">
    <w:abstractNumId w:val="16"/>
  </w:num>
  <w:num w:numId="8">
    <w:abstractNumId w:val="9"/>
  </w:num>
  <w:num w:numId="9">
    <w:abstractNumId w:val="8"/>
  </w:num>
  <w:num w:numId="10">
    <w:abstractNumId w:val="1"/>
  </w:num>
  <w:num w:numId="11">
    <w:abstractNumId w:val="17"/>
  </w:num>
  <w:num w:numId="12">
    <w:abstractNumId w:val="0"/>
  </w:num>
  <w:num w:numId="13">
    <w:abstractNumId w:val="14"/>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 w:numId="20">
    <w:abstractNumId w:val="18"/>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A90"/>
    <w:rsid w:val="00011006"/>
    <w:rsid w:val="00021133"/>
    <w:rsid w:val="00021AF3"/>
    <w:rsid w:val="00025443"/>
    <w:rsid w:val="000344DB"/>
    <w:rsid w:val="00036158"/>
    <w:rsid w:val="00036BC0"/>
    <w:rsid w:val="00042C66"/>
    <w:rsid w:val="000565B0"/>
    <w:rsid w:val="00060A76"/>
    <w:rsid w:val="00063DCF"/>
    <w:rsid w:val="0007183F"/>
    <w:rsid w:val="000749D4"/>
    <w:rsid w:val="000800E2"/>
    <w:rsid w:val="00087E12"/>
    <w:rsid w:val="000A1E64"/>
    <w:rsid w:val="000B11FB"/>
    <w:rsid w:val="000B3655"/>
    <w:rsid w:val="000B4871"/>
    <w:rsid w:val="000C5E9B"/>
    <w:rsid w:val="000D1942"/>
    <w:rsid w:val="000D2A70"/>
    <w:rsid w:val="000F7767"/>
    <w:rsid w:val="0012088B"/>
    <w:rsid w:val="001231ED"/>
    <w:rsid w:val="00126924"/>
    <w:rsid w:val="0014624D"/>
    <w:rsid w:val="001501AD"/>
    <w:rsid w:val="00153A2D"/>
    <w:rsid w:val="00183FDD"/>
    <w:rsid w:val="00190F8D"/>
    <w:rsid w:val="001920DB"/>
    <w:rsid w:val="00192600"/>
    <w:rsid w:val="00194A05"/>
    <w:rsid w:val="001A2B20"/>
    <w:rsid w:val="001A58D3"/>
    <w:rsid w:val="001B1261"/>
    <w:rsid w:val="001B4F81"/>
    <w:rsid w:val="001B5986"/>
    <w:rsid w:val="001B6A66"/>
    <w:rsid w:val="001C113D"/>
    <w:rsid w:val="001C2A06"/>
    <w:rsid w:val="001E0836"/>
    <w:rsid w:val="001E2472"/>
    <w:rsid w:val="001E24C6"/>
    <w:rsid w:val="001E2FB3"/>
    <w:rsid w:val="002255D1"/>
    <w:rsid w:val="002272BA"/>
    <w:rsid w:val="002427BB"/>
    <w:rsid w:val="00243426"/>
    <w:rsid w:val="00247D7B"/>
    <w:rsid w:val="00265E56"/>
    <w:rsid w:val="00270703"/>
    <w:rsid w:val="002764E3"/>
    <w:rsid w:val="002B11AC"/>
    <w:rsid w:val="002C48B0"/>
    <w:rsid w:val="002C6642"/>
    <w:rsid w:val="002D1889"/>
    <w:rsid w:val="002D73D2"/>
    <w:rsid w:val="002D754F"/>
    <w:rsid w:val="002E1C05"/>
    <w:rsid w:val="002F516B"/>
    <w:rsid w:val="00301B1B"/>
    <w:rsid w:val="0030717D"/>
    <w:rsid w:val="003269E7"/>
    <w:rsid w:val="003451FF"/>
    <w:rsid w:val="0034773D"/>
    <w:rsid w:val="00352D2D"/>
    <w:rsid w:val="00354BD9"/>
    <w:rsid w:val="00362DF7"/>
    <w:rsid w:val="00380792"/>
    <w:rsid w:val="0038792A"/>
    <w:rsid w:val="00390A4F"/>
    <w:rsid w:val="00390DE2"/>
    <w:rsid w:val="003A1CD7"/>
    <w:rsid w:val="003A231E"/>
    <w:rsid w:val="003A34D5"/>
    <w:rsid w:val="003B07ED"/>
    <w:rsid w:val="003B0BF9"/>
    <w:rsid w:val="003B2A86"/>
    <w:rsid w:val="003C3426"/>
    <w:rsid w:val="003C52D1"/>
    <w:rsid w:val="003C53F1"/>
    <w:rsid w:val="003D5B00"/>
    <w:rsid w:val="003E0791"/>
    <w:rsid w:val="003F28AC"/>
    <w:rsid w:val="003F2960"/>
    <w:rsid w:val="00401725"/>
    <w:rsid w:val="0040185F"/>
    <w:rsid w:val="00406690"/>
    <w:rsid w:val="0040762B"/>
    <w:rsid w:val="00407B46"/>
    <w:rsid w:val="00407F5E"/>
    <w:rsid w:val="00415663"/>
    <w:rsid w:val="00416FF9"/>
    <w:rsid w:val="00427FBB"/>
    <w:rsid w:val="00431BB3"/>
    <w:rsid w:val="00436795"/>
    <w:rsid w:val="00442822"/>
    <w:rsid w:val="004454FE"/>
    <w:rsid w:val="00445C1B"/>
    <w:rsid w:val="00456E40"/>
    <w:rsid w:val="004703B5"/>
    <w:rsid w:val="00471F27"/>
    <w:rsid w:val="00472540"/>
    <w:rsid w:val="00473107"/>
    <w:rsid w:val="00476087"/>
    <w:rsid w:val="00496B74"/>
    <w:rsid w:val="004A52AA"/>
    <w:rsid w:val="004A5581"/>
    <w:rsid w:val="004B14E0"/>
    <w:rsid w:val="004B3B60"/>
    <w:rsid w:val="004C2434"/>
    <w:rsid w:val="004E49BD"/>
    <w:rsid w:val="004F15EF"/>
    <w:rsid w:val="004F1C50"/>
    <w:rsid w:val="004F4A18"/>
    <w:rsid w:val="0050178F"/>
    <w:rsid w:val="0050486A"/>
    <w:rsid w:val="005060F1"/>
    <w:rsid w:val="0052068B"/>
    <w:rsid w:val="00527DB6"/>
    <w:rsid w:val="00527EE6"/>
    <w:rsid w:val="00532FCC"/>
    <w:rsid w:val="00540296"/>
    <w:rsid w:val="005516A0"/>
    <w:rsid w:val="00555D7A"/>
    <w:rsid w:val="00560533"/>
    <w:rsid w:val="005615D5"/>
    <w:rsid w:val="00564EE8"/>
    <w:rsid w:val="00565B87"/>
    <w:rsid w:val="00566E3A"/>
    <w:rsid w:val="005672A6"/>
    <w:rsid w:val="00583C19"/>
    <w:rsid w:val="00584EE3"/>
    <w:rsid w:val="005905BF"/>
    <w:rsid w:val="00593EB9"/>
    <w:rsid w:val="00594D9A"/>
    <w:rsid w:val="005A4040"/>
    <w:rsid w:val="005C0D6E"/>
    <w:rsid w:val="005C6732"/>
    <w:rsid w:val="005C6F7B"/>
    <w:rsid w:val="005D63EF"/>
    <w:rsid w:val="005D7530"/>
    <w:rsid w:val="005E1886"/>
    <w:rsid w:val="005E62D4"/>
    <w:rsid w:val="005F066A"/>
    <w:rsid w:val="005F200F"/>
    <w:rsid w:val="00600B2F"/>
    <w:rsid w:val="0060648F"/>
    <w:rsid w:val="006118C1"/>
    <w:rsid w:val="006176D0"/>
    <w:rsid w:val="00632A66"/>
    <w:rsid w:val="0064199D"/>
    <w:rsid w:val="00661A30"/>
    <w:rsid w:val="006642FB"/>
    <w:rsid w:val="00670DE5"/>
    <w:rsid w:val="00670F89"/>
    <w:rsid w:val="00673DD7"/>
    <w:rsid w:val="00681121"/>
    <w:rsid w:val="00686DFC"/>
    <w:rsid w:val="00692EB7"/>
    <w:rsid w:val="006A76D8"/>
    <w:rsid w:val="006B1E70"/>
    <w:rsid w:val="006C60E3"/>
    <w:rsid w:val="006C6941"/>
    <w:rsid w:val="006D1A49"/>
    <w:rsid w:val="006D5BBB"/>
    <w:rsid w:val="006E1081"/>
    <w:rsid w:val="006E25C8"/>
    <w:rsid w:val="00706183"/>
    <w:rsid w:val="00715E4D"/>
    <w:rsid w:val="00720585"/>
    <w:rsid w:val="007221C9"/>
    <w:rsid w:val="007267E5"/>
    <w:rsid w:val="00726FAF"/>
    <w:rsid w:val="007321F4"/>
    <w:rsid w:val="00741804"/>
    <w:rsid w:val="00756ED5"/>
    <w:rsid w:val="00761FAA"/>
    <w:rsid w:val="00766031"/>
    <w:rsid w:val="007672D5"/>
    <w:rsid w:val="007710FA"/>
    <w:rsid w:val="00772002"/>
    <w:rsid w:val="00773AF6"/>
    <w:rsid w:val="007856E2"/>
    <w:rsid w:val="00786309"/>
    <w:rsid w:val="0079385F"/>
    <w:rsid w:val="00794223"/>
    <w:rsid w:val="00794726"/>
    <w:rsid w:val="00794B6B"/>
    <w:rsid w:val="00795F71"/>
    <w:rsid w:val="007A595F"/>
    <w:rsid w:val="007B3185"/>
    <w:rsid w:val="007B4B9D"/>
    <w:rsid w:val="007B7F31"/>
    <w:rsid w:val="007C1CB2"/>
    <w:rsid w:val="007C1DF8"/>
    <w:rsid w:val="007C51E8"/>
    <w:rsid w:val="007D0685"/>
    <w:rsid w:val="007E73AB"/>
    <w:rsid w:val="007F0C09"/>
    <w:rsid w:val="007F1F69"/>
    <w:rsid w:val="007F6BD1"/>
    <w:rsid w:val="007F78C1"/>
    <w:rsid w:val="0081090A"/>
    <w:rsid w:val="00816C11"/>
    <w:rsid w:val="00824171"/>
    <w:rsid w:val="008260EA"/>
    <w:rsid w:val="00827097"/>
    <w:rsid w:val="008277F1"/>
    <w:rsid w:val="00832431"/>
    <w:rsid w:val="00833109"/>
    <w:rsid w:val="008335E7"/>
    <w:rsid w:val="008350F2"/>
    <w:rsid w:val="008351F9"/>
    <w:rsid w:val="00841527"/>
    <w:rsid w:val="00851E63"/>
    <w:rsid w:val="00855EFB"/>
    <w:rsid w:val="0085779F"/>
    <w:rsid w:val="0087416F"/>
    <w:rsid w:val="00874D3B"/>
    <w:rsid w:val="00887DEA"/>
    <w:rsid w:val="00894177"/>
    <w:rsid w:val="00894C55"/>
    <w:rsid w:val="00896DB0"/>
    <w:rsid w:val="008C7EC1"/>
    <w:rsid w:val="008D1FC0"/>
    <w:rsid w:val="008E5F80"/>
    <w:rsid w:val="009027DB"/>
    <w:rsid w:val="00903CE8"/>
    <w:rsid w:val="009115BF"/>
    <w:rsid w:val="00915F06"/>
    <w:rsid w:val="009175DC"/>
    <w:rsid w:val="00922ABE"/>
    <w:rsid w:val="009278D3"/>
    <w:rsid w:val="009467A9"/>
    <w:rsid w:val="00953066"/>
    <w:rsid w:val="00954A4D"/>
    <w:rsid w:val="00962D2A"/>
    <w:rsid w:val="0096744D"/>
    <w:rsid w:val="00983083"/>
    <w:rsid w:val="00990267"/>
    <w:rsid w:val="00994569"/>
    <w:rsid w:val="0099666E"/>
    <w:rsid w:val="00996A07"/>
    <w:rsid w:val="009A0DC0"/>
    <w:rsid w:val="009A193B"/>
    <w:rsid w:val="009A2654"/>
    <w:rsid w:val="009A7918"/>
    <w:rsid w:val="009B1616"/>
    <w:rsid w:val="009B6E3D"/>
    <w:rsid w:val="009C1C77"/>
    <w:rsid w:val="009C7B1D"/>
    <w:rsid w:val="009D06AA"/>
    <w:rsid w:val="009D499F"/>
    <w:rsid w:val="009E1AA1"/>
    <w:rsid w:val="009E3B19"/>
    <w:rsid w:val="009E3F3D"/>
    <w:rsid w:val="009E595F"/>
    <w:rsid w:val="009E633E"/>
    <w:rsid w:val="009F7D7D"/>
    <w:rsid w:val="00A00B37"/>
    <w:rsid w:val="00A07CEF"/>
    <w:rsid w:val="00A10B6B"/>
    <w:rsid w:val="00A10FC3"/>
    <w:rsid w:val="00A17AC1"/>
    <w:rsid w:val="00A217EC"/>
    <w:rsid w:val="00A24F6E"/>
    <w:rsid w:val="00A2715C"/>
    <w:rsid w:val="00A53C09"/>
    <w:rsid w:val="00A6073E"/>
    <w:rsid w:val="00A80309"/>
    <w:rsid w:val="00A85AE7"/>
    <w:rsid w:val="00AA70D4"/>
    <w:rsid w:val="00AA7F1A"/>
    <w:rsid w:val="00AC470E"/>
    <w:rsid w:val="00AD3B08"/>
    <w:rsid w:val="00AD468A"/>
    <w:rsid w:val="00AD625F"/>
    <w:rsid w:val="00AE12F7"/>
    <w:rsid w:val="00AE301A"/>
    <w:rsid w:val="00AE4855"/>
    <w:rsid w:val="00AE5567"/>
    <w:rsid w:val="00AE6423"/>
    <w:rsid w:val="00AE7689"/>
    <w:rsid w:val="00AF3D09"/>
    <w:rsid w:val="00AF7E17"/>
    <w:rsid w:val="00B042EC"/>
    <w:rsid w:val="00B055BA"/>
    <w:rsid w:val="00B11474"/>
    <w:rsid w:val="00B13C90"/>
    <w:rsid w:val="00B16480"/>
    <w:rsid w:val="00B165D6"/>
    <w:rsid w:val="00B2165C"/>
    <w:rsid w:val="00B24B32"/>
    <w:rsid w:val="00B3037D"/>
    <w:rsid w:val="00B3503D"/>
    <w:rsid w:val="00B45D33"/>
    <w:rsid w:val="00B53618"/>
    <w:rsid w:val="00B56BC5"/>
    <w:rsid w:val="00B628AF"/>
    <w:rsid w:val="00B73718"/>
    <w:rsid w:val="00B84A76"/>
    <w:rsid w:val="00B91C6A"/>
    <w:rsid w:val="00B97D15"/>
    <w:rsid w:val="00BA1CEF"/>
    <w:rsid w:val="00BA20AA"/>
    <w:rsid w:val="00BB1B05"/>
    <w:rsid w:val="00BB329B"/>
    <w:rsid w:val="00BD4425"/>
    <w:rsid w:val="00C01A32"/>
    <w:rsid w:val="00C04A45"/>
    <w:rsid w:val="00C06471"/>
    <w:rsid w:val="00C22252"/>
    <w:rsid w:val="00C22AC3"/>
    <w:rsid w:val="00C25B49"/>
    <w:rsid w:val="00C34DD7"/>
    <w:rsid w:val="00C43546"/>
    <w:rsid w:val="00C5149D"/>
    <w:rsid w:val="00C70B99"/>
    <w:rsid w:val="00C73580"/>
    <w:rsid w:val="00C90497"/>
    <w:rsid w:val="00CA67EB"/>
    <w:rsid w:val="00CB3733"/>
    <w:rsid w:val="00CB44F5"/>
    <w:rsid w:val="00CB6F25"/>
    <w:rsid w:val="00CC080C"/>
    <w:rsid w:val="00CD2ADF"/>
    <w:rsid w:val="00CD526E"/>
    <w:rsid w:val="00CE5657"/>
    <w:rsid w:val="00CF2E5A"/>
    <w:rsid w:val="00CF2EB6"/>
    <w:rsid w:val="00D01950"/>
    <w:rsid w:val="00D04835"/>
    <w:rsid w:val="00D0502F"/>
    <w:rsid w:val="00D133F8"/>
    <w:rsid w:val="00D14A3E"/>
    <w:rsid w:val="00D1642F"/>
    <w:rsid w:val="00D17E6F"/>
    <w:rsid w:val="00D2652A"/>
    <w:rsid w:val="00D3116C"/>
    <w:rsid w:val="00D325F4"/>
    <w:rsid w:val="00D50AD2"/>
    <w:rsid w:val="00D673EF"/>
    <w:rsid w:val="00D67886"/>
    <w:rsid w:val="00D71651"/>
    <w:rsid w:val="00D8491C"/>
    <w:rsid w:val="00D85F57"/>
    <w:rsid w:val="00D9388E"/>
    <w:rsid w:val="00DB2424"/>
    <w:rsid w:val="00DB7E0A"/>
    <w:rsid w:val="00DC695C"/>
    <w:rsid w:val="00DC7AB1"/>
    <w:rsid w:val="00DD52E0"/>
    <w:rsid w:val="00E03F2E"/>
    <w:rsid w:val="00E070C3"/>
    <w:rsid w:val="00E074D5"/>
    <w:rsid w:val="00E14256"/>
    <w:rsid w:val="00E17477"/>
    <w:rsid w:val="00E2036B"/>
    <w:rsid w:val="00E20374"/>
    <w:rsid w:val="00E20915"/>
    <w:rsid w:val="00E239D0"/>
    <w:rsid w:val="00E26FDE"/>
    <w:rsid w:val="00E27D8F"/>
    <w:rsid w:val="00E3208E"/>
    <w:rsid w:val="00E3300B"/>
    <w:rsid w:val="00E33465"/>
    <w:rsid w:val="00E36DD1"/>
    <w:rsid w:val="00E3716B"/>
    <w:rsid w:val="00E43CFF"/>
    <w:rsid w:val="00E51CF6"/>
    <w:rsid w:val="00E52645"/>
    <w:rsid w:val="00E5323B"/>
    <w:rsid w:val="00E60753"/>
    <w:rsid w:val="00E64634"/>
    <w:rsid w:val="00E754F1"/>
    <w:rsid w:val="00E77FA8"/>
    <w:rsid w:val="00E8041E"/>
    <w:rsid w:val="00E80B39"/>
    <w:rsid w:val="00E829AF"/>
    <w:rsid w:val="00E8749E"/>
    <w:rsid w:val="00E90C01"/>
    <w:rsid w:val="00E937DF"/>
    <w:rsid w:val="00E94B2E"/>
    <w:rsid w:val="00EA0FA3"/>
    <w:rsid w:val="00EA2EB3"/>
    <w:rsid w:val="00EA486E"/>
    <w:rsid w:val="00EA7D82"/>
    <w:rsid w:val="00EB6120"/>
    <w:rsid w:val="00EB6B22"/>
    <w:rsid w:val="00EC6695"/>
    <w:rsid w:val="00EC7EAD"/>
    <w:rsid w:val="00EE0603"/>
    <w:rsid w:val="00F00FDE"/>
    <w:rsid w:val="00F02CB1"/>
    <w:rsid w:val="00F114A8"/>
    <w:rsid w:val="00F14E82"/>
    <w:rsid w:val="00F30F4F"/>
    <w:rsid w:val="00F413B0"/>
    <w:rsid w:val="00F41AC5"/>
    <w:rsid w:val="00F51025"/>
    <w:rsid w:val="00F52577"/>
    <w:rsid w:val="00F5327E"/>
    <w:rsid w:val="00F54364"/>
    <w:rsid w:val="00F57B0C"/>
    <w:rsid w:val="00F61597"/>
    <w:rsid w:val="00F72C19"/>
    <w:rsid w:val="00F7361D"/>
    <w:rsid w:val="00F7577E"/>
    <w:rsid w:val="00F84C7B"/>
    <w:rsid w:val="00F873FC"/>
    <w:rsid w:val="00F90AC7"/>
    <w:rsid w:val="00F9392A"/>
    <w:rsid w:val="00F9740C"/>
    <w:rsid w:val="00FA2BA2"/>
    <w:rsid w:val="00FA35FD"/>
    <w:rsid w:val="00FA4967"/>
    <w:rsid w:val="00FC4A07"/>
    <w:rsid w:val="00FD7A5D"/>
    <w:rsid w:val="00FE0A67"/>
    <w:rsid w:val="00FE3D0C"/>
    <w:rsid w:val="00FE431E"/>
    <w:rsid w:val="00FE45E7"/>
    <w:rsid w:val="00FE71F5"/>
    <w:rsid w:val="00FF54F0"/>
    <w:rsid w:val="00FF5D4F"/>
    <w:rsid w:val="00FF7296"/>
    <w:rsid w:val="01941782"/>
    <w:rsid w:val="026783CA"/>
    <w:rsid w:val="0555B2D9"/>
    <w:rsid w:val="0868B986"/>
    <w:rsid w:val="086C17B4"/>
    <w:rsid w:val="0B619D5B"/>
    <w:rsid w:val="0D237AD2"/>
    <w:rsid w:val="0E638C25"/>
    <w:rsid w:val="11749C93"/>
    <w:rsid w:val="12969623"/>
    <w:rsid w:val="12B5DCAF"/>
    <w:rsid w:val="16DDA7DA"/>
    <w:rsid w:val="1D464FC0"/>
    <w:rsid w:val="1FB1F8F8"/>
    <w:rsid w:val="202891D8"/>
    <w:rsid w:val="224DE1A2"/>
    <w:rsid w:val="262E60D9"/>
    <w:rsid w:val="284C8027"/>
    <w:rsid w:val="29AAA8D6"/>
    <w:rsid w:val="2A845F31"/>
    <w:rsid w:val="2B374946"/>
    <w:rsid w:val="2B491DA7"/>
    <w:rsid w:val="2BBD0546"/>
    <w:rsid w:val="2D80BDE1"/>
    <w:rsid w:val="2E8BE75A"/>
    <w:rsid w:val="31F1B6EC"/>
    <w:rsid w:val="39A58345"/>
    <w:rsid w:val="39D35724"/>
    <w:rsid w:val="3CE1FEAD"/>
    <w:rsid w:val="3D217054"/>
    <w:rsid w:val="44A57F59"/>
    <w:rsid w:val="4505580B"/>
    <w:rsid w:val="4984514A"/>
    <w:rsid w:val="4CCF32F6"/>
    <w:rsid w:val="4E88686A"/>
    <w:rsid w:val="4F29766B"/>
    <w:rsid w:val="51A59F0D"/>
    <w:rsid w:val="52E44A12"/>
    <w:rsid w:val="52EA796A"/>
    <w:rsid w:val="5492C9A5"/>
    <w:rsid w:val="553AC02D"/>
    <w:rsid w:val="55662A18"/>
    <w:rsid w:val="580659FA"/>
    <w:rsid w:val="586ECA59"/>
    <w:rsid w:val="5D33786F"/>
    <w:rsid w:val="5EB8AF5B"/>
    <w:rsid w:val="5F6DC22A"/>
    <w:rsid w:val="61425795"/>
    <w:rsid w:val="63653BBF"/>
    <w:rsid w:val="66EC8282"/>
    <w:rsid w:val="67F68CAA"/>
    <w:rsid w:val="6CD16C98"/>
    <w:rsid w:val="714B8FA6"/>
    <w:rsid w:val="71FEFE6B"/>
    <w:rsid w:val="73008173"/>
    <w:rsid w:val="771C6E5B"/>
    <w:rsid w:val="7814C3DA"/>
    <w:rsid w:val="784525F3"/>
    <w:rsid w:val="79E9721D"/>
    <w:rsid w:val="7A9FA125"/>
    <w:rsid w:val="7B20960A"/>
    <w:rsid w:val="7B79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6F34D"/>
  <w15:docId w15:val="{2CC702DA-F6D3-474D-8EE8-4391CC24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8277F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8277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77F1"/>
    <w:pPr>
      <w:ind w:left="720"/>
      <w:contextualSpacing/>
    </w:pPr>
  </w:style>
  <w:style w:type="character" w:styleId="FootnoteReference">
    <w:name w:val="footnote reference"/>
    <w:aliases w:val="Footnote Reference Number,Footnote symbol,Footnotes refss"/>
    <w:uiPriority w:val="99"/>
    <w:unhideWhenUsed/>
    <w:rsid w:val="008277F1"/>
    <w:rPr>
      <w:vertAlign w:val="superscript"/>
    </w:rPr>
  </w:style>
  <w:style w:type="paragraph" w:customStyle="1" w:styleId="tv213">
    <w:name w:val="tv213"/>
    <w:basedOn w:val="Normal"/>
    <w:rsid w:val="009E63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40172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501A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73FC"/>
    <w:rPr>
      <w:sz w:val="16"/>
      <w:szCs w:val="16"/>
    </w:rPr>
  </w:style>
  <w:style w:type="paragraph" w:styleId="CommentText">
    <w:name w:val="annotation text"/>
    <w:basedOn w:val="Normal"/>
    <w:link w:val="CommentTextChar"/>
    <w:uiPriority w:val="99"/>
    <w:semiHidden/>
    <w:unhideWhenUsed/>
    <w:rsid w:val="00F873FC"/>
    <w:pPr>
      <w:spacing w:line="240" w:lineRule="auto"/>
    </w:pPr>
    <w:rPr>
      <w:sz w:val="20"/>
      <w:szCs w:val="20"/>
    </w:rPr>
  </w:style>
  <w:style w:type="character" w:customStyle="1" w:styleId="CommentTextChar">
    <w:name w:val="Comment Text Char"/>
    <w:basedOn w:val="DefaultParagraphFont"/>
    <w:link w:val="CommentText"/>
    <w:uiPriority w:val="99"/>
    <w:semiHidden/>
    <w:rsid w:val="00F873FC"/>
    <w:rPr>
      <w:sz w:val="20"/>
      <w:szCs w:val="20"/>
    </w:rPr>
  </w:style>
  <w:style w:type="paragraph" w:styleId="CommentSubject">
    <w:name w:val="annotation subject"/>
    <w:basedOn w:val="CommentText"/>
    <w:next w:val="CommentText"/>
    <w:link w:val="CommentSubjectChar"/>
    <w:uiPriority w:val="99"/>
    <w:semiHidden/>
    <w:unhideWhenUsed/>
    <w:rsid w:val="00F873FC"/>
    <w:rPr>
      <w:b/>
      <w:bCs/>
    </w:rPr>
  </w:style>
  <w:style w:type="character" w:customStyle="1" w:styleId="CommentSubjectChar">
    <w:name w:val="Comment Subject Char"/>
    <w:basedOn w:val="CommentTextChar"/>
    <w:link w:val="CommentSubject"/>
    <w:uiPriority w:val="99"/>
    <w:semiHidden/>
    <w:rsid w:val="00F873FC"/>
    <w:rPr>
      <w:b/>
      <w:bCs/>
      <w:sz w:val="20"/>
      <w:szCs w:val="20"/>
    </w:rPr>
  </w:style>
  <w:style w:type="paragraph" w:customStyle="1" w:styleId="Saturardtjs">
    <w:name w:val="Satura rādītājs"/>
    <w:basedOn w:val="Normal"/>
    <w:qFormat/>
    <w:rsid w:val="000D2A70"/>
    <w:pPr>
      <w:suppressLineNumbers/>
    </w:pPr>
  </w:style>
  <w:style w:type="table" w:styleId="TableGrid">
    <w:name w:val="Table Grid"/>
    <w:basedOn w:val="TableNormal"/>
    <w:uiPriority w:val="39"/>
    <w:rsid w:val="000D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83">
      <w:bodyDiv w:val="1"/>
      <w:marLeft w:val="0"/>
      <w:marRight w:val="0"/>
      <w:marTop w:val="0"/>
      <w:marBottom w:val="0"/>
      <w:divBdr>
        <w:top w:val="none" w:sz="0" w:space="0" w:color="auto"/>
        <w:left w:val="none" w:sz="0" w:space="0" w:color="auto"/>
        <w:bottom w:val="none" w:sz="0" w:space="0" w:color="auto"/>
        <w:right w:val="none" w:sz="0" w:space="0" w:color="auto"/>
      </w:divBdr>
    </w:div>
    <w:div w:id="1499120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9953942">
      <w:bodyDiv w:val="1"/>
      <w:marLeft w:val="0"/>
      <w:marRight w:val="0"/>
      <w:marTop w:val="0"/>
      <w:marBottom w:val="0"/>
      <w:divBdr>
        <w:top w:val="none" w:sz="0" w:space="0" w:color="auto"/>
        <w:left w:val="none" w:sz="0" w:space="0" w:color="auto"/>
        <w:bottom w:val="none" w:sz="0" w:space="0" w:color="auto"/>
        <w:right w:val="none" w:sz="0" w:space="0" w:color="auto"/>
      </w:divBdr>
    </w:div>
    <w:div w:id="581110104">
      <w:bodyDiv w:val="1"/>
      <w:marLeft w:val="0"/>
      <w:marRight w:val="0"/>
      <w:marTop w:val="0"/>
      <w:marBottom w:val="0"/>
      <w:divBdr>
        <w:top w:val="none" w:sz="0" w:space="0" w:color="auto"/>
        <w:left w:val="none" w:sz="0" w:space="0" w:color="auto"/>
        <w:bottom w:val="none" w:sz="0" w:space="0" w:color="auto"/>
        <w:right w:val="none" w:sz="0" w:space="0" w:color="auto"/>
      </w:divBdr>
    </w:div>
    <w:div w:id="832380031">
      <w:bodyDiv w:val="1"/>
      <w:marLeft w:val="0"/>
      <w:marRight w:val="0"/>
      <w:marTop w:val="0"/>
      <w:marBottom w:val="0"/>
      <w:divBdr>
        <w:top w:val="none" w:sz="0" w:space="0" w:color="auto"/>
        <w:left w:val="none" w:sz="0" w:space="0" w:color="auto"/>
        <w:bottom w:val="none" w:sz="0" w:space="0" w:color="auto"/>
        <w:right w:val="none" w:sz="0" w:space="0" w:color="auto"/>
      </w:divBdr>
    </w:div>
    <w:div w:id="919290796">
      <w:bodyDiv w:val="1"/>
      <w:marLeft w:val="0"/>
      <w:marRight w:val="0"/>
      <w:marTop w:val="0"/>
      <w:marBottom w:val="0"/>
      <w:divBdr>
        <w:top w:val="none" w:sz="0" w:space="0" w:color="auto"/>
        <w:left w:val="none" w:sz="0" w:space="0" w:color="auto"/>
        <w:bottom w:val="none" w:sz="0" w:space="0" w:color="auto"/>
        <w:right w:val="none" w:sz="0" w:space="0" w:color="auto"/>
      </w:divBdr>
    </w:div>
    <w:div w:id="924920687">
      <w:bodyDiv w:val="1"/>
      <w:marLeft w:val="0"/>
      <w:marRight w:val="0"/>
      <w:marTop w:val="0"/>
      <w:marBottom w:val="0"/>
      <w:divBdr>
        <w:top w:val="none" w:sz="0" w:space="0" w:color="auto"/>
        <w:left w:val="none" w:sz="0" w:space="0" w:color="auto"/>
        <w:bottom w:val="none" w:sz="0" w:space="0" w:color="auto"/>
        <w:right w:val="none" w:sz="0" w:space="0" w:color="auto"/>
      </w:divBdr>
    </w:div>
    <w:div w:id="940261823">
      <w:bodyDiv w:val="1"/>
      <w:marLeft w:val="0"/>
      <w:marRight w:val="0"/>
      <w:marTop w:val="0"/>
      <w:marBottom w:val="0"/>
      <w:divBdr>
        <w:top w:val="none" w:sz="0" w:space="0" w:color="auto"/>
        <w:left w:val="none" w:sz="0" w:space="0" w:color="auto"/>
        <w:bottom w:val="none" w:sz="0" w:space="0" w:color="auto"/>
        <w:right w:val="none" w:sz="0" w:space="0" w:color="auto"/>
      </w:divBdr>
    </w:div>
    <w:div w:id="12065244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7300411">
      <w:bodyDiv w:val="1"/>
      <w:marLeft w:val="0"/>
      <w:marRight w:val="0"/>
      <w:marTop w:val="0"/>
      <w:marBottom w:val="0"/>
      <w:divBdr>
        <w:top w:val="none" w:sz="0" w:space="0" w:color="auto"/>
        <w:left w:val="none" w:sz="0" w:space="0" w:color="auto"/>
        <w:bottom w:val="none" w:sz="0" w:space="0" w:color="auto"/>
        <w:right w:val="none" w:sz="0" w:space="0" w:color="auto"/>
      </w:divBdr>
    </w:div>
    <w:div w:id="1729719686">
      <w:bodyDiv w:val="1"/>
      <w:marLeft w:val="0"/>
      <w:marRight w:val="0"/>
      <w:marTop w:val="0"/>
      <w:marBottom w:val="0"/>
      <w:divBdr>
        <w:top w:val="none" w:sz="0" w:space="0" w:color="auto"/>
        <w:left w:val="none" w:sz="0" w:space="0" w:color="auto"/>
        <w:bottom w:val="none" w:sz="0" w:space="0" w:color="auto"/>
        <w:right w:val="none" w:sz="0" w:space="0" w:color="auto"/>
      </w:divBdr>
    </w:div>
    <w:div w:id="1738016112">
      <w:bodyDiv w:val="1"/>
      <w:marLeft w:val="0"/>
      <w:marRight w:val="0"/>
      <w:marTop w:val="0"/>
      <w:marBottom w:val="0"/>
      <w:divBdr>
        <w:top w:val="none" w:sz="0" w:space="0" w:color="auto"/>
        <w:left w:val="none" w:sz="0" w:space="0" w:color="auto"/>
        <w:bottom w:val="none" w:sz="0" w:space="0" w:color="auto"/>
        <w:right w:val="none" w:sz="0" w:space="0" w:color="auto"/>
      </w:divBdr>
    </w:div>
    <w:div w:id="20065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9994-par-ipasi-aizsargajamam-dabas-teritorija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dija.Balka@vara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9994-par-ipasi-aizsargajamam-dabas-teritorija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lidzd/pazinojumi_par_lidzdalibas_iesp/" TargetMode="External"/><Relationship Id="rId2" Type="http://schemas.openxmlformats.org/officeDocument/2006/relationships/hyperlink" Target="http://www.vvd.gov.lv/publikacijas-un-statistika/statistikas-dati/" TargetMode="External"/><Relationship Id="rId1" Type="http://schemas.openxmlformats.org/officeDocument/2006/relationships/hyperlink" Target="http://www.vpvb.gov.lv/lv/ivn/projekti/?status=3&amp;year=20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31477"/>
    <w:rsid w:val="00057C8B"/>
    <w:rsid w:val="0006135E"/>
    <w:rsid w:val="00065C5B"/>
    <w:rsid w:val="00084514"/>
    <w:rsid w:val="001136EF"/>
    <w:rsid w:val="0013331C"/>
    <w:rsid w:val="00141021"/>
    <w:rsid w:val="00166CF6"/>
    <w:rsid w:val="001909ED"/>
    <w:rsid w:val="00225607"/>
    <w:rsid w:val="0022686D"/>
    <w:rsid w:val="002B28DB"/>
    <w:rsid w:val="002E4596"/>
    <w:rsid w:val="00344186"/>
    <w:rsid w:val="004051AC"/>
    <w:rsid w:val="0046442B"/>
    <w:rsid w:val="00472F39"/>
    <w:rsid w:val="00474371"/>
    <w:rsid w:val="00523A63"/>
    <w:rsid w:val="005F6CA3"/>
    <w:rsid w:val="00627842"/>
    <w:rsid w:val="006C610D"/>
    <w:rsid w:val="006C61C2"/>
    <w:rsid w:val="00722A09"/>
    <w:rsid w:val="007C2E8F"/>
    <w:rsid w:val="008550AE"/>
    <w:rsid w:val="008B623B"/>
    <w:rsid w:val="008D39C9"/>
    <w:rsid w:val="008D497C"/>
    <w:rsid w:val="00993252"/>
    <w:rsid w:val="009C1B4C"/>
    <w:rsid w:val="00A17DB5"/>
    <w:rsid w:val="00AD4A2F"/>
    <w:rsid w:val="00B3767C"/>
    <w:rsid w:val="00C00671"/>
    <w:rsid w:val="00C14573"/>
    <w:rsid w:val="00CF2473"/>
    <w:rsid w:val="00D75CC1"/>
    <w:rsid w:val="00EA0245"/>
    <w:rsid w:val="00EC7691"/>
    <w:rsid w:val="00ED11F3"/>
    <w:rsid w:val="00F21415"/>
    <w:rsid w:val="00FB3F30"/>
    <w:rsid w:val="00FF5D4F"/>
    <w:rsid w:val="00FF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7729-C087-4C79-9516-95D40F2A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28265</Words>
  <Characters>16112</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Anotācija</vt:lpstr>
    </vt:vector>
  </TitlesOfParts>
  <Company>VARAM</Company>
  <LinksUpToDate>false</LinksUpToDate>
  <CharactersWithSpaces>44289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„Grozījumi likumā „Par ietekmes uz vidi novērtējumu”” sākotnējās ietekmes novērtējuma ziņojums (anotācija)</dc:subject>
  <dc:creator>Sandija Balka</dc:creator>
  <dc:description>67026916, sandija.balka@varam.gov.lv</dc:description>
  <cp:lastModifiedBy>Madara Gaile</cp:lastModifiedBy>
  <cp:revision>7</cp:revision>
  <cp:lastPrinted>2018-04-20T11:36:00Z</cp:lastPrinted>
  <dcterms:created xsi:type="dcterms:W3CDTF">2020-01-28T10:06:00Z</dcterms:created>
  <dcterms:modified xsi:type="dcterms:W3CDTF">2020-01-29T06:44:00Z</dcterms:modified>
</cp:coreProperties>
</file>