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25D47" w14:textId="77777777" w:rsidR="00955AF0" w:rsidRPr="00655E5B" w:rsidRDefault="00955AF0" w:rsidP="00955AF0">
      <w:pPr>
        <w:spacing w:before="120" w:after="120"/>
      </w:pPr>
    </w:p>
    <w:p w14:paraId="4A815B89" w14:textId="77777777" w:rsidR="00955AF0" w:rsidRPr="00655E5B" w:rsidRDefault="00955AF0" w:rsidP="00955AF0">
      <w:pPr>
        <w:spacing w:before="120" w:after="120"/>
      </w:pPr>
    </w:p>
    <w:p w14:paraId="5FA18271" w14:textId="77777777" w:rsidR="00955AF0" w:rsidRPr="00655E5B" w:rsidRDefault="00955AF0" w:rsidP="00955AF0">
      <w:pPr>
        <w:spacing w:before="120" w:after="120"/>
      </w:pPr>
    </w:p>
    <w:p w14:paraId="52160390" w14:textId="77777777" w:rsidR="00955AF0" w:rsidRPr="00655E5B" w:rsidRDefault="00955AF0" w:rsidP="00955AF0">
      <w:pPr>
        <w:spacing w:before="120" w:after="120"/>
      </w:pPr>
    </w:p>
    <w:p w14:paraId="31939556" w14:textId="77777777" w:rsidR="00955AF0" w:rsidRPr="00655E5B" w:rsidRDefault="00955AF0" w:rsidP="00955AF0">
      <w:pPr>
        <w:spacing w:before="120" w:after="120"/>
      </w:pPr>
    </w:p>
    <w:p w14:paraId="05D4DEE9" w14:textId="77777777" w:rsidR="00955AF0" w:rsidRPr="00DF06F0" w:rsidRDefault="00955AF0" w:rsidP="00955AF0">
      <w:pPr>
        <w:spacing w:before="120" w:after="120"/>
        <w:rPr>
          <w:sz w:val="40"/>
          <w:szCs w:val="40"/>
        </w:rPr>
      </w:pPr>
    </w:p>
    <w:p w14:paraId="3B22D80F" w14:textId="77777777" w:rsidR="008A5B10" w:rsidRDefault="00125171" w:rsidP="00FD633D">
      <w:pPr>
        <w:spacing w:before="120" w:after="120"/>
        <w:ind w:firstLine="0"/>
        <w:jc w:val="center"/>
        <w:rPr>
          <w:sz w:val="40"/>
          <w:szCs w:val="40"/>
        </w:rPr>
      </w:pPr>
      <w:r>
        <w:rPr>
          <w:sz w:val="40"/>
          <w:szCs w:val="40"/>
        </w:rPr>
        <w:t xml:space="preserve">Informatīvais ziņojums </w:t>
      </w:r>
    </w:p>
    <w:p w14:paraId="699DF928" w14:textId="299E35EF" w:rsidR="00955AF0" w:rsidRPr="00A46CC4" w:rsidRDefault="00B81632" w:rsidP="00FD633D">
      <w:pPr>
        <w:spacing w:before="120" w:after="120"/>
        <w:ind w:firstLine="0"/>
        <w:jc w:val="center"/>
        <w:rPr>
          <w:b/>
          <w:sz w:val="48"/>
          <w:szCs w:val="48"/>
        </w:rPr>
      </w:pPr>
      <w:r>
        <w:rPr>
          <w:b/>
          <w:sz w:val="48"/>
          <w:szCs w:val="48"/>
        </w:rPr>
        <w:t>“</w:t>
      </w:r>
      <w:r w:rsidR="004359BC" w:rsidRPr="00A46CC4">
        <w:rPr>
          <w:b/>
          <w:sz w:val="48"/>
          <w:szCs w:val="48"/>
        </w:rPr>
        <w:t xml:space="preserve">Latvijas </w:t>
      </w:r>
      <w:r w:rsidR="00330938">
        <w:rPr>
          <w:b/>
          <w:sz w:val="48"/>
          <w:szCs w:val="48"/>
        </w:rPr>
        <w:t xml:space="preserve">stratēģija klimatneitralitātes sasniegšanai </w:t>
      </w:r>
      <w:r w:rsidR="004359BC" w:rsidRPr="00A46CC4">
        <w:rPr>
          <w:b/>
          <w:sz w:val="48"/>
          <w:szCs w:val="48"/>
        </w:rPr>
        <w:t>līdz 2050.</w:t>
      </w:r>
      <w:r w:rsidR="009C3B98">
        <w:rPr>
          <w:b/>
          <w:sz w:val="48"/>
          <w:szCs w:val="48"/>
        </w:rPr>
        <w:t> </w:t>
      </w:r>
      <w:r w:rsidR="004359BC" w:rsidRPr="00A46CC4">
        <w:rPr>
          <w:b/>
          <w:sz w:val="48"/>
          <w:szCs w:val="48"/>
        </w:rPr>
        <w:t>gadam</w:t>
      </w:r>
      <w:r>
        <w:rPr>
          <w:b/>
          <w:sz w:val="48"/>
          <w:szCs w:val="48"/>
        </w:rPr>
        <w:t>”</w:t>
      </w:r>
      <w:bookmarkStart w:id="0" w:name="_GoBack"/>
      <w:bookmarkEnd w:id="0"/>
    </w:p>
    <w:p w14:paraId="6C6C6C3D" w14:textId="77777777" w:rsidR="00955AF0" w:rsidRPr="00A46CC4" w:rsidRDefault="00955AF0" w:rsidP="00955AF0">
      <w:pPr>
        <w:spacing w:before="120" w:after="120"/>
        <w:jc w:val="center"/>
        <w:rPr>
          <w:b/>
          <w:sz w:val="48"/>
          <w:szCs w:val="48"/>
        </w:rPr>
      </w:pPr>
    </w:p>
    <w:p w14:paraId="168151E7" w14:textId="77777777" w:rsidR="00955AF0" w:rsidRPr="00A46CC4" w:rsidRDefault="00955AF0" w:rsidP="00955AF0">
      <w:pPr>
        <w:spacing w:before="120" w:after="120"/>
        <w:jc w:val="center"/>
        <w:rPr>
          <w:b/>
          <w:sz w:val="48"/>
          <w:szCs w:val="48"/>
        </w:rPr>
      </w:pPr>
    </w:p>
    <w:p w14:paraId="7A2FDA90" w14:textId="77777777" w:rsidR="00955AF0" w:rsidRPr="00A46CC4" w:rsidRDefault="00955AF0" w:rsidP="00955AF0">
      <w:pPr>
        <w:spacing w:before="120" w:after="120"/>
        <w:jc w:val="center"/>
        <w:rPr>
          <w:b/>
          <w:sz w:val="48"/>
          <w:szCs w:val="48"/>
        </w:rPr>
      </w:pPr>
    </w:p>
    <w:p w14:paraId="18E0C9BD" w14:textId="77777777" w:rsidR="00955AF0" w:rsidRPr="00A46CC4" w:rsidRDefault="00955AF0" w:rsidP="00955AF0">
      <w:pPr>
        <w:spacing w:before="120" w:after="120"/>
        <w:jc w:val="center"/>
        <w:rPr>
          <w:b/>
          <w:sz w:val="48"/>
          <w:szCs w:val="48"/>
        </w:rPr>
      </w:pPr>
    </w:p>
    <w:p w14:paraId="02A82238" w14:textId="77777777" w:rsidR="00955AF0" w:rsidRPr="00A46CC4" w:rsidRDefault="00955AF0" w:rsidP="00955AF0">
      <w:pPr>
        <w:spacing w:before="120" w:after="120"/>
        <w:jc w:val="center"/>
        <w:rPr>
          <w:b/>
          <w:sz w:val="48"/>
          <w:szCs w:val="48"/>
        </w:rPr>
      </w:pPr>
    </w:p>
    <w:p w14:paraId="0735678F" w14:textId="77777777" w:rsidR="00955AF0" w:rsidRPr="00A46CC4" w:rsidRDefault="00955AF0" w:rsidP="00955AF0">
      <w:pPr>
        <w:spacing w:before="120" w:after="120"/>
        <w:jc w:val="center"/>
        <w:rPr>
          <w:b/>
          <w:sz w:val="48"/>
          <w:szCs w:val="48"/>
        </w:rPr>
      </w:pPr>
    </w:p>
    <w:p w14:paraId="26D288AF" w14:textId="77777777" w:rsidR="00955AF0" w:rsidRPr="00A46CC4" w:rsidRDefault="00955AF0" w:rsidP="00955AF0">
      <w:pPr>
        <w:spacing w:before="120" w:after="120"/>
        <w:jc w:val="center"/>
        <w:rPr>
          <w:b/>
          <w:sz w:val="48"/>
          <w:szCs w:val="48"/>
        </w:rPr>
      </w:pPr>
    </w:p>
    <w:p w14:paraId="75D260BA" w14:textId="77777777" w:rsidR="00BD64C0" w:rsidRPr="00A46CC4" w:rsidRDefault="00BD64C0" w:rsidP="00955AF0">
      <w:pPr>
        <w:spacing w:before="120" w:after="120"/>
        <w:jc w:val="center"/>
        <w:rPr>
          <w:b/>
          <w:sz w:val="48"/>
          <w:szCs w:val="48"/>
        </w:rPr>
      </w:pPr>
    </w:p>
    <w:p w14:paraId="22D5B53F" w14:textId="77777777" w:rsidR="00BD64C0" w:rsidRPr="00A46CC4" w:rsidRDefault="00BD64C0" w:rsidP="00955AF0">
      <w:pPr>
        <w:spacing w:before="120" w:after="120"/>
        <w:jc w:val="center"/>
        <w:rPr>
          <w:b/>
          <w:sz w:val="48"/>
          <w:szCs w:val="48"/>
        </w:rPr>
      </w:pPr>
    </w:p>
    <w:p w14:paraId="7B9702E2" w14:textId="77777777" w:rsidR="00BD64C0" w:rsidRPr="00A46CC4" w:rsidRDefault="00BD64C0" w:rsidP="00955AF0">
      <w:pPr>
        <w:spacing w:before="120" w:after="120"/>
        <w:jc w:val="center"/>
        <w:rPr>
          <w:b/>
          <w:sz w:val="48"/>
          <w:szCs w:val="48"/>
        </w:rPr>
      </w:pPr>
    </w:p>
    <w:p w14:paraId="6B567F80" w14:textId="77777777" w:rsidR="00BD64C0" w:rsidRPr="00A46CC4" w:rsidRDefault="00BD64C0" w:rsidP="00955AF0">
      <w:pPr>
        <w:spacing w:before="120" w:after="120"/>
        <w:jc w:val="center"/>
        <w:rPr>
          <w:b/>
          <w:sz w:val="48"/>
          <w:szCs w:val="48"/>
        </w:rPr>
      </w:pPr>
    </w:p>
    <w:p w14:paraId="706644D0" w14:textId="77777777" w:rsidR="00955AF0" w:rsidRPr="00A46CC4" w:rsidRDefault="00955AF0" w:rsidP="00955AF0">
      <w:pPr>
        <w:spacing w:before="120" w:after="120"/>
        <w:jc w:val="center"/>
        <w:rPr>
          <w:b/>
          <w:sz w:val="48"/>
          <w:szCs w:val="48"/>
        </w:rPr>
      </w:pPr>
    </w:p>
    <w:p w14:paraId="1E6ACE62" w14:textId="77777777" w:rsidR="00A65511" w:rsidRPr="00A46CC4" w:rsidRDefault="00C240A3" w:rsidP="00FD633D">
      <w:pPr>
        <w:spacing w:before="120" w:after="120"/>
        <w:ind w:firstLine="0"/>
        <w:jc w:val="center"/>
      </w:pPr>
      <w:r w:rsidRPr="00A46CC4">
        <w:rPr>
          <w:b/>
          <w:szCs w:val="24"/>
        </w:rPr>
        <w:t>201</w:t>
      </w:r>
      <w:r w:rsidR="00AC04A9">
        <w:rPr>
          <w:b/>
          <w:szCs w:val="24"/>
        </w:rPr>
        <w:t>9</w:t>
      </w:r>
    </w:p>
    <w:p w14:paraId="027C51F5" w14:textId="77777777" w:rsidR="00955AF0" w:rsidRPr="00A46CC4" w:rsidRDefault="004359BC" w:rsidP="00955AF0">
      <w:pPr>
        <w:spacing w:before="120" w:after="120"/>
      </w:pPr>
      <w:r w:rsidRPr="00A46CC4">
        <w:br w:type="page"/>
      </w:r>
    </w:p>
    <w:p w14:paraId="7660DB00" w14:textId="77777777" w:rsidR="006717E2" w:rsidRPr="00A46CC4" w:rsidRDefault="005A51FF" w:rsidP="00977BCE">
      <w:pPr>
        <w:pStyle w:val="TOCHeading"/>
        <w:spacing w:after="240"/>
        <w:rPr>
          <w:rFonts w:ascii="Times New Roman" w:hAnsi="Times New Roman"/>
          <w:color w:val="auto"/>
          <w:sz w:val="32"/>
          <w:szCs w:val="32"/>
        </w:rPr>
      </w:pPr>
      <w:r w:rsidRPr="00A46CC4">
        <w:rPr>
          <w:rFonts w:ascii="Times New Roman" w:hAnsi="Times New Roman"/>
          <w:color w:val="auto"/>
          <w:sz w:val="32"/>
          <w:szCs w:val="32"/>
        </w:rPr>
        <w:lastRenderedPageBreak/>
        <w:t>Saturs</w:t>
      </w:r>
    </w:p>
    <w:p w14:paraId="1B553FA6" w14:textId="77777777" w:rsidR="008A5B10" w:rsidRDefault="00217978">
      <w:pPr>
        <w:pStyle w:val="TOC1"/>
        <w:rPr>
          <w:rFonts w:asciiTheme="minorHAnsi" w:eastAsiaTheme="minorEastAsia" w:hAnsiTheme="minorHAnsi" w:cstheme="minorBidi"/>
          <w:noProof/>
          <w:sz w:val="22"/>
        </w:rPr>
      </w:pPr>
      <w:r w:rsidRPr="00A46CC4">
        <w:fldChar w:fldCharType="begin"/>
      </w:r>
      <w:r w:rsidR="006717E2" w:rsidRPr="00A46CC4">
        <w:instrText xml:space="preserve"> TOC \o "1-3" \h \z \u </w:instrText>
      </w:r>
      <w:r w:rsidRPr="00A46CC4">
        <w:fldChar w:fldCharType="separate"/>
      </w:r>
      <w:hyperlink w:anchor="_Toc25580315" w:history="1">
        <w:r w:rsidR="008A5B10" w:rsidRPr="00CF63A4">
          <w:rPr>
            <w:rStyle w:val="Hyperlink"/>
            <w:noProof/>
          </w:rPr>
          <w:t>Termini</w:t>
        </w:r>
        <w:r w:rsidR="008A5B10">
          <w:rPr>
            <w:noProof/>
            <w:webHidden/>
          </w:rPr>
          <w:tab/>
        </w:r>
        <w:r w:rsidR="008A5B10">
          <w:rPr>
            <w:noProof/>
            <w:webHidden/>
          </w:rPr>
          <w:fldChar w:fldCharType="begin"/>
        </w:r>
        <w:r w:rsidR="008A5B10">
          <w:rPr>
            <w:noProof/>
            <w:webHidden/>
          </w:rPr>
          <w:instrText xml:space="preserve"> PAGEREF _Toc25580315 \h </w:instrText>
        </w:r>
        <w:r w:rsidR="008A5B10">
          <w:rPr>
            <w:noProof/>
            <w:webHidden/>
          </w:rPr>
        </w:r>
        <w:r w:rsidR="008A5B10">
          <w:rPr>
            <w:noProof/>
            <w:webHidden/>
          </w:rPr>
          <w:fldChar w:fldCharType="separate"/>
        </w:r>
        <w:r w:rsidR="00865A78">
          <w:rPr>
            <w:noProof/>
            <w:webHidden/>
          </w:rPr>
          <w:t>3</w:t>
        </w:r>
        <w:r w:rsidR="008A5B10">
          <w:rPr>
            <w:noProof/>
            <w:webHidden/>
          </w:rPr>
          <w:fldChar w:fldCharType="end"/>
        </w:r>
      </w:hyperlink>
    </w:p>
    <w:p w14:paraId="30777E46" w14:textId="5CFE7E60" w:rsidR="008A5B10" w:rsidRDefault="00B81632">
      <w:pPr>
        <w:pStyle w:val="TOC1"/>
        <w:rPr>
          <w:rFonts w:asciiTheme="minorHAnsi" w:eastAsiaTheme="minorEastAsia" w:hAnsiTheme="minorHAnsi" w:cstheme="minorBidi"/>
          <w:noProof/>
          <w:sz w:val="22"/>
        </w:rPr>
      </w:pPr>
      <w:hyperlink w:anchor="_Toc25580316" w:history="1">
        <w:r w:rsidR="008A5B10" w:rsidRPr="00CF63A4">
          <w:rPr>
            <w:rStyle w:val="Hyperlink"/>
            <w:noProof/>
          </w:rPr>
          <w:t>Saīsinājumi</w:t>
        </w:r>
        <w:r w:rsidR="008A5B10">
          <w:rPr>
            <w:noProof/>
            <w:webHidden/>
          </w:rPr>
          <w:tab/>
        </w:r>
        <w:r w:rsidR="008A5B10">
          <w:rPr>
            <w:noProof/>
            <w:webHidden/>
          </w:rPr>
          <w:fldChar w:fldCharType="begin"/>
        </w:r>
        <w:r w:rsidR="008A5B10">
          <w:rPr>
            <w:noProof/>
            <w:webHidden/>
          </w:rPr>
          <w:instrText xml:space="preserve"> PAGEREF _Toc25580316 \h </w:instrText>
        </w:r>
        <w:r w:rsidR="008A5B10">
          <w:rPr>
            <w:noProof/>
            <w:webHidden/>
          </w:rPr>
        </w:r>
        <w:r w:rsidR="008A5B10">
          <w:rPr>
            <w:noProof/>
            <w:webHidden/>
          </w:rPr>
          <w:fldChar w:fldCharType="separate"/>
        </w:r>
        <w:r w:rsidR="00865A78">
          <w:rPr>
            <w:noProof/>
            <w:webHidden/>
          </w:rPr>
          <w:t>5</w:t>
        </w:r>
        <w:r w:rsidR="008A5B10">
          <w:rPr>
            <w:noProof/>
            <w:webHidden/>
          </w:rPr>
          <w:fldChar w:fldCharType="end"/>
        </w:r>
      </w:hyperlink>
    </w:p>
    <w:p w14:paraId="73341B65" w14:textId="417C0AEE" w:rsidR="008A5B10" w:rsidRDefault="00B81632">
      <w:pPr>
        <w:pStyle w:val="TOC1"/>
        <w:rPr>
          <w:rFonts w:asciiTheme="minorHAnsi" w:eastAsiaTheme="minorEastAsia" w:hAnsiTheme="minorHAnsi" w:cstheme="minorBidi"/>
          <w:noProof/>
          <w:sz w:val="22"/>
        </w:rPr>
      </w:pPr>
      <w:hyperlink w:anchor="_Toc25580317" w:history="1">
        <w:r w:rsidR="008A5B10" w:rsidRPr="00CF63A4">
          <w:rPr>
            <w:rStyle w:val="Hyperlink"/>
            <w:noProof/>
          </w:rPr>
          <w:t>Ievads</w:t>
        </w:r>
        <w:r w:rsidR="008A5B10">
          <w:rPr>
            <w:noProof/>
            <w:webHidden/>
          </w:rPr>
          <w:tab/>
        </w:r>
        <w:r w:rsidR="008A5B10">
          <w:rPr>
            <w:noProof/>
            <w:webHidden/>
          </w:rPr>
          <w:fldChar w:fldCharType="begin"/>
        </w:r>
        <w:r w:rsidR="008A5B10">
          <w:rPr>
            <w:noProof/>
            <w:webHidden/>
          </w:rPr>
          <w:instrText xml:space="preserve"> PAGEREF _Toc25580317 \h </w:instrText>
        </w:r>
        <w:r w:rsidR="008A5B10">
          <w:rPr>
            <w:noProof/>
            <w:webHidden/>
          </w:rPr>
        </w:r>
        <w:r w:rsidR="008A5B10">
          <w:rPr>
            <w:noProof/>
            <w:webHidden/>
          </w:rPr>
          <w:fldChar w:fldCharType="separate"/>
        </w:r>
        <w:r w:rsidR="00865A78">
          <w:rPr>
            <w:noProof/>
            <w:webHidden/>
          </w:rPr>
          <w:t>6</w:t>
        </w:r>
        <w:r w:rsidR="008A5B10">
          <w:rPr>
            <w:noProof/>
            <w:webHidden/>
          </w:rPr>
          <w:fldChar w:fldCharType="end"/>
        </w:r>
      </w:hyperlink>
    </w:p>
    <w:p w14:paraId="310BD4F9" w14:textId="4EBC27DF" w:rsidR="008A5B10" w:rsidRDefault="00B81632">
      <w:pPr>
        <w:pStyle w:val="TOC1"/>
        <w:rPr>
          <w:rFonts w:asciiTheme="minorHAnsi" w:eastAsiaTheme="minorEastAsia" w:hAnsiTheme="minorHAnsi" w:cstheme="minorBidi"/>
          <w:noProof/>
          <w:sz w:val="22"/>
        </w:rPr>
      </w:pPr>
      <w:hyperlink w:anchor="_Toc25580318" w:history="1">
        <w:r w:rsidR="008A5B10" w:rsidRPr="00CF63A4">
          <w:rPr>
            <w:rStyle w:val="Hyperlink"/>
            <w:noProof/>
          </w:rPr>
          <w:t>1.</w:t>
        </w:r>
        <w:r w:rsidR="008A5B10">
          <w:rPr>
            <w:rFonts w:asciiTheme="minorHAnsi" w:eastAsiaTheme="minorEastAsia" w:hAnsiTheme="minorHAnsi" w:cstheme="minorBidi"/>
            <w:noProof/>
            <w:sz w:val="22"/>
          </w:rPr>
          <w:tab/>
        </w:r>
        <w:r w:rsidR="008A5B10" w:rsidRPr="00CF63A4">
          <w:rPr>
            <w:rStyle w:val="Hyperlink"/>
            <w:noProof/>
          </w:rPr>
          <w:t>Mērķis, indikatori un rīcības virzieni</w:t>
        </w:r>
        <w:r w:rsidR="008A5B10">
          <w:rPr>
            <w:noProof/>
            <w:webHidden/>
          </w:rPr>
          <w:tab/>
        </w:r>
        <w:r w:rsidR="008A5B10">
          <w:rPr>
            <w:noProof/>
            <w:webHidden/>
          </w:rPr>
          <w:fldChar w:fldCharType="begin"/>
        </w:r>
        <w:r w:rsidR="008A5B10">
          <w:rPr>
            <w:noProof/>
            <w:webHidden/>
          </w:rPr>
          <w:instrText xml:space="preserve"> PAGEREF _Toc25580318 \h </w:instrText>
        </w:r>
        <w:r w:rsidR="008A5B10">
          <w:rPr>
            <w:noProof/>
            <w:webHidden/>
          </w:rPr>
        </w:r>
        <w:r w:rsidR="008A5B10">
          <w:rPr>
            <w:noProof/>
            <w:webHidden/>
          </w:rPr>
          <w:fldChar w:fldCharType="separate"/>
        </w:r>
        <w:r w:rsidR="00865A78">
          <w:rPr>
            <w:noProof/>
            <w:webHidden/>
          </w:rPr>
          <w:t>9</w:t>
        </w:r>
        <w:r w:rsidR="008A5B10">
          <w:rPr>
            <w:noProof/>
            <w:webHidden/>
          </w:rPr>
          <w:fldChar w:fldCharType="end"/>
        </w:r>
      </w:hyperlink>
    </w:p>
    <w:p w14:paraId="2DF621DC" w14:textId="235286EE" w:rsidR="008A5B10" w:rsidRDefault="00B81632">
      <w:pPr>
        <w:pStyle w:val="TOC2"/>
        <w:rPr>
          <w:rFonts w:asciiTheme="minorHAnsi" w:eastAsiaTheme="minorEastAsia" w:hAnsiTheme="minorHAnsi" w:cstheme="minorBidi"/>
          <w:noProof/>
          <w:sz w:val="22"/>
        </w:rPr>
      </w:pPr>
      <w:hyperlink w:anchor="_Toc25580319" w:history="1">
        <w:r w:rsidR="008A5B10" w:rsidRPr="00CF63A4">
          <w:rPr>
            <w:rStyle w:val="Hyperlink"/>
            <w:rFonts w:eastAsia="Calibri"/>
            <w:noProof/>
          </w:rPr>
          <w:t>1.1. Stratēģijas virsmērķis un starpposmu mērķi</w:t>
        </w:r>
        <w:r w:rsidR="008A5B10">
          <w:rPr>
            <w:noProof/>
            <w:webHidden/>
          </w:rPr>
          <w:tab/>
        </w:r>
        <w:r w:rsidR="008A5B10">
          <w:rPr>
            <w:noProof/>
            <w:webHidden/>
          </w:rPr>
          <w:fldChar w:fldCharType="begin"/>
        </w:r>
        <w:r w:rsidR="008A5B10">
          <w:rPr>
            <w:noProof/>
            <w:webHidden/>
          </w:rPr>
          <w:instrText xml:space="preserve"> PAGEREF _Toc25580319 \h </w:instrText>
        </w:r>
        <w:r w:rsidR="008A5B10">
          <w:rPr>
            <w:noProof/>
            <w:webHidden/>
          </w:rPr>
        </w:r>
        <w:r w:rsidR="008A5B10">
          <w:rPr>
            <w:noProof/>
            <w:webHidden/>
          </w:rPr>
          <w:fldChar w:fldCharType="separate"/>
        </w:r>
        <w:r w:rsidR="00865A78">
          <w:rPr>
            <w:noProof/>
            <w:webHidden/>
          </w:rPr>
          <w:t>9</w:t>
        </w:r>
        <w:r w:rsidR="008A5B10">
          <w:rPr>
            <w:noProof/>
            <w:webHidden/>
          </w:rPr>
          <w:fldChar w:fldCharType="end"/>
        </w:r>
      </w:hyperlink>
    </w:p>
    <w:p w14:paraId="567DC0C0" w14:textId="300F2809" w:rsidR="008A5B10" w:rsidRDefault="00B81632">
      <w:pPr>
        <w:pStyle w:val="TOC2"/>
        <w:rPr>
          <w:rFonts w:asciiTheme="minorHAnsi" w:eastAsiaTheme="minorEastAsia" w:hAnsiTheme="minorHAnsi" w:cstheme="minorBidi"/>
          <w:noProof/>
          <w:sz w:val="22"/>
        </w:rPr>
      </w:pPr>
      <w:hyperlink w:anchor="_Toc25580320" w:history="1">
        <w:r w:rsidR="008A5B10" w:rsidRPr="00CF63A4">
          <w:rPr>
            <w:rStyle w:val="Hyperlink"/>
            <w:rFonts w:eastAsia="Calibri"/>
            <w:noProof/>
          </w:rPr>
          <w:t>1.2. Indikatori</w:t>
        </w:r>
        <w:r w:rsidR="008A5B10">
          <w:rPr>
            <w:noProof/>
            <w:webHidden/>
          </w:rPr>
          <w:tab/>
        </w:r>
        <w:r w:rsidR="008A5B10">
          <w:rPr>
            <w:noProof/>
            <w:webHidden/>
          </w:rPr>
          <w:fldChar w:fldCharType="begin"/>
        </w:r>
        <w:r w:rsidR="008A5B10">
          <w:rPr>
            <w:noProof/>
            <w:webHidden/>
          </w:rPr>
          <w:instrText xml:space="preserve"> PAGEREF _Toc25580320 \h </w:instrText>
        </w:r>
        <w:r w:rsidR="008A5B10">
          <w:rPr>
            <w:noProof/>
            <w:webHidden/>
          </w:rPr>
        </w:r>
        <w:r w:rsidR="008A5B10">
          <w:rPr>
            <w:noProof/>
            <w:webHidden/>
          </w:rPr>
          <w:fldChar w:fldCharType="separate"/>
        </w:r>
        <w:r w:rsidR="00865A78">
          <w:rPr>
            <w:noProof/>
            <w:webHidden/>
          </w:rPr>
          <w:t>10</w:t>
        </w:r>
        <w:r w:rsidR="008A5B10">
          <w:rPr>
            <w:noProof/>
            <w:webHidden/>
          </w:rPr>
          <w:fldChar w:fldCharType="end"/>
        </w:r>
      </w:hyperlink>
    </w:p>
    <w:p w14:paraId="315858B2" w14:textId="507FB75D" w:rsidR="008A5B10" w:rsidRDefault="00B81632">
      <w:pPr>
        <w:pStyle w:val="TOC2"/>
        <w:rPr>
          <w:rFonts w:asciiTheme="minorHAnsi" w:eastAsiaTheme="minorEastAsia" w:hAnsiTheme="minorHAnsi" w:cstheme="minorBidi"/>
          <w:noProof/>
          <w:sz w:val="22"/>
        </w:rPr>
      </w:pPr>
      <w:hyperlink w:anchor="_Toc25580321" w:history="1">
        <w:r w:rsidR="008A5B10" w:rsidRPr="00CF63A4">
          <w:rPr>
            <w:rStyle w:val="Hyperlink"/>
            <w:rFonts w:eastAsia="Calibri"/>
            <w:noProof/>
          </w:rPr>
          <w:t>1.3. Rīcības virzieni</w:t>
        </w:r>
        <w:r w:rsidR="008A5B10">
          <w:rPr>
            <w:noProof/>
            <w:webHidden/>
          </w:rPr>
          <w:tab/>
        </w:r>
        <w:r w:rsidR="008A5B10">
          <w:rPr>
            <w:noProof/>
            <w:webHidden/>
          </w:rPr>
          <w:fldChar w:fldCharType="begin"/>
        </w:r>
        <w:r w:rsidR="008A5B10">
          <w:rPr>
            <w:noProof/>
            <w:webHidden/>
          </w:rPr>
          <w:instrText xml:space="preserve"> PAGEREF _Toc25580321 \h </w:instrText>
        </w:r>
        <w:r w:rsidR="008A5B10">
          <w:rPr>
            <w:noProof/>
            <w:webHidden/>
          </w:rPr>
        </w:r>
        <w:r w:rsidR="008A5B10">
          <w:rPr>
            <w:noProof/>
            <w:webHidden/>
          </w:rPr>
          <w:fldChar w:fldCharType="separate"/>
        </w:r>
        <w:r w:rsidR="00865A78">
          <w:rPr>
            <w:noProof/>
            <w:webHidden/>
          </w:rPr>
          <w:t>11</w:t>
        </w:r>
        <w:r w:rsidR="008A5B10">
          <w:rPr>
            <w:noProof/>
            <w:webHidden/>
          </w:rPr>
          <w:fldChar w:fldCharType="end"/>
        </w:r>
      </w:hyperlink>
    </w:p>
    <w:p w14:paraId="254F816D" w14:textId="4EAA394F" w:rsidR="008A5B10" w:rsidRDefault="00B81632">
      <w:pPr>
        <w:pStyle w:val="TOC2"/>
        <w:rPr>
          <w:rFonts w:asciiTheme="minorHAnsi" w:eastAsiaTheme="minorEastAsia" w:hAnsiTheme="minorHAnsi" w:cstheme="minorBidi"/>
          <w:noProof/>
          <w:sz w:val="22"/>
        </w:rPr>
      </w:pPr>
      <w:hyperlink w:anchor="_Toc25580322" w:history="1">
        <w:r w:rsidR="008A5B10" w:rsidRPr="00CF63A4">
          <w:rPr>
            <w:rStyle w:val="Hyperlink"/>
            <w:rFonts w:eastAsia="Calibri"/>
            <w:noProof/>
          </w:rPr>
          <w:t>1.4. Vispārēji OMA un Stratēģijas īstenošanas principi</w:t>
        </w:r>
        <w:r w:rsidR="008A5B10">
          <w:rPr>
            <w:noProof/>
            <w:webHidden/>
          </w:rPr>
          <w:tab/>
        </w:r>
        <w:r w:rsidR="008A5B10">
          <w:rPr>
            <w:noProof/>
            <w:webHidden/>
          </w:rPr>
          <w:fldChar w:fldCharType="begin"/>
        </w:r>
        <w:r w:rsidR="008A5B10">
          <w:rPr>
            <w:noProof/>
            <w:webHidden/>
          </w:rPr>
          <w:instrText xml:space="preserve"> PAGEREF _Toc25580322 \h </w:instrText>
        </w:r>
        <w:r w:rsidR="008A5B10">
          <w:rPr>
            <w:noProof/>
            <w:webHidden/>
          </w:rPr>
        </w:r>
        <w:r w:rsidR="008A5B10">
          <w:rPr>
            <w:noProof/>
            <w:webHidden/>
          </w:rPr>
          <w:fldChar w:fldCharType="separate"/>
        </w:r>
        <w:r w:rsidR="00865A78">
          <w:rPr>
            <w:noProof/>
            <w:webHidden/>
          </w:rPr>
          <w:t>12</w:t>
        </w:r>
        <w:r w:rsidR="008A5B10">
          <w:rPr>
            <w:noProof/>
            <w:webHidden/>
          </w:rPr>
          <w:fldChar w:fldCharType="end"/>
        </w:r>
      </w:hyperlink>
    </w:p>
    <w:p w14:paraId="7625077D" w14:textId="73657352" w:rsidR="008A5B10" w:rsidRDefault="00B81632">
      <w:pPr>
        <w:pStyle w:val="TOC1"/>
        <w:rPr>
          <w:rFonts w:asciiTheme="minorHAnsi" w:eastAsiaTheme="minorEastAsia" w:hAnsiTheme="minorHAnsi" w:cstheme="minorBidi"/>
          <w:noProof/>
          <w:sz w:val="22"/>
        </w:rPr>
      </w:pPr>
      <w:hyperlink w:anchor="_Toc25580323" w:history="1">
        <w:r w:rsidR="008A5B10" w:rsidRPr="00CF63A4">
          <w:rPr>
            <w:rStyle w:val="Hyperlink"/>
            <w:noProof/>
          </w:rPr>
          <w:t>2.</w:t>
        </w:r>
        <w:r w:rsidR="008A5B10">
          <w:rPr>
            <w:rFonts w:asciiTheme="minorHAnsi" w:eastAsiaTheme="minorEastAsia" w:hAnsiTheme="minorHAnsi" w:cstheme="minorBidi"/>
            <w:noProof/>
            <w:sz w:val="22"/>
          </w:rPr>
          <w:tab/>
        </w:r>
        <w:r w:rsidR="008A5B10" w:rsidRPr="00CF63A4">
          <w:rPr>
            <w:rStyle w:val="Hyperlink"/>
            <w:noProof/>
          </w:rPr>
          <w:t>Pamatpieņēmumi</w:t>
        </w:r>
        <w:r w:rsidR="008A5B10">
          <w:rPr>
            <w:noProof/>
            <w:webHidden/>
          </w:rPr>
          <w:tab/>
        </w:r>
        <w:r w:rsidR="008A5B10">
          <w:rPr>
            <w:noProof/>
            <w:webHidden/>
          </w:rPr>
          <w:fldChar w:fldCharType="begin"/>
        </w:r>
        <w:r w:rsidR="008A5B10">
          <w:rPr>
            <w:noProof/>
            <w:webHidden/>
          </w:rPr>
          <w:instrText xml:space="preserve"> PAGEREF _Toc25580323 \h </w:instrText>
        </w:r>
        <w:r w:rsidR="008A5B10">
          <w:rPr>
            <w:noProof/>
            <w:webHidden/>
          </w:rPr>
        </w:r>
        <w:r w:rsidR="008A5B10">
          <w:rPr>
            <w:noProof/>
            <w:webHidden/>
          </w:rPr>
          <w:fldChar w:fldCharType="separate"/>
        </w:r>
        <w:r w:rsidR="00865A78">
          <w:rPr>
            <w:noProof/>
            <w:webHidden/>
          </w:rPr>
          <w:t>13</w:t>
        </w:r>
        <w:r w:rsidR="008A5B10">
          <w:rPr>
            <w:noProof/>
            <w:webHidden/>
          </w:rPr>
          <w:fldChar w:fldCharType="end"/>
        </w:r>
      </w:hyperlink>
    </w:p>
    <w:p w14:paraId="059D3EE6" w14:textId="16061903" w:rsidR="008A5B10" w:rsidRDefault="00B81632">
      <w:pPr>
        <w:pStyle w:val="TOC1"/>
        <w:rPr>
          <w:rFonts w:asciiTheme="minorHAnsi" w:eastAsiaTheme="minorEastAsia" w:hAnsiTheme="minorHAnsi" w:cstheme="minorBidi"/>
          <w:noProof/>
          <w:sz w:val="22"/>
        </w:rPr>
      </w:pPr>
      <w:hyperlink w:anchor="_Toc25580324" w:history="1">
        <w:r w:rsidR="008A5B10" w:rsidRPr="00CF63A4">
          <w:rPr>
            <w:rStyle w:val="Hyperlink"/>
            <w:rFonts w:eastAsia="Calibri"/>
            <w:noProof/>
          </w:rPr>
          <w:t>3.</w:t>
        </w:r>
        <w:r w:rsidR="008A5B10">
          <w:rPr>
            <w:rFonts w:asciiTheme="minorHAnsi" w:eastAsiaTheme="minorEastAsia" w:hAnsiTheme="minorHAnsi" w:cstheme="minorBidi"/>
            <w:noProof/>
            <w:sz w:val="22"/>
          </w:rPr>
          <w:tab/>
        </w:r>
        <w:r w:rsidR="008A5B10" w:rsidRPr="00CF63A4">
          <w:rPr>
            <w:rStyle w:val="Hyperlink"/>
            <w:rFonts w:eastAsia="Calibri"/>
            <w:noProof/>
          </w:rPr>
          <w:t>Stratēģijas sasaiste ar esošiem tiesību aktiem un politikas plānošanas dokumentiem</w:t>
        </w:r>
        <w:r w:rsidR="008A5B10">
          <w:rPr>
            <w:noProof/>
            <w:webHidden/>
          </w:rPr>
          <w:tab/>
        </w:r>
        <w:r w:rsidR="008A5B10">
          <w:rPr>
            <w:noProof/>
            <w:webHidden/>
          </w:rPr>
          <w:fldChar w:fldCharType="begin"/>
        </w:r>
        <w:r w:rsidR="008A5B10">
          <w:rPr>
            <w:noProof/>
            <w:webHidden/>
          </w:rPr>
          <w:instrText xml:space="preserve"> PAGEREF _Toc25580324 \h </w:instrText>
        </w:r>
        <w:r w:rsidR="008A5B10">
          <w:rPr>
            <w:noProof/>
            <w:webHidden/>
          </w:rPr>
        </w:r>
        <w:r w:rsidR="008A5B10">
          <w:rPr>
            <w:noProof/>
            <w:webHidden/>
          </w:rPr>
          <w:fldChar w:fldCharType="separate"/>
        </w:r>
        <w:r w:rsidR="00865A78">
          <w:rPr>
            <w:noProof/>
            <w:webHidden/>
          </w:rPr>
          <w:t>17</w:t>
        </w:r>
        <w:r w:rsidR="008A5B10">
          <w:rPr>
            <w:noProof/>
            <w:webHidden/>
          </w:rPr>
          <w:fldChar w:fldCharType="end"/>
        </w:r>
      </w:hyperlink>
    </w:p>
    <w:p w14:paraId="7C82B406" w14:textId="02FA4443" w:rsidR="008A5B10" w:rsidRDefault="00B81632">
      <w:pPr>
        <w:pStyle w:val="TOC1"/>
        <w:rPr>
          <w:rFonts w:asciiTheme="minorHAnsi" w:eastAsiaTheme="minorEastAsia" w:hAnsiTheme="minorHAnsi" w:cstheme="minorBidi"/>
          <w:noProof/>
          <w:sz w:val="22"/>
        </w:rPr>
      </w:pPr>
      <w:hyperlink w:anchor="_Toc25580325" w:history="1">
        <w:r w:rsidR="008A5B10" w:rsidRPr="00CF63A4">
          <w:rPr>
            <w:rStyle w:val="Hyperlink"/>
            <w:noProof/>
          </w:rPr>
          <w:t>4.</w:t>
        </w:r>
        <w:r w:rsidR="008A5B10">
          <w:rPr>
            <w:rFonts w:asciiTheme="minorHAnsi" w:eastAsiaTheme="minorEastAsia" w:hAnsiTheme="minorHAnsi" w:cstheme="minorBidi"/>
            <w:noProof/>
            <w:sz w:val="22"/>
          </w:rPr>
          <w:tab/>
        </w:r>
        <w:r w:rsidR="008A5B10" w:rsidRPr="00CF63A4">
          <w:rPr>
            <w:rStyle w:val="Hyperlink"/>
            <w:noProof/>
          </w:rPr>
          <w:t>Latvijas līdzšinējais progress virzībā uz klimatneitralitāti</w:t>
        </w:r>
        <w:r w:rsidR="008A5B10">
          <w:rPr>
            <w:noProof/>
            <w:webHidden/>
          </w:rPr>
          <w:tab/>
        </w:r>
        <w:r w:rsidR="008A5B10">
          <w:rPr>
            <w:noProof/>
            <w:webHidden/>
          </w:rPr>
          <w:fldChar w:fldCharType="begin"/>
        </w:r>
        <w:r w:rsidR="008A5B10">
          <w:rPr>
            <w:noProof/>
            <w:webHidden/>
          </w:rPr>
          <w:instrText xml:space="preserve"> PAGEREF _Toc25580325 \h </w:instrText>
        </w:r>
        <w:r w:rsidR="008A5B10">
          <w:rPr>
            <w:noProof/>
            <w:webHidden/>
          </w:rPr>
        </w:r>
        <w:r w:rsidR="008A5B10">
          <w:rPr>
            <w:noProof/>
            <w:webHidden/>
          </w:rPr>
          <w:fldChar w:fldCharType="separate"/>
        </w:r>
        <w:r w:rsidR="00865A78">
          <w:rPr>
            <w:noProof/>
            <w:webHidden/>
          </w:rPr>
          <w:t>20</w:t>
        </w:r>
        <w:r w:rsidR="008A5B10">
          <w:rPr>
            <w:noProof/>
            <w:webHidden/>
          </w:rPr>
          <w:fldChar w:fldCharType="end"/>
        </w:r>
      </w:hyperlink>
    </w:p>
    <w:p w14:paraId="3D414C68" w14:textId="56196C58" w:rsidR="008A5B10" w:rsidRDefault="00B81632">
      <w:pPr>
        <w:pStyle w:val="TOC2"/>
        <w:rPr>
          <w:rFonts w:asciiTheme="minorHAnsi" w:eastAsiaTheme="minorEastAsia" w:hAnsiTheme="minorHAnsi" w:cstheme="minorBidi"/>
          <w:noProof/>
          <w:sz w:val="22"/>
        </w:rPr>
      </w:pPr>
      <w:hyperlink w:anchor="_Toc25580326" w:history="1">
        <w:r w:rsidR="008A5B10" w:rsidRPr="00CF63A4">
          <w:rPr>
            <w:rStyle w:val="Hyperlink"/>
            <w:noProof/>
          </w:rPr>
          <w:t>4.1. SEG emisiju struktūra un dinamika (neiekļaujot ZIZIMM sektoru)</w:t>
        </w:r>
        <w:r w:rsidR="008A5B10">
          <w:rPr>
            <w:noProof/>
            <w:webHidden/>
          </w:rPr>
          <w:tab/>
        </w:r>
        <w:r w:rsidR="008A5B10">
          <w:rPr>
            <w:noProof/>
            <w:webHidden/>
          </w:rPr>
          <w:fldChar w:fldCharType="begin"/>
        </w:r>
        <w:r w:rsidR="008A5B10">
          <w:rPr>
            <w:noProof/>
            <w:webHidden/>
          </w:rPr>
          <w:instrText xml:space="preserve"> PAGEREF _Toc25580326 \h </w:instrText>
        </w:r>
        <w:r w:rsidR="008A5B10">
          <w:rPr>
            <w:noProof/>
            <w:webHidden/>
          </w:rPr>
        </w:r>
        <w:r w:rsidR="008A5B10">
          <w:rPr>
            <w:noProof/>
            <w:webHidden/>
          </w:rPr>
          <w:fldChar w:fldCharType="separate"/>
        </w:r>
        <w:r w:rsidR="00865A78">
          <w:rPr>
            <w:noProof/>
            <w:webHidden/>
          </w:rPr>
          <w:t>20</w:t>
        </w:r>
        <w:r w:rsidR="008A5B10">
          <w:rPr>
            <w:noProof/>
            <w:webHidden/>
          </w:rPr>
          <w:fldChar w:fldCharType="end"/>
        </w:r>
      </w:hyperlink>
    </w:p>
    <w:p w14:paraId="0D1CFFEF" w14:textId="285E5A0B" w:rsidR="008A5B10" w:rsidRDefault="00B81632">
      <w:pPr>
        <w:pStyle w:val="TOC2"/>
        <w:rPr>
          <w:rFonts w:asciiTheme="minorHAnsi" w:eastAsiaTheme="minorEastAsia" w:hAnsiTheme="minorHAnsi" w:cstheme="minorBidi"/>
          <w:noProof/>
          <w:sz w:val="22"/>
        </w:rPr>
      </w:pPr>
      <w:hyperlink w:anchor="_Toc25580327" w:history="1">
        <w:r w:rsidR="008A5B10" w:rsidRPr="00CF63A4">
          <w:rPr>
            <w:rStyle w:val="Hyperlink"/>
            <w:noProof/>
          </w:rPr>
          <w:t>4.2. ZIZIMM sektora neto emisijas – struktūra un dinamika</w:t>
        </w:r>
        <w:r w:rsidR="008A5B10">
          <w:rPr>
            <w:noProof/>
            <w:webHidden/>
          </w:rPr>
          <w:tab/>
        </w:r>
        <w:r w:rsidR="008A5B10">
          <w:rPr>
            <w:noProof/>
            <w:webHidden/>
          </w:rPr>
          <w:fldChar w:fldCharType="begin"/>
        </w:r>
        <w:r w:rsidR="008A5B10">
          <w:rPr>
            <w:noProof/>
            <w:webHidden/>
          </w:rPr>
          <w:instrText xml:space="preserve"> PAGEREF _Toc25580327 \h </w:instrText>
        </w:r>
        <w:r w:rsidR="008A5B10">
          <w:rPr>
            <w:noProof/>
            <w:webHidden/>
          </w:rPr>
        </w:r>
        <w:r w:rsidR="008A5B10">
          <w:rPr>
            <w:noProof/>
            <w:webHidden/>
          </w:rPr>
          <w:fldChar w:fldCharType="separate"/>
        </w:r>
        <w:r w:rsidR="00865A78">
          <w:rPr>
            <w:noProof/>
            <w:webHidden/>
          </w:rPr>
          <w:t>23</w:t>
        </w:r>
        <w:r w:rsidR="008A5B10">
          <w:rPr>
            <w:noProof/>
            <w:webHidden/>
          </w:rPr>
          <w:fldChar w:fldCharType="end"/>
        </w:r>
      </w:hyperlink>
    </w:p>
    <w:p w14:paraId="2C93389C" w14:textId="46B11BF5" w:rsidR="008A5B10" w:rsidRDefault="00B81632">
      <w:pPr>
        <w:pStyle w:val="TOC2"/>
        <w:rPr>
          <w:rFonts w:asciiTheme="minorHAnsi" w:eastAsiaTheme="minorEastAsia" w:hAnsiTheme="minorHAnsi" w:cstheme="minorBidi"/>
          <w:noProof/>
          <w:sz w:val="22"/>
        </w:rPr>
      </w:pPr>
      <w:hyperlink w:anchor="_Toc25580328" w:history="1">
        <w:r w:rsidR="008A5B10" w:rsidRPr="00CF63A4">
          <w:rPr>
            <w:rStyle w:val="Hyperlink"/>
            <w:noProof/>
          </w:rPr>
          <w:t>4.3. Latvijas kopējā virzība uz klimatneitralitāti</w:t>
        </w:r>
        <w:r w:rsidR="008A5B10">
          <w:rPr>
            <w:noProof/>
            <w:webHidden/>
          </w:rPr>
          <w:tab/>
        </w:r>
        <w:r w:rsidR="008A5B10">
          <w:rPr>
            <w:noProof/>
            <w:webHidden/>
          </w:rPr>
          <w:fldChar w:fldCharType="begin"/>
        </w:r>
        <w:r w:rsidR="008A5B10">
          <w:rPr>
            <w:noProof/>
            <w:webHidden/>
          </w:rPr>
          <w:instrText xml:space="preserve"> PAGEREF _Toc25580328 \h </w:instrText>
        </w:r>
        <w:r w:rsidR="008A5B10">
          <w:rPr>
            <w:noProof/>
            <w:webHidden/>
          </w:rPr>
        </w:r>
        <w:r w:rsidR="008A5B10">
          <w:rPr>
            <w:noProof/>
            <w:webHidden/>
          </w:rPr>
          <w:fldChar w:fldCharType="separate"/>
        </w:r>
        <w:r w:rsidR="00865A78">
          <w:rPr>
            <w:noProof/>
            <w:webHidden/>
          </w:rPr>
          <w:t>24</w:t>
        </w:r>
        <w:r w:rsidR="008A5B10">
          <w:rPr>
            <w:noProof/>
            <w:webHidden/>
          </w:rPr>
          <w:fldChar w:fldCharType="end"/>
        </w:r>
      </w:hyperlink>
    </w:p>
    <w:p w14:paraId="26EF88C6" w14:textId="138A562E" w:rsidR="008A5B10" w:rsidRDefault="00B81632">
      <w:pPr>
        <w:pStyle w:val="TOC1"/>
        <w:rPr>
          <w:rFonts w:asciiTheme="minorHAnsi" w:eastAsiaTheme="minorEastAsia" w:hAnsiTheme="minorHAnsi" w:cstheme="minorBidi"/>
          <w:noProof/>
          <w:sz w:val="22"/>
        </w:rPr>
      </w:pPr>
      <w:hyperlink w:anchor="_Toc25580329" w:history="1">
        <w:r w:rsidR="008A5B10" w:rsidRPr="00CF63A4">
          <w:rPr>
            <w:rStyle w:val="Hyperlink"/>
            <w:noProof/>
          </w:rPr>
          <w:t>5.</w:t>
        </w:r>
        <w:r w:rsidR="008A5B10">
          <w:rPr>
            <w:rFonts w:asciiTheme="minorHAnsi" w:eastAsiaTheme="minorEastAsia" w:hAnsiTheme="minorHAnsi" w:cstheme="minorBidi"/>
            <w:noProof/>
            <w:sz w:val="22"/>
          </w:rPr>
          <w:tab/>
        </w:r>
        <w:r w:rsidR="008A5B10" w:rsidRPr="00CF63A4">
          <w:rPr>
            <w:rStyle w:val="Hyperlink"/>
            <w:noProof/>
          </w:rPr>
          <w:t>Latvijas SEG emisiju rašanās apjoma būtiskākie ietekmējošie faktori dažādos tautsaimniecības sektoros</w:t>
        </w:r>
        <w:r w:rsidR="008A5B10">
          <w:rPr>
            <w:noProof/>
            <w:webHidden/>
          </w:rPr>
          <w:tab/>
        </w:r>
        <w:r w:rsidR="008A5B10">
          <w:rPr>
            <w:noProof/>
            <w:webHidden/>
          </w:rPr>
          <w:fldChar w:fldCharType="begin"/>
        </w:r>
        <w:r w:rsidR="008A5B10">
          <w:rPr>
            <w:noProof/>
            <w:webHidden/>
          </w:rPr>
          <w:instrText xml:space="preserve"> PAGEREF _Toc25580329 \h </w:instrText>
        </w:r>
        <w:r w:rsidR="008A5B10">
          <w:rPr>
            <w:noProof/>
            <w:webHidden/>
          </w:rPr>
        </w:r>
        <w:r w:rsidR="008A5B10">
          <w:rPr>
            <w:noProof/>
            <w:webHidden/>
          </w:rPr>
          <w:fldChar w:fldCharType="separate"/>
        </w:r>
        <w:r w:rsidR="00865A78">
          <w:rPr>
            <w:noProof/>
            <w:webHidden/>
          </w:rPr>
          <w:t>26</w:t>
        </w:r>
        <w:r w:rsidR="008A5B10">
          <w:rPr>
            <w:noProof/>
            <w:webHidden/>
          </w:rPr>
          <w:fldChar w:fldCharType="end"/>
        </w:r>
      </w:hyperlink>
    </w:p>
    <w:p w14:paraId="4E5ECE13" w14:textId="3D18E3D3" w:rsidR="008A5B10" w:rsidRDefault="00B81632">
      <w:pPr>
        <w:pStyle w:val="TOC2"/>
        <w:rPr>
          <w:rFonts w:asciiTheme="minorHAnsi" w:eastAsiaTheme="minorEastAsia" w:hAnsiTheme="minorHAnsi" w:cstheme="minorBidi"/>
          <w:noProof/>
          <w:sz w:val="22"/>
        </w:rPr>
      </w:pPr>
      <w:hyperlink w:anchor="_Toc25580330" w:history="1">
        <w:r w:rsidR="008A5B10" w:rsidRPr="00CF63A4">
          <w:rPr>
            <w:rStyle w:val="Hyperlink"/>
            <w:noProof/>
          </w:rPr>
          <w:t>5.1.  Inovāciju potenciāls</w:t>
        </w:r>
        <w:r w:rsidR="008A5B10">
          <w:rPr>
            <w:noProof/>
            <w:webHidden/>
          </w:rPr>
          <w:tab/>
        </w:r>
        <w:r w:rsidR="008A5B10">
          <w:rPr>
            <w:noProof/>
            <w:webHidden/>
          </w:rPr>
          <w:fldChar w:fldCharType="begin"/>
        </w:r>
        <w:r w:rsidR="008A5B10">
          <w:rPr>
            <w:noProof/>
            <w:webHidden/>
          </w:rPr>
          <w:instrText xml:space="preserve"> PAGEREF _Toc25580330 \h </w:instrText>
        </w:r>
        <w:r w:rsidR="008A5B10">
          <w:rPr>
            <w:noProof/>
            <w:webHidden/>
          </w:rPr>
        </w:r>
        <w:r w:rsidR="008A5B10">
          <w:rPr>
            <w:noProof/>
            <w:webHidden/>
          </w:rPr>
          <w:fldChar w:fldCharType="separate"/>
        </w:r>
        <w:r w:rsidR="00865A78">
          <w:rPr>
            <w:noProof/>
            <w:webHidden/>
          </w:rPr>
          <w:t>26</w:t>
        </w:r>
        <w:r w:rsidR="008A5B10">
          <w:rPr>
            <w:noProof/>
            <w:webHidden/>
          </w:rPr>
          <w:fldChar w:fldCharType="end"/>
        </w:r>
      </w:hyperlink>
    </w:p>
    <w:p w14:paraId="261486F2" w14:textId="7EE8E992" w:rsidR="008A5B10" w:rsidRDefault="00B81632">
      <w:pPr>
        <w:pStyle w:val="TOC2"/>
        <w:rPr>
          <w:rFonts w:asciiTheme="minorHAnsi" w:eastAsiaTheme="minorEastAsia" w:hAnsiTheme="minorHAnsi" w:cstheme="minorBidi"/>
          <w:noProof/>
          <w:sz w:val="22"/>
        </w:rPr>
      </w:pPr>
      <w:hyperlink w:anchor="_Toc25580331" w:history="1">
        <w:r w:rsidR="008A5B10" w:rsidRPr="00CF63A4">
          <w:rPr>
            <w:rStyle w:val="Hyperlink"/>
            <w:noProof/>
          </w:rPr>
          <w:t>5.2. Enerģētika</w:t>
        </w:r>
        <w:r w:rsidR="008A5B10">
          <w:rPr>
            <w:noProof/>
            <w:webHidden/>
          </w:rPr>
          <w:tab/>
        </w:r>
        <w:r w:rsidR="008A5B10">
          <w:rPr>
            <w:noProof/>
            <w:webHidden/>
          </w:rPr>
          <w:fldChar w:fldCharType="begin"/>
        </w:r>
        <w:r w:rsidR="008A5B10">
          <w:rPr>
            <w:noProof/>
            <w:webHidden/>
          </w:rPr>
          <w:instrText xml:space="preserve"> PAGEREF _Toc25580331 \h </w:instrText>
        </w:r>
        <w:r w:rsidR="008A5B10">
          <w:rPr>
            <w:noProof/>
            <w:webHidden/>
          </w:rPr>
        </w:r>
        <w:r w:rsidR="008A5B10">
          <w:rPr>
            <w:noProof/>
            <w:webHidden/>
          </w:rPr>
          <w:fldChar w:fldCharType="separate"/>
        </w:r>
        <w:r w:rsidR="00865A78">
          <w:rPr>
            <w:noProof/>
            <w:webHidden/>
          </w:rPr>
          <w:t>26</w:t>
        </w:r>
        <w:r w:rsidR="008A5B10">
          <w:rPr>
            <w:noProof/>
            <w:webHidden/>
          </w:rPr>
          <w:fldChar w:fldCharType="end"/>
        </w:r>
      </w:hyperlink>
    </w:p>
    <w:p w14:paraId="7C89B5CC" w14:textId="485570A9" w:rsidR="008A5B10" w:rsidRDefault="00B81632">
      <w:pPr>
        <w:pStyle w:val="TOC2"/>
        <w:rPr>
          <w:rFonts w:asciiTheme="minorHAnsi" w:eastAsiaTheme="minorEastAsia" w:hAnsiTheme="minorHAnsi" w:cstheme="minorBidi"/>
          <w:noProof/>
          <w:sz w:val="22"/>
        </w:rPr>
      </w:pPr>
      <w:hyperlink w:anchor="_Toc25580332" w:history="1">
        <w:r w:rsidR="008A5B10" w:rsidRPr="00CF63A4">
          <w:rPr>
            <w:rStyle w:val="Hyperlink"/>
            <w:noProof/>
          </w:rPr>
          <w:t>5.3. Transports</w:t>
        </w:r>
        <w:r w:rsidR="008A5B10">
          <w:rPr>
            <w:noProof/>
            <w:webHidden/>
          </w:rPr>
          <w:tab/>
        </w:r>
        <w:r w:rsidR="008A5B10">
          <w:rPr>
            <w:noProof/>
            <w:webHidden/>
          </w:rPr>
          <w:fldChar w:fldCharType="begin"/>
        </w:r>
        <w:r w:rsidR="008A5B10">
          <w:rPr>
            <w:noProof/>
            <w:webHidden/>
          </w:rPr>
          <w:instrText xml:space="preserve"> PAGEREF _Toc25580332 \h </w:instrText>
        </w:r>
        <w:r w:rsidR="008A5B10">
          <w:rPr>
            <w:noProof/>
            <w:webHidden/>
          </w:rPr>
        </w:r>
        <w:r w:rsidR="008A5B10">
          <w:rPr>
            <w:noProof/>
            <w:webHidden/>
          </w:rPr>
          <w:fldChar w:fldCharType="separate"/>
        </w:r>
        <w:r w:rsidR="00865A78">
          <w:rPr>
            <w:noProof/>
            <w:webHidden/>
          </w:rPr>
          <w:t>28</w:t>
        </w:r>
        <w:r w:rsidR="008A5B10">
          <w:rPr>
            <w:noProof/>
            <w:webHidden/>
          </w:rPr>
          <w:fldChar w:fldCharType="end"/>
        </w:r>
      </w:hyperlink>
    </w:p>
    <w:p w14:paraId="4A1042AD" w14:textId="10CFEF85" w:rsidR="008A5B10" w:rsidRDefault="00B81632">
      <w:pPr>
        <w:pStyle w:val="TOC2"/>
        <w:rPr>
          <w:rFonts w:asciiTheme="minorHAnsi" w:eastAsiaTheme="minorEastAsia" w:hAnsiTheme="minorHAnsi" w:cstheme="minorBidi"/>
          <w:noProof/>
          <w:sz w:val="22"/>
        </w:rPr>
      </w:pPr>
      <w:hyperlink w:anchor="_Toc25580333" w:history="1">
        <w:r w:rsidR="008A5B10" w:rsidRPr="00CF63A4">
          <w:rPr>
            <w:rStyle w:val="Hyperlink"/>
            <w:noProof/>
          </w:rPr>
          <w:t>5.4. Lauksaimniecība un zemes izmantošana</w:t>
        </w:r>
        <w:r w:rsidR="008A5B10">
          <w:rPr>
            <w:noProof/>
            <w:webHidden/>
          </w:rPr>
          <w:tab/>
        </w:r>
        <w:r w:rsidR="008A5B10">
          <w:rPr>
            <w:noProof/>
            <w:webHidden/>
          </w:rPr>
          <w:fldChar w:fldCharType="begin"/>
        </w:r>
        <w:r w:rsidR="008A5B10">
          <w:rPr>
            <w:noProof/>
            <w:webHidden/>
          </w:rPr>
          <w:instrText xml:space="preserve"> PAGEREF _Toc25580333 \h </w:instrText>
        </w:r>
        <w:r w:rsidR="008A5B10">
          <w:rPr>
            <w:noProof/>
            <w:webHidden/>
          </w:rPr>
        </w:r>
        <w:r w:rsidR="008A5B10">
          <w:rPr>
            <w:noProof/>
            <w:webHidden/>
          </w:rPr>
          <w:fldChar w:fldCharType="separate"/>
        </w:r>
        <w:r w:rsidR="00865A78">
          <w:rPr>
            <w:noProof/>
            <w:webHidden/>
          </w:rPr>
          <w:t>28</w:t>
        </w:r>
        <w:r w:rsidR="008A5B10">
          <w:rPr>
            <w:noProof/>
            <w:webHidden/>
          </w:rPr>
          <w:fldChar w:fldCharType="end"/>
        </w:r>
      </w:hyperlink>
    </w:p>
    <w:p w14:paraId="6CDAD284" w14:textId="142478EB" w:rsidR="008A5B10" w:rsidRDefault="00B81632">
      <w:pPr>
        <w:pStyle w:val="TOC2"/>
        <w:rPr>
          <w:rFonts w:asciiTheme="minorHAnsi" w:eastAsiaTheme="minorEastAsia" w:hAnsiTheme="minorHAnsi" w:cstheme="minorBidi"/>
          <w:noProof/>
          <w:sz w:val="22"/>
        </w:rPr>
      </w:pPr>
      <w:hyperlink w:anchor="_Toc25580334" w:history="1">
        <w:r w:rsidR="008A5B10" w:rsidRPr="00CF63A4">
          <w:rPr>
            <w:rStyle w:val="Hyperlink"/>
            <w:noProof/>
          </w:rPr>
          <w:t>5.5. Resursu izmantošana</w:t>
        </w:r>
        <w:r w:rsidR="008A5B10">
          <w:rPr>
            <w:noProof/>
            <w:webHidden/>
          </w:rPr>
          <w:tab/>
        </w:r>
        <w:r w:rsidR="008A5B10">
          <w:rPr>
            <w:noProof/>
            <w:webHidden/>
          </w:rPr>
          <w:fldChar w:fldCharType="begin"/>
        </w:r>
        <w:r w:rsidR="008A5B10">
          <w:rPr>
            <w:noProof/>
            <w:webHidden/>
          </w:rPr>
          <w:instrText xml:space="preserve"> PAGEREF _Toc25580334 \h </w:instrText>
        </w:r>
        <w:r w:rsidR="008A5B10">
          <w:rPr>
            <w:noProof/>
            <w:webHidden/>
          </w:rPr>
        </w:r>
        <w:r w:rsidR="008A5B10">
          <w:rPr>
            <w:noProof/>
            <w:webHidden/>
          </w:rPr>
          <w:fldChar w:fldCharType="separate"/>
        </w:r>
        <w:r w:rsidR="00865A78">
          <w:rPr>
            <w:noProof/>
            <w:webHidden/>
          </w:rPr>
          <w:t>29</w:t>
        </w:r>
        <w:r w:rsidR="008A5B10">
          <w:rPr>
            <w:noProof/>
            <w:webHidden/>
          </w:rPr>
          <w:fldChar w:fldCharType="end"/>
        </w:r>
      </w:hyperlink>
    </w:p>
    <w:p w14:paraId="21CB12D5" w14:textId="563F7A4E" w:rsidR="008A5B10" w:rsidRDefault="00B81632">
      <w:pPr>
        <w:pStyle w:val="TOC2"/>
        <w:rPr>
          <w:rFonts w:asciiTheme="minorHAnsi" w:eastAsiaTheme="minorEastAsia" w:hAnsiTheme="minorHAnsi" w:cstheme="minorBidi"/>
          <w:noProof/>
          <w:sz w:val="22"/>
        </w:rPr>
      </w:pPr>
      <w:hyperlink w:anchor="_Toc25580335" w:history="1">
        <w:r w:rsidR="008A5B10" w:rsidRPr="00CF63A4">
          <w:rPr>
            <w:rStyle w:val="Hyperlink"/>
            <w:noProof/>
          </w:rPr>
          <w:t>5.6. Pašvaldību loma un pilsētvide</w:t>
        </w:r>
        <w:r w:rsidR="008A5B10">
          <w:rPr>
            <w:noProof/>
            <w:webHidden/>
          </w:rPr>
          <w:tab/>
        </w:r>
        <w:r w:rsidR="008A5B10">
          <w:rPr>
            <w:noProof/>
            <w:webHidden/>
          </w:rPr>
          <w:fldChar w:fldCharType="begin"/>
        </w:r>
        <w:r w:rsidR="008A5B10">
          <w:rPr>
            <w:noProof/>
            <w:webHidden/>
          </w:rPr>
          <w:instrText xml:space="preserve"> PAGEREF _Toc25580335 \h </w:instrText>
        </w:r>
        <w:r w:rsidR="008A5B10">
          <w:rPr>
            <w:noProof/>
            <w:webHidden/>
          </w:rPr>
        </w:r>
        <w:r w:rsidR="008A5B10">
          <w:rPr>
            <w:noProof/>
            <w:webHidden/>
          </w:rPr>
          <w:fldChar w:fldCharType="separate"/>
        </w:r>
        <w:r w:rsidR="00865A78">
          <w:rPr>
            <w:noProof/>
            <w:webHidden/>
          </w:rPr>
          <w:t>32</w:t>
        </w:r>
        <w:r w:rsidR="008A5B10">
          <w:rPr>
            <w:noProof/>
            <w:webHidden/>
          </w:rPr>
          <w:fldChar w:fldCharType="end"/>
        </w:r>
      </w:hyperlink>
    </w:p>
    <w:p w14:paraId="069E390B" w14:textId="5C43DF3F" w:rsidR="008A5B10" w:rsidRDefault="00B81632">
      <w:pPr>
        <w:pStyle w:val="TOC1"/>
        <w:rPr>
          <w:rFonts w:asciiTheme="minorHAnsi" w:eastAsiaTheme="minorEastAsia" w:hAnsiTheme="minorHAnsi" w:cstheme="minorBidi"/>
          <w:noProof/>
          <w:sz w:val="22"/>
        </w:rPr>
      </w:pPr>
      <w:hyperlink w:anchor="_Toc25580336" w:history="1">
        <w:r w:rsidR="008A5B10" w:rsidRPr="00CF63A4">
          <w:rPr>
            <w:rStyle w:val="Hyperlink"/>
            <w:noProof/>
          </w:rPr>
          <w:t>6.</w:t>
        </w:r>
        <w:r w:rsidR="008A5B10">
          <w:rPr>
            <w:rFonts w:asciiTheme="minorHAnsi" w:eastAsiaTheme="minorEastAsia" w:hAnsiTheme="minorHAnsi" w:cstheme="minorBidi"/>
            <w:noProof/>
            <w:sz w:val="22"/>
          </w:rPr>
          <w:tab/>
        </w:r>
        <w:r w:rsidR="008A5B10" w:rsidRPr="00CF63A4">
          <w:rPr>
            <w:rStyle w:val="Hyperlink"/>
            <w:noProof/>
          </w:rPr>
          <w:t>Iespējamie risinājumi oglekļa mazietilpīgas attīstības nodrošināšanai</w:t>
        </w:r>
        <w:r w:rsidR="008A5B10">
          <w:rPr>
            <w:noProof/>
            <w:webHidden/>
          </w:rPr>
          <w:tab/>
        </w:r>
        <w:r w:rsidR="008A5B10">
          <w:rPr>
            <w:noProof/>
            <w:webHidden/>
          </w:rPr>
          <w:fldChar w:fldCharType="begin"/>
        </w:r>
        <w:r w:rsidR="008A5B10">
          <w:rPr>
            <w:noProof/>
            <w:webHidden/>
          </w:rPr>
          <w:instrText xml:space="preserve"> PAGEREF _Toc25580336 \h </w:instrText>
        </w:r>
        <w:r w:rsidR="008A5B10">
          <w:rPr>
            <w:noProof/>
            <w:webHidden/>
          </w:rPr>
        </w:r>
        <w:r w:rsidR="008A5B10">
          <w:rPr>
            <w:noProof/>
            <w:webHidden/>
          </w:rPr>
          <w:fldChar w:fldCharType="separate"/>
        </w:r>
        <w:r w:rsidR="00865A78">
          <w:rPr>
            <w:noProof/>
            <w:webHidden/>
          </w:rPr>
          <w:t>34</w:t>
        </w:r>
        <w:r w:rsidR="008A5B10">
          <w:rPr>
            <w:noProof/>
            <w:webHidden/>
          </w:rPr>
          <w:fldChar w:fldCharType="end"/>
        </w:r>
      </w:hyperlink>
    </w:p>
    <w:p w14:paraId="7EFF0F4B" w14:textId="32D856B8" w:rsidR="008A5B10" w:rsidRDefault="00B81632">
      <w:pPr>
        <w:pStyle w:val="TOC2"/>
        <w:rPr>
          <w:rFonts w:asciiTheme="minorHAnsi" w:eastAsiaTheme="minorEastAsia" w:hAnsiTheme="minorHAnsi" w:cstheme="minorBidi"/>
          <w:noProof/>
          <w:sz w:val="22"/>
        </w:rPr>
      </w:pPr>
      <w:hyperlink w:anchor="_Toc25580337" w:history="1">
        <w:r w:rsidR="008A5B10" w:rsidRPr="00CF63A4">
          <w:rPr>
            <w:rStyle w:val="Hyperlink"/>
            <w:noProof/>
          </w:rPr>
          <w:t>6.1. Pētniecība un inovācijas oglekļa mazietilpīgās tehnoloģijās</w:t>
        </w:r>
        <w:r w:rsidR="008A5B10">
          <w:rPr>
            <w:noProof/>
            <w:webHidden/>
          </w:rPr>
          <w:tab/>
        </w:r>
        <w:r w:rsidR="008A5B10">
          <w:rPr>
            <w:noProof/>
            <w:webHidden/>
          </w:rPr>
          <w:fldChar w:fldCharType="begin"/>
        </w:r>
        <w:r w:rsidR="008A5B10">
          <w:rPr>
            <w:noProof/>
            <w:webHidden/>
          </w:rPr>
          <w:instrText xml:space="preserve"> PAGEREF _Toc25580337 \h </w:instrText>
        </w:r>
        <w:r w:rsidR="008A5B10">
          <w:rPr>
            <w:noProof/>
            <w:webHidden/>
          </w:rPr>
        </w:r>
        <w:r w:rsidR="008A5B10">
          <w:rPr>
            <w:noProof/>
            <w:webHidden/>
          </w:rPr>
          <w:fldChar w:fldCharType="separate"/>
        </w:r>
        <w:r w:rsidR="00865A78">
          <w:rPr>
            <w:noProof/>
            <w:webHidden/>
          </w:rPr>
          <w:t>34</w:t>
        </w:r>
        <w:r w:rsidR="008A5B10">
          <w:rPr>
            <w:noProof/>
            <w:webHidden/>
          </w:rPr>
          <w:fldChar w:fldCharType="end"/>
        </w:r>
      </w:hyperlink>
    </w:p>
    <w:p w14:paraId="19FAA835" w14:textId="30839AB9" w:rsidR="008A5B10" w:rsidRDefault="00B81632">
      <w:pPr>
        <w:pStyle w:val="TOC2"/>
        <w:rPr>
          <w:rFonts w:asciiTheme="minorHAnsi" w:eastAsiaTheme="minorEastAsia" w:hAnsiTheme="minorHAnsi" w:cstheme="minorBidi"/>
          <w:noProof/>
          <w:sz w:val="22"/>
        </w:rPr>
      </w:pPr>
      <w:hyperlink w:anchor="_Toc25580338" w:history="1">
        <w:r w:rsidR="008A5B10" w:rsidRPr="00CF63A4">
          <w:rPr>
            <w:rStyle w:val="Hyperlink"/>
            <w:noProof/>
          </w:rPr>
          <w:t>6.2. Visaptveroša energoefektivitāte</w:t>
        </w:r>
        <w:r w:rsidR="008A5B10">
          <w:rPr>
            <w:noProof/>
            <w:webHidden/>
          </w:rPr>
          <w:tab/>
        </w:r>
        <w:r w:rsidR="008A5B10">
          <w:rPr>
            <w:noProof/>
            <w:webHidden/>
          </w:rPr>
          <w:fldChar w:fldCharType="begin"/>
        </w:r>
        <w:r w:rsidR="008A5B10">
          <w:rPr>
            <w:noProof/>
            <w:webHidden/>
          </w:rPr>
          <w:instrText xml:space="preserve"> PAGEREF _Toc25580338 \h </w:instrText>
        </w:r>
        <w:r w:rsidR="008A5B10">
          <w:rPr>
            <w:noProof/>
            <w:webHidden/>
          </w:rPr>
        </w:r>
        <w:r w:rsidR="008A5B10">
          <w:rPr>
            <w:noProof/>
            <w:webHidden/>
          </w:rPr>
          <w:fldChar w:fldCharType="separate"/>
        </w:r>
        <w:r w:rsidR="00865A78">
          <w:rPr>
            <w:noProof/>
            <w:webHidden/>
          </w:rPr>
          <w:t>36</w:t>
        </w:r>
        <w:r w:rsidR="008A5B10">
          <w:rPr>
            <w:noProof/>
            <w:webHidden/>
          </w:rPr>
          <w:fldChar w:fldCharType="end"/>
        </w:r>
      </w:hyperlink>
    </w:p>
    <w:p w14:paraId="4013CBC0" w14:textId="2533A891" w:rsidR="008A5B10" w:rsidRDefault="00B81632">
      <w:pPr>
        <w:pStyle w:val="TOC2"/>
        <w:rPr>
          <w:rFonts w:asciiTheme="minorHAnsi" w:eastAsiaTheme="minorEastAsia" w:hAnsiTheme="minorHAnsi" w:cstheme="minorBidi"/>
          <w:noProof/>
          <w:sz w:val="22"/>
        </w:rPr>
      </w:pPr>
      <w:hyperlink w:anchor="_Toc25580339" w:history="1">
        <w:r w:rsidR="008A5B10" w:rsidRPr="00CF63A4">
          <w:rPr>
            <w:rStyle w:val="Hyperlink"/>
            <w:noProof/>
          </w:rPr>
          <w:t>6.3. Ilgtspējīga enerģētika</w:t>
        </w:r>
        <w:r w:rsidR="008A5B10">
          <w:rPr>
            <w:noProof/>
            <w:webHidden/>
          </w:rPr>
          <w:tab/>
        </w:r>
        <w:r w:rsidR="008A5B10">
          <w:rPr>
            <w:noProof/>
            <w:webHidden/>
          </w:rPr>
          <w:fldChar w:fldCharType="begin"/>
        </w:r>
        <w:r w:rsidR="008A5B10">
          <w:rPr>
            <w:noProof/>
            <w:webHidden/>
          </w:rPr>
          <w:instrText xml:space="preserve"> PAGEREF _Toc25580339 \h </w:instrText>
        </w:r>
        <w:r w:rsidR="008A5B10">
          <w:rPr>
            <w:noProof/>
            <w:webHidden/>
          </w:rPr>
        </w:r>
        <w:r w:rsidR="008A5B10">
          <w:rPr>
            <w:noProof/>
            <w:webHidden/>
          </w:rPr>
          <w:fldChar w:fldCharType="separate"/>
        </w:r>
        <w:r w:rsidR="00865A78">
          <w:rPr>
            <w:noProof/>
            <w:webHidden/>
          </w:rPr>
          <w:t>37</w:t>
        </w:r>
        <w:r w:rsidR="008A5B10">
          <w:rPr>
            <w:noProof/>
            <w:webHidden/>
          </w:rPr>
          <w:fldChar w:fldCharType="end"/>
        </w:r>
      </w:hyperlink>
    </w:p>
    <w:p w14:paraId="527C5E10" w14:textId="49D68DD4" w:rsidR="008A5B10" w:rsidRDefault="00B81632">
      <w:pPr>
        <w:pStyle w:val="TOC2"/>
        <w:rPr>
          <w:rFonts w:asciiTheme="minorHAnsi" w:eastAsiaTheme="minorEastAsia" w:hAnsiTheme="minorHAnsi" w:cstheme="minorBidi"/>
          <w:noProof/>
          <w:sz w:val="22"/>
        </w:rPr>
      </w:pPr>
      <w:hyperlink w:anchor="_Toc25580340" w:history="1">
        <w:r w:rsidR="008A5B10" w:rsidRPr="00CF63A4">
          <w:rPr>
            <w:rStyle w:val="Hyperlink"/>
            <w:noProof/>
          </w:rPr>
          <w:t>6.4. Resursefektīvs un videi draudzīgs transports</w:t>
        </w:r>
        <w:r w:rsidR="008A5B10">
          <w:rPr>
            <w:noProof/>
            <w:webHidden/>
          </w:rPr>
          <w:tab/>
        </w:r>
        <w:r w:rsidR="008A5B10">
          <w:rPr>
            <w:noProof/>
            <w:webHidden/>
          </w:rPr>
          <w:fldChar w:fldCharType="begin"/>
        </w:r>
        <w:r w:rsidR="008A5B10">
          <w:rPr>
            <w:noProof/>
            <w:webHidden/>
          </w:rPr>
          <w:instrText xml:space="preserve"> PAGEREF _Toc25580340 \h </w:instrText>
        </w:r>
        <w:r w:rsidR="008A5B10">
          <w:rPr>
            <w:noProof/>
            <w:webHidden/>
          </w:rPr>
        </w:r>
        <w:r w:rsidR="008A5B10">
          <w:rPr>
            <w:noProof/>
            <w:webHidden/>
          </w:rPr>
          <w:fldChar w:fldCharType="separate"/>
        </w:r>
        <w:r w:rsidR="00865A78">
          <w:rPr>
            <w:noProof/>
            <w:webHidden/>
          </w:rPr>
          <w:t>38</w:t>
        </w:r>
        <w:r w:rsidR="008A5B10">
          <w:rPr>
            <w:noProof/>
            <w:webHidden/>
          </w:rPr>
          <w:fldChar w:fldCharType="end"/>
        </w:r>
      </w:hyperlink>
    </w:p>
    <w:p w14:paraId="08317970" w14:textId="470BDEF9" w:rsidR="008A5B10" w:rsidRDefault="00B81632">
      <w:pPr>
        <w:pStyle w:val="TOC2"/>
        <w:rPr>
          <w:rFonts w:asciiTheme="minorHAnsi" w:eastAsiaTheme="minorEastAsia" w:hAnsiTheme="minorHAnsi" w:cstheme="minorBidi"/>
          <w:noProof/>
          <w:sz w:val="22"/>
        </w:rPr>
      </w:pPr>
      <w:hyperlink w:anchor="_Toc25580341" w:history="1">
        <w:r w:rsidR="008A5B10" w:rsidRPr="00CF63A4">
          <w:rPr>
            <w:rStyle w:val="Hyperlink"/>
            <w:noProof/>
          </w:rPr>
          <w:t>6.5. Ilgtspējīga zemes apsaimniekošana un lauksaimniecība</w:t>
        </w:r>
        <w:r w:rsidR="008A5B10">
          <w:rPr>
            <w:noProof/>
            <w:webHidden/>
          </w:rPr>
          <w:tab/>
        </w:r>
        <w:r w:rsidR="008A5B10">
          <w:rPr>
            <w:noProof/>
            <w:webHidden/>
          </w:rPr>
          <w:fldChar w:fldCharType="begin"/>
        </w:r>
        <w:r w:rsidR="008A5B10">
          <w:rPr>
            <w:noProof/>
            <w:webHidden/>
          </w:rPr>
          <w:instrText xml:space="preserve"> PAGEREF _Toc25580341 \h </w:instrText>
        </w:r>
        <w:r w:rsidR="008A5B10">
          <w:rPr>
            <w:noProof/>
            <w:webHidden/>
          </w:rPr>
        </w:r>
        <w:r w:rsidR="008A5B10">
          <w:rPr>
            <w:noProof/>
            <w:webHidden/>
          </w:rPr>
          <w:fldChar w:fldCharType="separate"/>
        </w:r>
        <w:r w:rsidR="00865A78">
          <w:rPr>
            <w:noProof/>
            <w:webHidden/>
          </w:rPr>
          <w:t>41</w:t>
        </w:r>
        <w:r w:rsidR="008A5B10">
          <w:rPr>
            <w:noProof/>
            <w:webHidden/>
          </w:rPr>
          <w:fldChar w:fldCharType="end"/>
        </w:r>
      </w:hyperlink>
    </w:p>
    <w:p w14:paraId="6D0C6732" w14:textId="2D75D1F2" w:rsidR="008A5B10" w:rsidRDefault="00B81632">
      <w:pPr>
        <w:pStyle w:val="TOC2"/>
        <w:rPr>
          <w:rFonts w:asciiTheme="minorHAnsi" w:eastAsiaTheme="minorEastAsia" w:hAnsiTheme="minorHAnsi" w:cstheme="minorBidi"/>
          <w:noProof/>
          <w:sz w:val="22"/>
        </w:rPr>
      </w:pPr>
      <w:hyperlink w:anchor="_Toc25580342" w:history="1">
        <w:r w:rsidR="008A5B10" w:rsidRPr="00CF63A4">
          <w:rPr>
            <w:rStyle w:val="Hyperlink"/>
            <w:noProof/>
          </w:rPr>
          <w:t>6.6. Ilgtspējīgs patēriņš un ražošana</w:t>
        </w:r>
        <w:r w:rsidR="008A5B10">
          <w:rPr>
            <w:noProof/>
            <w:webHidden/>
          </w:rPr>
          <w:tab/>
        </w:r>
        <w:r w:rsidR="008A5B10">
          <w:rPr>
            <w:noProof/>
            <w:webHidden/>
          </w:rPr>
          <w:fldChar w:fldCharType="begin"/>
        </w:r>
        <w:r w:rsidR="008A5B10">
          <w:rPr>
            <w:noProof/>
            <w:webHidden/>
          </w:rPr>
          <w:instrText xml:space="preserve"> PAGEREF _Toc25580342 \h </w:instrText>
        </w:r>
        <w:r w:rsidR="008A5B10">
          <w:rPr>
            <w:noProof/>
            <w:webHidden/>
          </w:rPr>
        </w:r>
        <w:r w:rsidR="008A5B10">
          <w:rPr>
            <w:noProof/>
            <w:webHidden/>
          </w:rPr>
          <w:fldChar w:fldCharType="separate"/>
        </w:r>
        <w:r w:rsidR="00865A78">
          <w:rPr>
            <w:noProof/>
            <w:webHidden/>
          </w:rPr>
          <w:t>43</w:t>
        </w:r>
        <w:r w:rsidR="008A5B10">
          <w:rPr>
            <w:noProof/>
            <w:webHidden/>
          </w:rPr>
          <w:fldChar w:fldCharType="end"/>
        </w:r>
      </w:hyperlink>
    </w:p>
    <w:p w14:paraId="0FDFDB22" w14:textId="1C040270" w:rsidR="008A5B10" w:rsidRDefault="00B81632">
      <w:pPr>
        <w:pStyle w:val="TOC2"/>
        <w:rPr>
          <w:rFonts w:asciiTheme="minorHAnsi" w:eastAsiaTheme="minorEastAsia" w:hAnsiTheme="minorHAnsi" w:cstheme="minorBidi"/>
          <w:noProof/>
          <w:sz w:val="22"/>
        </w:rPr>
      </w:pPr>
      <w:hyperlink w:anchor="_Toc25580343" w:history="1">
        <w:r w:rsidR="008A5B10" w:rsidRPr="00CF63A4">
          <w:rPr>
            <w:rStyle w:val="Hyperlink"/>
            <w:noProof/>
          </w:rPr>
          <w:t>6.7. Ilgtspējīgas pašvaldības un pilsētvide</w:t>
        </w:r>
        <w:r w:rsidR="008A5B10">
          <w:rPr>
            <w:noProof/>
            <w:webHidden/>
          </w:rPr>
          <w:tab/>
        </w:r>
        <w:r w:rsidR="008A5B10">
          <w:rPr>
            <w:noProof/>
            <w:webHidden/>
          </w:rPr>
          <w:fldChar w:fldCharType="begin"/>
        </w:r>
        <w:r w:rsidR="008A5B10">
          <w:rPr>
            <w:noProof/>
            <w:webHidden/>
          </w:rPr>
          <w:instrText xml:space="preserve"> PAGEREF _Toc25580343 \h </w:instrText>
        </w:r>
        <w:r w:rsidR="008A5B10">
          <w:rPr>
            <w:noProof/>
            <w:webHidden/>
          </w:rPr>
        </w:r>
        <w:r w:rsidR="008A5B10">
          <w:rPr>
            <w:noProof/>
            <w:webHidden/>
          </w:rPr>
          <w:fldChar w:fldCharType="separate"/>
        </w:r>
        <w:r w:rsidR="00865A78">
          <w:rPr>
            <w:noProof/>
            <w:webHidden/>
          </w:rPr>
          <w:t>44</w:t>
        </w:r>
        <w:r w:rsidR="008A5B10">
          <w:rPr>
            <w:noProof/>
            <w:webHidden/>
          </w:rPr>
          <w:fldChar w:fldCharType="end"/>
        </w:r>
      </w:hyperlink>
    </w:p>
    <w:p w14:paraId="19E66578" w14:textId="60DE4E23" w:rsidR="008A5B10" w:rsidRDefault="00B81632">
      <w:pPr>
        <w:pStyle w:val="TOC1"/>
        <w:rPr>
          <w:rFonts w:asciiTheme="minorHAnsi" w:eastAsiaTheme="minorEastAsia" w:hAnsiTheme="minorHAnsi" w:cstheme="minorBidi"/>
          <w:noProof/>
          <w:sz w:val="22"/>
        </w:rPr>
      </w:pPr>
      <w:hyperlink w:anchor="_Toc25580344" w:history="1">
        <w:r w:rsidR="008A5B10" w:rsidRPr="00CF63A4">
          <w:rPr>
            <w:rStyle w:val="Hyperlink"/>
            <w:noProof/>
          </w:rPr>
          <w:t>7.</w:t>
        </w:r>
        <w:r w:rsidR="008A5B10">
          <w:rPr>
            <w:rFonts w:asciiTheme="minorHAnsi" w:eastAsiaTheme="minorEastAsia" w:hAnsiTheme="minorHAnsi" w:cstheme="minorBidi"/>
            <w:noProof/>
            <w:sz w:val="22"/>
          </w:rPr>
          <w:tab/>
        </w:r>
        <w:r w:rsidR="008A5B10" w:rsidRPr="00CF63A4">
          <w:rPr>
            <w:rStyle w:val="Hyperlink"/>
            <w:noProof/>
          </w:rPr>
          <w:t>Stratēģijas īstenošana un pārskats</w:t>
        </w:r>
        <w:r w:rsidR="008A5B10">
          <w:rPr>
            <w:noProof/>
            <w:webHidden/>
          </w:rPr>
          <w:tab/>
        </w:r>
        <w:r w:rsidR="008A5B10">
          <w:rPr>
            <w:noProof/>
            <w:webHidden/>
          </w:rPr>
          <w:fldChar w:fldCharType="begin"/>
        </w:r>
        <w:r w:rsidR="008A5B10">
          <w:rPr>
            <w:noProof/>
            <w:webHidden/>
          </w:rPr>
          <w:instrText xml:space="preserve"> PAGEREF _Toc25580344 \h </w:instrText>
        </w:r>
        <w:r w:rsidR="008A5B10">
          <w:rPr>
            <w:noProof/>
            <w:webHidden/>
          </w:rPr>
        </w:r>
        <w:r w:rsidR="008A5B10">
          <w:rPr>
            <w:noProof/>
            <w:webHidden/>
          </w:rPr>
          <w:fldChar w:fldCharType="separate"/>
        </w:r>
        <w:r w:rsidR="00865A78">
          <w:rPr>
            <w:noProof/>
            <w:webHidden/>
          </w:rPr>
          <w:t>47</w:t>
        </w:r>
        <w:r w:rsidR="008A5B10">
          <w:rPr>
            <w:noProof/>
            <w:webHidden/>
          </w:rPr>
          <w:fldChar w:fldCharType="end"/>
        </w:r>
      </w:hyperlink>
    </w:p>
    <w:p w14:paraId="36CF7653" w14:textId="4B68918C" w:rsidR="008A5B10" w:rsidRDefault="00B81632">
      <w:pPr>
        <w:pStyle w:val="TOC2"/>
        <w:rPr>
          <w:rFonts w:asciiTheme="minorHAnsi" w:eastAsiaTheme="minorEastAsia" w:hAnsiTheme="minorHAnsi" w:cstheme="minorBidi"/>
          <w:noProof/>
          <w:sz w:val="22"/>
        </w:rPr>
      </w:pPr>
      <w:hyperlink w:anchor="_Toc25580345" w:history="1">
        <w:r w:rsidR="008A5B10" w:rsidRPr="00CF63A4">
          <w:rPr>
            <w:rStyle w:val="Hyperlink"/>
            <w:noProof/>
          </w:rPr>
          <w:t>7.1. Stratēģijas īstenošanā iesaistītās puses</w:t>
        </w:r>
        <w:r w:rsidR="008A5B10">
          <w:rPr>
            <w:noProof/>
            <w:webHidden/>
          </w:rPr>
          <w:tab/>
        </w:r>
        <w:r w:rsidR="008A5B10">
          <w:rPr>
            <w:noProof/>
            <w:webHidden/>
          </w:rPr>
          <w:fldChar w:fldCharType="begin"/>
        </w:r>
        <w:r w:rsidR="008A5B10">
          <w:rPr>
            <w:noProof/>
            <w:webHidden/>
          </w:rPr>
          <w:instrText xml:space="preserve"> PAGEREF _Toc25580345 \h </w:instrText>
        </w:r>
        <w:r w:rsidR="008A5B10">
          <w:rPr>
            <w:noProof/>
            <w:webHidden/>
          </w:rPr>
        </w:r>
        <w:r w:rsidR="008A5B10">
          <w:rPr>
            <w:noProof/>
            <w:webHidden/>
          </w:rPr>
          <w:fldChar w:fldCharType="separate"/>
        </w:r>
        <w:r w:rsidR="00865A78">
          <w:rPr>
            <w:noProof/>
            <w:webHidden/>
          </w:rPr>
          <w:t>47</w:t>
        </w:r>
        <w:r w:rsidR="008A5B10">
          <w:rPr>
            <w:noProof/>
            <w:webHidden/>
          </w:rPr>
          <w:fldChar w:fldCharType="end"/>
        </w:r>
      </w:hyperlink>
    </w:p>
    <w:p w14:paraId="4FFB1DCD" w14:textId="05A472DE" w:rsidR="008A5B10" w:rsidRDefault="00B81632">
      <w:pPr>
        <w:pStyle w:val="TOC2"/>
        <w:rPr>
          <w:rFonts w:asciiTheme="minorHAnsi" w:eastAsiaTheme="minorEastAsia" w:hAnsiTheme="minorHAnsi" w:cstheme="minorBidi"/>
          <w:noProof/>
          <w:sz w:val="22"/>
        </w:rPr>
      </w:pPr>
      <w:hyperlink w:anchor="_Toc25580346" w:history="1">
        <w:r w:rsidR="008A5B10" w:rsidRPr="00CF63A4">
          <w:rPr>
            <w:rStyle w:val="Hyperlink"/>
            <w:noProof/>
          </w:rPr>
          <w:t>7.2. Stratēģijas īstenošanā izmantojamie instrumenti</w:t>
        </w:r>
        <w:r w:rsidR="008A5B10">
          <w:rPr>
            <w:noProof/>
            <w:webHidden/>
          </w:rPr>
          <w:tab/>
        </w:r>
        <w:r w:rsidR="008A5B10">
          <w:rPr>
            <w:noProof/>
            <w:webHidden/>
          </w:rPr>
          <w:fldChar w:fldCharType="begin"/>
        </w:r>
        <w:r w:rsidR="008A5B10">
          <w:rPr>
            <w:noProof/>
            <w:webHidden/>
          </w:rPr>
          <w:instrText xml:space="preserve"> PAGEREF _Toc25580346 \h </w:instrText>
        </w:r>
        <w:r w:rsidR="008A5B10">
          <w:rPr>
            <w:noProof/>
            <w:webHidden/>
          </w:rPr>
        </w:r>
        <w:r w:rsidR="008A5B10">
          <w:rPr>
            <w:noProof/>
            <w:webHidden/>
          </w:rPr>
          <w:fldChar w:fldCharType="separate"/>
        </w:r>
        <w:r w:rsidR="00865A78">
          <w:rPr>
            <w:noProof/>
            <w:webHidden/>
          </w:rPr>
          <w:t>48</w:t>
        </w:r>
        <w:r w:rsidR="008A5B10">
          <w:rPr>
            <w:noProof/>
            <w:webHidden/>
          </w:rPr>
          <w:fldChar w:fldCharType="end"/>
        </w:r>
      </w:hyperlink>
    </w:p>
    <w:p w14:paraId="6FB31E88" w14:textId="10D75B4F" w:rsidR="008A5B10" w:rsidRDefault="00B81632">
      <w:pPr>
        <w:pStyle w:val="TOC2"/>
        <w:rPr>
          <w:rFonts w:asciiTheme="minorHAnsi" w:eastAsiaTheme="minorEastAsia" w:hAnsiTheme="minorHAnsi" w:cstheme="minorBidi"/>
          <w:noProof/>
          <w:sz w:val="22"/>
        </w:rPr>
      </w:pPr>
      <w:hyperlink w:anchor="_Toc25580347" w:history="1">
        <w:r w:rsidR="008A5B10" w:rsidRPr="00CF63A4">
          <w:rPr>
            <w:rStyle w:val="Hyperlink"/>
            <w:noProof/>
          </w:rPr>
          <w:t>7.3. Stratēģijas pārskats</w:t>
        </w:r>
        <w:r w:rsidR="008A5B10">
          <w:rPr>
            <w:noProof/>
            <w:webHidden/>
          </w:rPr>
          <w:tab/>
        </w:r>
        <w:r w:rsidR="008A5B10">
          <w:rPr>
            <w:noProof/>
            <w:webHidden/>
          </w:rPr>
          <w:fldChar w:fldCharType="begin"/>
        </w:r>
        <w:r w:rsidR="008A5B10">
          <w:rPr>
            <w:noProof/>
            <w:webHidden/>
          </w:rPr>
          <w:instrText xml:space="preserve"> PAGEREF _Toc25580347 \h </w:instrText>
        </w:r>
        <w:r w:rsidR="008A5B10">
          <w:rPr>
            <w:noProof/>
            <w:webHidden/>
          </w:rPr>
        </w:r>
        <w:r w:rsidR="008A5B10">
          <w:rPr>
            <w:noProof/>
            <w:webHidden/>
          </w:rPr>
          <w:fldChar w:fldCharType="separate"/>
        </w:r>
        <w:r w:rsidR="00865A78">
          <w:rPr>
            <w:noProof/>
            <w:webHidden/>
          </w:rPr>
          <w:t>50</w:t>
        </w:r>
        <w:r w:rsidR="008A5B10">
          <w:rPr>
            <w:noProof/>
            <w:webHidden/>
          </w:rPr>
          <w:fldChar w:fldCharType="end"/>
        </w:r>
      </w:hyperlink>
    </w:p>
    <w:p w14:paraId="45A7382C" w14:textId="30D6A311" w:rsidR="008A5B10" w:rsidRDefault="00B81632">
      <w:pPr>
        <w:pStyle w:val="TOC1"/>
        <w:rPr>
          <w:rFonts w:asciiTheme="minorHAnsi" w:eastAsiaTheme="minorEastAsia" w:hAnsiTheme="minorHAnsi" w:cstheme="minorBidi"/>
          <w:noProof/>
          <w:sz w:val="22"/>
        </w:rPr>
      </w:pPr>
      <w:hyperlink w:anchor="_Toc25580348" w:history="1">
        <w:r w:rsidR="008A5B10" w:rsidRPr="00CF63A4">
          <w:rPr>
            <w:rStyle w:val="Hyperlink"/>
            <w:noProof/>
          </w:rPr>
          <w:t>8.</w:t>
        </w:r>
        <w:r w:rsidR="008A5B10">
          <w:rPr>
            <w:rFonts w:asciiTheme="minorHAnsi" w:eastAsiaTheme="minorEastAsia" w:hAnsiTheme="minorHAnsi" w:cstheme="minorBidi"/>
            <w:noProof/>
            <w:sz w:val="22"/>
          </w:rPr>
          <w:tab/>
        </w:r>
        <w:r w:rsidR="008A5B10" w:rsidRPr="00CF63A4">
          <w:rPr>
            <w:rStyle w:val="Hyperlink"/>
            <w:noProof/>
          </w:rPr>
          <w:t>Sabiedrības līdzdalība</w:t>
        </w:r>
        <w:r w:rsidR="008A5B10">
          <w:rPr>
            <w:noProof/>
            <w:webHidden/>
          </w:rPr>
          <w:tab/>
        </w:r>
        <w:r w:rsidR="008A5B10">
          <w:rPr>
            <w:noProof/>
            <w:webHidden/>
          </w:rPr>
          <w:fldChar w:fldCharType="begin"/>
        </w:r>
        <w:r w:rsidR="008A5B10">
          <w:rPr>
            <w:noProof/>
            <w:webHidden/>
          </w:rPr>
          <w:instrText xml:space="preserve"> PAGEREF _Toc25580348 \h </w:instrText>
        </w:r>
        <w:r w:rsidR="008A5B10">
          <w:rPr>
            <w:noProof/>
            <w:webHidden/>
          </w:rPr>
        </w:r>
        <w:r w:rsidR="008A5B10">
          <w:rPr>
            <w:noProof/>
            <w:webHidden/>
          </w:rPr>
          <w:fldChar w:fldCharType="separate"/>
        </w:r>
        <w:r w:rsidR="00865A78">
          <w:rPr>
            <w:noProof/>
            <w:webHidden/>
          </w:rPr>
          <w:t>51</w:t>
        </w:r>
        <w:r w:rsidR="008A5B10">
          <w:rPr>
            <w:noProof/>
            <w:webHidden/>
          </w:rPr>
          <w:fldChar w:fldCharType="end"/>
        </w:r>
      </w:hyperlink>
    </w:p>
    <w:p w14:paraId="2118B653" w14:textId="77777777" w:rsidR="00FB4DD8" w:rsidRPr="00A46CC4" w:rsidRDefault="00217978" w:rsidP="00CD1126">
      <w:r w:rsidRPr="00A46CC4">
        <w:fldChar w:fldCharType="end"/>
      </w:r>
      <w:r w:rsidR="004359BC" w:rsidRPr="00A46CC4">
        <w:br w:type="page"/>
      </w:r>
    </w:p>
    <w:p w14:paraId="4C17618C" w14:textId="77777777" w:rsidR="00CE7155" w:rsidRPr="00B451B3" w:rsidRDefault="00CE7155" w:rsidP="00B451B3">
      <w:pPr>
        <w:pStyle w:val="Heading1"/>
        <w:numPr>
          <w:ilvl w:val="0"/>
          <w:numId w:val="0"/>
        </w:numPr>
        <w:spacing w:before="120" w:after="120"/>
        <w:ind w:left="142"/>
        <w:rPr>
          <w:szCs w:val="32"/>
        </w:rPr>
      </w:pPr>
      <w:bookmarkStart w:id="1" w:name="_Toc25580315"/>
      <w:r w:rsidRPr="00B451B3">
        <w:rPr>
          <w:szCs w:val="32"/>
        </w:rPr>
        <w:lastRenderedPageBreak/>
        <w:t>Termini</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947"/>
      </w:tblGrid>
      <w:tr w:rsidR="00CE7155" w14:paraId="3EFF0D55" w14:textId="77777777" w:rsidTr="00E379E7">
        <w:tc>
          <w:tcPr>
            <w:tcW w:w="2127" w:type="dxa"/>
          </w:tcPr>
          <w:p w14:paraId="38061811" w14:textId="77777777" w:rsidR="00B451B3" w:rsidRPr="00E379E7" w:rsidRDefault="00B451B3" w:rsidP="00B451B3">
            <w:pPr>
              <w:ind w:firstLine="0"/>
              <w:jc w:val="left"/>
              <w:rPr>
                <w:b/>
                <w:szCs w:val="24"/>
              </w:rPr>
            </w:pPr>
            <w:r w:rsidRPr="00E379E7">
              <w:rPr>
                <w:b/>
              </w:rPr>
              <w:t xml:space="preserve">Atjaunojamie energoresursi </w:t>
            </w:r>
          </w:p>
          <w:p w14:paraId="5CD626B4" w14:textId="77777777" w:rsidR="00CE7155" w:rsidRPr="003968DF" w:rsidRDefault="00CE7155">
            <w:pPr>
              <w:ind w:firstLine="0"/>
              <w:jc w:val="left"/>
              <w:rPr>
                <w:b/>
                <w:bCs/>
                <w:sz w:val="32"/>
                <w:szCs w:val="32"/>
              </w:rPr>
            </w:pPr>
          </w:p>
        </w:tc>
        <w:tc>
          <w:tcPr>
            <w:tcW w:w="7217" w:type="dxa"/>
          </w:tcPr>
          <w:p w14:paraId="1E97C220" w14:textId="77777777" w:rsidR="00CE7155" w:rsidRPr="00B451B3" w:rsidRDefault="00C90970" w:rsidP="000F4509">
            <w:pPr>
              <w:ind w:firstLine="0"/>
            </w:pPr>
            <w:r w:rsidRPr="00944B60">
              <w:t>vēja, saules, ģeotermālā, viļņu, paisuma un bēguma, ūdens enerģija, kā arī aerotermālā enerģija (siltumenerģija, kura uzkrājas gaisā), ģeotermālā enerģija (siltumenerģija, kura atrodas zem cietzemes virsmas) un hidrotermālā enerģija (siltumenerģija, kura atrodas virszemes ūdeņos), atkritumu poligonu un notekūdeņu attīrīšanas iekārtu gāzes, biogāze un biomasa</w:t>
            </w:r>
            <w:r w:rsidR="009C3B98">
              <w:t>.</w:t>
            </w:r>
          </w:p>
        </w:tc>
      </w:tr>
      <w:tr w:rsidR="00CE7155" w14:paraId="429A488E" w14:textId="77777777" w:rsidTr="00E379E7">
        <w:tc>
          <w:tcPr>
            <w:tcW w:w="2127" w:type="dxa"/>
          </w:tcPr>
          <w:p w14:paraId="59AF4933" w14:textId="77777777" w:rsidR="00B451B3" w:rsidRPr="00E379E7" w:rsidRDefault="00B451B3" w:rsidP="00B451B3">
            <w:pPr>
              <w:spacing w:before="60" w:after="60"/>
              <w:ind w:firstLine="0"/>
              <w:jc w:val="left"/>
              <w:rPr>
                <w:b/>
                <w:szCs w:val="24"/>
              </w:rPr>
            </w:pPr>
            <w:r w:rsidRPr="00E379E7">
              <w:rPr>
                <w:b/>
                <w:szCs w:val="24"/>
              </w:rPr>
              <w:t>Biomasa</w:t>
            </w:r>
          </w:p>
          <w:p w14:paraId="349802C5" w14:textId="77777777" w:rsidR="00CE7155" w:rsidRPr="003968DF" w:rsidRDefault="00CE7155">
            <w:pPr>
              <w:ind w:firstLine="0"/>
              <w:jc w:val="left"/>
              <w:rPr>
                <w:b/>
                <w:bCs/>
                <w:sz w:val="32"/>
                <w:szCs w:val="32"/>
              </w:rPr>
            </w:pPr>
          </w:p>
        </w:tc>
        <w:tc>
          <w:tcPr>
            <w:tcW w:w="7217" w:type="dxa"/>
          </w:tcPr>
          <w:p w14:paraId="46AEFFDB" w14:textId="77777777" w:rsidR="00CE7155" w:rsidRPr="00B451B3" w:rsidRDefault="00B451B3" w:rsidP="009C3B98">
            <w:pPr>
              <w:ind w:firstLine="0"/>
            </w:pPr>
            <w:r w:rsidRPr="005F2265">
              <w:t>organiskas izcelsmes resurss, kura enerģija ķīmiskās pārveides rezultātā tiek pārvērsta mehāni</w:t>
            </w:r>
            <w:r>
              <w:t xml:space="preserve">skajā </w:t>
            </w:r>
            <w:r w:rsidR="009C3B98">
              <w:t xml:space="preserve">enerģijā, siltumenerģijā </w:t>
            </w:r>
            <w:r>
              <w:t>un elektr</w:t>
            </w:r>
            <w:r w:rsidR="009C3B98">
              <w:t>o</w:t>
            </w:r>
            <w:r>
              <w:t>enerģijā.</w:t>
            </w:r>
          </w:p>
        </w:tc>
      </w:tr>
      <w:tr w:rsidR="00CE7155" w14:paraId="2097BB57" w14:textId="77777777" w:rsidTr="00E379E7">
        <w:tc>
          <w:tcPr>
            <w:tcW w:w="2127" w:type="dxa"/>
          </w:tcPr>
          <w:p w14:paraId="33DE3AD1" w14:textId="77777777" w:rsidR="00B451B3" w:rsidRPr="00E379E7" w:rsidRDefault="00B451B3" w:rsidP="00B451B3">
            <w:pPr>
              <w:spacing w:before="60" w:after="60"/>
              <w:ind w:firstLine="0"/>
              <w:jc w:val="left"/>
              <w:rPr>
                <w:b/>
                <w:szCs w:val="24"/>
              </w:rPr>
            </w:pPr>
            <w:r w:rsidRPr="00E379E7">
              <w:rPr>
                <w:b/>
                <w:szCs w:val="24"/>
              </w:rPr>
              <w:t>Infrastruktūra</w:t>
            </w:r>
          </w:p>
          <w:p w14:paraId="6F83257C" w14:textId="77777777" w:rsidR="00CE7155" w:rsidRPr="003968DF" w:rsidRDefault="00CE7155">
            <w:pPr>
              <w:ind w:firstLine="0"/>
              <w:jc w:val="left"/>
              <w:rPr>
                <w:b/>
                <w:bCs/>
                <w:sz w:val="32"/>
                <w:szCs w:val="32"/>
              </w:rPr>
            </w:pPr>
          </w:p>
        </w:tc>
        <w:tc>
          <w:tcPr>
            <w:tcW w:w="7217" w:type="dxa"/>
          </w:tcPr>
          <w:p w14:paraId="154203C8" w14:textId="77777777" w:rsidR="00CE7155" w:rsidRPr="00B451B3" w:rsidRDefault="00B451B3" w:rsidP="00D27B12">
            <w:pPr>
              <w:ind w:firstLine="0"/>
            </w:pPr>
            <w:r w:rsidRPr="005F2265">
              <w:rPr>
                <w:szCs w:val="24"/>
              </w:rPr>
              <w:t>tautsaimniecības teritoriālās struktūras sastāvdaļa, ko veido transporta, sakaru, tirdzniecības, enerģētikas</w:t>
            </w:r>
            <w:r w:rsidR="00D27B12">
              <w:rPr>
                <w:szCs w:val="24"/>
              </w:rPr>
              <w:t xml:space="preserve">, </w:t>
            </w:r>
            <w:r w:rsidRPr="005F2265">
              <w:rPr>
                <w:szCs w:val="24"/>
              </w:rPr>
              <w:t xml:space="preserve">ūdenssaimniecības </w:t>
            </w:r>
            <w:r w:rsidR="00D27B12">
              <w:rPr>
                <w:szCs w:val="24"/>
              </w:rPr>
              <w:t xml:space="preserve">un </w:t>
            </w:r>
            <w:r w:rsidR="00D27B12" w:rsidRPr="008E7994">
              <w:rPr>
                <w:szCs w:val="24"/>
              </w:rPr>
              <w:t xml:space="preserve">atkritumu apsaimniekošanas </w:t>
            </w:r>
            <w:r w:rsidRPr="005F2265">
              <w:rPr>
                <w:szCs w:val="24"/>
              </w:rPr>
              <w:t xml:space="preserve">sistēma, kā arī mājokļi, skolas, veselības aizsardzības, </w:t>
            </w:r>
            <w:r w:rsidRPr="005F2265">
              <w:t xml:space="preserve">kultūras, sporta u.tml. iedzīvotāju aprūpes objekti un </w:t>
            </w:r>
            <w:r>
              <w:t>to izkārtojums kādā teritorijā.</w:t>
            </w:r>
          </w:p>
        </w:tc>
      </w:tr>
      <w:tr w:rsidR="00CE7155" w14:paraId="1F9C0641" w14:textId="77777777" w:rsidTr="00E379E7">
        <w:tc>
          <w:tcPr>
            <w:tcW w:w="2127" w:type="dxa"/>
          </w:tcPr>
          <w:p w14:paraId="77FACE78" w14:textId="77777777" w:rsidR="00CE7155" w:rsidRPr="00E379E7" w:rsidRDefault="00B451B3" w:rsidP="00B451B3">
            <w:pPr>
              <w:spacing w:before="60" w:after="60"/>
              <w:ind w:firstLine="0"/>
              <w:jc w:val="left"/>
              <w:rPr>
                <w:b/>
                <w:szCs w:val="24"/>
              </w:rPr>
            </w:pPr>
            <w:r w:rsidRPr="00E379E7">
              <w:rPr>
                <w:b/>
                <w:szCs w:val="24"/>
              </w:rPr>
              <w:t>Inovācija</w:t>
            </w:r>
          </w:p>
        </w:tc>
        <w:tc>
          <w:tcPr>
            <w:tcW w:w="7217" w:type="dxa"/>
          </w:tcPr>
          <w:p w14:paraId="6BCFD7F0" w14:textId="77777777" w:rsidR="00CE7155" w:rsidRPr="00B451B3" w:rsidRDefault="00B451B3" w:rsidP="00B451B3">
            <w:pPr>
              <w:ind w:firstLine="0"/>
            </w:pPr>
            <w:r w:rsidRPr="005F2265">
              <w:t>process, kurā jaunas zinātniskās, tehniskās, sociālās, kultūras vai citas jomas idejas, izstrādnes un tehnoloģijas tiek īstenotas tirgū pieprasītā un konkurētsp</w:t>
            </w:r>
            <w:r>
              <w:t>ējīgā produktā vai pakalpojumā.</w:t>
            </w:r>
          </w:p>
        </w:tc>
      </w:tr>
      <w:tr w:rsidR="00CE7155" w14:paraId="6A2994C3" w14:textId="77777777" w:rsidTr="00E379E7">
        <w:tc>
          <w:tcPr>
            <w:tcW w:w="2127" w:type="dxa"/>
          </w:tcPr>
          <w:p w14:paraId="3FA8AD07" w14:textId="77777777" w:rsidR="00B451B3" w:rsidRPr="00E379E7" w:rsidRDefault="00B451B3" w:rsidP="00B451B3">
            <w:pPr>
              <w:spacing w:before="60" w:after="60"/>
              <w:ind w:firstLine="0"/>
              <w:jc w:val="left"/>
              <w:rPr>
                <w:b/>
                <w:szCs w:val="24"/>
              </w:rPr>
            </w:pPr>
            <w:r w:rsidRPr="00E379E7">
              <w:rPr>
                <w:b/>
                <w:szCs w:val="24"/>
              </w:rPr>
              <w:t>Kioto protokols</w:t>
            </w:r>
          </w:p>
          <w:p w14:paraId="4502AEF9" w14:textId="77777777" w:rsidR="00CE7155" w:rsidRPr="003968DF" w:rsidRDefault="00CE7155">
            <w:pPr>
              <w:ind w:firstLine="0"/>
              <w:jc w:val="left"/>
              <w:rPr>
                <w:b/>
                <w:bCs/>
                <w:sz w:val="32"/>
                <w:szCs w:val="32"/>
              </w:rPr>
            </w:pPr>
          </w:p>
        </w:tc>
        <w:tc>
          <w:tcPr>
            <w:tcW w:w="7217" w:type="dxa"/>
          </w:tcPr>
          <w:p w14:paraId="12FF6099" w14:textId="77777777" w:rsidR="00CE7155" w:rsidRDefault="00B451B3" w:rsidP="009C3B98">
            <w:pPr>
              <w:ind w:firstLine="0"/>
              <w:rPr>
                <w:b/>
                <w:bCs/>
                <w:sz w:val="32"/>
                <w:szCs w:val="32"/>
              </w:rPr>
            </w:pPr>
            <w:r w:rsidRPr="005F2265">
              <w:t>starptautisks līgums (pieņemts 1997.</w:t>
            </w:r>
            <w:r w:rsidR="009C3B98">
              <w:t> </w:t>
            </w:r>
            <w:r w:rsidRPr="005F2265">
              <w:t>gadā, stājies spēkā</w:t>
            </w:r>
            <w:r w:rsidR="009C3B98">
              <w:t> </w:t>
            </w:r>
            <w:r w:rsidRPr="005F2265">
              <w:t>–</w:t>
            </w:r>
            <w:r w:rsidR="009C3B98">
              <w:t> </w:t>
            </w:r>
            <w:r w:rsidRPr="005F2265">
              <w:t>2005.</w:t>
            </w:r>
            <w:r w:rsidR="009C3B98">
              <w:t> </w:t>
            </w:r>
            <w:r w:rsidRPr="005F2265">
              <w:t xml:space="preserve">gadā), </w:t>
            </w:r>
            <w:r>
              <w:t xml:space="preserve">kas </w:t>
            </w:r>
            <w:r w:rsidR="000F4509">
              <w:t>pieņemts</w:t>
            </w:r>
            <w:r w:rsidR="00C20F09">
              <w:t xml:space="preserve"> </w:t>
            </w:r>
            <w:r w:rsidRPr="005F2265">
              <w:t>1992.</w:t>
            </w:r>
            <w:r w:rsidR="009C3B98">
              <w:t> </w:t>
            </w:r>
            <w:r w:rsidRPr="005F2265">
              <w:t>gada Apvienoto Nāciju Organizācijas Vispārēj</w:t>
            </w:r>
            <w:r w:rsidR="009C3B98">
              <w:t>ās</w:t>
            </w:r>
            <w:r w:rsidRPr="005F2265">
              <w:t xml:space="preserve"> konvencij</w:t>
            </w:r>
            <w:r w:rsidR="000F4509">
              <w:t>as</w:t>
            </w:r>
            <w:r w:rsidRPr="005F2265">
              <w:t xml:space="preserve"> par klimata pārmaiņām (UNFCCC)</w:t>
            </w:r>
            <w:r w:rsidR="000F4509">
              <w:t xml:space="preserve"> ietvarā</w:t>
            </w:r>
            <w:r w:rsidRPr="005F2265">
              <w:t>. Protokols paredz, ka valstis (</w:t>
            </w:r>
            <w:r w:rsidR="000F4509">
              <w:t>UNFCCC</w:t>
            </w:r>
            <w:r w:rsidR="000F4509" w:rsidRPr="005F2265">
              <w:t xml:space="preserve"> </w:t>
            </w:r>
            <w:r w:rsidRPr="005F2265">
              <w:t xml:space="preserve">puses) samazina siltumnīcefekta gāzu emisijas, pamatojoties uz zinātnisko vienprātību par to, ka (1) notiek globālā sasilšana un (2) ir ļoti iespējams, ka to galvenokārt izraisījušas cilvēka radītās </w:t>
            </w:r>
            <w:r w:rsidR="007D0A34" w:rsidRPr="005F2265">
              <w:rPr>
                <w:szCs w:val="24"/>
              </w:rPr>
              <w:t>oglekļa dioksīda</w:t>
            </w:r>
            <w:r w:rsidRPr="005F2265">
              <w:t xml:space="preserve"> emisijas. Kioto protokols</w:t>
            </w:r>
            <w:r w:rsidR="000F4509">
              <w:t xml:space="preserve"> un 2012.</w:t>
            </w:r>
            <w:r w:rsidR="009C3B98">
              <w:t> </w:t>
            </w:r>
            <w:r w:rsidR="000F4509">
              <w:t>gadā pieņemtais Kioto protokola Dohas grozījums</w:t>
            </w:r>
            <w:r w:rsidRPr="005F2265">
              <w:t xml:space="preserve"> </w:t>
            </w:r>
            <w:r w:rsidR="000F4509" w:rsidRPr="005F2265">
              <w:t>no</w:t>
            </w:r>
            <w:r w:rsidR="000F4509">
              <w:t xml:space="preserve">saka </w:t>
            </w:r>
            <w:r w:rsidRPr="005F2265">
              <w:t xml:space="preserve">saistības </w:t>
            </w:r>
            <w:r w:rsidR="000F4509">
              <w:t xml:space="preserve">tā Pusēm </w:t>
            </w:r>
            <w:r w:rsidRPr="005F2265">
              <w:t>līdz 2020.</w:t>
            </w:r>
            <w:r w:rsidR="007D0A34">
              <w:t> </w:t>
            </w:r>
            <w:r w:rsidRPr="005F2265">
              <w:t>gadam.</w:t>
            </w:r>
          </w:p>
        </w:tc>
      </w:tr>
      <w:tr w:rsidR="00CE7155" w14:paraId="5FC0F6FD" w14:textId="77777777" w:rsidTr="00E379E7">
        <w:tc>
          <w:tcPr>
            <w:tcW w:w="2127" w:type="dxa"/>
          </w:tcPr>
          <w:p w14:paraId="583CEC1B" w14:textId="77777777" w:rsidR="00B451B3" w:rsidRPr="00E379E7" w:rsidRDefault="00B451B3" w:rsidP="00B451B3">
            <w:pPr>
              <w:spacing w:before="60" w:after="60"/>
              <w:ind w:firstLine="0"/>
              <w:jc w:val="left"/>
              <w:rPr>
                <w:b/>
                <w:szCs w:val="24"/>
              </w:rPr>
            </w:pPr>
            <w:r w:rsidRPr="00E379E7">
              <w:rPr>
                <w:b/>
                <w:szCs w:val="24"/>
              </w:rPr>
              <w:t>Klasters (puduris)</w:t>
            </w:r>
          </w:p>
          <w:p w14:paraId="343ABDE6" w14:textId="77777777" w:rsidR="00CE7155" w:rsidRPr="003968DF" w:rsidRDefault="00CE7155">
            <w:pPr>
              <w:ind w:firstLine="0"/>
              <w:jc w:val="left"/>
              <w:rPr>
                <w:b/>
                <w:bCs/>
                <w:sz w:val="32"/>
                <w:szCs w:val="32"/>
              </w:rPr>
            </w:pPr>
          </w:p>
        </w:tc>
        <w:tc>
          <w:tcPr>
            <w:tcW w:w="7217" w:type="dxa"/>
          </w:tcPr>
          <w:p w14:paraId="4C93DE38" w14:textId="77777777" w:rsidR="00CE7155" w:rsidRPr="00B451B3" w:rsidRDefault="00B451B3" w:rsidP="00B451B3">
            <w:pPr>
              <w:spacing w:before="60" w:after="60"/>
              <w:ind w:firstLine="0"/>
              <w:rPr>
                <w:szCs w:val="24"/>
              </w:rPr>
            </w:pPr>
            <w:r w:rsidRPr="005F2265">
              <w:rPr>
                <w:szCs w:val="24"/>
              </w:rPr>
              <w:t>komersantu, pētniecības, izglītības un citu saistīto institūciju sadarbības tīkls, kas darbojas noteiktā tautsaimniecības nozarē vai savstarpēji saistītās nozarēs, izmanto radniecīgas tehnoloģijas un līdzīga profila darbaspēka resursus, sastāv no juridiski neatkarīgiem komersantiem, kas ir savstarpēji konkurējoši, un vienlaicīgi</w:t>
            </w:r>
            <w:r>
              <w:rPr>
                <w:szCs w:val="24"/>
              </w:rPr>
              <w:t xml:space="preserve"> realizē savstarpēju sadarbību.</w:t>
            </w:r>
          </w:p>
        </w:tc>
      </w:tr>
      <w:tr w:rsidR="00CE7155" w14:paraId="6DB0ABAF" w14:textId="77777777" w:rsidTr="00E379E7">
        <w:tc>
          <w:tcPr>
            <w:tcW w:w="2127" w:type="dxa"/>
          </w:tcPr>
          <w:p w14:paraId="08D0304A" w14:textId="77777777" w:rsidR="00B451B3" w:rsidRPr="00E379E7" w:rsidRDefault="00B451B3" w:rsidP="00B451B3">
            <w:pPr>
              <w:spacing w:before="60" w:after="60"/>
              <w:ind w:firstLine="0"/>
              <w:jc w:val="left"/>
              <w:rPr>
                <w:b/>
                <w:szCs w:val="24"/>
              </w:rPr>
            </w:pPr>
            <w:r w:rsidRPr="00E379E7">
              <w:rPr>
                <w:b/>
                <w:szCs w:val="24"/>
              </w:rPr>
              <w:t>Klimats</w:t>
            </w:r>
          </w:p>
          <w:p w14:paraId="35D93B55" w14:textId="77777777" w:rsidR="00CE7155" w:rsidRPr="003968DF" w:rsidRDefault="00CE7155">
            <w:pPr>
              <w:ind w:firstLine="0"/>
              <w:jc w:val="left"/>
              <w:rPr>
                <w:b/>
                <w:bCs/>
                <w:sz w:val="32"/>
                <w:szCs w:val="32"/>
              </w:rPr>
            </w:pPr>
          </w:p>
        </w:tc>
        <w:tc>
          <w:tcPr>
            <w:tcW w:w="7217" w:type="dxa"/>
          </w:tcPr>
          <w:p w14:paraId="69C60B69" w14:textId="77777777" w:rsidR="00CE7155" w:rsidRPr="00B451B3" w:rsidRDefault="000F4509" w:rsidP="007D0A34">
            <w:pPr>
              <w:spacing w:before="60" w:after="60"/>
              <w:ind w:firstLine="0"/>
              <w:rPr>
                <w:szCs w:val="24"/>
              </w:rPr>
            </w:pPr>
            <w:r>
              <w:rPr>
                <w:szCs w:val="24"/>
              </w:rPr>
              <w:t>i</w:t>
            </w:r>
            <w:r w:rsidR="00B451B3" w:rsidRPr="005F2265">
              <w:rPr>
                <w:szCs w:val="24"/>
              </w:rPr>
              <w:t>lggadējs laikapstākļu režīms, kas veidojas Saules radiācijas, Zemes virsmas rakstura un ar to saistīto atmosfēras cirkulācijas procesu rezultātā. Klimatu raksturo vidējas un ilglaicīgas (vismaz 30 gadi) atmosfēras fizikālo rādītāju vērtības, kas piemīt Zemei kopumā  vai noteiktai teritorijai (valstij vai reģionam).</w:t>
            </w:r>
          </w:p>
        </w:tc>
      </w:tr>
      <w:tr w:rsidR="00B451B3" w14:paraId="3D94A721" w14:textId="77777777" w:rsidTr="00E379E7">
        <w:tc>
          <w:tcPr>
            <w:tcW w:w="2127" w:type="dxa"/>
          </w:tcPr>
          <w:p w14:paraId="2DB75209" w14:textId="77777777" w:rsidR="00B451B3" w:rsidRPr="00E379E7" w:rsidRDefault="00B451B3" w:rsidP="00B451B3">
            <w:pPr>
              <w:spacing w:before="60" w:after="60"/>
              <w:ind w:firstLine="0"/>
              <w:jc w:val="left"/>
              <w:rPr>
                <w:b/>
                <w:szCs w:val="24"/>
              </w:rPr>
            </w:pPr>
            <w:r w:rsidRPr="00E379E7">
              <w:rPr>
                <w:b/>
                <w:szCs w:val="24"/>
              </w:rPr>
              <w:t xml:space="preserve">Klimata pārmaiņas </w:t>
            </w:r>
          </w:p>
          <w:p w14:paraId="6CD2E7AD" w14:textId="77777777" w:rsidR="00B451B3" w:rsidRPr="003968DF" w:rsidRDefault="00B451B3">
            <w:pPr>
              <w:ind w:firstLine="0"/>
              <w:jc w:val="left"/>
              <w:rPr>
                <w:b/>
                <w:bCs/>
                <w:sz w:val="32"/>
                <w:szCs w:val="32"/>
              </w:rPr>
            </w:pPr>
          </w:p>
        </w:tc>
        <w:tc>
          <w:tcPr>
            <w:tcW w:w="7217" w:type="dxa"/>
          </w:tcPr>
          <w:p w14:paraId="720ED1D4" w14:textId="77777777" w:rsidR="00B451B3" w:rsidRPr="005F2265" w:rsidRDefault="00B451B3" w:rsidP="00B451B3">
            <w:pPr>
              <w:spacing w:before="60" w:after="60"/>
              <w:ind w:firstLine="0"/>
              <w:rPr>
                <w:szCs w:val="24"/>
              </w:rPr>
            </w:pPr>
            <w:r>
              <w:rPr>
                <w:szCs w:val="24"/>
              </w:rPr>
              <w:t>i</w:t>
            </w:r>
            <w:r w:rsidRPr="005F2265">
              <w:rPr>
                <w:szCs w:val="24"/>
              </w:rPr>
              <w:t>zmaiņas klimata stāvoklī, ko identificē (piemēram, ar statistiskiem testiem) ar izmaiņām vidējās vērtībās un/vai to īpašību mainīgumu, kas turpinās ilgākā laika periodā, parasti dekādi vai ilgāk. Klimata pārmaiņas var notikt dažādu dabisku iekšējo procesu rezultātā vai arī ārējo spēku ietekmē, piemēram, Saules aktivitātes ciklu, vulkāna izvirdumu un ilgstošu antropogēnu pārmaiņu atmosfēras sastāvā un zemes lietojumā ietekmē.</w:t>
            </w:r>
          </w:p>
        </w:tc>
      </w:tr>
      <w:tr w:rsidR="00CE7155" w14:paraId="3FA08293" w14:textId="77777777" w:rsidTr="00E379E7">
        <w:tc>
          <w:tcPr>
            <w:tcW w:w="2127" w:type="dxa"/>
          </w:tcPr>
          <w:p w14:paraId="0ADC733C" w14:textId="77777777" w:rsidR="00CE7155" w:rsidRPr="003968DF" w:rsidRDefault="00B451B3">
            <w:pPr>
              <w:ind w:firstLine="0"/>
              <w:jc w:val="left"/>
              <w:rPr>
                <w:b/>
                <w:bCs/>
                <w:sz w:val="32"/>
                <w:szCs w:val="32"/>
              </w:rPr>
            </w:pPr>
            <w:r w:rsidRPr="00E379E7">
              <w:rPr>
                <w:b/>
                <w:szCs w:val="24"/>
              </w:rPr>
              <w:lastRenderedPageBreak/>
              <w:t>Klimatneitralitāte</w:t>
            </w:r>
          </w:p>
        </w:tc>
        <w:tc>
          <w:tcPr>
            <w:tcW w:w="7217" w:type="dxa"/>
          </w:tcPr>
          <w:p w14:paraId="463D7AE5" w14:textId="77777777" w:rsidR="00CE7155" w:rsidRPr="00B451B3" w:rsidRDefault="00B451B3" w:rsidP="00B451B3">
            <w:pPr>
              <w:spacing w:before="60" w:after="60"/>
              <w:ind w:firstLine="0"/>
              <w:rPr>
                <w:szCs w:val="24"/>
              </w:rPr>
            </w:pPr>
            <w:r>
              <w:rPr>
                <w:szCs w:val="24"/>
              </w:rPr>
              <w:t>stāvoklis,</w:t>
            </w:r>
            <w:r w:rsidR="008D110B">
              <w:rPr>
                <w:szCs w:val="24"/>
              </w:rPr>
              <w:t xml:space="preserve"> kurā cilvēka darbība rada “nulles”</w:t>
            </w:r>
            <w:r w:rsidRPr="005F2265">
              <w:rPr>
                <w:szCs w:val="24"/>
              </w:rPr>
              <w:t xml:space="preserve"> neto ietekmi uz klimata sistēmu. Šāda stāvokļa sasniegšanai nepieciešams līdzsvarot siltumnīcefekta gāzu emisijas ar oglekļa dioksīda piesaisti. </w:t>
            </w:r>
          </w:p>
        </w:tc>
      </w:tr>
      <w:tr w:rsidR="00B451B3" w14:paraId="7426DB88" w14:textId="77777777" w:rsidTr="00E379E7">
        <w:tc>
          <w:tcPr>
            <w:tcW w:w="2127" w:type="dxa"/>
          </w:tcPr>
          <w:p w14:paraId="0BBE2403" w14:textId="77777777" w:rsidR="00B451B3" w:rsidRPr="00E379E7" w:rsidRDefault="00B451B3" w:rsidP="00B451B3">
            <w:pPr>
              <w:spacing w:before="60" w:after="60"/>
              <w:ind w:firstLine="0"/>
              <w:jc w:val="left"/>
              <w:rPr>
                <w:b/>
                <w:szCs w:val="24"/>
              </w:rPr>
            </w:pPr>
            <w:r w:rsidRPr="00E379E7">
              <w:rPr>
                <w:b/>
                <w:szCs w:val="24"/>
              </w:rPr>
              <w:t>Klimatnoturība</w:t>
            </w:r>
          </w:p>
          <w:p w14:paraId="18783C11" w14:textId="77777777" w:rsidR="00B451B3" w:rsidRPr="003968DF" w:rsidRDefault="00B451B3">
            <w:pPr>
              <w:ind w:firstLine="0"/>
              <w:jc w:val="left"/>
              <w:rPr>
                <w:b/>
                <w:bCs/>
                <w:sz w:val="32"/>
                <w:szCs w:val="32"/>
              </w:rPr>
            </w:pPr>
          </w:p>
        </w:tc>
        <w:tc>
          <w:tcPr>
            <w:tcW w:w="7217" w:type="dxa"/>
          </w:tcPr>
          <w:p w14:paraId="57A51BC3" w14:textId="77777777" w:rsidR="00B451B3" w:rsidRPr="00B451B3" w:rsidRDefault="00B451B3" w:rsidP="007D0A34">
            <w:pPr>
              <w:spacing w:before="60" w:after="60"/>
              <w:ind w:firstLine="0"/>
              <w:rPr>
                <w:szCs w:val="24"/>
              </w:rPr>
            </w:pPr>
            <w:r w:rsidRPr="005F2265">
              <w:rPr>
                <w:szCs w:val="24"/>
              </w:rPr>
              <w:t>sistēmu sociāla un ekoloģiska spēja (1) absorbēt stresu un uzturēt savas funkcijas klimata pārmaiņu radītas ārējās spriedzes laikā, kā arī (2) reorganizēt savu darbību, gatavojoties turpm</w:t>
            </w:r>
            <w:r>
              <w:rPr>
                <w:szCs w:val="24"/>
              </w:rPr>
              <w:t>ākai klimata pārmaiņu ietekmei.</w:t>
            </w:r>
          </w:p>
        </w:tc>
      </w:tr>
      <w:tr w:rsidR="00B451B3" w14:paraId="561A937E" w14:textId="77777777" w:rsidTr="00E379E7">
        <w:tc>
          <w:tcPr>
            <w:tcW w:w="2127" w:type="dxa"/>
          </w:tcPr>
          <w:p w14:paraId="11C0EC7E" w14:textId="77777777" w:rsidR="00B451B3" w:rsidRPr="00E379E7" w:rsidRDefault="00B451B3" w:rsidP="00B451B3">
            <w:pPr>
              <w:spacing w:before="60" w:after="60"/>
              <w:ind w:firstLine="0"/>
              <w:jc w:val="left"/>
              <w:rPr>
                <w:b/>
                <w:szCs w:val="24"/>
              </w:rPr>
            </w:pPr>
            <w:r w:rsidRPr="00E379E7">
              <w:rPr>
                <w:b/>
                <w:szCs w:val="24"/>
              </w:rPr>
              <w:t>IPCC</w:t>
            </w:r>
          </w:p>
          <w:p w14:paraId="313D4975" w14:textId="77777777" w:rsidR="00B451B3" w:rsidRPr="003968DF" w:rsidRDefault="00B451B3">
            <w:pPr>
              <w:ind w:firstLine="0"/>
              <w:jc w:val="left"/>
              <w:rPr>
                <w:b/>
                <w:bCs/>
                <w:sz w:val="32"/>
                <w:szCs w:val="32"/>
              </w:rPr>
            </w:pPr>
          </w:p>
        </w:tc>
        <w:tc>
          <w:tcPr>
            <w:tcW w:w="7217" w:type="dxa"/>
          </w:tcPr>
          <w:p w14:paraId="1737E360" w14:textId="77777777" w:rsidR="00C20F09" w:rsidRPr="00C20F09" w:rsidRDefault="000F4509" w:rsidP="00E008BC">
            <w:pPr>
              <w:ind w:firstLine="0"/>
              <w:rPr>
                <w:szCs w:val="24"/>
              </w:rPr>
            </w:pPr>
            <w:r>
              <w:rPr>
                <w:szCs w:val="24"/>
              </w:rPr>
              <w:t xml:space="preserve">Klimata pārmaiņu </w:t>
            </w:r>
            <w:r w:rsidR="00B451B3" w:rsidRPr="005F2265">
              <w:rPr>
                <w:szCs w:val="24"/>
              </w:rPr>
              <w:t xml:space="preserve">starpvaldību </w:t>
            </w:r>
            <w:r>
              <w:rPr>
                <w:szCs w:val="24"/>
              </w:rPr>
              <w:t>padome</w:t>
            </w:r>
            <w:r w:rsidRPr="005F2265">
              <w:rPr>
                <w:szCs w:val="24"/>
              </w:rPr>
              <w:t xml:space="preserve"> </w:t>
            </w:r>
            <w:r w:rsidR="00B451B3" w:rsidRPr="005F2265">
              <w:rPr>
                <w:szCs w:val="24"/>
              </w:rPr>
              <w:t>(</w:t>
            </w:r>
            <w:r w:rsidR="00B451B3" w:rsidRPr="00E008BC">
              <w:rPr>
                <w:i/>
                <w:szCs w:val="24"/>
              </w:rPr>
              <w:t>Intergovernmental Panel on Climate Change</w:t>
            </w:r>
            <w:r w:rsidR="00B451B3" w:rsidRPr="005F2265">
              <w:rPr>
                <w:szCs w:val="24"/>
              </w:rPr>
              <w:t>), kuras mērķis ir nodrošināt objektīvu, zinātnisku viedokli par klimata pārmaiņām, tās dabisko, politisko un ekonomisko ietekmi un riskiem, kā arī iespējamām “atbildes” rīcībām.</w:t>
            </w:r>
          </w:p>
        </w:tc>
      </w:tr>
      <w:tr w:rsidR="00C20F09" w14:paraId="3DC2067D" w14:textId="77777777" w:rsidTr="00E379E7">
        <w:tc>
          <w:tcPr>
            <w:tcW w:w="2127" w:type="dxa"/>
          </w:tcPr>
          <w:p w14:paraId="54993CC3" w14:textId="77777777" w:rsidR="00C20F09" w:rsidRPr="00E379E7" w:rsidRDefault="00C20F09" w:rsidP="00C20F09">
            <w:pPr>
              <w:spacing w:before="60" w:after="60"/>
              <w:ind w:firstLine="0"/>
              <w:jc w:val="left"/>
              <w:rPr>
                <w:b/>
                <w:szCs w:val="24"/>
              </w:rPr>
            </w:pPr>
            <w:r w:rsidRPr="00E379E7">
              <w:rPr>
                <w:b/>
                <w:szCs w:val="24"/>
              </w:rPr>
              <w:t>Oglekļa mazietilpīga attīstība</w:t>
            </w:r>
          </w:p>
          <w:p w14:paraId="15BCE593" w14:textId="77777777" w:rsidR="00C20F09" w:rsidRDefault="00C20F09" w:rsidP="00C20F09">
            <w:pPr>
              <w:spacing w:before="60" w:after="60"/>
              <w:ind w:firstLine="0"/>
              <w:jc w:val="left"/>
              <w:rPr>
                <w:b/>
                <w:szCs w:val="24"/>
              </w:rPr>
            </w:pPr>
          </w:p>
          <w:p w14:paraId="0ABFFEFD" w14:textId="77777777" w:rsidR="00612111" w:rsidRDefault="00612111" w:rsidP="00C20F09">
            <w:pPr>
              <w:spacing w:before="60" w:after="60"/>
              <w:ind w:firstLine="0"/>
              <w:jc w:val="left"/>
              <w:rPr>
                <w:b/>
                <w:szCs w:val="24"/>
              </w:rPr>
            </w:pPr>
          </w:p>
          <w:p w14:paraId="02A5E770" w14:textId="77777777" w:rsidR="00612111" w:rsidRPr="00E379E7" w:rsidRDefault="00612111" w:rsidP="00C20F09">
            <w:pPr>
              <w:spacing w:before="60" w:after="60"/>
              <w:ind w:firstLine="0"/>
              <w:jc w:val="left"/>
              <w:rPr>
                <w:b/>
                <w:szCs w:val="24"/>
              </w:rPr>
            </w:pPr>
            <w:r>
              <w:rPr>
                <w:b/>
                <w:szCs w:val="24"/>
              </w:rPr>
              <w:t>Organiskās augsnes</w:t>
            </w:r>
          </w:p>
        </w:tc>
        <w:tc>
          <w:tcPr>
            <w:tcW w:w="7217" w:type="dxa"/>
          </w:tcPr>
          <w:p w14:paraId="31AC57A7" w14:textId="77777777" w:rsidR="00C20F09" w:rsidRDefault="00C20F09" w:rsidP="00E008BC">
            <w:pPr>
              <w:ind w:firstLine="0"/>
              <w:rPr>
                <w:szCs w:val="24"/>
              </w:rPr>
            </w:pPr>
            <w:r w:rsidRPr="005F2265">
              <w:rPr>
                <w:szCs w:val="24"/>
              </w:rPr>
              <w:t>ilgtspējīga</w:t>
            </w:r>
            <w:r w:rsidRPr="005F2265">
              <w:rPr>
                <w:szCs w:val="24"/>
                <w:vertAlign w:val="superscript"/>
              </w:rPr>
              <w:footnoteReference w:id="1"/>
            </w:r>
            <w:r w:rsidRPr="005F2265">
              <w:rPr>
                <w:szCs w:val="24"/>
              </w:rPr>
              <w:t xml:space="preserve"> ekonomiskā, vides un sociālā attīstība, kas balstīta gan uz zemām antropogēnām (cilvēku darbības radītām) siltumnīcefekta gāzu emisijām un augstu oglekļa dioksīda piesaistes</w:t>
            </w:r>
            <w:r w:rsidRPr="005F2265">
              <w:rPr>
                <w:szCs w:val="24"/>
                <w:vertAlign w:val="superscript"/>
              </w:rPr>
              <w:footnoteReference w:id="2"/>
            </w:r>
            <w:r w:rsidRPr="005F2265">
              <w:rPr>
                <w:szCs w:val="24"/>
              </w:rPr>
              <w:t xml:space="preserve"> līmeni, gan noturību pret klimata pārmaiņām, to radīto risku mazināšanu un klimata pārmai</w:t>
            </w:r>
            <w:r>
              <w:rPr>
                <w:szCs w:val="24"/>
              </w:rPr>
              <w:t>ņu radīto ieguvumu izmantošanu.</w:t>
            </w:r>
          </w:p>
          <w:p w14:paraId="3BAB82B4" w14:textId="0D52D335" w:rsidR="00612111" w:rsidRPr="005F2265" w:rsidDel="000F4509" w:rsidRDefault="00862735" w:rsidP="00862735">
            <w:pPr>
              <w:ind w:firstLine="0"/>
              <w:rPr>
                <w:szCs w:val="24"/>
              </w:rPr>
            </w:pPr>
            <w:r>
              <w:t>augsnes ar augstu organiskās vielas saturu.</w:t>
            </w:r>
            <w:r w:rsidRPr="007576AA">
              <w:rPr>
                <w:szCs w:val="24"/>
              </w:rPr>
              <w:t xml:space="preserve"> </w:t>
            </w:r>
          </w:p>
        </w:tc>
      </w:tr>
      <w:tr w:rsidR="00C20F09" w14:paraId="176821A9" w14:textId="77777777" w:rsidTr="00E379E7">
        <w:tc>
          <w:tcPr>
            <w:tcW w:w="2127" w:type="dxa"/>
          </w:tcPr>
          <w:p w14:paraId="577FADBE" w14:textId="77777777" w:rsidR="00C20F09" w:rsidRPr="00E379E7" w:rsidRDefault="00C20F09" w:rsidP="00C20F09">
            <w:pPr>
              <w:spacing w:before="60" w:after="60"/>
              <w:ind w:firstLine="0"/>
              <w:jc w:val="left"/>
              <w:rPr>
                <w:b/>
                <w:szCs w:val="24"/>
              </w:rPr>
            </w:pPr>
            <w:r w:rsidRPr="00E379E7">
              <w:rPr>
                <w:b/>
                <w:szCs w:val="24"/>
              </w:rPr>
              <w:t>Parīzes nolīgums</w:t>
            </w:r>
          </w:p>
          <w:p w14:paraId="5839450A" w14:textId="77777777" w:rsidR="00C20F09" w:rsidRPr="003968DF" w:rsidRDefault="00C20F09" w:rsidP="00C20F09">
            <w:pPr>
              <w:ind w:firstLine="0"/>
              <w:jc w:val="left"/>
              <w:rPr>
                <w:b/>
                <w:bCs/>
                <w:sz w:val="32"/>
                <w:szCs w:val="32"/>
              </w:rPr>
            </w:pPr>
          </w:p>
        </w:tc>
        <w:tc>
          <w:tcPr>
            <w:tcW w:w="7217" w:type="dxa"/>
          </w:tcPr>
          <w:p w14:paraId="281A6381" w14:textId="77777777" w:rsidR="00C20F09" w:rsidRPr="00B451B3" w:rsidRDefault="00C20F09" w:rsidP="007D0A34">
            <w:pPr>
              <w:spacing w:before="60" w:after="60"/>
              <w:ind w:firstLine="0"/>
              <w:rPr>
                <w:szCs w:val="24"/>
              </w:rPr>
            </w:pPr>
            <w:r>
              <w:rPr>
                <w:szCs w:val="24"/>
              </w:rPr>
              <w:t>p</w:t>
            </w:r>
            <w:r w:rsidRPr="005F2265">
              <w:rPr>
                <w:szCs w:val="24"/>
              </w:rPr>
              <w:t>irmā vispārējā juridiski saistošā pasaules mēroga vienošanās klimata jomā, kuras mērķis ir stiprināt globālo rīcību klimata pārmaiņu novēršanai un noturēt globālo sasilšanu būtiski zem 2°C robežām salīdzinot ar pirmsindustriālo līmeni un censties</w:t>
            </w:r>
            <w:r w:rsidR="003968DF">
              <w:rPr>
                <w:szCs w:val="24"/>
              </w:rPr>
              <w:t xml:space="preserve"> to</w:t>
            </w:r>
            <w:r w:rsidRPr="005F2265">
              <w:rPr>
                <w:szCs w:val="24"/>
              </w:rPr>
              <w:t xml:space="preserve"> ierobežot 1</w:t>
            </w:r>
            <w:r>
              <w:rPr>
                <w:szCs w:val="24"/>
              </w:rPr>
              <w:t>,</w:t>
            </w:r>
            <w:r w:rsidRPr="005F2265">
              <w:rPr>
                <w:szCs w:val="24"/>
              </w:rPr>
              <w:t>5°C</w:t>
            </w:r>
            <w:r>
              <w:rPr>
                <w:szCs w:val="24"/>
              </w:rPr>
              <w:t xml:space="preserve"> robežās</w:t>
            </w:r>
            <w:r w:rsidRPr="005F2265">
              <w:rPr>
                <w:szCs w:val="24"/>
              </w:rPr>
              <w:t xml:space="preserve">. </w:t>
            </w:r>
            <w:r>
              <w:rPr>
                <w:szCs w:val="24"/>
              </w:rPr>
              <w:t>Parīzes nolīgum</w:t>
            </w:r>
            <w:r w:rsidR="00DE0FAF">
              <w:rPr>
                <w:szCs w:val="24"/>
              </w:rPr>
              <w:t>s</w:t>
            </w:r>
            <w:r>
              <w:rPr>
                <w:szCs w:val="24"/>
              </w:rPr>
              <w:t xml:space="preserve"> tika </w:t>
            </w:r>
            <w:r w:rsidRPr="005F2265">
              <w:rPr>
                <w:szCs w:val="24"/>
              </w:rPr>
              <w:t xml:space="preserve">pieņemts 2015. gada decembrī </w:t>
            </w:r>
            <w:r w:rsidR="007D0A34" w:rsidRPr="005F2265">
              <w:t>Apvienoto Nāciju Organizācijas</w:t>
            </w:r>
            <w:r w:rsidRPr="005F2265">
              <w:rPr>
                <w:szCs w:val="24"/>
              </w:rPr>
              <w:t xml:space="preserve"> Vispārējās konvencijas par klimata pārmaiņām Līgumslēdzējpuš</w:t>
            </w:r>
            <w:r>
              <w:rPr>
                <w:szCs w:val="24"/>
              </w:rPr>
              <w:t>u konferencē.</w:t>
            </w:r>
          </w:p>
        </w:tc>
      </w:tr>
      <w:tr w:rsidR="00C20F09" w14:paraId="2E1914E0" w14:textId="77777777" w:rsidTr="00E379E7">
        <w:tc>
          <w:tcPr>
            <w:tcW w:w="2127" w:type="dxa"/>
          </w:tcPr>
          <w:p w14:paraId="10E0030D" w14:textId="77777777" w:rsidR="00C20F09" w:rsidRPr="00E379E7" w:rsidRDefault="00C20F09" w:rsidP="00C20F09">
            <w:pPr>
              <w:spacing w:before="60" w:after="60"/>
              <w:ind w:firstLine="0"/>
              <w:jc w:val="left"/>
              <w:rPr>
                <w:b/>
                <w:i/>
                <w:szCs w:val="24"/>
              </w:rPr>
            </w:pPr>
            <w:r w:rsidRPr="00E379E7">
              <w:rPr>
                <w:b/>
                <w:i/>
                <w:szCs w:val="24"/>
              </w:rPr>
              <w:t>Park &amp; ride</w:t>
            </w:r>
          </w:p>
          <w:p w14:paraId="7CE1B51A" w14:textId="77777777" w:rsidR="00C20F09" w:rsidRPr="003968DF" w:rsidRDefault="00C20F09" w:rsidP="00C20F09">
            <w:pPr>
              <w:ind w:firstLine="0"/>
              <w:jc w:val="left"/>
              <w:rPr>
                <w:b/>
                <w:bCs/>
                <w:sz w:val="32"/>
                <w:szCs w:val="32"/>
              </w:rPr>
            </w:pPr>
          </w:p>
        </w:tc>
        <w:tc>
          <w:tcPr>
            <w:tcW w:w="7217" w:type="dxa"/>
          </w:tcPr>
          <w:p w14:paraId="79EDAD2A" w14:textId="77777777" w:rsidR="00C20F09" w:rsidRPr="00B451B3" w:rsidRDefault="00C20F09" w:rsidP="007D0A34">
            <w:pPr>
              <w:spacing w:before="60" w:after="60"/>
              <w:ind w:firstLine="0"/>
              <w:rPr>
                <w:szCs w:val="24"/>
              </w:rPr>
            </w:pPr>
            <w:r w:rsidRPr="005F2265">
              <w:rPr>
                <w:szCs w:val="24"/>
              </w:rPr>
              <w:t xml:space="preserve">transportlīdzekļu novietošanas un pārsēšanās sistēma, kas paredz </w:t>
            </w:r>
            <w:r w:rsidR="007D0A34">
              <w:rPr>
                <w:szCs w:val="24"/>
              </w:rPr>
              <w:t>transportlīdzekļu</w:t>
            </w:r>
            <w:r w:rsidR="007D0A34" w:rsidRPr="005F2265">
              <w:rPr>
                <w:szCs w:val="24"/>
              </w:rPr>
              <w:t xml:space="preserve"> </w:t>
            </w:r>
            <w:r w:rsidRPr="005F2265">
              <w:rPr>
                <w:szCs w:val="24"/>
              </w:rPr>
              <w:t>stāvlaukumu sasaisti ar sabiedriskā transporta tīklu, lai pilnīgāk izmantotu sabiedrisko transportu un atslogotu tr</w:t>
            </w:r>
            <w:r>
              <w:rPr>
                <w:szCs w:val="24"/>
              </w:rPr>
              <w:t>ansporta plūsmu pilsētas centrā.</w:t>
            </w:r>
          </w:p>
        </w:tc>
      </w:tr>
      <w:tr w:rsidR="00C20F09" w14:paraId="5AE3E07C" w14:textId="77777777" w:rsidTr="00E379E7">
        <w:tc>
          <w:tcPr>
            <w:tcW w:w="2127" w:type="dxa"/>
          </w:tcPr>
          <w:p w14:paraId="1342AF84" w14:textId="77777777" w:rsidR="00C20F09" w:rsidRPr="00E379E7" w:rsidRDefault="00C20F09" w:rsidP="00C20F09">
            <w:pPr>
              <w:spacing w:before="60" w:after="60"/>
              <w:ind w:firstLine="0"/>
              <w:jc w:val="left"/>
              <w:rPr>
                <w:b/>
                <w:szCs w:val="24"/>
              </w:rPr>
            </w:pPr>
            <w:r w:rsidRPr="00E379E7">
              <w:rPr>
                <w:b/>
                <w:szCs w:val="24"/>
              </w:rPr>
              <w:t xml:space="preserve">Siltumnīcefekta gāzes </w:t>
            </w:r>
          </w:p>
          <w:p w14:paraId="00542224" w14:textId="77777777" w:rsidR="00C20F09" w:rsidRPr="003968DF" w:rsidRDefault="00C20F09" w:rsidP="00C20F09">
            <w:pPr>
              <w:ind w:firstLine="0"/>
              <w:jc w:val="left"/>
              <w:rPr>
                <w:b/>
                <w:bCs/>
                <w:sz w:val="32"/>
                <w:szCs w:val="32"/>
              </w:rPr>
            </w:pPr>
          </w:p>
        </w:tc>
        <w:tc>
          <w:tcPr>
            <w:tcW w:w="7217" w:type="dxa"/>
          </w:tcPr>
          <w:p w14:paraId="36AE619F" w14:textId="77777777" w:rsidR="00C20F09" w:rsidRPr="00B451B3" w:rsidRDefault="00C20F09" w:rsidP="007D0A34">
            <w:pPr>
              <w:ind w:firstLine="0"/>
              <w:rPr>
                <w:szCs w:val="24"/>
              </w:rPr>
            </w:pPr>
            <w:r w:rsidRPr="005F2265">
              <w:rPr>
                <w:szCs w:val="24"/>
              </w:rPr>
              <w:t>CO</w:t>
            </w:r>
            <w:r w:rsidRPr="005F2265">
              <w:rPr>
                <w:szCs w:val="24"/>
                <w:vertAlign w:val="subscript"/>
              </w:rPr>
              <w:t>2</w:t>
            </w:r>
            <w:r w:rsidRPr="005F2265">
              <w:rPr>
                <w:szCs w:val="24"/>
              </w:rPr>
              <w:t xml:space="preserve"> (oglekļa dioksīds), CH</w:t>
            </w:r>
            <w:r w:rsidRPr="005F2265">
              <w:rPr>
                <w:szCs w:val="24"/>
                <w:vertAlign w:val="subscript"/>
              </w:rPr>
              <w:t>4</w:t>
            </w:r>
            <w:r w:rsidRPr="005F2265">
              <w:rPr>
                <w:szCs w:val="24"/>
              </w:rPr>
              <w:t xml:space="preserve"> (metāns), N</w:t>
            </w:r>
            <w:r w:rsidRPr="005F2265">
              <w:rPr>
                <w:szCs w:val="24"/>
                <w:vertAlign w:val="subscript"/>
              </w:rPr>
              <w:t>2</w:t>
            </w:r>
            <w:r w:rsidRPr="005F2265">
              <w:rPr>
                <w:szCs w:val="24"/>
              </w:rPr>
              <w:t>O (slāpekļa vienvērtīgais oksīds), slāpekļa trifluorīds (NF</w:t>
            </w:r>
            <w:r w:rsidRPr="005F2265">
              <w:rPr>
                <w:szCs w:val="24"/>
                <w:vertAlign w:val="subscript"/>
              </w:rPr>
              <w:t>3</w:t>
            </w:r>
            <w:r w:rsidRPr="005F2265">
              <w:rPr>
                <w:szCs w:val="24"/>
              </w:rPr>
              <w:t>) un fluoru saturošas gāzes jeb F-gāzes</w:t>
            </w:r>
            <w:r w:rsidR="007D0A34">
              <w:rPr>
                <w:szCs w:val="24"/>
              </w:rPr>
              <w:t> </w:t>
            </w:r>
            <w:r w:rsidRPr="005F2265">
              <w:rPr>
                <w:szCs w:val="24"/>
              </w:rPr>
              <w:t>–</w:t>
            </w:r>
            <w:r w:rsidR="007D0A34">
              <w:rPr>
                <w:szCs w:val="24"/>
              </w:rPr>
              <w:t> </w:t>
            </w:r>
            <w:r w:rsidRPr="005F2265">
              <w:rPr>
                <w:szCs w:val="24"/>
              </w:rPr>
              <w:t>SF</w:t>
            </w:r>
            <w:r w:rsidRPr="005F2265">
              <w:rPr>
                <w:szCs w:val="24"/>
                <w:vertAlign w:val="subscript"/>
              </w:rPr>
              <w:t>6</w:t>
            </w:r>
            <w:r w:rsidRPr="005F2265">
              <w:rPr>
                <w:szCs w:val="24"/>
              </w:rPr>
              <w:t xml:space="preserve"> (sēra heksafluorīds), PFC (perfluorogļūde</w:t>
            </w:r>
            <w:r>
              <w:rPr>
                <w:szCs w:val="24"/>
              </w:rPr>
              <w:t>ņraži), HFC (fluorogļūdeņraži).</w:t>
            </w:r>
          </w:p>
        </w:tc>
      </w:tr>
      <w:tr w:rsidR="00C20F09" w14:paraId="38684064" w14:textId="77777777" w:rsidTr="00E379E7">
        <w:tc>
          <w:tcPr>
            <w:tcW w:w="2127" w:type="dxa"/>
          </w:tcPr>
          <w:p w14:paraId="7327E776" w14:textId="77777777" w:rsidR="00C20F09" w:rsidRPr="00E379E7" w:rsidRDefault="00C20F09" w:rsidP="00C20F09">
            <w:pPr>
              <w:spacing w:before="60" w:after="60"/>
              <w:ind w:firstLine="0"/>
              <w:jc w:val="left"/>
              <w:rPr>
                <w:b/>
                <w:szCs w:val="24"/>
              </w:rPr>
            </w:pPr>
            <w:r w:rsidRPr="00E379E7">
              <w:rPr>
                <w:b/>
                <w:szCs w:val="24"/>
              </w:rPr>
              <w:t>Siltumnīcefekts</w:t>
            </w:r>
          </w:p>
        </w:tc>
        <w:tc>
          <w:tcPr>
            <w:tcW w:w="7217" w:type="dxa"/>
          </w:tcPr>
          <w:p w14:paraId="5CE781B7" w14:textId="77777777" w:rsidR="00C20F09" w:rsidRPr="005F2265" w:rsidRDefault="003968DF" w:rsidP="00C20F09">
            <w:pPr>
              <w:ind w:firstLine="0"/>
              <w:rPr>
                <w:szCs w:val="24"/>
              </w:rPr>
            </w:pPr>
            <w:r>
              <w:t xml:space="preserve">atmosfēras </w:t>
            </w:r>
            <w:r w:rsidR="00C20F09">
              <w:t xml:space="preserve">gaisa uzkaršanas process, kas rodas, jo </w:t>
            </w:r>
            <w:r w:rsidR="00C20F09" w:rsidRPr="00DC7840">
              <w:rPr>
                <w:szCs w:val="24"/>
              </w:rPr>
              <w:t>atmosfērā esošā ūdens tvaika un siltumnīcefekta gāzu izveidot</w:t>
            </w:r>
            <w:r w:rsidR="00C20F09">
              <w:rPr>
                <w:szCs w:val="24"/>
              </w:rPr>
              <w:t>ais</w:t>
            </w:r>
            <w:r w:rsidR="00C20F09" w:rsidRPr="00DC7840">
              <w:rPr>
                <w:szCs w:val="24"/>
              </w:rPr>
              <w:t xml:space="preserve"> slā</w:t>
            </w:r>
            <w:r w:rsidR="00C20F09">
              <w:rPr>
                <w:szCs w:val="24"/>
              </w:rPr>
              <w:t>nis</w:t>
            </w:r>
            <w:r w:rsidR="00C20F09" w:rsidRPr="00DC7840">
              <w:rPr>
                <w:szCs w:val="24"/>
              </w:rPr>
              <w:t xml:space="preserve"> </w:t>
            </w:r>
            <w:r w:rsidR="00C20F09">
              <w:rPr>
                <w:szCs w:val="24"/>
              </w:rPr>
              <w:t>neļauj Zemei atstarot no Saules uzņemto siltumu</w:t>
            </w:r>
            <w:r w:rsidR="00C20F09" w:rsidRPr="00DC7840">
              <w:rPr>
                <w:szCs w:val="24"/>
              </w:rPr>
              <w:t xml:space="preserve"> </w:t>
            </w:r>
            <w:r w:rsidR="00C20F09">
              <w:rPr>
                <w:szCs w:val="24"/>
              </w:rPr>
              <w:t>(</w:t>
            </w:r>
            <w:r w:rsidR="00C20F09" w:rsidRPr="00DC7840">
              <w:rPr>
                <w:szCs w:val="24"/>
              </w:rPr>
              <w:t xml:space="preserve">infrasarkanā starojuma </w:t>
            </w:r>
            <w:r w:rsidR="00C20F09">
              <w:rPr>
                <w:szCs w:val="24"/>
              </w:rPr>
              <w:t>veidā), līdz ar to siltums</w:t>
            </w:r>
            <w:r w:rsidR="00C20F09" w:rsidRPr="00DC7840">
              <w:rPr>
                <w:szCs w:val="24"/>
              </w:rPr>
              <w:t xml:space="preserve"> uzkrā</w:t>
            </w:r>
            <w:r w:rsidR="00C20F09">
              <w:rPr>
                <w:szCs w:val="24"/>
              </w:rPr>
              <w:t>jas</w:t>
            </w:r>
            <w:r w:rsidR="00C20F09" w:rsidRPr="00DC7840">
              <w:rPr>
                <w:szCs w:val="24"/>
              </w:rPr>
              <w:t xml:space="preserve"> atmosfēras zemākajos slāņos</w:t>
            </w:r>
            <w:r w:rsidR="00C20F09">
              <w:rPr>
                <w:szCs w:val="24"/>
              </w:rPr>
              <w:t>, radot un veicinot klimata pārmaiņas.</w:t>
            </w:r>
          </w:p>
        </w:tc>
      </w:tr>
    </w:tbl>
    <w:p w14:paraId="18924FD6" w14:textId="77777777" w:rsidR="001B43E6" w:rsidRPr="00B451B3" w:rsidRDefault="001B43E6" w:rsidP="00B451B3">
      <w:pPr>
        <w:pStyle w:val="Heading1"/>
        <w:numPr>
          <w:ilvl w:val="0"/>
          <w:numId w:val="0"/>
        </w:numPr>
        <w:spacing w:before="120" w:after="120"/>
        <w:ind w:left="142"/>
        <w:rPr>
          <w:szCs w:val="32"/>
        </w:rPr>
      </w:pPr>
      <w:bookmarkStart w:id="2" w:name="_Toc25580316"/>
      <w:r w:rsidRPr="00B451B3">
        <w:rPr>
          <w:szCs w:val="32"/>
        </w:rPr>
        <w:lastRenderedPageBreak/>
        <w:t>Saīsinājumi</w:t>
      </w:r>
      <w:bookmarkEnd w:id="2"/>
    </w:p>
    <w:p w14:paraId="400D8AE0" w14:textId="77777777" w:rsidR="00E57FD2" w:rsidRDefault="00E57FD2" w:rsidP="008820C0">
      <w:pPr>
        <w:spacing w:before="120" w:after="120"/>
        <w:ind w:firstLine="0"/>
        <w:jc w:val="left"/>
      </w:pPr>
      <w:r>
        <w:t>AER</w:t>
      </w:r>
      <w:r w:rsidR="007D0A34">
        <w:t> </w:t>
      </w:r>
      <w:r>
        <w:t>–</w:t>
      </w:r>
      <w:r w:rsidR="007D0A34">
        <w:t> </w:t>
      </w:r>
      <w:r>
        <w:t>atjaunojamie energoresursi</w:t>
      </w:r>
    </w:p>
    <w:p w14:paraId="62958DD0" w14:textId="77777777" w:rsidR="001B43E6" w:rsidRDefault="001B43E6" w:rsidP="008820C0">
      <w:pPr>
        <w:spacing w:before="120" w:after="120"/>
        <w:ind w:firstLine="0"/>
        <w:jc w:val="left"/>
      </w:pPr>
      <w:r w:rsidRPr="00026A16">
        <w:t>ANO</w:t>
      </w:r>
      <w:r w:rsidR="007D0A34">
        <w:t> </w:t>
      </w:r>
      <w:r w:rsidRPr="00026A16">
        <w:t>–</w:t>
      </w:r>
      <w:r w:rsidR="007D0A34">
        <w:t> </w:t>
      </w:r>
      <w:r w:rsidRPr="00026A16">
        <w:t>Apvienoto Nāciju Organizācija</w:t>
      </w:r>
    </w:p>
    <w:p w14:paraId="1E6E479F" w14:textId="77777777" w:rsidR="00F31FEB" w:rsidRDefault="00F31FEB" w:rsidP="008820C0">
      <w:pPr>
        <w:spacing w:before="120" w:after="120"/>
        <w:ind w:firstLine="0"/>
        <w:jc w:val="left"/>
      </w:pPr>
      <w:r>
        <w:t xml:space="preserve">CCS – oglekļa </w:t>
      </w:r>
      <w:r w:rsidR="006D2076">
        <w:t>uztveršana un uzglabāšana</w:t>
      </w:r>
    </w:p>
    <w:p w14:paraId="07BE5730" w14:textId="77777777" w:rsidR="00F31FEB" w:rsidRDefault="00F31FEB" w:rsidP="008820C0">
      <w:pPr>
        <w:spacing w:before="120" w:after="120"/>
        <w:ind w:firstLine="0"/>
        <w:jc w:val="left"/>
      </w:pPr>
      <w:r>
        <w:t>CCU -  oglekļa uztveršana un izmantošana</w:t>
      </w:r>
    </w:p>
    <w:p w14:paraId="2C23774C" w14:textId="77777777" w:rsidR="00E57FD2" w:rsidRDefault="00E57FD2" w:rsidP="008820C0">
      <w:pPr>
        <w:spacing w:before="120" w:after="120"/>
        <w:ind w:firstLine="0"/>
        <w:jc w:val="left"/>
      </w:pPr>
      <w:r w:rsidRPr="00A46CC4">
        <w:t>CO</w:t>
      </w:r>
      <w:r w:rsidRPr="00A46CC4">
        <w:rPr>
          <w:vertAlign w:val="subscript"/>
        </w:rPr>
        <w:t>2</w:t>
      </w:r>
      <w:r w:rsidR="007D0A34">
        <w:rPr>
          <w:vertAlign w:val="subscript"/>
        </w:rPr>
        <w:t> </w:t>
      </w:r>
      <w:r>
        <w:t>–</w:t>
      </w:r>
      <w:r w:rsidR="007D0A34">
        <w:t> </w:t>
      </w:r>
      <w:r>
        <w:t>oglekļa dioksīds</w:t>
      </w:r>
    </w:p>
    <w:p w14:paraId="67A4748D" w14:textId="77777777" w:rsidR="00DA2D2F" w:rsidRDefault="00DA2D2F" w:rsidP="008820C0">
      <w:pPr>
        <w:spacing w:before="120" w:after="120"/>
        <w:ind w:firstLine="0"/>
        <w:jc w:val="left"/>
      </w:pPr>
      <w:r>
        <w:t>CNG – saspiestā dabasgāze</w:t>
      </w:r>
    </w:p>
    <w:p w14:paraId="2B182C2D" w14:textId="77777777" w:rsidR="00E57FD2" w:rsidRDefault="00E57FD2" w:rsidP="008820C0">
      <w:pPr>
        <w:spacing w:before="120" w:after="120"/>
        <w:ind w:firstLine="0"/>
        <w:jc w:val="left"/>
      </w:pPr>
      <w:r>
        <w:t>EK</w:t>
      </w:r>
      <w:r w:rsidR="007D0A34">
        <w:t> </w:t>
      </w:r>
      <w:r>
        <w:t>–</w:t>
      </w:r>
      <w:r w:rsidR="007D0A34">
        <w:t> </w:t>
      </w:r>
      <w:r>
        <w:t>Eiropas Komisija</w:t>
      </w:r>
    </w:p>
    <w:p w14:paraId="596383DA" w14:textId="77777777" w:rsidR="00697C78" w:rsidRPr="00E57FD2" w:rsidRDefault="00697C78" w:rsidP="008820C0">
      <w:pPr>
        <w:spacing w:before="120" w:after="120"/>
        <w:ind w:firstLine="0"/>
        <w:jc w:val="left"/>
      </w:pPr>
      <w:r>
        <w:t>EK Paziņojums</w:t>
      </w:r>
      <w:r w:rsidR="007D0A34">
        <w:t> – </w:t>
      </w:r>
      <w:r w:rsidR="007D0A34" w:rsidRPr="0087296E">
        <w:rPr>
          <w:rFonts w:eastAsia="Calibri"/>
          <w:lang w:eastAsia="en-US"/>
        </w:rPr>
        <w:t xml:space="preserve"> </w:t>
      </w:r>
      <w:r w:rsidRPr="0087296E">
        <w:rPr>
          <w:rFonts w:eastAsia="Calibri"/>
          <w:lang w:eastAsia="en-US"/>
        </w:rPr>
        <w:t>“Tīru planētu</w:t>
      </w:r>
      <w:r w:rsidR="007D0A34">
        <w:t> – </w:t>
      </w:r>
      <w:r w:rsidRPr="0087296E">
        <w:rPr>
          <w:rFonts w:eastAsia="Calibri"/>
          <w:lang w:eastAsia="en-US"/>
        </w:rPr>
        <w:t>visiem! Stratēģisks Eiropas ilgtermiņa redzējums par pārticīgu, modernu, konkurētspējīgu un klimatneitrālu ekonomiku”</w:t>
      </w:r>
    </w:p>
    <w:p w14:paraId="59C6234D" w14:textId="77777777" w:rsidR="001B43E6" w:rsidRDefault="001B43E6" w:rsidP="008820C0">
      <w:pPr>
        <w:spacing w:before="120" w:after="120"/>
        <w:ind w:firstLine="0"/>
        <w:jc w:val="left"/>
      </w:pPr>
      <w:r w:rsidRPr="00026A16">
        <w:t>ES</w:t>
      </w:r>
      <w:r w:rsidR="007D0A34">
        <w:t> </w:t>
      </w:r>
      <w:r w:rsidRPr="00026A16">
        <w:t>–</w:t>
      </w:r>
      <w:r w:rsidR="007D0A34">
        <w:t> </w:t>
      </w:r>
      <w:r w:rsidRPr="00026A16">
        <w:t>Eiropas Savienība</w:t>
      </w:r>
    </w:p>
    <w:p w14:paraId="21452A66" w14:textId="77777777" w:rsidR="004B7EBE" w:rsidRDefault="00E57FD2" w:rsidP="008820C0">
      <w:pPr>
        <w:spacing w:before="120" w:after="120"/>
        <w:ind w:firstLine="0"/>
        <w:jc w:val="left"/>
      </w:pPr>
      <w:r w:rsidRPr="005550AC">
        <w:t>ETS</w:t>
      </w:r>
      <w:r w:rsidR="007D0A34">
        <w:t> </w:t>
      </w:r>
      <w:r w:rsidRPr="005550AC">
        <w:t>–</w:t>
      </w:r>
      <w:r w:rsidR="007D0A34">
        <w:t> </w:t>
      </w:r>
      <w:r w:rsidRPr="005550AC">
        <w:t>ES Emisiju tirdzniecības sistēma</w:t>
      </w:r>
    </w:p>
    <w:p w14:paraId="75785455" w14:textId="77777777" w:rsidR="004B7EBE" w:rsidRPr="005550AC" w:rsidRDefault="004B7EBE" w:rsidP="008820C0">
      <w:pPr>
        <w:spacing w:before="120" w:after="120"/>
        <w:ind w:firstLine="0"/>
        <w:jc w:val="left"/>
      </w:pPr>
      <w:r>
        <w:t>HES</w:t>
      </w:r>
      <w:r w:rsidR="007D0A34">
        <w:t> – </w:t>
      </w:r>
      <w:r>
        <w:t>hidroelektrostacija</w:t>
      </w:r>
    </w:p>
    <w:p w14:paraId="24483372" w14:textId="77777777" w:rsidR="001B43E6" w:rsidRPr="00026A16" w:rsidRDefault="00564BE4" w:rsidP="008820C0">
      <w:pPr>
        <w:spacing w:before="120" w:after="120"/>
        <w:ind w:firstLine="0"/>
        <w:jc w:val="left"/>
      </w:pPr>
      <w:r>
        <w:t>IKP</w:t>
      </w:r>
      <w:r w:rsidR="007D0A34">
        <w:t> </w:t>
      </w:r>
      <w:r w:rsidRPr="00026A16">
        <w:t>–</w:t>
      </w:r>
      <w:r w:rsidR="007D0A34">
        <w:t> </w:t>
      </w:r>
      <w:r w:rsidR="001B43E6" w:rsidRPr="00026A16">
        <w:t>iekšzemes kopprodukts</w:t>
      </w:r>
    </w:p>
    <w:p w14:paraId="00EA6BEB" w14:textId="77777777" w:rsidR="00F71C37" w:rsidRDefault="00F71C37" w:rsidP="008820C0">
      <w:pPr>
        <w:spacing w:before="120" w:after="120"/>
        <w:ind w:firstLine="0"/>
        <w:jc w:val="left"/>
        <w:rPr>
          <w:szCs w:val="24"/>
        </w:rPr>
      </w:pPr>
      <w:r>
        <w:rPr>
          <w:rFonts w:eastAsia="Calibri"/>
          <w:szCs w:val="24"/>
        </w:rPr>
        <w:t>IPCC</w:t>
      </w:r>
      <w:r w:rsidR="007D0A34">
        <w:t> – </w:t>
      </w:r>
      <w:r w:rsidRPr="00B105F1">
        <w:rPr>
          <w:rFonts w:eastAsia="Calibri"/>
          <w:szCs w:val="24"/>
        </w:rPr>
        <w:t xml:space="preserve">Klimata pārmaiņu starpvaldību padome </w:t>
      </w:r>
      <w:r w:rsidRPr="00B105F1">
        <w:rPr>
          <w:szCs w:val="24"/>
        </w:rPr>
        <w:t>(</w:t>
      </w:r>
      <w:r w:rsidRPr="00B105F1">
        <w:rPr>
          <w:i/>
          <w:szCs w:val="24"/>
        </w:rPr>
        <w:t>Intergovernmental Panel on Climate Change</w:t>
      </w:r>
      <w:r w:rsidRPr="00B105F1">
        <w:rPr>
          <w:szCs w:val="24"/>
        </w:rPr>
        <w:t>)</w:t>
      </w:r>
    </w:p>
    <w:p w14:paraId="3C3ABF22" w14:textId="77777777" w:rsidR="00E57FD2" w:rsidRDefault="00E57FD2" w:rsidP="008820C0">
      <w:pPr>
        <w:spacing w:before="120" w:after="120"/>
        <w:ind w:firstLine="0"/>
        <w:jc w:val="left"/>
        <w:rPr>
          <w:rFonts w:eastAsia="Calibri"/>
          <w:lang w:eastAsia="en-US"/>
        </w:rPr>
      </w:pPr>
      <w:r w:rsidRPr="00A46CC4">
        <w:rPr>
          <w:rFonts w:eastAsia="Calibri"/>
          <w:lang w:eastAsia="en-US"/>
        </w:rPr>
        <w:t>KEPS 2030</w:t>
      </w:r>
      <w:r w:rsidR="007D0A34">
        <w:t> – </w:t>
      </w:r>
      <w:r w:rsidRPr="00A46CC4">
        <w:rPr>
          <w:rFonts w:eastAsia="Calibri"/>
          <w:lang w:eastAsia="en-US"/>
        </w:rPr>
        <w:t>Klimata un enerģētikas politikas satvars laikposmam līdz 2030.</w:t>
      </w:r>
      <w:r w:rsidR="002314EF">
        <w:rPr>
          <w:rFonts w:eastAsia="Calibri"/>
          <w:lang w:eastAsia="en-US"/>
        </w:rPr>
        <w:t> </w:t>
      </w:r>
      <w:r w:rsidRPr="00A46CC4">
        <w:rPr>
          <w:rFonts w:eastAsia="Calibri"/>
          <w:lang w:eastAsia="en-US"/>
        </w:rPr>
        <w:t>gadam</w:t>
      </w:r>
    </w:p>
    <w:p w14:paraId="34C34E00" w14:textId="77777777" w:rsidR="00CB2B6D" w:rsidRDefault="00CB2B6D" w:rsidP="008820C0">
      <w:pPr>
        <w:spacing w:before="120" w:after="120"/>
        <w:ind w:firstLine="0"/>
        <w:jc w:val="left"/>
        <w:rPr>
          <w:rFonts w:eastAsia="Calibri"/>
          <w:lang w:eastAsia="en-US"/>
        </w:rPr>
      </w:pPr>
      <w:r w:rsidRPr="00A46CC4">
        <w:rPr>
          <w:rFonts w:eastAsia="Calibri"/>
          <w:lang w:eastAsia="en-US"/>
        </w:rPr>
        <w:t>Konvencija</w:t>
      </w:r>
      <w:r w:rsidR="002314EF">
        <w:t> – </w:t>
      </w:r>
      <w:r w:rsidRPr="005F2265">
        <w:rPr>
          <w:szCs w:val="24"/>
        </w:rPr>
        <w:t>ANO Vispārējā konvencija par klimata pārmaiņām (</w:t>
      </w:r>
      <w:r>
        <w:rPr>
          <w:szCs w:val="24"/>
        </w:rPr>
        <w:t xml:space="preserve">UNFCCC) </w:t>
      </w:r>
    </w:p>
    <w:p w14:paraId="4394225A" w14:textId="77777777" w:rsidR="00577D0E" w:rsidRDefault="00577D0E" w:rsidP="008820C0">
      <w:pPr>
        <w:spacing w:before="120" w:after="120"/>
        <w:ind w:firstLine="0"/>
        <w:jc w:val="left"/>
        <w:rPr>
          <w:color w:val="000000" w:themeColor="text1"/>
        </w:rPr>
      </w:pPr>
      <w:r w:rsidRPr="00A832E6">
        <w:rPr>
          <w:color w:val="000000" w:themeColor="text1"/>
        </w:rPr>
        <w:t>LIZ</w:t>
      </w:r>
      <w:r w:rsidR="002314EF">
        <w:t> – </w:t>
      </w:r>
      <w:r>
        <w:rPr>
          <w:color w:val="000000" w:themeColor="text1"/>
        </w:rPr>
        <w:t>l</w:t>
      </w:r>
      <w:r w:rsidRPr="00A832E6">
        <w:rPr>
          <w:color w:val="000000" w:themeColor="text1"/>
        </w:rPr>
        <w:t>a</w:t>
      </w:r>
      <w:r>
        <w:rPr>
          <w:color w:val="000000" w:themeColor="text1"/>
        </w:rPr>
        <w:t>uksaimniecībā izmantojamās zemes</w:t>
      </w:r>
    </w:p>
    <w:p w14:paraId="24F6B40F" w14:textId="77777777" w:rsidR="00CC0B90" w:rsidRDefault="00CC0B90" w:rsidP="008820C0">
      <w:pPr>
        <w:spacing w:before="120" w:after="120"/>
        <w:ind w:firstLine="0"/>
        <w:jc w:val="left"/>
        <w:rPr>
          <w:color w:val="000000" w:themeColor="text1"/>
        </w:rPr>
      </w:pPr>
      <w:r>
        <w:rPr>
          <w:color w:val="000000" w:themeColor="text1"/>
        </w:rPr>
        <w:t>MK</w:t>
      </w:r>
      <w:r w:rsidR="002314EF">
        <w:rPr>
          <w:color w:val="000000" w:themeColor="text1"/>
        </w:rPr>
        <w:t> </w:t>
      </w:r>
      <w:r>
        <w:rPr>
          <w:color w:val="000000" w:themeColor="text1"/>
        </w:rPr>
        <w:t>–</w:t>
      </w:r>
      <w:r w:rsidR="002314EF">
        <w:rPr>
          <w:color w:val="000000" w:themeColor="text1"/>
        </w:rPr>
        <w:t> </w:t>
      </w:r>
      <w:r w:rsidR="005550AC">
        <w:rPr>
          <w:color w:val="000000" w:themeColor="text1"/>
        </w:rPr>
        <w:t xml:space="preserve">Latvijas Republikas </w:t>
      </w:r>
      <w:r>
        <w:rPr>
          <w:color w:val="000000" w:themeColor="text1"/>
        </w:rPr>
        <w:t xml:space="preserve">Ministru </w:t>
      </w:r>
      <w:r w:rsidR="005550AC">
        <w:rPr>
          <w:color w:val="000000" w:themeColor="text1"/>
        </w:rPr>
        <w:t>kabinets</w:t>
      </w:r>
    </w:p>
    <w:p w14:paraId="2766635D" w14:textId="77777777" w:rsidR="00964CFF" w:rsidRDefault="00964CFF" w:rsidP="008820C0">
      <w:pPr>
        <w:spacing w:before="120" w:after="120"/>
        <w:ind w:firstLine="0"/>
        <w:jc w:val="left"/>
        <w:rPr>
          <w:rFonts w:eastAsia="Calibri"/>
          <w:lang w:eastAsia="en-US"/>
        </w:rPr>
      </w:pPr>
      <w:r>
        <w:rPr>
          <w:rFonts w:eastAsia="Calibri"/>
          <w:lang w:eastAsia="en-US"/>
        </w:rPr>
        <w:t>NACE</w:t>
      </w:r>
      <w:r w:rsidR="002314EF">
        <w:t> – </w:t>
      </w:r>
      <w:r w:rsidRPr="00964CFF">
        <w:rPr>
          <w:rFonts w:eastAsia="Calibri"/>
          <w:lang w:eastAsia="en-US"/>
        </w:rPr>
        <w:t>ES Saimniecisko darbību statistiskā klas</w:t>
      </w:r>
      <w:r>
        <w:rPr>
          <w:rFonts w:eastAsia="Calibri"/>
          <w:lang w:eastAsia="en-US"/>
        </w:rPr>
        <w:t xml:space="preserve">ifikācija </w:t>
      </w:r>
    </w:p>
    <w:p w14:paraId="1DFEBE4E" w14:textId="77777777" w:rsidR="00307537" w:rsidRDefault="00307537" w:rsidP="008820C0">
      <w:pPr>
        <w:spacing w:before="120" w:after="120"/>
        <w:ind w:firstLine="0"/>
        <w:jc w:val="left"/>
        <w:rPr>
          <w:rFonts w:eastAsia="Calibri"/>
          <w:lang w:eastAsia="en-US"/>
        </w:rPr>
      </w:pPr>
      <w:r>
        <w:t>NDC – nacionāli noteiktais devums (šeit: Parīzes nolīguma īstenošanai)</w:t>
      </w:r>
    </w:p>
    <w:p w14:paraId="50D76FCE" w14:textId="77777777" w:rsidR="00EB4D7C" w:rsidRPr="00026A16" w:rsidRDefault="00EB4D7C" w:rsidP="008820C0">
      <w:pPr>
        <w:spacing w:before="120" w:after="120"/>
        <w:ind w:firstLine="0"/>
        <w:jc w:val="left"/>
      </w:pPr>
      <w:r w:rsidRPr="00A46CC4">
        <w:t>OECD</w:t>
      </w:r>
      <w:r w:rsidR="002314EF">
        <w:t> – </w:t>
      </w:r>
      <w:r w:rsidRPr="00A46CC4">
        <w:t>Ekonomiskās sadarbības un attīstības organizācijas (</w:t>
      </w:r>
      <w:r w:rsidRPr="00E57FD2">
        <w:rPr>
          <w:i/>
        </w:rPr>
        <w:t>Organisation for Economic Co-operation and Development</w:t>
      </w:r>
      <w:r w:rsidRPr="00A46CC4">
        <w:t>)</w:t>
      </w:r>
    </w:p>
    <w:p w14:paraId="73E917E3" w14:textId="77777777" w:rsidR="001B43E6" w:rsidRDefault="001B43E6" w:rsidP="008820C0">
      <w:pPr>
        <w:spacing w:before="120" w:after="120"/>
        <w:ind w:firstLine="0"/>
        <w:jc w:val="left"/>
      </w:pPr>
      <w:r w:rsidRPr="00026A16">
        <w:t>OMA</w:t>
      </w:r>
      <w:r w:rsidR="002314EF">
        <w:t> </w:t>
      </w:r>
      <w:r w:rsidRPr="00026A16">
        <w:t>–</w:t>
      </w:r>
      <w:r w:rsidR="002314EF">
        <w:t> </w:t>
      </w:r>
      <w:r w:rsidRPr="00026A16">
        <w:t>oglekļa mazietilpīga attīstība</w:t>
      </w:r>
    </w:p>
    <w:p w14:paraId="50464870" w14:textId="77777777" w:rsidR="00E57FD2" w:rsidRDefault="00E57FD2" w:rsidP="008820C0">
      <w:pPr>
        <w:spacing w:before="120" w:after="120"/>
        <w:ind w:firstLine="0"/>
        <w:jc w:val="left"/>
      </w:pPr>
      <w:r>
        <w:t>SEG</w:t>
      </w:r>
      <w:r w:rsidR="002314EF">
        <w:t> </w:t>
      </w:r>
      <w:r>
        <w:t>–</w:t>
      </w:r>
      <w:r w:rsidR="002314EF">
        <w:t> </w:t>
      </w:r>
      <w:r>
        <w:t>siltumnīcefekta gāzes</w:t>
      </w:r>
    </w:p>
    <w:p w14:paraId="3355DCF6" w14:textId="3ED88564" w:rsidR="00E57FD2" w:rsidRPr="00026A16" w:rsidRDefault="00E57FD2" w:rsidP="008820C0">
      <w:pPr>
        <w:spacing w:before="120" w:after="120"/>
        <w:ind w:firstLine="0"/>
        <w:jc w:val="left"/>
      </w:pPr>
      <w:r>
        <w:t>Stratēģija</w:t>
      </w:r>
      <w:r w:rsidR="002314EF">
        <w:t xml:space="preserve"> </w:t>
      </w:r>
      <w:r>
        <w:t>–</w:t>
      </w:r>
      <w:r w:rsidR="002314EF">
        <w:t> </w:t>
      </w:r>
      <w:r w:rsidR="00993D07">
        <w:t>Latvijas stratēģija klimatneitralitātes sasniegšanai līdz 2050.</w:t>
      </w:r>
      <w:r w:rsidR="00A812D9">
        <w:t xml:space="preserve"> </w:t>
      </w:r>
      <w:r w:rsidR="00993D07">
        <w:t>gadam</w:t>
      </w:r>
    </w:p>
    <w:p w14:paraId="000A8EE8" w14:textId="77777777" w:rsidR="001B43E6" w:rsidRDefault="001B43E6" w:rsidP="008820C0">
      <w:pPr>
        <w:spacing w:before="120" w:after="120"/>
        <w:ind w:firstLine="0"/>
        <w:jc w:val="left"/>
      </w:pPr>
      <w:r w:rsidRPr="00026A16">
        <w:t>TEN-T</w:t>
      </w:r>
      <w:r w:rsidR="002314EF">
        <w:t> </w:t>
      </w:r>
      <w:r w:rsidRPr="00026A16">
        <w:t>–</w:t>
      </w:r>
      <w:r w:rsidR="002314EF">
        <w:t> </w:t>
      </w:r>
      <w:r w:rsidRPr="00026A16">
        <w:t>Transeiropas transporta tīkls</w:t>
      </w:r>
    </w:p>
    <w:p w14:paraId="3018FCF9" w14:textId="77777777" w:rsidR="00E57FD2" w:rsidRDefault="00E57FD2" w:rsidP="008820C0">
      <w:pPr>
        <w:spacing w:before="120" w:after="120"/>
        <w:ind w:firstLine="0"/>
        <w:jc w:val="left"/>
      </w:pPr>
      <w:r>
        <w:t>VARAM</w:t>
      </w:r>
      <w:r w:rsidR="002314EF">
        <w:t> </w:t>
      </w:r>
      <w:r>
        <w:t>–</w:t>
      </w:r>
      <w:r w:rsidR="002314EF">
        <w:t> </w:t>
      </w:r>
      <w:r>
        <w:t>Vides aizsardzības un reģionālās attīstības ministrija</w:t>
      </w:r>
    </w:p>
    <w:p w14:paraId="49ADBA1E" w14:textId="77777777" w:rsidR="004B7EBE" w:rsidRDefault="004B7EBE" w:rsidP="008820C0">
      <w:pPr>
        <w:spacing w:before="120" w:after="120"/>
        <w:ind w:firstLine="0"/>
        <w:jc w:val="left"/>
      </w:pPr>
      <w:r>
        <w:t>VES</w:t>
      </w:r>
      <w:r w:rsidR="002314EF">
        <w:t> </w:t>
      </w:r>
      <w:r>
        <w:t>–</w:t>
      </w:r>
      <w:r w:rsidR="002314EF">
        <w:t> </w:t>
      </w:r>
      <w:r>
        <w:t>vēja elektrostacija</w:t>
      </w:r>
    </w:p>
    <w:p w14:paraId="28C9FA53" w14:textId="77777777" w:rsidR="00E57FD2" w:rsidRDefault="00E57FD2" w:rsidP="008820C0">
      <w:pPr>
        <w:spacing w:before="120" w:after="120"/>
        <w:ind w:firstLine="0"/>
        <w:jc w:val="left"/>
      </w:pPr>
      <w:r>
        <w:t>ZIZIMM</w:t>
      </w:r>
      <w:r w:rsidR="002314EF">
        <w:t> </w:t>
      </w:r>
      <w:r>
        <w:t>–</w:t>
      </w:r>
      <w:r w:rsidR="002314EF">
        <w:t> </w:t>
      </w:r>
      <w:r>
        <w:t>zemes izmantošanas</w:t>
      </w:r>
      <w:r w:rsidR="00F27656">
        <w:t>,</w:t>
      </w:r>
      <w:r w:rsidR="006C5FCA">
        <w:t xml:space="preserve"> </w:t>
      </w:r>
      <w:r>
        <w:t xml:space="preserve">zemes izmantošanas maiņas </w:t>
      </w:r>
      <w:r w:rsidR="00F27656">
        <w:t xml:space="preserve">un mežsaimniecības </w:t>
      </w:r>
      <w:r>
        <w:t>sektors</w:t>
      </w:r>
    </w:p>
    <w:p w14:paraId="67950B6E" w14:textId="77777777" w:rsidR="001A3702" w:rsidRPr="001B43E6" w:rsidRDefault="0094109F" w:rsidP="008820C0">
      <w:pPr>
        <w:spacing w:before="120" w:after="120"/>
        <w:ind w:firstLine="0"/>
        <w:jc w:val="left"/>
        <w:rPr>
          <w:b/>
        </w:rPr>
      </w:pPr>
      <w:r>
        <w:t>ZPI - z</w:t>
      </w:r>
      <w:r w:rsidRPr="0094109F">
        <w:t>aļ</w:t>
      </w:r>
      <w:r>
        <w:t>ais</w:t>
      </w:r>
      <w:r w:rsidRPr="0094109F">
        <w:t xml:space="preserve"> publisk</w:t>
      </w:r>
      <w:r>
        <w:t>ais</w:t>
      </w:r>
      <w:r w:rsidRPr="0094109F">
        <w:t xml:space="preserve"> iepirkum</w:t>
      </w:r>
      <w:r>
        <w:t>s</w:t>
      </w:r>
      <w:r w:rsidR="001A3702" w:rsidRPr="001B43E6">
        <w:rPr>
          <w:b/>
        </w:rPr>
        <w:br w:type="page"/>
      </w:r>
    </w:p>
    <w:p w14:paraId="5BE46D86" w14:textId="77777777" w:rsidR="00B72B4F" w:rsidRPr="00B451B3" w:rsidRDefault="00B72B4F" w:rsidP="00B72B4F">
      <w:pPr>
        <w:pStyle w:val="Heading1"/>
        <w:numPr>
          <w:ilvl w:val="0"/>
          <w:numId w:val="0"/>
        </w:numPr>
        <w:spacing w:before="120" w:after="120"/>
        <w:ind w:left="142"/>
        <w:rPr>
          <w:szCs w:val="32"/>
        </w:rPr>
      </w:pPr>
      <w:bookmarkStart w:id="3" w:name="_Toc25580317"/>
      <w:r w:rsidRPr="00B451B3">
        <w:rPr>
          <w:szCs w:val="32"/>
        </w:rPr>
        <w:lastRenderedPageBreak/>
        <w:t>Ievads</w:t>
      </w:r>
      <w:bookmarkEnd w:id="3"/>
    </w:p>
    <w:p w14:paraId="654AA377" w14:textId="77777777" w:rsidR="006F7732" w:rsidRDefault="006F7732" w:rsidP="00327535">
      <w:pPr>
        <w:spacing w:before="120" w:after="120"/>
        <w:ind w:firstLine="720"/>
        <w:rPr>
          <w:rFonts w:eastAsia="Calibri"/>
          <w:color w:val="000000"/>
          <w:szCs w:val="24"/>
        </w:rPr>
      </w:pPr>
      <w:r w:rsidRPr="00A46CC4">
        <w:rPr>
          <w:szCs w:val="24"/>
        </w:rPr>
        <w:t>Stratēģija ir ilgtermiņa politikas plānošana</w:t>
      </w:r>
      <w:r>
        <w:rPr>
          <w:szCs w:val="24"/>
        </w:rPr>
        <w:t>s</w:t>
      </w:r>
      <w:r w:rsidRPr="00A46CC4">
        <w:rPr>
          <w:szCs w:val="24"/>
        </w:rPr>
        <w:t xml:space="preserve"> dokuments,</w:t>
      </w:r>
      <w:r>
        <w:rPr>
          <w:szCs w:val="24"/>
        </w:rPr>
        <w:t xml:space="preserve"> kas izstrādāts,</w:t>
      </w:r>
      <w:r w:rsidRPr="00A46CC4">
        <w:rPr>
          <w:szCs w:val="24"/>
        </w:rPr>
        <w:t xml:space="preserve"> </w:t>
      </w:r>
      <w:r>
        <w:rPr>
          <w:rFonts w:eastAsia="Calibri"/>
          <w:color w:val="000000"/>
          <w:szCs w:val="24"/>
        </w:rPr>
        <w:t xml:space="preserve">lai vienlaicīgi ar klimata pārmaiņu ierobežošanu un samazināšanu </w:t>
      </w:r>
      <w:r w:rsidR="00F27656">
        <w:rPr>
          <w:rFonts w:eastAsia="Calibri"/>
          <w:color w:val="000000"/>
          <w:szCs w:val="24"/>
        </w:rPr>
        <w:t xml:space="preserve">vairotu </w:t>
      </w:r>
      <w:r>
        <w:rPr>
          <w:rFonts w:eastAsia="Calibri"/>
          <w:color w:val="000000"/>
          <w:szCs w:val="24"/>
        </w:rPr>
        <w:t xml:space="preserve">Latvijas tautsaimniecības ekonomisko konkurētspēju, kā arī lai Latvijas iedzīvotājiem tiktu nodrošināta droša </w:t>
      </w:r>
      <w:r w:rsidR="00F27656">
        <w:rPr>
          <w:rFonts w:eastAsia="Calibri"/>
          <w:color w:val="000000"/>
          <w:szCs w:val="24"/>
        </w:rPr>
        <w:t>dzīves vide</w:t>
      </w:r>
      <w:r>
        <w:rPr>
          <w:rFonts w:eastAsia="Calibri"/>
          <w:color w:val="000000"/>
          <w:szCs w:val="24"/>
        </w:rPr>
        <w:t>.</w:t>
      </w:r>
    </w:p>
    <w:p w14:paraId="7B6DFABF" w14:textId="77777777" w:rsidR="006F7732" w:rsidRDefault="006F7732" w:rsidP="00327535">
      <w:pPr>
        <w:spacing w:before="120" w:after="120"/>
        <w:ind w:firstLine="720"/>
        <w:rPr>
          <w:rFonts w:eastAsia="Calibri"/>
          <w:color w:val="000000"/>
          <w:szCs w:val="24"/>
        </w:rPr>
      </w:pPr>
      <w:r>
        <w:rPr>
          <w:rFonts w:eastAsia="Calibri"/>
          <w:color w:val="000000"/>
          <w:szCs w:val="24"/>
        </w:rPr>
        <w:t xml:space="preserve">Tā kā </w:t>
      </w:r>
      <w:r w:rsidR="006D278A">
        <w:rPr>
          <w:rFonts w:eastAsia="Calibri"/>
          <w:color w:val="000000"/>
          <w:szCs w:val="24"/>
        </w:rPr>
        <w:t>OMA</w:t>
      </w:r>
      <w:r>
        <w:rPr>
          <w:rFonts w:eastAsia="Calibri"/>
          <w:color w:val="000000"/>
          <w:szCs w:val="24"/>
        </w:rPr>
        <w:t xml:space="preserve"> centieni vieno vairumu pasaules ietekmīgāko ekonomiku, s</w:t>
      </w:r>
      <w:r w:rsidRPr="00A46CC4">
        <w:rPr>
          <w:rFonts w:eastAsia="Calibri"/>
          <w:color w:val="000000"/>
          <w:szCs w:val="24"/>
        </w:rPr>
        <w:t xml:space="preserve">tarptautiski un ES līmenī </w:t>
      </w:r>
      <w:r>
        <w:rPr>
          <w:rFonts w:eastAsia="Calibri"/>
          <w:color w:val="000000"/>
          <w:szCs w:val="24"/>
        </w:rPr>
        <w:t>Stratēģija</w:t>
      </w:r>
      <w:r w:rsidRPr="00A46CC4">
        <w:rPr>
          <w:rFonts w:eastAsia="Calibri"/>
          <w:color w:val="000000"/>
          <w:szCs w:val="24"/>
        </w:rPr>
        <w:t>s izstrādi nosaka ANO Vispārējās konvencijas par klimata pārmaiņām</w:t>
      </w:r>
      <w:r w:rsidR="004F5223">
        <w:rPr>
          <w:rFonts w:eastAsia="Calibri"/>
          <w:color w:val="000000"/>
          <w:szCs w:val="24"/>
        </w:rPr>
        <w:t xml:space="preserve"> (</w:t>
      </w:r>
      <w:r w:rsidR="004F5223" w:rsidRPr="00A46CC4">
        <w:rPr>
          <w:rStyle w:val="st"/>
          <w:i/>
        </w:rPr>
        <w:t xml:space="preserve">The </w:t>
      </w:r>
      <w:r w:rsidR="004F5223" w:rsidRPr="00A46CC4">
        <w:rPr>
          <w:rStyle w:val="Emphasis"/>
        </w:rPr>
        <w:t>United Nations Framework Convention on Climate Change</w:t>
      </w:r>
      <w:r w:rsidR="004F5223">
        <w:t>, 1994) (turpmāk </w:t>
      </w:r>
      <w:r w:rsidR="004F5223" w:rsidRPr="00A46CC4">
        <w:t>–</w:t>
      </w:r>
      <w:r w:rsidR="004F5223">
        <w:t> </w:t>
      </w:r>
      <w:r w:rsidR="004F5223" w:rsidRPr="00A46CC4">
        <w:t>Konvencija)</w:t>
      </w:r>
      <w:r w:rsidRPr="00A46CC4">
        <w:rPr>
          <w:rFonts w:eastAsia="Calibri"/>
          <w:color w:val="000000"/>
          <w:szCs w:val="24"/>
        </w:rPr>
        <w:t xml:space="preserve"> Parīzes nolīgums un</w:t>
      </w:r>
      <w:r>
        <w:rPr>
          <w:rFonts w:eastAsia="Calibri"/>
          <w:color w:val="000000"/>
          <w:szCs w:val="24"/>
        </w:rPr>
        <w:t xml:space="preserve"> </w:t>
      </w:r>
      <w:r w:rsidR="00F27656">
        <w:rPr>
          <w:rFonts w:eastAsia="Calibri"/>
          <w:color w:val="000000"/>
          <w:szCs w:val="24"/>
        </w:rPr>
        <w:t>2018.</w:t>
      </w:r>
      <w:r w:rsidR="006D278A">
        <w:rPr>
          <w:rFonts w:eastAsia="Calibri"/>
          <w:color w:val="000000"/>
          <w:szCs w:val="24"/>
        </w:rPr>
        <w:t> </w:t>
      </w:r>
      <w:r w:rsidR="00F27656">
        <w:rPr>
          <w:rFonts w:eastAsia="Calibri"/>
          <w:color w:val="000000"/>
          <w:szCs w:val="24"/>
        </w:rPr>
        <w:t>gada 11.</w:t>
      </w:r>
      <w:r w:rsidR="006D278A">
        <w:rPr>
          <w:rFonts w:eastAsia="Calibri"/>
          <w:color w:val="000000"/>
          <w:szCs w:val="24"/>
        </w:rPr>
        <w:t> </w:t>
      </w:r>
      <w:r w:rsidR="00F27656">
        <w:rPr>
          <w:rFonts w:eastAsia="Calibri"/>
          <w:color w:val="000000"/>
          <w:szCs w:val="24"/>
        </w:rPr>
        <w:t xml:space="preserve">decembra Eiropas Parlamenta un Padomes </w:t>
      </w:r>
      <w:r w:rsidRPr="001E4213">
        <w:rPr>
          <w:iCs/>
        </w:rPr>
        <w:t>Regula 2018/1</w:t>
      </w:r>
      <w:r>
        <w:rPr>
          <w:iCs/>
        </w:rPr>
        <w:t>999</w:t>
      </w:r>
      <w:r w:rsidRPr="00A46CC4">
        <w:rPr>
          <w:rStyle w:val="FootnoteReference"/>
          <w:rFonts w:eastAsia="Calibri"/>
          <w:color w:val="000000"/>
          <w:szCs w:val="24"/>
        </w:rPr>
        <w:footnoteReference w:id="3"/>
      </w:r>
      <w:r>
        <w:rPr>
          <w:iCs/>
        </w:rPr>
        <w:t xml:space="preserve"> </w:t>
      </w:r>
      <w:r w:rsidRPr="001E4213">
        <w:rPr>
          <w:iCs/>
        </w:rPr>
        <w:t>par enerģētikas savienības un rīcības klimata politikas jomā pārvaldību</w:t>
      </w:r>
      <w:r>
        <w:rPr>
          <w:iCs/>
        </w:rPr>
        <w:t>, savukārt, nacionālā līmenī</w:t>
      </w:r>
      <w:r w:rsidR="006D278A">
        <w:rPr>
          <w:iCs/>
        </w:rPr>
        <w:t> </w:t>
      </w:r>
      <w:r w:rsidR="006D278A" w:rsidRPr="00A46CC4">
        <w:rPr>
          <w:rFonts w:eastAsia="Calibri"/>
          <w:color w:val="000000"/>
          <w:szCs w:val="24"/>
        </w:rPr>
        <w:t>–</w:t>
      </w:r>
      <w:r w:rsidR="006D278A">
        <w:rPr>
          <w:rFonts w:eastAsia="Calibri"/>
          <w:color w:val="000000"/>
          <w:szCs w:val="24"/>
        </w:rPr>
        <w:t> </w:t>
      </w:r>
      <w:r w:rsidRPr="009078AD">
        <w:t xml:space="preserve">deklarācija </w:t>
      </w:r>
      <w:r w:rsidRPr="009078AD">
        <w:rPr>
          <w:i/>
        </w:rPr>
        <w:t>Par Artura Krišjāņa Kariņa vadītā Ministru kabineta iecerēto darbību</w:t>
      </w:r>
      <w:r w:rsidRPr="00E008BC">
        <w:rPr>
          <w:rStyle w:val="FootnoteReference"/>
        </w:rPr>
        <w:footnoteReference w:id="4"/>
      </w:r>
      <w:r w:rsidRPr="006D278A">
        <w:rPr>
          <w:iCs/>
        </w:rPr>
        <w:t>.</w:t>
      </w:r>
    </w:p>
    <w:p w14:paraId="45396E84" w14:textId="77777777" w:rsidR="006F7732" w:rsidRDefault="006F7732" w:rsidP="006F7732">
      <w:pPr>
        <w:spacing w:before="120" w:after="120"/>
        <w:rPr>
          <w:rFonts w:eastAsia="Calibri"/>
          <w:color w:val="000000"/>
          <w:szCs w:val="24"/>
        </w:rPr>
      </w:pPr>
      <w:r>
        <w:rPr>
          <w:rFonts w:eastAsia="Calibri"/>
          <w:color w:val="000000"/>
          <w:szCs w:val="24"/>
        </w:rPr>
        <w:t xml:space="preserve">Starptautiskās </w:t>
      </w:r>
      <w:r w:rsidRPr="00327535">
        <w:rPr>
          <w:szCs w:val="24"/>
        </w:rPr>
        <w:t>p</w:t>
      </w:r>
      <w:r>
        <w:rPr>
          <w:rFonts w:eastAsia="Calibri"/>
          <w:color w:val="000000"/>
          <w:szCs w:val="24"/>
        </w:rPr>
        <w:t>olitikas kontekstā Stratēģija izstrādāta, lai</w:t>
      </w:r>
      <w:r w:rsidRPr="00522FC4">
        <w:rPr>
          <w:rFonts w:eastAsia="Calibri"/>
          <w:color w:val="000000"/>
          <w:szCs w:val="24"/>
        </w:rPr>
        <w:t xml:space="preserve"> </w:t>
      </w:r>
      <w:r>
        <w:rPr>
          <w:rFonts w:eastAsia="Calibri"/>
          <w:color w:val="000000"/>
          <w:szCs w:val="24"/>
        </w:rPr>
        <w:t>veicinātu:</w:t>
      </w:r>
    </w:p>
    <w:p w14:paraId="4751A4FB" w14:textId="77777777" w:rsidR="006F7732" w:rsidRPr="00522FC4" w:rsidRDefault="006F7732" w:rsidP="0031388F">
      <w:pPr>
        <w:pStyle w:val="ListParagraph"/>
        <w:numPr>
          <w:ilvl w:val="0"/>
          <w:numId w:val="4"/>
        </w:numPr>
        <w:spacing w:after="120"/>
        <w:ind w:left="1281" w:hanging="357"/>
        <w:rPr>
          <w:rFonts w:eastAsia="Calibri"/>
          <w:color w:val="000000"/>
          <w:szCs w:val="24"/>
        </w:rPr>
      </w:pPr>
      <w:r w:rsidRPr="00522FC4">
        <w:rPr>
          <w:rFonts w:eastAsia="Calibri"/>
          <w:color w:val="000000"/>
          <w:szCs w:val="24"/>
        </w:rPr>
        <w:t xml:space="preserve">SEG emisiju samazināšanas saistību izpildi </w:t>
      </w:r>
      <w:r w:rsidR="00F27656">
        <w:rPr>
          <w:rFonts w:eastAsia="Calibri"/>
          <w:color w:val="000000"/>
          <w:szCs w:val="24"/>
        </w:rPr>
        <w:t>saskaņā ar Parīzes nolīgumu</w:t>
      </w:r>
      <w:r w:rsidRPr="00522FC4">
        <w:rPr>
          <w:rFonts w:eastAsia="Calibri"/>
          <w:color w:val="000000"/>
          <w:szCs w:val="24"/>
        </w:rPr>
        <w:t xml:space="preserve"> izmaksu ziņā efektīvā</w:t>
      </w:r>
      <w:r>
        <w:rPr>
          <w:rFonts w:eastAsia="Calibri"/>
          <w:color w:val="000000"/>
          <w:szCs w:val="24"/>
        </w:rPr>
        <w:t xml:space="preserve"> veidā</w:t>
      </w:r>
      <w:r w:rsidRPr="00522FC4">
        <w:rPr>
          <w:rFonts w:eastAsia="Calibri"/>
          <w:color w:val="000000"/>
          <w:szCs w:val="24"/>
        </w:rPr>
        <w:t>;</w:t>
      </w:r>
    </w:p>
    <w:p w14:paraId="223301A9" w14:textId="77777777" w:rsidR="006F7732" w:rsidRPr="00522FC4" w:rsidRDefault="006F7732" w:rsidP="0031388F">
      <w:pPr>
        <w:pStyle w:val="ListParagraph"/>
        <w:numPr>
          <w:ilvl w:val="0"/>
          <w:numId w:val="4"/>
        </w:numPr>
        <w:spacing w:before="120" w:after="120"/>
        <w:rPr>
          <w:rFonts w:eastAsia="Calibri"/>
          <w:color w:val="000000"/>
          <w:szCs w:val="24"/>
        </w:rPr>
      </w:pPr>
      <w:r w:rsidRPr="00522FC4">
        <w:rPr>
          <w:rFonts w:eastAsia="Calibri"/>
          <w:color w:val="000000"/>
          <w:szCs w:val="24"/>
        </w:rPr>
        <w:t xml:space="preserve">pārraudzību attiecībā uz faktisko un prognozēto progresu </w:t>
      </w:r>
      <w:r w:rsidRPr="00522FC4">
        <w:rPr>
          <w:szCs w:val="24"/>
        </w:rPr>
        <w:t>SEG emisiju</w:t>
      </w:r>
      <w:r w:rsidRPr="00A46CC4">
        <w:rPr>
          <w:rStyle w:val="FootnoteReference"/>
          <w:szCs w:val="24"/>
        </w:rPr>
        <w:footnoteReference w:id="5"/>
      </w:r>
      <w:r w:rsidRPr="00522FC4">
        <w:rPr>
          <w:szCs w:val="24"/>
        </w:rPr>
        <w:t xml:space="preserve"> samazināšanai</w:t>
      </w:r>
      <w:r w:rsidRPr="00522FC4">
        <w:rPr>
          <w:rFonts w:eastAsia="Calibri"/>
          <w:color w:val="000000"/>
          <w:szCs w:val="24"/>
        </w:rPr>
        <w:t>.</w:t>
      </w:r>
    </w:p>
    <w:p w14:paraId="19D36705" w14:textId="77777777" w:rsidR="006F7732" w:rsidRPr="006F7732" w:rsidRDefault="006F7732" w:rsidP="00327535">
      <w:pPr>
        <w:spacing w:before="120" w:after="120"/>
        <w:ind w:firstLine="720"/>
        <w:rPr>
          <w:rFonts w:eastAsia="Calibri"/>
          <w:bCs/>
          <w:szCs w:val="24"/>
        </w:rPr>
      </w:pPr>
      <w:r>
        <w:rPr>
          <w:rFonts w:eastAsia="Calibri"/>
          <w:bCs/>
          <w:szCs w:val="24"/>
        </w:rPr>
        <w:t xml:space="preserve">Stratēģijas izstrāde nepieciešama arī tādēļ, ka Latvijas nacionāla līmeņa politikas plānošanas dokumentos </w:t>
      </w:r>
      <w:r w:rsidRPr="00A46CC4">
        <w:rPr>
          <w:rFonts w:eastAsia="Calibri"/>
          <w:bCs/>
          <w:szCs w:val="24"/>
        </w:rPr>
        <w:t xml:space="preserve">nav izstrādāti </w:t>
      </w:r>
      <w:r w:rsidR="004F5223">
        <w:rPr>
          <w:rFonts w:eastAsia="Calibri"/>
          <w:bCs/>
          <w:szCs w:val="24"/>
        </w:rPr>
        <w:t>OMA</w:t>
      </w:r>
      <w:r w:rsidRPr="00A46CC4">
        <w:rPr>
          <w:rFonts w:eastAsia="Calibri"/>
          <w:bCs/>
          <w:szCs w:val="24"/>
        </w:rPr>
        <w:t xml:space="preserve"> virzieni</w:t>
      </w:r>
      <w:r>
        <w:rPr>
          <w:rFonts w:eastAsia="Calibri"/>
          <w:bCs/>
          <w:szCs w:val="24"/>
        </w:rPr>
        <w:t xml:space="preserve">, kā arī trūkst </w:t>
      </w:r>
      <w:r w:rsidRPr="00A46CC4">
        <w:rPr>
          <w:rFonts w:eastAsia="Calibri"/>
          <w:bCs/>
          <w:szCs w:val="24"/>
        </w:rPr>
        <w:t>vienotas rīcībpolitikas SEG emisij</w:t>
      </w:r>
      <w:r>
        <w:rPr>
          <w:rFonts w:eastAsia="Calibri"/>
          <w:bCs/>
          <w:szCs w:val="24"/>
        </w:rPr>
        <w:t>u ierobežošanai.</w:t>
      </w:r>
    </w:p>
    <w:p w14:paraId="5E23EE40" w14:textId="02F1B0A0" w:rsidR="000D0072" w:rsidRPr="008C5987" w:rsidRDefault="00AF2FD4" w:rsidP="00327535">
      <w:pPr>
        <w:spacing w:before="120" w:after="120"/>
        <w:ind w:firstLine="720"/>
      </w:pPr>
      <w:r w:rsidRPr="00A46CC4">
        <w:t xml:space="preserve">Vēsturiski </w:t>
      </w:r>
      <w:r w:rsidR="000F0313">
        <w:t>18.</w:t>
      </w:r>
      <w:r w:rsidR="00A812D9">
        <w:t xml:space="preserve"> </w:t>
      </w:r>
      <w:r w:rsidR="000F0313">
        <w:t>gs. 50.</w:t>
      </w:r>
      <w:r w:rsidR="00A812D9">
        <w:t xml:space="preserve"> </w:t>
      </w:r>
      <w:r w:rsidRPr="00A46CC4">
        <w:t xml:space="preserve">gadu vidū, strauji attīstoties rūpniecībai un </w:t>
      </w:r>
      <w:r w:rsidR="00FF73C1" w:rsidRPr="00A46CC4">
        <w:t xml:space="preserve">būtiski palielinoties </w:t>
      </w:r>
      <w:r w:rsidRPr="00A46CC4">
        <w:t xml:space="preserve">ogļu patēriņam, </w:t>
      </w:r>
      <w:r w:rsidRPr="00B761CA">
        <w:rPr>
          <w:szCs w:val="24"/>
        </w:rPr>
        <w:t>dramatiski</w:t>
      </w:r>
      <w:r w:rsidRPr="00A46CC4">
        <w:t xml:space="preserve"> sāka pieaugt cilvēku darbības radītais atmosfēras piesārņojums un arī SEG</w:t>
      </w:r>
      <w:r w:rsidR="009919B6" w:rsidRPr="00A46CC4">
        <w:t xml:space="preserve"> emisijas</w:t>
      </w:r>
      <w:r w:rsidRPr="00A46CC4">
        <w:t xml:space="preserve">, īpaši </w:t>
      </w:r>
      <w:r w:rsidR="004F5223">
        <w:t>oglekļa dioksīds</w:t>
      </w:r>
      <w:r w:rsidRPr="00A46CC4">
        <w:t>, pastiprinot siltumnīcas efektu</w:t>
      </w:r>
      <w:r w:rsidR="00CD4146">
        <w:t>.</w:t>
      </w:r>
      <w:r w:rsidR="00AB2702">
        <w:rPr>
          <w:szCs w:val="24"/>
        </w:rPr>
        <w:t xml:space="preserve"> </w:t>
      </w:r>
    </w:p>
    <w:p w14:paraId="2377F960" w14:textId="0D119A9B" w:rsidR="00AF2FD4" w:rsidRDefault="00AF560C" w:rsidP="00327535">
      <w:pPr>
        <w:spacing w:before="120" w:after="120"/>
        <w:ind w:firstLine="720"/>
        <w:rPr>
          <w:rStyle w:val="Corpsdutexte"/>
          <w:sz w:val="24"/>
          <w:szCs w:val="24"/>
        </w:rPr>
      </w:pPr>
      <w:r w:rsidRPr="00A46CC4">
        <w:t>201</w:t>
      </w:r>
      <w:r>
        <w:t>8</w:t>
      </w:r>
      <w:r w:rsidR="00AF2FD4" w:rsidRPr="00A46CC4">
        <w:t>.</w:t>
      </w:r>
      <w:r w:rsidR="004F5223">
        <w:t> </w:t>
      </w:r>
      <w:r w:rsidRPr="00A46CC4">
        <w:t>gad</w:t>
      </w:r>
      <w:r>
        <w:t>ā</w:t>
      </w:r>
      <w:r w:rsidR="00AF2FD4" w:rsidRPr="00A46CC4">
        <w:t xml:space="preserve">, salīdzinot ar </w:t>
      </w:r>
      <w:r w:rsidR="000F0313">
        <w:t>19.</w:t>
      </w:r>
      <w:r w:rsidR="00A812D9">
        <w:t xml:space="preserve"> </w:t>
      </w:r>
      <w:r w:rsidR="000F0313">
        <w:t>gs. 80.</w:t>
      </w:r>
      <w:r w:rsidR="00AF2FD4" w:rsidRPr="00A46CC4">
        <w:t xml:space="preserve"> gadiem, globālās vidējās gaisa temperatūras pieaugums bija </w:t>
      </w:r>
      <w:r>
        <w:t>1</w:t>
      </w:r>
      <w:r w:rsidR="00AF2FD4" w:rsidRPr="00A46CC4">
        <w:t>,</w:t>
      </w:r>
      <w:r>
        <w:t>1</w:t>
      </w:r>
      <w:r w:rsidR="00AF2FD4" w:rsidRPr="00A46CC4">
        <w:rPr>
          <w:rStyle w:val="Corpsdutexte"/>
          <w:sz w:val="24"/>
          <w:szCs w:val="24"/>
        </w:rPr>
        <w:t>°C</w:t>
      </w:r>
      <w:r>
        <w:rPr>
          <w:rStyle w:val="FootnoteReference"/>
          <w:szCs w:val="24"/>
          <w:shd w:val="clear" w:color="auto" w:fill="FFFFFF"/>
        </w:rPr>
        <w:footnoteReference w:id="6"/>
      </w:r>
      <w:r w:rsidR="00AF2FD4" w:rsidRPr="00A46CC4">
        <w:rPr>
          <w:rStyle w:val="Corpsdutexte"/>
          <w:sz w:val="24"/>
          <w:szCs w:val="24"/>
        </w:rPr>
        <w:t xml:space="preserve">, bet </w:t>
      </w:r>
      <w:r w:rsidR="00AF2FD4" w:rsidRPr="00327535">
        <w:t>Latvijā</w:t>
      </w:r>
      <w:r w:rsidR="00AF2FD4" w:rsidRPr="00E53A78">
        <w:rPr>
          <w:rStyle w:val="Corpsdutexte"/>
          <w:sz w:val="24"/>
          <w:szCs w:val="24"/>
        </w:rPr>
        <w:t xml:space="preserve"> šis palielinājums bijis daudz būtiskāks</w:t>
      </w:r>
      <w:r w:rsidR="004F5223">
        <w:rPr>
          <w:rStyle w:val="Corpsdutexte"/>
          <w:sz w:val="24"/>
          <w:szCs w:val="24"/>
        </w:rPr>
        <w:t> </w:t>
      </w:r>
      <w:r w:rsidR="009919B6" w:rsidRPr="00E53A78">
        <w:rPr>
          <w:rStyle w:val="Corpsdutexte"/>
          <w:sz w:val="24"/>
          <w:szCs w:val="24"/>
        </w:rPr>
        <w:t>–</w:t>
      </w:r>
      <w:r w:rsidR="004F5223">
        <w:rPr>
          <w:rStyle w:val="Corpsdutexte"/>
          <w:sz w:val="24"/>
          <w:szCs w:val="24"/>
        </w:rPr>
        <w:t> </w:t>
      </w:r>
      <w:r w:rsidR="00AF2FD4" w:rsidRPr="00E53A78">
        <w:rPr>
          <w:rStyle w:val="Corpsdutexte"/>
          <w:sz w:val="24"/>
          <w:szCs w:val="24"/>
        </w:rPr>
        <w:t xml:space="preserve">1,5°C. </w:t>
      </w:r>
      <w:r w:rsidR="00AF2FD4" w:rsidRPr="00A46CC4">
        <w:rPr>
          <w:rStyle w:val="Corpsdutexte"/>
          <w:sz w:val="24"/>
          <w:szCs w:val="24"/>
        </w:rPr>
        <w:t>Mūsdienās nepārtraukti tiek pārspēti līdzšinējie rekordi gan vidējās un maksim</w:t>
      </w:r>
      <w:r w:rsidR="00265C23" w:rsidRPr="00A46CC4">
        <w:rPr>
          <w:rStyle w:val="Corpsdutexte"/>
          <w:sz w:val="24"/>
          <w:szCs w:val="24"/>
        </w:rPr>
        <w:t>ālās temperatūras</w:t>
      </w:r>
      <w:r w:rsidR="00AF2FD4" w:rsidRPr="00A46CC4">
        <w:rPr>
          <w:rStyle w:val="Corpsdutexte"/>
          <w:sz w:val="24"/>
          <w:szCs w:val="24"/>
        </w:rPr>
        <w:t>, gan nokrišņu, vētru skaita</w:t>
      </w:r>
      <w:r w:rsidR="009919B6" w:rsidRPr="00A46CC4">
        <w:rPr>
          <w:rStyle w:val="Corpsdutexte"/>
          <w:sz w:val="24"/>
          <w:szCs w:val="24"/>
        </w:rPr>
        <w:t xml:space="preserve"> un stipruma</w:t>
      </w:r>
      <w:r w:rsidR="00AF2FD4" w:rsidRPr="00A46CC4">
        <w:rPr>
          <w:rStyle w:val="Corpsdutexte"/>
          <w:sz w:val="24"/>
          <w:szCs w:val="24"/>
        </w:rPr>
        <w:t xml:space="preserve"> u</w:t>
      </w:r>
      <w:r w:rsidR="007159FA" w:rsidRPr="00A46CC4">
        <w:rPr>
          <w:rStyle w:val="Corpsdutexte"/>
          <w:sz w:val="24"/>
          <w:szCs w:val="24"/>
        </w:rPr>
        <w:t>n</w:t>
      </w:r>
      <w:r w:rsidR="008E3219" w:rsidRPr="00A46CC4">
        <w:rPr>
          <w:rStyle w:val="Corpsdutexte"/>
          <w:sz w:val="24"/>
          <w:szCs w:val="24"/>
        </w:rPr>
        <w:t xml:space="preserve"> </w:t>
      </w:r>
      <w:r w:rsidR="00AF2FD4" w:rsidRPr="00A46CC4">
        <w:rPr>
          <w:rStyle w:val="Corpsdutexte"/>
          <w:sz w:val="24"/>
          <w:szCs w:val="24"/>
        </w:rPr>
        <w:t>c</w:t>
      </w:r>
      <w:r w:rsidR="007159FA" w:rsidRPr="00A46CC4">
        <w:rPr>
          <w:rStyle w:val="Corpsdutexte"/>
          <w:sz w:val="24"/>
          <w:szCs w:val="24"/>
        </w:rPr>
        <w:t xml:space="preserve">itu parametru </w:t>
      </w:r>
      <w:r w:rsidR="00AF2FD4" w:rsidRPr="00A46CC4">
        <w:rPr>
          <w:rStyle w:val="Corpsdutexte"/>
          <w:sz w:val="24"/>
          <w:szCs w:val="24"/>
        </w:rPr>
        <w:t xml:space="preserve">ziņā. </w:t>
      </w:r>
      <w:r w:rsidR="009919B6" w:rsidRPr="00A46CC4">
        <w:t>CO</w:t>
      </w:r>
      <w:r w:rsidR="009919B6" w:rsidRPr="00A46CC4">
        <w:rPr>
          <w:vertAlign w:val="subscript"/>
        </w:rPr>
        <w:t>2</w:t>
      </w:r>
      <w:r w:rsidR="00AF2FD4" w:rsidRPr="00A46CC4">
        <w:rPr>
          <w:rStyle w:val="Corpsdutexte"/>
          <w:sz w:val="24"/>
          <w:szCs w:val="24"/>
        </w:rPr>
        <w:t xml:space="preserve"> koncentrācija,</w:t>
      </w:r>
      <w:r w:rsidR="00FF73C1" w:rsidRPr="00A46CC4">
        <w:rPr>
          <w:rStyle w:val="Corpsdutexte"/>
          <w:sz w:val="24"/>
          <w:szCs w:val="24"/>
        </w:rPr>
        <w:t xml:space="preserve"> </w:t>
      </w:r>
      <w:r w:rsidR="009919B6" w:rsidRPr="00A46CC4">
        <w:rPr>
          <w:rStyle w:val="Corpsdutexte"/>
          <w:sz w:val="24"/>
          <w:szCs w:val="24"/>
        </w:rPr>
        <w:t xml:space="preserve">kas </w:t>
      </w:r>
      <w:r w:rsidR="00FF73C1" w:rsidRPr="00A46CC4">
        <w:rPr>
          <w:rStyle w:val="Corpsdutexte"/>
          <w:sz w:val="24"/>
          <w:szCs w:val="24"/>
        </w:rPr>
        <w:t>ir</w:t>
      </w:r>
      <w:r w:rsidR="00AF2FD4" w:rsidRPr="00A46CC4">
        <w:rPr>
          <w:rStyle w:val="Corpsdutexte"/>
          <w:sz w:val="24"/>
          <w:szCs w:val="24"/>
        </w:rPr>
        <w:t xml:space="preserve"> cieši saistīta ar vidējās gaisa temperatūras paaugstināšanos,</w:t>
      </w:r>
      <w:r w:rsidR="00AF2FD4" w:rsidRPr="00AC04A9" w:rsidDel="00861C2E">
        <w:rPr>
          <w:rStyle w:val="Corpsdutexte"/>
          <w:color w:val="FF0000"/>
          <w:sz w:val="24"/>
          <w:szCs w:val="24"/>
        </w:rPr>
        <w:t xml:space="preserve"> </w:t>
      </w:r>
      <w:r w:rsidR="00AF2FD4" w:rsidRPr="00796B56">
        <w:rPr>
          <w:rStyle w:val="Corpsdutexte"/>
          <w:sz w:val="24"/>
          <w:szCs w:val="24"/>
        </w:rPr>
        <w:t>turpina pieaugt, un 201</w:t>
      </w:r>
      <w:r w:rsidR="00796B56" w:rsidRPr="00796B56">
        <w:rPr>
          <w:rStyle w:val="Corpsdutexte"/>
          <w:sz w:val="24"/>
          <w:szCs w:val="24"/>
        </w:rPr>
        <w:t>9</w:t>
      </w:r>
      <w:r w:rsidR="00AF2FD4" w:rsidRPr="00796B56">
        <w:rPr>
          <w:rStyle w:val="Corpsdutexte"/>
          <w:sz w:val="24"/>
          <w:szCs w:val="24"/>
        </w:rPr>
        <w:t>.</w:t>
      </w:r>
      <w:r w:rsidR="004F5223">
        <w:rPr>
          <w:rStyle w:val="Corpsdutexte"/>
          <w:sz w:val="24"/>
          <w:szCs w:val="24"/>
        </w:rPr>
        <w:t> </w:t>
      </w:r>
      <w:r w:rsidR="00AF2FD4" w:rsidRPr="00796B56">
        <w:rPr>
          <w:rStyle w:val="Corpsdutexte"/>
          <w:sz w:val="24"/>
          <w:szCs w:val="24"/>
        </w:rPr>
        <w:t xml:space="preserve">gada </w:t>
      </w:r>
      <w:r w:rsidR="00001FCC">
        <w:rPr>
          <w:rStyle w:val="Corpsdutexte"/>
          <w:sz w:val="24"/>
          <w:szCs w:val="24"/>
        </w:rPr>
        <w:t>jūnijā</w:t>
      </w:r>
      <w:r w:rsidR="00AF2FD4" w:rsidRPr="00796B56">
        <w:rPr>
          <w:rStyle w:val="Corpsdutexte"/>
          <w:sz w:val="24"/>
          <w:szCs w:val="24"/>
        </w:rPr>
        <w:t xml:space="preserve"> sasniedza</w:t>
      </w:r>
      <w:r w:rsidR="00FF73C1" w:rsidRPr="00796B56">
        <w:rPr>
          <w:rStyle w:val="Corpsdutexte"/>
          <w:sz w:val="24"/>
          <w:szCs w:val="24"/>
        </w:rPr>
        <w:t xml:space="preserve"> jau</w:t>
      </w:r>
      <w:r w:rsidR="00AF2FD4" w:rsidRPr="00796B56">
        <w:rPr>
          <w:rStyle w:val="Corpsdutexte"/>
          <w:sz w:val="24"/>
          <w:szCs w:val="24"/>
        </w:rPr>
        <w:t xml:space="preserve"> </w:t>
      </w:r>
      <w:r w:rsidR="00001FCC">
        <w:rPr>
          <w:rStyle w:val="Corpsdutexte"/>
          <w:sz w:val="24"/>
          <w:szCs w:val="24"/>
        </w:rPr>
        <w:t>412</w:t>
      </w:r>
      <w:r w:rsidR="00796B56" w:rsidRPr="00796B56">
        <w:rPr>
          <w:rStyle w:val="Corpsdutexte"/>
          <w:sz w:val="24"/>
          <w:szCs w:val="24"/>
        </w:rPr>
        <w:t xml:space="preserve"> </w:t>
      </w:r>
      <w:r w:rsidR="00AF2FD4" w:rsidRPr="00796B56">
        <w:rPr>
          <w:rStyle w:val="Corpsdutexte"/>
          <w:sz w:val="24"/>
          <w:szCs w:val="24"/>
        </w:rPr>
        <w:t>ppm</w:t>
      </w:r>
      <w:r w:rsidR="00AF2FD4" w:rsidRPr="00796B56">
        <w:rPr>
          <w:rStyle w:val="FootnoteReference"/>
          <w:szCs w:val="24"/>
          <w:shd w:val="clear" w:color="auto" w:fill="FFFFFF"/>
        </w:rPr>
        <w:footnoteReference w:id="7"/>
      </w:r>
      <w:r w:rsidR="00AF2FD4" w:rsidRPr="00796B56">
        <w:rPr>
          <w:rStyle w:val="Corpsdutexte"/>
          <w:sz w:val="24"/>
          <w:szCs w:val="24"/>
        </w:rPr>
        <w:t>.</w:t>
      </w:r>
    </w:p>
    <w:p w14:paraId="4CA68F79" w14:textId="77777777" w:rsidR="00D8690A" w:rsidRPr="00D6619E" w:rsidRDefault="00D8690A" w:rsidP="00327535">
      <w:pPr>
        <w:spacing w:before="120" w:after="120"/>
        <w:ind w:firstLine="720"/>
        <w:rPr>
          <w:szCs w:val="24"/>
          <w:shd w:val="clear" w:color="auto" w:fill="FFFFFF"/>
        </w:rPr>
      </w:pPr>
      <w:r>
        <w:t xml:space="preserve">Starptautiski klimata pārmaiņu politikas pamatnosacījumi ir aptverti </w:t>
      </w:r>
      <w:r w:rsidRPr="00A46CC4">
        <w:t>Konvencij</w:t>
      </w:r>
      <w:r w:rsidR="00B87E6B">
        <w:t>ā</w:t>
      </w:r>
      <w:r>
        <w:t xml:space="preserve">. </w:t>
      </w:r>
      <w:r w:rsidRPr="00A46CC4">
        <w:t>2015.</w:t>
      </w:r>
      <w:r w:rsidR="00B87E6B">
        <w:t> </w:t>
      </w:r>
      <w:r w:rsidRPr="00A46CC4">
        <w:t xml:space="preserve">gada decembrī Parīzē visu </w:t>
      </w:r>
      <w:r w:rsidR="00F27656">
        <w:t>Konvencijas</w:t>
      </w:r>
      <w:r w:rsidR="00F27656" w:rsidRPr="00A46CC4">
        <w:t xml:space="preserve"> </w:t>
      </w:r>
      <w:r w:rsidRPr="00A46CC4">
        <w:t xml:space="preserve">Līgumslēdzējpušu konferencē </w:t>
      </w:r>
      <w:r>
        <w:t xml:space="preserve">tika pieņemts būtisks jauns </w:t>
      </w:r>
      <w:r w:rsidRPr="00A46CC4">
        <w:t>ilgtermiņa dokuments</w:t>
      </w:r>
      <w:r w:rsidR="00B87E6B">
        <w:t> </w:t>
      </w:r>
      <w:r w:rsidRPr="00A46CC4">
        <w:t>–</w:t>
      </w:r>
      <w:r w:rsidR="00B87E6B">
        <w:t> </w:t>
      </w:r>
      <w:r w:rsidRPr="00A46CC4">
        <w:t>Parīzes nolīgums (</w:t>
      </w:r>
      <w:r w:rsidRPr="00A46CC4">
        <w:rPr>
          <w:i/>
        </w:rPr>
        <w:t>Paris Agreement</w:t>
      </w:r>
      <w:r w:rsidRPr="00A46CC4">
        <w:t>)</w:t>
      </w:r>
      <w:r>
        <w:t xml:space="preserve">. Nolīguma mērķis ir stiprināt globālo rīcību klimata pārmaiņu novēršanai un noturēt globālo sasilšanu būtiski zem 2°C robežas salīdzinot ar pirms industriālo līmeni un censties ierobežot temperatūras pieaugumu 1,5°C robežās, jo tas būtiski samazinās klimata pārmaiņu </w:t>
      </w:r>
      <w:r w:rsidR="003C2C83">
        <w:t xml:space="preserve">izraisītos riskus un ietekmes. </w:t>
      </w:r>
      <w:r>
        <w:t>Parīzes nolīgums paredz sekmēt investīciju novirzi saskaņā ar oglekļa mazietilpīgu un klimatnoturīgu attīstību.</w:t>
      </w:r>
    </w:p>
    <w:p w14:paraId="2CDAE641" w14:textId="16CC1F98" w:rsidR="00D8690A" w:rsidRDefault="00D8690A" w:rsidP="00327535">
      <w:pPr>
        <w:spacing w:before="120" w:after="120"/>
        <w:ind w:firstLine="720"/>
        <w:rPr>
          <w:rStyle w:val="Corpsdutexte"/>
          <w:sz w:val="24"/>
          <w:szCs w:val="24"/>
        </w:rPr>
      </w:pPr>
      <w:r w:rsidRPr="00E008BC">
        <w:rPr>
          <w:rStyle w:val="Corpsdutexte"/>
          <w:i/>
          <w:sz w:val="24"/>
          <w:szCs w:val="24"/>
        </w:rPr>
        <w:lastRenderedPageBreak/>
        <w:t>IPCC</w:t>
      </w:r>
      <w:r>
        <w:rPr>
          <w:rStyle w:val="Corpsdutexte"/>
          <w:sz w:val="24"/>
          <w:szCs w:val="24"/>
        </w:rPr>
        <w:t xml:space="preserve"> Ziņojumā</w:t>
      </w:r>
      <w:r w:rsidR="00363119">
        <w:rPr>
          <w:rStyle w:val="FootnoteReference"/>
          <w:szCs w:val="24"/>
          <w:shd w:val="clear" w:color="auto" w:fill="FFFFFF"/>
        </w:rPr>
        <w:footnoteReference w:id="8"/>
      </w:r>
      <w:r>
        <w:rPr>
          <w:rStyle w:val="Corpsdutexte"/>
          <w:sz w:val="24"/>
          <w:szCs w:val="24"/>
        </w:rPr>
        <w:t xml:space="preserve"> norādīts, ka </w:t>
      </w:r>
      <w:r w:rsidR="00AC54BB" w:rsidRPr="00327535">
        <w:t>pasaules</w:t>
      </w:r>
      <w:r w:rsidR="00AC54BB">
        <w:rPr>
          <w:rStyle w:val="Corpsdutexte"/>
          <w:sz w:val="24"/>
          <w:szCs w:val="24"/>
        </w:rPr>
        <w:t xml:space="preserve"> valstu </w:t>
      </w:r>
      <w:r w:rsidR="00F27656">
        <w:rPr>
          <w:rStyle w:val="Corpsdutexte"/>
          <w:sz w:val="24"/>
          <w:szCs w:val="24"/>
        </w:rPr>
        <w:t xml:space="preserve">esošās apņemšanās </w:t>
      </w:r>
      <w:r w:rsidR="00AC54BB">
        <w:rPr>
          <w:rStyle w:val="Corpsdutexte"/>
          <w:sz w:val="24"/>
          <w:szCs w:val="24"/>
        </w:rPr>
        <w:t xml:space="preserve">Parīzes nolīguma </w:t>
      </w:r>
      <w:r w:rsidR="00F27656">
        <w:rPr>
          <w:rStyle w:val="Corpsdutexte"/>
          <w:sz w:val="24"/>
          <w:szCs w:val="24"/>
        </w:rPr>
        <w:t xml:space="preserve"> ietvaros</w:t>
      </w:r>
      <w:r w:rsidR="003968DF">
        <w:rPr>
          <w:rStyle w:val="Corpsdutexte"/>
          <w:sz w:val="24"/>
          <w:szCs w:val="24"/>
        </w:rPr>
        <w:t xml:space="preserve"> </w:t>
      </w:r>
      <w:r w:rsidR="00AC54BB">
        <w:rPr>
          <w:rStyle w:val="Corpsdutexte"/>
          <w:sz w:val="24"/>
          <w:szCs w:val="24"/>
        </w:rPr>
        <w:t>klimata pārmaiņu mazināšanai ir nepietiekamas un</w:t>
      </w:r>
      <w:r>
        <w:rPr>
          <w:rStyle w:val="Corpsdutexte"/>
          <w:sz w:val="24"/>
          <w:szCs w:val="24"/>
        </w:rPr>
        <w:t xml:space="preserve"> nenodrošinās globālās sasilšanas ierobežošanu 1,5</w:t>
      </w:r>
      <w:r w:rsidRPr="00363119">
        <w:rPr>
          <w:rStyle w:val="Corpsdutexte"/>
          <w:sz w:val="24"/>
          <w:szCs w:val="24"/>
          <w:vertAlign w:val="superscript"/>
        </w:rPr>
        <w:t>o</w:t>
      </w:r>
      <w:r w:rsidR="00AC54BB">
        <w:rPr>
          <w:rStyle w:val="Corpsdutexte"/>
          <w:sz w:val="24"/>
          <w:szCs w:val="24"/>
        </w:rPr>
        <w:t>C robežās, līdz ar to, lai nokļūtu uz īstās “trajektorijas” pretī mērķa sasniegšanai, valstīm ir</w:t>
      </w:r>
      <w:r>
        <w:rPr>
          <w:rStyle w:val="Corpsdutexte"/>
          <w:sz w:val="24"/>
          <w:szCs w:val="24"/>
        </w:rPr>
        <w:t xml:space="preserve"> jāpalielina </w:t>
      </w:r>
      <w:r w:rsidR="00AC54BB">
        <w:rPr>
          <w:rStyle w:val="Corpsdutexte"/>
          <w:sz w:val="24"/>
          <w:szCs w:val="24"/>
        </w:rPr>
        <w:t xml:space="preserve">izvirzīto klimata mērķu </w:t>
      </w:r>
      <w:r w:rsidR="00781222">
        <w:rPr>
          <w:rStyle w:val="Corpsdutexte"/>
          <w:sz w:val="24"/>
          <w:szCs w:val="24"/>
        </w:rPr>
        <w:t>ambiciozitāte</w:t>
      </w:r>
      <w:r>
        <w:rPr>
          <w:rStyle w:val="Corpsdutexte"/>
          <w:sz w:val="24"/>
          <w:szCs w:val="24"/>
        </w:rPr>
        <w:t xml:space="preserve">. </w:t>
      </w:r>
    </w:p>
    <w:p w14:paraId="64C02886" w14:textId="77777777" w:rsidR="005A2EFC" w:rsidRPr="00363119" w:rsidRDefault="00370DF6" w:rsidP="00327535">
      <w:pPr>
        <w:spacing w:before="120" w:after="120"/>
        <w:ind w:firstLine="720"/>
        <w:rPr>
          <w:rFonts w:ascii="Symbol" w:hAnsi="Symbol"/>
          <w:noProof/>
        </w:rPr>
      </w:pPr>
      <w:r w:rsidRPr="00363119">
        <w:rPr>
          <w:noProof/>
        </w:rPr>
        <w:t>Z</w:t>
      </w:r>
      <w:r w:rsidR="005A2EFC" w:rsidRPr="00363119">
        <w:rPr>
          <w:noProof/>
        </w:rPr>
        <w:t xml:space="preserve">inātniski </w:t>
      </w:r>
      <w:r w:rsidRPr="00363119">
        <w:rPr>
          <w:noProof/>
        </w:rPr>
        <w:t>pētījumi</w:t>
      </w:r>
      <w:r w:rsidR="005A2EFC" w:rsidRPr="00363119">
        <w:rPr>
          <w:noProof/>
        </w:rPr>
        <w:t xml:space="preserve"> apliecina, ka cilvēka darbības izraisītā globālā sasilšana jau ir sasniegusi 1°C virs pirmsindustriālā laikmeta līmeņa un turpina pieaugt par aptuveni 0,2°C desmit gados. Ja starptautiskā līmenī klimata politikas jomā netiks pietiekami daudz darīts, globālais temperatūras palielinājums drīz pēc 2060. gada var sasniegt 2°C un turpināt pieaugt</w:t>
      </w:r>
      <w:r w:rsidR="005A2EFC" w:rsidRPr="00363119">
        <w:rPr>
          <w:rFonts w:ascii="Symbol" w:hAnsi="Symbol"/>
          <w:noProof/>
        </w:rPr>
        <w:t></w:t>
      </w:r>
      <w:r w:rsidR="005A2EFC" w:rsidRPr="00363119">
        <w:rPr>
          <w:rFonts w:ascii="Symbol" w:hAnsi="Symbol"/>
          <w:noProof/>
        </w:rPr>
        <w:t></w:t>
      </w:r>
    </w:p>
    <w:p w14:paraId="3ADF7F83" w14:textId="77777777" w:rsidR="005A2EFC" w:rsidRPr="00363119" w:rsidRDefault="00F27656" w:rsidP="00327535">
      <w:pPr>
        <w:spacing w:before="120" w:after="120"/>
        <w:ind w:firstLine="720"/>
        <w:rPr>
          <w:rStyle w:val="Corpsdutexte"/>
          <w:noProof/>
          <w:sz w:val="24"/>
          <w:szCs w:val="22"/>
          <w:shd w:val="clear" w:color="auto" w:fill="auto"/>
        </w:rPr>
      </w:pPr>
      <w:r w:rsidRPr="00E008BC">
        <w:rPr>
          <w:i/>
          <w:noProof/>
        </w:rPr>
        <w:t>IPCC</w:t>
      </w:r>
      <w:r>
        <w:rPr>
          <w:noProof/>
        </w:rPr>
        <w:t xml:space="preserve"> </w:t>
      </w:r>
      <w:r w:rsidR="00363119" w:rsidRPr="00363119">
        <w:rPr>
          <w:noProof/>
        </w:rPr>
        <w:t>Ziņojums</w:t>
      </w:r>
      <w:r w:rsidR="005A2EFC" w:rsidRPr="00363119">
        <w:rPr>
          <w:noProof/>
        </w:rPr>
        <w:t xml:space="preserve"> apstiprina</w:t>
      </w:r>
      <w:r w:rsidR="003968DF">
        <w:rPr>
          <w:noProof/>
        </w:rPr>
        <w:t>, ka</w:t>
      </w:r>
      <w:r w:rsidR="005A2EFC" w:rsidRPr="00363119">
        <w:rPr>
          <w:noProof/>
        </w:rPr>
        <w:t xml:space="preserve"> </w:t>
      </w:r>
      <w:r w:rsidR="005A2EFC" w:rsidRPr="00363119">
        <w:t>pie</w:t>
      </w:r>
      <w:r w:rsidR="005A2EFC" w:rsidRPr="00363119">
        <w:rPr>
          <w:noProof/>
        </w:rPr>
        <w:t xml:space="preserve"> 1°C lielas globālās sasilšanas sagaidāms, ka aptuveni 4 % pasaules sauszemes teritorijas pārveidosies par cita tipa ekosistēmu, bet, ja globālā sasilšana sasniegs 2°C, šāda ietekme skars jau 13 % teritorijas. Paredzams, ka tad, ja globālā sasilšana sasniegs 2°C, izzudīs 99 % no pasaules koraļļu rifiem. Aptuveni 1,5–2°C liela globālā sasilšana spēj iedarbināt procesus, kuru rezultātā izkusīs Grenlandes ledus sega. Noteiktos apstākļos kļūs iespējama jūras līmeņa celšanās pat par 7 metriem, un tas tiešā veidā ietekmēs piekrastes teritorijas visā pasaulē, arī zemos Eiropas piekrastes līdzenumus un salas. Arktiskais ledus vasarā strauji kūst jau tagad, un tas negatīvi ietekmē ziemeļvalstu bioloģisko daudzveidību un </w:t>
      </w:r>
      <w:r w:rsidR="00363119" w:rsidRPr="00363119">
        <w:rPr>
          <w:noProof/>
        </w:rPr>
        <w:t xml:space="preserve">vietējo iedzīvotāju iztikšanu. </w:t>
      </w:r>
    </w:p>
    <w:p w14:paraId="3FF8888F" w14:textId="31D21740" w:rsidR="005C240E" w:rsidRPr="00A46CC4" w:rsidRDefault="00D8690A" w:rsidP="00C4692E">
      <w:pPr>
        <w:spacing w:before="120" w:after="120"/>
        <w:ind w:firstLine="720"/>
      </w:pPr>
      <w:r>
        <w:rPr>
          <w:szCs w:val="24"/>
        </w:rPr>
        <w:t xml:space="preserve">Cīņa pret klimata pārmaiņām, ko rada SEG </w:t>
      </w:r>
      <w:r w:rsidR="003968DF">
        <w:rPr>
          <w:szCs w:val="24"/>
        </w:rPr>
        <w:t>emisiju pieaugums</w:t>
      </w:r>
      <w:r>
        <w:rPr>
          <w:szCs w:val="24"/>
        </w:rPr>
        <w:t xml:space="preserve">, ir </w:t>
      </w:r>
      <w:r w:rsidR="009A5AD8">
        <w:rPr>
          <w:szCs w:val="24"/>
        </w:rPr>
        <w:t xml:space="preserve">arī </w:t>
      </w:r>
      <w:r>
        <w:rPr>
          <w:szCs w:val="24"/>
        </w:rPr>
        <w:t xml:space="preserve">viens no 17 </w:t>
      </w:r>
      <w:r w:rsidRPr="00A46CC4">
        <w:t>ANO</w:t>
      </w:r>
      <w:r>
        <w:t xml:space="preserve"> ilgtspējīgas attīstības mērķiem </w:t>
      </w:r>
      <w:r w:rsidRPr="00A46CC4">
        <w:t>(</w:t>
      </w:r>
      <w:r w:rsidRPr="00A46CC4">
        <w:rPr>
          <w:i/>
        </w:rPr>
        <w:t>Sustainable Development Goals</w:t>
      </w:r>
      <w:r w:rsidRPr="00A46CC4">
        <w:t>)</w:t>
      </w:r>
      <w:r>
        <w:t>.</w:t>
      </w:r>
      <w:r w:rsidRPr="00D8690A">
        <w:t xml:space="preserve"> </w:t>
      </w:r>
      <w:r>
        <w:t xml:space="preserve">Klimata pārmaiņas var radīt </w:t>
      </w:r>
      <w:r w:rsidRPr="00A46CC4">
        <w:t>problēma</w:t>
      </w:r>
      <w:r>
        <w:t>s</w:t>
      </w:r>
      <w:r w:rsidRPr="00A46CC4">
        <w:t xml:space="preserve">, </w:t>
      </w:r>
      <w:r>
        <w:t xml:space="preserve">kas </w:t>
      </w:r>
      <w:r w:rsidRPr="00A46CC4">
        <w:t>saistīta</w:t>
      </w:r>
      <w:r>
        <w:t>s</w:t>
      </w:r>
      <w:r w:rsidRPr="00A46CC4">
        <w:t xml:space="preserve"> ar pārtikas pieejamību, cilvēku veselību, labklājību, nodarbinātību, valstu ekonomisko attīstību, drošību, </w:t>
      </w:r>
      <w:r w:rsidR="0017335C">
        <w:t xml:space="preserve">teritoriju </w:t>
      </w:r>
      <w:r w:rsidRPr="00A46CC4">
        <w:t xml:space="preserve">attīstību, dabas integritāti, bioloģisko daudzveidību un citām jomām. OMA </w:t>
      </w:r>
      <w:r>
        <w:t xml:space="preserve">īstenošana nav tikai izaicinājums, bet vienlaikus arī iespēja, jo to īstenojot ieguvumi rodas ne tikai vides dimensijā, bet arī sociālajā un ekonomiskajā </w:t>
      </w:r>
      <w:r w:rsidRPr="00A46CC4">
        <w:t>(</w:t>
      </w:r>
      <w:r w:rsidR="00AC54BB">
        <w:t>skat.</w:t>
      </w:r>
      <w:r w:rsidR="00B87E6B">
        <w:t> </w:t>
      </w:r>
      <w:r w:rsidR="00AC54BB">
        <w:t>1.</w:t>
      </w:r>
      <w:r w:rsidR="00B87E6B">
        <w:t> </w:t>
      </w:r>
      <w:r w:rsidR="00AC54BB">
        <w:t>attēlu</w:t>
      </w:r>
      <w:r w:rsidRPr="00A46CC4">
        <w:t xml:space="preserve">). </w:t>
      </w:r>
    </w:p>
    <w:p w14:paraId="374BE531" w14:textId="77777777" w:rsidR="00C4692E" w:rsidRDefault="00DA5E83" w:rsidP="00C4692E">
      <w:pPr>
        <w:spacing w:before="120" w:after="120"/>
        <w:ind w:firstLine="709"/>
        <w:jc w:val="center"/>
        <w:rPr>
          <w:b/>
        </w:rPr>
      </w:pPr>
      <w:r w:rsidRPr="00A46CC4">
        <w:rPr>
          <w:noProof/>
          <w:szCs w:val="24"/>
        </w:rPr>
        <w:drawing>
          <wp:inline distT="0" distB="0" distL="0" distR="0" wp14:anchorId="512CDDFB" wp14:editId="414CBBFA">
            <wp:extent cx="3149600" cy="3137579"/>
            <wp:effectExtent l="0" t="0" r="0" b="5715"/>
            <wp:docPr id="1" name="Picture 1" desc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jpg"/>
                    <pic:cNvPicPr>
                      <a:picLocks noChangeAspect="1" noChangeArrowheads="1"/>
                    </pic:cNvPicPr>
                  </pic:nvPicPr>
                  <pic:blipFill>
                    <a:blip r:embed="rId8" cstate="print">
                      <a:extLst>
                        <a:ext uri="{28A0092B-C50C-407E-A947-70E740481C1C}">
                          <a14:useLocalDpi xmlns:a14="http://schemas.microsoft.com/office/drawing/2010/main" val="0"/>
                        </a:ext>
                      </a:extLst>
                    </a:blip>
                    <a:srcRect l="6258" t="3343" r="2957"/>
                    <a:stretch>
                      <a:fillRect/>
                    </a:stretch>
                  </pic:blipFill>
                  <pic:spPr bwMode="auto">
                    <a:xfrm>
                      <a:off x="0" y="0"/>
                      <a:ext cx="3152431" cy="3140399"/>
                    </a:xfrm>
                    <a:prstGeom prst="rect">
                      <a:avLst/>
                    </a:prstGeom>
                    <a:noFill/>
                    <a:ln>
                      <a:noFill/>
                    </a:ln>
                  </pic:spPr>
                </pic:pic>
              </a:graphicData>
            </a:graphic>
          </wp:inline>
        </w:drawing>
      </w:r>
    </w:p>
    <w:p w14:paraId="3CC4BDC5" w14:textId="75A461AA" w:rsidR="00AF2FD4" w:rsidRPr="00A46CC4" w:rsidRDefault="00AF2FD4" w:rsidP="00C4692E">
      <w:pPr>
        <w:spacing w:before="120" w:after="120"/>
        <w:ind w:firstLine="709"/>
        <w:jc w:val="center"/>
        <w:rPr>
          <w:b/>
        </w:rPr>
      </w:pPr>
      <w:r w:rsidRPr="00A46CC4">
        <w:rPr>
          <w:b/>
        </w:rPr>
        <w:t>1.</w:t>
      </w:r>
      <w:r w:rsidR="00D46F1F">
        <w:rPr>
          <w:b/>
        </w:rPr>
        <w:t> </w:t>
      </w:r>
      <w:r w:rsidRPr="00A46CC4">
        <w:rPr>
          <w:b/>
        </w:rPr>
        <w:t>attēls. Oglekļa mazietilpīga attīstība un ilgtspējīgas attīstības dimensijas</w:t>
      </w:r>
    </w:p>
    <w:p w14:paraId="2884E4AF" w14:textId="77777777" w:rsidR="00C4692E" w:rsidRDefault="00C4692E" w:rsidP="00C4692E">
      <w:pPr>
        <w:spacing w:before="120" w:after="120"/>
        <w:ind w:firstLine="720"/>
      </w:pPr>
      <w:r>
        <w:lastRenderedPageBreak/>
        <w:t>Stratēģija</w:t>
      </w:r>
      <w:r w:rsidRPr="00BE71D2">
        <w:t xml:space="preserve"> jāīsteno iespējami </w:t>
      </w:r>
      <w:r>
        <w:t xml:space="preserve">visaptverošāk, </w:t>
      </w:r>
      <w:r w:rsidRPr="00BE71D2">
        <w:t>ātrāk un efektīvāk</w:t>
      </w:r>
      <w:r>
        <w:t xml:space="preserve">, tādējādi gan </w:t>
      </w:r>
      <w:r w:rsidRPr="005B2AD5">
        <w:t>izpild</w:t>
      </w:r>
      <w:r>
        <w:t>o</w:t>
      </w:r>
      <w:r w:rsidRPr="005B2AD5">
        <w:t>t starptautiskos mērķus</w:t>
      </w:r>
      <w:r>
        <w:t xml:space="preserve"> un</w:t>
      </w:r>
      <w:r w:rsidRPr="005B2AD5">
        <w:t xml:space="preserve"> </w:t>
      </w:r>
      <w:r w:rsidRPr="00B761CA">
        <w:rPr>
          <w:szCs w:val="24"/>
        </w:rPr>
        <w:t>uzlabojot</w:t>
      </w:r>
      <w:r w:rsidRPr="005B2AD5">
        <w:t xml:space="preserve"> </w:t>
      </w:r>
      <w:r>
        <w:t xml:space="preserve">iedzīvotāju </w:t>
      </w:r>
      <w:r w:rsidRPr="005B2AD5">
        <w:t>dzīves kvalitāti</w:t>
      </w:r>
      <w:r>
        <w:t>, gan arī</w:t>
      </w:r>
      <w:r w:rsidRPr="005B2AD5">
        <w:t xml:space="preserve"> stiprin</w:t>
      </w:r>
      <w:r>
        <w:t>o</w:t>
      </w:r>
      <w:r w:rsidRPr="005B2AD5">
        <w:t>t Latvijas ekonomikas konkurētspēju</w:t>
      </w:r>
      <w:r>
        <w:t xml:space="preserve"> (īstenojot tādus pasākumus kā </w:t>
      </w:r>
      <w:r w:rsidRPr="00BE71D2">
        <w:t>energoefektivitātes paaugstināšan</w:t>
      </w:r>
      <w:r>
        <w:t>a</w:t>
      </w:r>
      <w:r w:rsidRPr="00BE71D2">
        <w:t>, vietējo (atjaunojamo) energoresursu izmantošanas veicinā</w:t>
      </w:r>
      <w:r w:rsidRPr="002744AC">
        <w:t>šan</w:t>
      </w:r>
      <w:r>
        <w:t>a</w:t>
      </w:r>
      <w:r w:rsidRPr="002744AC">
        <w:t xml:space="preserve">, </w:t>
      </w:r>
      <w:r w:rsidRPr="00C20335">
        <w:t>aprites ekonomikas un bioekonomikas īstenošan</w:t>
      </w:r>
      <w:r>
        <w:t>a</w:t>
      </w:r>
      <w:r w:rsidRPr="00C20335">
        <w:t xml:space="preserve">, </w:t>
      </w:r>
      <w:r w:rsidRPr="002D1F48">
        <w:t>sekm</w:t>
      </w:r>
      <w:r w:rsidRPr="00BE71D2">
        <w:t>ē</w:t>
      </w:r>
      <w:r w:rsidRPr="002744AC">
        <w:t>jot</w:t>
      </w:r>
      <w:r w:rsidRPr="002D1F48">
        <w:t xml:space="preserve"> klimata tehnoloģiju </w:t>
      </w:r>
      <w:r w:rsidRPr="002C2199">
        <w:t xml:space="preserve">inovāciju </w:t>
      </w:r>
      <w:r w:rsidRPr="00545575">
        <w:t>attīstību un ražošanu Latvijā</w:t>
      </w:r>
      <w:r>
        <w:t>)</w:t>
      </w:r>
      <w:r w:rsidRPr="00FC5EA7">
        <w:t xml:space="preserve">. </w:t>
      </w:r>
    </w:p>
    <w:p w14:paraId="63D2C964" w14:textId="4CF6E8C0" w:rsidR="00C4692E" w:rsidRDefault="00C4692E" w:rsidP="00C4692E">
      <w:pPr>
        <w:spacing w:before="120" w:after="120"/>
        <w:ind w:firstLine="720"/>
      </w:pPr>
      <w:r>
        <w:t>Stratēģija</w:t>
      </w:r>
      <w:r w:rsidRPr="00A46CC4">
        <w:t xml:space="preserve"> ir ilgtermiņ</w:t>
      </w:r>
      <w:r>
        <w:t>a</w:t>
      </w:r>
      <w:r w:rsidRPr="00A46CC4">
        <w:t xml:space="preserve"> stratēģisks dokuments, kas jāievieš, </w:t>
      </w:r>
      <w:r>
        <w:t>horizontāli integrējot SEG un klimatnoturīguma</w:t>
      </w:r>
      <w:r w:rsidRPr="00A46CC4">
        <w:t xml:space="preserve"> </w:t>
      </w:r>
      <w:r w:rsidRPr="00B761CA">
        <w:rPr>
          <w:szCs w:val="24"/>
        </w:rPr>
        <w:t>mērķus</w:t>
      </w:r>
      <w:r>
        <w:t xml:space="preserve"> visās tautsaimniecības nozarēs</w:t>
      </w:r>
      <w:r w:rsidRPr="00A46CC4">
        <w:t xml:space="preserve">. </w:t>
      </w:r>
      <w:r>
        <w:t>Paralēli Stratēģijas</w:t>
      </w:r>
      <w:r w:rsidRPr="00A46CC4">
        <w:t xml:space="preserve"> ieviešanai, jānodrošina periodisks stratēģijas progresa un ieviešanas efektivitātes</w:t>
      </w:r>
      <w:r w:rsidRPr="00A46CC4" w:rsidDel="008A2780">
        <w:t xml:space="preserve"> </w:t>
      </w:r>
      <w:r w:rsidRPr="00A46CC4">
        <w:t xml:space="preserve">izvērtējums, nodrošinot </w:t>
      </w:r>
      <w:r>
        <w:t>S</w:t>
      </w:r>
      <w:r w:rsidRPr="00A46CC4">
        <w:t>tratēģijas mērķu sasniegšanu.</w:t>
      </w:r>
    </w:p>
    <w:p w14:paraId="62B10016" w14:textId="77777777" w:rsidR="006F7732" w:rsidRPr="002614B0" w:rsidRDefault="003968DF" w:rsidP="00327535">
      <w:pPr>
        <w:spacing w:before="120" w:after="120"/>
        <w:ind w:firstLine="720"/>
      </w:pPr>
      <w:r>
        <w:t>Stratēģijā v</w:t>
      </w:r>
      <w:r w:rsidR="006F7732">
        <w:t>ispirms izklāstīti izstrādē izdarītie pamatpieņēmumi, kam seko Stratēģijas mērķa un rezultatīv</w:t>
      </w:r>
      <w:r w:rsidR="00C724D7">
        <w:t>o</w:t>
      </w:r>
      <w:r w:rsidR="006F7732">
        <w:t xml:space="preserve"> rādītāju, pēc kuriem noteikt virzības progresu, definēšana. Tālāk sniegta aktuālā informācija par </w:t>
      </w:r>
      <w:r w:rsidR="006F7732" w:rsidRPr="00B761CA">
        <w:rPr>
          <w:szCs w:val="24"/>
        </w:rPr>
        <w:t>Stratēģijas</w:t>
      </w:r>
      <w:r w:rsidR="006F7732">
        <w:t xml:space="preserve"> izstrādes laikā esošo Latvijas progresu SEG emisiju ierobežošanā, kas nākam</w:t>
      </w:r>
      <w:r>
        <w:t>aj</w:t>
      </w:r>
      <w:r w:rsidR="006F7732">
        <w:t xml:space="preserve">ā nodaļā izvērsta, identificējot būtiskākos Latvijai specifiskos </w:t>
      </w:r>
      <w:r>
        <w:t xml:space="preserve">SEG </w:t>
      </w:r>
      <w:r w:rsidR="006F7732">
        <w:t xml:space="preserve">emisiju rašanās faktorus. Turpmāk piedāvāti iespējamie risinājumi </w:t>
      </w:r>
      <w:r w:rsidR="00D46F1F">
        <w:t>OMA</w:t>
      </w:r>
      <w:r w:rsidR="006F7732">
        <w:t xml:space="preserve"> īstenošanai, kā arī sniegts Stratēģijas īstenošanas pārskats un norādes par sabiedrības līdzdalību.</w:t>
      </w:r>
    </w:p>
    <w:p w14:paraId="3B5D3DCF" w14:textId="77777777" w:rsidR="00D04C62" w:rsidRDefault="00E773F8">
      <w:pPr>
        <w:ind w:firstLine="0"/>
        <w:jc w:val="left"/>
        <w:rPr>
          <w:szCs w:val="24"/>
        </w:rPr>
      </w:pPr>
      <w:r w:rsidRPr="00A46CC4">
        <w:rPr>
          <w:szCs w:val="24"/>
        </w:rPr>
        <w:br w:type="page"/>
      </w:r>
    </w:p>
    <w:p w14:paraId="031904AC" w14:textId="77777777" w:rsidR="003415D3" w:rsidRDefault="003415D3" w:rsidP="003415D3">
      <w:pPr>
        <w:pStyle w:val="Heading1"/>
        <w:spacing w:before="120" w:after="120"/>
      </w:pPr>
      <w:bookmarkStart w:id="4" w:name="_Toc25580318"/>
      <w:r>
        <w:lastRenderedPageBreak/>
        <w:t>M</w:t>
      </w:r>
      <w:r w:rsidRPr="00A46CC4">
        <w:t>ērķis</w:t>
      </w:r>
      <w:r w:rsidR="00966237">
        <w:t>, indikatori</w:t>
      </w:r>
      <w:r w:rsidRPr="00A46CC4">
        <w:t xml:space="preserve"> un </w:t>
      </w:r>
      <w:r w:rsidR="00966237">
        <w:t>rīcības virzieni</w:t>
      </w:r>
      <w:bookmarkEnd w:id="4"/>
    </w:p>
    <w:p w14:paraId="71D4DF1F" w14:textId="77777777" w:rsidR="003415D3" w:rsidRPr="009F2A74" w:rsidRDefault="00521BEC" w:rsidP="003415D3">
      <w:pPr>
        <w:pStyle w:val="Heading2"/>
        <w:spacing w:before="120"/>
        <w:ind w:left="360"/>
        <w:jc w:val="both"/>
        <w:rPr>
          <w:rFonts w:eastAsia="Calibri"/>
        </w:rPr>
      </w:pPr>
      <w:bookmarkStart w:id="5" w:name="_Toc25580319"/>
      <w:r>
        <w:rPr>
          <w:rFonts w:eastAsia="Calibri"/>
        </w:rPr>
        <w:t>1.1</w:t>
      </w:r>
      <w:r w:rsidR="003415D3">
        <w:rPr>
          <w:rFonts w:eastAsia="Calibri"/>
        </w:rPr>
        <w:t>.</w:t>
      </w:r>
      <w:r w:rsidR="003C5B75">
        <w:rPr>
          <w:rFonts w:eastAsia="Calibri"/>
        </w:rPr>
        <w:t> </w:t>
      </w:r>
      <w:r w:rsidR="003415D3">
        <w:rPr>
          <w:rFonts w:eastAsia="Calibri"/>
        </w:rPr>
        <w:t>Stratēģija</w:t>
      </w:r>
      <w:r w:rsidR="003415D3" w:rsidRPr="009F2A74">
        <w:rPr>
          <w:rFonts w:eastAsia="Calibri"/>
        </w:rPr>
        <w:t xml:space="preserve">s </w:t>
      </w:r>
      <w:r w:rsidR="00FB2605">
        <w:rPr>
          <w:rFonts w:eastAsia="Calibri"/>
        </w:rPr>
        <w:t>virs</w:t>
      </w:r>
      <w:r w:rsidR="003415D3" w:rsidRPr="009F2A74">
        <w:rPr>
          <w:rFonts w:eastAsia="Calibri"/>
        </w:rPr>
        <w:t xml:space="preserve">mērķis </w:t>
      </w:r>
      <w:r w:rsidR="00DB6942">
        <w:rPr>
          <w:rFonts w:eastAsia="Calibri"/>
        </w:rPr>
        <w:t xml:space="preserve">un </w:t>
      </w:r>
      <w:r w:rsidR="00FB2605">
        <w:rPr>
          <w:rFonts w:eastAsia="Calibri"/>
        </w:rPr>
        <w:t>starpposmu mērķi</w:t>
      </w:r>
      <w:bookmarkEnd w:id="5"/>
    </w:p>
    <w:p w14:paraId="0E80A1A7" w14:textId="77777777" w:rsidR="00222243" w:rsidRDefault="005E4BD9" w:rsidP="003415D3">
      <w:pPr>
        <w:spacing w:before="120" w:after="120"/>
        <w:rPr>
          <w:rFonts w:eastAsia="Calibri"/>
          <w:lang w:eastAsia="en-US"/>
        </w:rPr>
      </w:pPr>
      <w:r>
        <w:rPr>
          <w:rFonts w:eastAsia="Calibri"/>
          <w:lang w:eastAsia="en-US"/>
        </w:rPr>
        <w:t>OMA</w:t>
      </w:r>
      <w:r w:rsidR="00222243">
        <w:rPr>
          <w:rFonts w:eastAsia="Calibri"/>
          <w:lang w:eastAsia="en-US"/>
        </w:rPr>
        <w:t xml:space="preserve"> ir process, kas jāīsteno, tiecoties uz klimatneitralitāti.</w:t>
      </w:r>
    </w:p>
    <w:p w14:paraId="77C631BF" w14:textId="77777777" w:rsidR="003415D3" w:rsidRDefault="003415D3" w:rsidP="00327535">
      <w:pPr>
        <w:spacing w:before="120" w:after="120"/>
        <w:ind w:firstLine="720"/>
        <w:rPr>
          <w:rFonts w:eastAsia="Calibri"/>
          <w:lang w:eastAsia="en-US"/>
        </w:rPr>
      </w:pPr>
      <w:r>
        <w:rPr>
          <w:rFonts w:eastAsia="Calibri"/>
          <w:lang w:eastAsia="en-US"/>
        </w:rPr>
        <w:t>Stratēģija</w:t>
      </w:r>
      <w:r w:rsidRPr="00A46CC4">
        <w:rPr>
          <w:rFonts w:eastAsia="Calibri"/>
          <w:lang w:eastAsia="en-US"/>
        </w:rPr>
        <w:t xml:space="preserve">s </w:t>
      </w:r>
      <w:r w:rsidR="00393652" w:rsidRPr="005F05DF">
        <w:rPr>
          <w:rFonts w:eastAsia="Calibri"/>
          <w:b/>
          <w:lang w:eastAsia="en-US"/>
        </w:rPr>
        <w:t>virsmērķis</w:t>
      </w:r>
      <w:r w:rsidR="00D44131">
        <w:rPr>
          <w:rFonts w:eastAsia="Calibri"/>
          <w:lang w:eastAsia="en-US"/>
        </w:rPr>
        <w:t xml:space="preserve">: </w:t>
      </w:r>
      <w:r w:rsidR="003E06B7" w:rsidRPr="00327535">
        <w:rPr>
          <w:szCs w:val="24"/>
        </w:rPr>
        <w:t>Latvijas</w:t>
      </w:r>
      <w:r w:rsidR="003E06B7">
        <w:rPr>
          <w:rFonts w:eastAsia="Calibri"/>
          <w:lang w:eastAsia="en-US"/>
        </w:rPr>
        <w:t xml:space="preserve"> </w:t>
      </w:r>
      <w:r w:rsidR="003E06B7" w:rsidRPr="00113956">
        <w:rPr>
          <w:rFonts w:eastAsia="Calibri"/>
          <w:b/>
          <w:lang w:eastAsia="en-US"/>
        </w:rPr>
        <w:t xml:space="preserve">klimatneitralitāte </w:t>
      </w:r>
      <w:r w:rsidR="00353D5D">
        <w:rPr>
          <w:rFonts w:eastAsia="Calibri"/>
          <w:lang w:eastAsia="en-US"/>
        </w:rPr>
        <w:t>2050.</w:t>
      </w:r>
      <w:r w:rsidR="005E4BD9">
        <w:rPr>
          <w:rFonts w:eastAsia="Calibri"/>
          <w:lang w:eastAsia="en-US"/>
        </w:rPr>
        <w:t> </w:t>
      </w:r>
      <w:r w:rsidR="00353D5D">
        <w:rPr>
          <w:rFonts w:eastAsia="Calibri"/>
          <w:lang w:eastAsia="en-US"/>
        </w:rPr>
        <w:t>gadā</w:t>
      </w:r>
      <w:r w:rsidR="003E06B7">
        <w:rPr>
          <w:rFonts w:eastAsia="Calibri"/>
          <w:lang w:eastAsia="en-US"/>
        </w:rPr>
        <w:t>.</w:t>
      </w:r>
    </w:p>
    <w:p w14:paraId="096F616E" w14:textId="77777777" w:rsidR="00D712A0" w:rsidRDefault="00D44131" w:rsidP="00327535">
      <w:pPr>
        <w:spacing w:before="120" w:after="120"/>
        <w:ind w:firstLine="720"/>
        <w:rPr>
          <w:rFonts w:eastAsia="Calibri"/>
          <w:lang w:eastAsia="en-US"/>
        </w:rPr>
      </w:pPr>
      <w:r>
        <w:rPr>
          <w:rFonts w:eastAsia="Calibri"/>
          <w:lang w:eastAsia="en-US"/>
        </w:rPr>
        <w:t xml:space="preserve">Tā kā OMA īstenošanas </w:t>
      </w:r>
      <w:r w:rsidR="007E42D0" w:rsidRPr="00327535">
        <w:rPr>
          <w:szCs w:val="24"/>
        </w:rPr>
        <w:t>gala</w:t>
      </w:r>
      <w:r w:rsidRPr="00327535">
        <w:rPr>
          <w:szCs w:val="24"/>
        </w:rPr>
        <w:t>mērķis</w:t>
      </w:r>
      <w:r>
        <w:rPr>
          <w:rFonts w:eastAsia="Calibri"/>
          <w:lang w:eastAsia="en-US"/>
        </w:rPr>
        <w:t xml:space="preserve"> ir Latvijas klimatneitralitātes sasniegšana, būtiski ir ne tikai </w:t>
      </w:r>
      <w:r w:rsidR="00861F08">
        <w:rPr>
          <w:rFonts w:eastAsia="Calibri"/>
          <w:lang w:eastAsia="en-US"/>
        </w:rPr>
        <w:t>samazināt SEG emisijas</w:t>
      </w:r>
      <w:r>
        <w:rPr>
          <w:rFonts w:eastAsia="Calibri"/>
          <w:lang w:eastAsia="en-US"/>
        </w:rPr>
        <w:t xml:space="preserve">, bet arī </w:t>
      </w:r>
      <w:r w:rsidR="00861F08">
        <w:rPr>
          <w:rFonts w:eastAsia="Calibri"/>
          <w:lang w:eastAsia="en-US"/>
        </w:rPr>
        <w:t>paaugstināt CO</w:t>
      </w:r>
      <w:r w:rsidR="00861F08" w:rsidRPr="00861F08">
        <w:rPr>
          <w:rFonts w:eastAsia="Calibri"/>
          <w:vertAlign w:val="subscript"/>
          <w:lang w:eastAsia="en-US"/>
        </w:rPr>
        <w:t>2</w:t>
      </w:r>
      <w:r w:rsidR="00861F08">
        <w:rPr>
          <w:rFonts w:eastAsia="Calibri"/>
          <w:lang w:eastAsia="en-US"/>
        </w:rPr>
        <w:t xml:space="preserve"> </w:t>
      </w:r>
      <w:r>
        <w:rPr>
          <w:rFonts w:eastAsia="Calibri"/>
          <w:lang w:eastAsia="en-US"/>
        </w:rPr>
        <w:t>piesaist</w:t>
      </w:r>
      <w:r w:rsidR="00861F08">
        <w:rPr>
          <w:rFonts w:eastAsia="Calibri"/>
          <w:lang w:eastAsia="en-US"/>
        </w:rPr>
        <w:t>i</w:t>
      </w:r>
      <w:r w:rsidR="00D712A0">
        <w:rPr>
          <w:rFonts w:eastAsia="Calibri"/>
          <w:lang w:eastAsia="en-US"/>
        </w:rPr>
        <w:t>. Tātad ir divi stratēģiski mērķi:</w:t>
      </w:r>
    </w:p>
    <w:p w14:paraId="10F961F3" w14:textId="77777777" w:rsidR="00393652" w:rsidRPr="00D712A0" w:rsidRDefault="00393652" w:rsidP="0031388F">
      <w:pPr>
        <w:pStyle w:val="ListParagraph"/>
        <w:numPr>
          <w:ilvl w:val="0"/>
          <w:numId w:val="6"/>
        </w:numPr>
        <w:spacing w:before="120" w:after="120"/>
        <w:rPr>
          <w:rFonts w:eastAsia="Calibri"/>
          <w:lang w:eastAsia="en-US"/>
        </w:rPr>
      </w:pPr>
      <w:r w:rsidRPr="00D712A0">
        <w:rPr>
          <w:rFonts w:eastAsia="Calibri"/>
          <w:lang w:eastAsia="en-US"/>
        </w:rPr>
        <w:t xml:space="preserve">SEG </w:t>
      </w:r>
      <w:r w:rsidR="00861F08" w:rsidRPr="00D712A0">
        <w:rPr>
          <w:rFonts w:eastAsia="Calibri"/>
          <w:lang w:eastAsia="en-US"/>
        </w:rPr>
        <w:t xml:space="preserve">emisiju </w:t>
      </w:r>
      <w:r w:rsidRPr="00D712A0">
        <w:rPr>
          <w:rFonts w:eastAsia="Calibri"/>
          <w:lang w:eastAsia="en-US"/>
        </w:rPr>
        <w:t>samazināšana visos tautsaimniecības sektoros</w:t>
      </w:r>
      <w:r w:rsidR="00D712A0" w:rsidRPr="00D712A0">
        <w:rPr>
          <w:rFonts w:eastAsia="Calibri"/>
          <w:lang w:eastAsia="en-US"/>
        </w:rPr>
        <w:t>;</w:t>
      </w:r>
    </w:p>
    <w:p w14:paraId="4A2F6877" w14:textId="77777777" w:rsidR="00D44131" w:rsidRPr="00D712A0" w:rsidRDefault="00D44131" w:rsidP="0031388F">
      <w:pPr>
        <w:pStyle w:val="ListParagraph"/>
        <w:numPr>
          <w:ilvl w:val="0"/>
          <w:numId w:val="6"/>
        </w:numPr>
        <w:spacing w:before="120" w:after="120"/>
        <w:rPr>
          <w:rFonts w:eastAsia="Calibri"/>
          <w:lang w:eastAsia="en-US"/>
        </w:rPr>
      </w:pPr>
      <w:r w:rsidRPr="00D712A0">
        <w:rPr>
          <w:rFonts w:eastAsia="Calibri"/>
          <w:lang w:eastAsia="en-US"/>
        </w:rPr>
        <w:t>CO</w:t>
      </w:r>
      <w:r w:rsidRPr="00D712A0">
        <w:rPr>
          <w:rFonts w:eastAsia="Calibri"/>
          <w:vertAlign w:val="subscript"/>
          <w:lang w:eastAsia="en-US"/>
        </w:rPr>
        <w:t>2</w:t>
      </w:r>
      <w:r w:rsidR="00DB6942" w:rsidRPr="00D712A0">
        <w:rPr>
          <w:rFonts w:eastAsia="Calibri"/>
          <w:lang w:eastAsia="en-US"/>
        </w:rPr>
        <w:t xml:space="preserve"> piesaistes palielināšana.</w:t>
      </w:r>
    </w:p>
    <w:p w14:paraId="17C7781F" w14:textId="77777777" w:rsidR="003415D3" w:rsidRPr="00910EC7" w:rsidRDefault="00393652" w:rsidP="00327535">
      <w:pPr>
        <w:spacing w:before="120" w:after="120"/>
        <w:ind w:firstLine="720"/>
        <w:rPr>
          <w:rFonts w:eastAsia="Calibri"/>
          <w:lang w:eastAsia="en-US"/>
        </w:rPr>
      </w:pPr>
      <w:r w:rsidRPr="00910EC7">
        <w:rPr>
          <w:rFonts w:eastAsia="Calibri"/>
          <w:lang w:eastAsia="en-US"/>
        </w:rPr>
        <w:t xml:space="preserve">Mērķa sasniegšana </w:t>
      </w:r>
      <w:r w:rsidR="003415D3" w:rsidRPr="00327535">
        <w:rPr>
          <w:szCs w:val="24"/>
        </w:rPr>
        <w:t>īstenojama</w:t>
      </w:r>
      <w:r w:rsidR="003415D3" w:rsidRPr="00910EC7">
        <w:rPr>
          <w:rFonts w:eastAsia="Calibri"/>
          <w:lang w:eastAsia="en-US"/>
        </w:rPr>
        <w:t xml:space="preserve"> trīs SEG emisiju samazināšanas posmos </w:t>
      </w:r>
      <w:r w:rsidR="00D01919" w:rsidRPr="00910EC7">
        <w:rPr>
          <w:rFonts w:eastAsia="Calibri"/>
          <w:lang w:eastAsia="en-US"/>
        </w:rPr>
        <w:t>(desmitgadēs)</w:t>
      </w:r>
      <w:r w:rsidR="005E4BD9">
        <w:rPr>
          <w:rFonts w:eastAsia="Calibri"/>
          <w:lang w:eastAsia="en-US"/>
        </w:rPr>
        <w:t>.</w:t>
      </w:r>
      <w:r w:rsidR="00D01919" w:rsidRPr="00910EC7">
        <w:rPr>
          <w:rFonts w:eastAsia="Calibri"/>
          <w:lang w:eastAsia="en-US"/>
        </w:rPr>
        <w:t xml:space="preserve"> </w:t>
      </w:r>
      <w:r w:rsidR="005E4BD9">
        <w:rPr>
          <w:rFonts w:eastAsia="Calibri"/>
          <w:lang w:eastAsia="en-US"/>
        </w:rPr>
        <w:t>S</w:t>
      </w:r>
      <w:r w:rsidR="006009D0" w:rsidRPr="00910EC7">
        <w:rPr>
          <w:rFonts w:eastAsia="Calibri"/>
          <w:lang w:eastAsia="en-US"/>
        </w:rPr>
        <w:t>asniedzamie rezultatīvie rādītāji</w:t>
      </w:r>
      <w:r w:rsidR="00910EC7" w:rsidRPr="00910EC7">
        <w:rPr>
          <w:rFonts w:eastAsia="Calibri"/>
          <w:lang w:eastAsia="en-US"/>
        </w:rPr>
        <w:t xml:space="preserve"> attēloti 1.</w:t>
      </w:r>
      <w:r w:rsidR="005E4BD9">
        <w:rPr>
          <w:rFonts w:eastAsia="Calibri"/>
          <w:lang w:eastAsia="en-US"/>
        </w:rPr>
        <w:t> </w:t>
      </w:r>
      <w:r w:rsidR="00910EC7" w:rsidRPr="00910EC7">
        <w:rPr>
          <w:rFonts w:eastAsia="Calibri"/>
          <w:lang w:eastAsia="en-US"/>
        </w:rPr>
        <w:t>tabulā.</w:t>
      </w:r>
    </w:p>
    <w:p w14:paraId="5A57FD66" w14:textId="77777777" w:rsidR="00910EC7" w:rsidRPr="001F18C9" w:rsidRDefault="00910EC7" w:rsidP="00910EC7">
      <w:pPr>
        <w:spacing w:before="120" w:after="120"/>
        <w:ind w:firstLine="720"/>
        <w:jc w:val="right"/>
        <w:rPr>
          <w:rFonts w:eastAsia="Calibri"/>
          <w:b/>
          <w:szCs w:val="24"/>
          <w:lang w:eastAsia="en-US"/>
        </w:rPr>
      </w:pPr>
      <w:r w:rsidRPr="001F18C9">
        <w:rPr>
          <w:rFonts w:eastAsia="Calibri"/>
          <w:b/>
          <w:szCs w:val="24"/>
          <w:lang w:eastAsia="en-US"/>
        </w:rPr>
        <w:t>1.</w:t>
      </w:r>
      <w:r w:rsidR="005E4BD9">
        <w:rPr>
          <w:rFonts w:eastAsia="Calibri"/>
          <w:b/>
          <w:szCs w:val="24"/>
          <w:lang w:eastAsia="en-US"/>
        </w:rPr>
        <w:t> </w:t>
      </w:r>
      <w:r w:rsidRPr="001F18C9">
        <w:rPr>
          <w:rFonts w:eastAsia="Calibri"/>
          <w:b/>
          <w:szCs w:val="24"/>
          <w:lang w:eastAsia="en-US"/>
        </w:rPr>
        <w:t>tabula</w:t>
      </w:r>
    </w:p>
    <w:p w14:paraId="7CA11E79" w14:textId="0A051F48" w:rsidR="00910EC7" w:rsidRDefault="00910EC7" w:rsidP="003415D3">
      <w:pPr>
        <w:spacing w:before="120" w:after="120"/>
        <w:ind w:firstLine="720"/>
        <w:rPr>
          <w:rFonts w:eastAsia="Calibri"/>
          <w:b/>
          <w:szCs w:val="24"/>
          <w:lang w:eastAsia="en-US"/>
        </w:rPr>
      </w:pPr>
      <w:r>
        <w:rPr>
          <w:rFonts w:eastAsia="Calibri"/>
          <w:b/>
          <w:szCs w:val="24"/>
          <w:lang w:eastAsia="en-US"/>
        </w:rPr>
        <w:t xml:space="preserve">Stratēģijas rezultatīvie rādītāji </w:t>
      </w:r>
      <w:r w:rsidR="005F05DF">
        <w:rPr>
          <w:rFonts w:eastAsia="Calibri"/>
          <w:b/>
          <w:szCs w:val="24"/>
          <w:lang w:eastAsia="en-US"/>
        </w:rPr>
        <w:t xml:space="preserve">(virsmērķis un starpposmu mērķi) </w:t>
      </w:r>
    </w:p>
    <w:tbl>
      <w:tblPr>
        <w:tblW w:w="9770" w:type="dxa"/>
        <w:jc w:val="center"/>
        <w:shd w:val="clear" w:color="auto" w:fill="D9D9D9" w:themeFill="background1" w:themeFillShade="D9"/>
        <w:tblLayout w:type="fixed"/>
        <w:tblCellMar>
          <w:left w:w="0" w:type="dxa"/>
          <w:right w:w="0" w:type="dxa"/>
        </w:tblCellMar>
        <w:tblLook w:val="0600" w:firstRow="0" w:lastRow="0" w:firstColumn="0" w:lastColumn="0" w:noHBand="1" w:noVBand="1"/>
      </w:tblPr>
      <w:tblGrid>
        <w:gridCol w:w="1426"/>
        <w:gridCol w:w="1296"/>
        <w:gridCol w:w="1531"/>
        <w:gridCol w:w="1876"/>
        <w:gridCol w:w="1516"/>
        <w:gridCol w:w="2125"/>
      </w:tblGrid>
      <w:tr w:rsidR="003D53E3" w:rsidRPr="003968DF" w14:paraId="248C16A7" w14:textId="77777777" w:rsidTr="009B0C53">
        <w:trPr>
          <w:trHeight w:val="226"/>
          <w:jc w:val="center"/>
        </w:trPr>
        <w:tc>
          <w:tcPr>
            <w:tcW w:w="1426" w:type="dxa"/>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C1B01CA" w14:textId="77777777" w:rsidR="003D53E3" w:rsidRPr="00E379E7" w:rsidRDefault="003D53E3" w:rsidP="003D53E3">
            <w:pPr>
              <w:spacing w:before="120" w:after="120"/>
              <w:ind w:firstLine="720"/>
              <w:rPr>
                <w:rFonts w:eastAsia="Calibri"/>
                <w:b/>
                <w:sz w:val="22"/>
                <w:lang w:eastAsia="en-US"/>
              </w:rPr>
            </w:pPr>
          </w:p>
        </w:tc>
        <w:tc>
          <w:tcPr>
            <w:tcW w:w="1296" w:type="dxa"/>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32089B6" w14:textId="77777777" w:rsidR="003D53E3" w:rsidRPr="00E379E7" w:rsidRDefault="003D53E3" w:rsidP="003D53E3">
            <w:pPr>
              <w:spacing w:before="120" w:after="120"/>
              <w:ind w:firstLine="0"/>
              <w:rPr>
                <w:rFonts w:eastAsia="Calibri"/>
                <w:b/>
                <w:sz w:val="22"/>
                <w:lang w:eastAsia="en-US"/>
              </w:rPr>
            </w:pPr>
            <w:r w:rsidRPr="00E379E7">
              <w:rPr>
                <w:rFonts w:eastAsia="Calibri"/>
                <w:b/>
                <w:bCs/>
                <w:sz w:val="22"/>
                <w:lang w:eastAsia="en-US"/>
              </w:rPr>
              <w:t xml:space="preserve">Bāzes gads </w:t>
            </w:r>
          </w:p>
          <w:p w14:paraId="524FD119" w14:textId="77777777" w:rsidR="003D53E3" w:rsidRPr="00E379E7" w:rsidRDefault="00E1538D" w:rsidP="00E379E7">
            <w:pPr>
              <w:spacing w:before="120" w:after="120"/>
              <w:ind w:firstLine="0"/>
              <w:jc w:val="center"/>
              <w:rPr>
                <w:rFonts w:eastAsia="Calibri"/>
                <w:b/>
                <w:sz w:val="22"/>
                <w:lang w:eastAsia="en-US"/>
              </w:rPr>
            </w:pPr>
            <w:r w:rsidRPr="00E379E7">
              <w:rPr>
                <w:rFonts w:eastAsia="Calibri"/>
                <w:b/>
                <w:bCs/>
                <w:sz w:val="22"/>
                <w:lang w:eastAsia="en-US"/>
              </w:rPr>
              <w:t>1990.</w:t>
            </w:r>
            <w:r w:rsidR="005E4BD9">
              <w:rPr>
                <w:rFonts w:eastAsia="Calibri"/>
                <w:b/>
                <w:bCs/>
                <w:sz w:val="22"/>
                <w:lang w:eastAsia="en-US"/>
              </w:rPr>
              <w:t> </w:t>
            </w:r>
            <w:r w:rsidRPr="00E379E7">
              <w:rPr>
                <w:rFonts w:eastAsia="Calibri"/>
                <w:b/>
                <w:bCs/>
                <w:sz w:val="22"/>
                <w:lang w:eastAsia="en-US"/>
              </w:rPr>
              <w:t>g.</w:t>
            </w:r>
            <w:r w:rsidRPr="00E379E7">
              <w:rPr>
                <w:rStyle w:val="FootnoteReference"/>
                <w:rFonts w:eastAsia="Calibri"/>
                <w:b/>
                <w:bCs/>
                <w:sz w:val="22"/>
                <w:lang w:eastAsia="en-US"/>
              </w:rPr>
              <w:footnoteReference w:id="9"/>
            </w:r>
          </w:p>
        </w:tc>
        <w:tc>
          <w:tcPr>
            <w:tcW w:w="1531" w:type="dxa"/>
            <w:vMerge w:val="restart"/>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B159EF2" w14:textId="77777777" w:rsidR="003D53E3" w:rsidRPr="00E379E7" w:rsidRDefault="00E1538D" w:rsidP="00E379E7">
            <w:pPr>
              <w:spacing w:before="120" w:after="120"/>
              <w:ind w:firstLine="0"/>
              <w:jc w:val="center"/>
              <w:rPr>
                <w:rFonts w:eastAsia="Calibri"/>
                <w:b/>
                <w:sz w:val="22"/>
                <w:lang w:eastAsia="en-US"/>
              </w:rPr>
            </w:pPr>
            <w:r w:rsidRPr="00E379E7">
              <w:rPr>
                <w:rFonts w:eastAsia="Calibri"/>
                <w:b/>
                <w:bCs/>
                <w:sz w:val="22"/>
                <w:lang w:eastAsia="en-US"/>
              </w:rPr>
              <w:t>Prognoze 2020.</w:t>
            </w:r>
            <w:r w:rsidR="005E4BD9">
              <w:rPr>
                <w:rFonts w:eastAsia="Calibri"/>
                <w:b/>
                <w:bCs/>
                <w:sz w:val="22"/>
                <w:lang w:eastAsia="en-US"/>
              </w:rPr>
              <w:t> </w:t>
            </w:r>
            <w:r w:rsidRPr="00E379E7">
              <w:rPr>
                <w:rFonts w:eastAsia="Calibri"/>
                <w:b/>
                <w:bCs/>
                <w:sz w:val="22"/>
                <w:lang w:eastAsia="en-US"/>
              </w:rPr>
              <w:t>g.</w:t>
            </w:r>
            <w:r w:rsidRPr="00E379E7">
              <w:rPr>
                <w:rStyle w:val="FootnoteReference"/>
                <w:rFonts w:eastAsia="Calibri"/>
                <w:b/>
                <w:sz w:val="22"/>
                <w:lang w:eastAsia="en-US"/>
              </w:rPr>
              <w:footnoteReference w:id="10"/>
            </w:r>
          </w:p>
        </w:tc>
        <w:tc>
          <w:tcPr>
            <w:tcW w:w="5517" w:type="dxa"/>
            <w:gridSpan w:val="3"/>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77F9536" w14:textId="77777777" w:rsidR="003D53E3" w:rsidRPr="00E379E7" w:rsidRDefault="003D53E3" w:rsidP="00C50D78">
            <w:pPr>
              <w:spacing w:before="120" w:after="120"/>
              <w:ind w:firstLine="720"/>
              <w:jc w:val="center"/>
              <w:rPr>
                <w:rFonts w:eastAsia="Calibri"/>
                <w:b/>
                <w:sz w:val="22"/>
                <w:lang w:eastAsia="en-US"/>
              </w:rPr>
            </w:pPr>
            <w:r w:rsidRPr="00E379E7">
              <w:rPr>
                <w:rFonts w:eastAsia="Calibri"/>
                <w:b/>
                <w:bCs/>
                <w:sz w:val="22"/>
                <w:lang w:eastAsia="en-US"/>
              </w:rPr>
              <w:t>Mērķi</w:t>
            </w:r>
          </w:p>
        </w:tc>
      </w:tr>
      <w:tr w:rsidR="003D53E3" w:rsidRPr="003968DF" w14:paraId="760D9FB2" w14:textId="77777777" w:rsidTr="009B0C53">
        <w:trPr>
          <w:trHeight w:val="221"/>
          <w:jc w:val="center"/>
        </w:trPr>
        <w:tc>
          <w:tcPr>
            <w:tcW w:w="1426" w:type="dxa"/>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2D4DDCEF" w14:textId="77777777" w:rsidR="003D53E3" w:rsidRPr="00E379E7" w:rsidRDefault="003D53E3" w:rsidP="003D53E3">
            <w:pPr>
              <w:spacing w:before="120" w:after="120"/>
              <w:ind w:firstLine="720"/>
              <w:rPr>
                <w:rFonts w:eastAsia="Calibri"/>
                <w:b/>
                <w:sz w:val="22"/>
                <w:lang w:eastAsia="en-US"/>
              </w:rPr>
            </w:pPr>
          </w:p>
        </w:tc>
        <w:tc>
          <w:tcPr>
            <w:tcW w:w="1296" w:type="dxa"/>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1F21959E" w14:textId="77777777" w:rsidR="003D53E3" w:rsidRPr="00E379E7" w:rsidRDefault="003D53E3" w:rsidP="003D53E3">
            <w:pPr>
              <w:spacing w:before="120" w:after="120"/>
              <w:ind w:firstLine="720"/>
              <w:rPr>
                <w:rFonts w:eastAsia="Calibri"/>
                <w:b/>
                <w:sz w:val="22"/>
                <w:lang w:eastAsia="en-US"/>
              </w:rPr>
            </w:pPr>
          </w:p>
        </w:tc>
        <w:tc>
          <w:tcPr>
            <w:tcW w:w="1531" w:type="dxa"/>
            <w:vMerge/>
            <w:tcBorders>
              <w:top w:val="single" w:sz="8" w:space="0" w:color="FFFFFF"/>
              <w:left w:val="single" w:sz="8" w:space="0" w:color="FFFFFF"/>
              <w:bottom w:val="single" w:sz="24" w:space="0" w:color="FFFFFF"/>
              <w:right w:val="single" w:sz="8" w:space="0" w:color="FFFFFF"/>
            </w:tcBorders>
            <w:shd w:val="clear" w:color="auto" w:fill="D9D9D9" w:themeFill="background1" w:themeFillShade="D9"/>
            <w:vAlign w:val="center"/>
            <w:hideMark/>
          </w:tcPr>
          <w:p w14:paraId="66758B3D" w14:textId="77777777" w:rsidR="003D53E3" w:rsidRPr="00E379E7" w:rsidRDefault="003D53E3" w:rsidP="003D53E3">
            <w:pPr>
              <w:spacing w:before="120" w:after="120"/>
              <w:ind w:firstLine="720"/>
              <w:rPr>
                <w:rFonts w:eastAsia="Calibri"/>
                <w:b/>
                <w:sz w:val="22"/>
                <w:lang w:eastAsia="en-US"/>
              </w:rPr>
            </w:pPr>
          </w:p>
        </w:tc>
        <w:tc>
          <w:tcPr>
            <w:tcW w:w="1876" w:type="dxa"/>
            <w:tcBorders>
              <w:top w:val="single" w:sz="24" w:space="0" w:color="FFFFFF"/>
              <w:left w:val="single" w:sz="8" w:space="0" w:color="FFFFFF"/>
              <w:bottom w:val="single" w:sz="36" w:space="0" w:color="FFFF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66B8FE2" w14:textId="77777777" w:rsidR="003D53E3" w:rsidRPr="00E379E7" w:rsidRDefault="003D53E3" w:rsidP="003D53E3">
            <w:pPr>
              <w:spacing w:before="120" w:after="120"/>
              <w:rPr>
                <w:rFonts w:eastAsia="Calibri"/>
                <w:b/>
                <w:sz w:val="22"/>
                <w:lang w:eastAsia="en-US"/>
              </w:rPr>
            </w:pPr>
            <w:r w:rsidRPr="00E379E7">
              <w:rPr>
                <w:rFonts w:eastAsia="Calibri"/>
                <w:b/>
                <w:bCs/>
                <w:sz w:val="22"/>
                <w:lang w:eastAsia="en-US"/>
              </w:rPr>
              <w:t>2030.</w:t>
            </w:r>
            <w:r w:rsidR="005E4BD9">
              <w:rPr>
                <w:rFonts w:eastAsia="Calibri"/>
                <w:b/>
                <w:bCs/>
                <w:sz w:val="22"/>
                <w:lang w:eastAsia="en-US"/>
              </w:rPr>
              <w:t> </w:t>
            </w:r>
            <w:r w:rsidRPr="00E379E7">
              <w:rPr>
                <w:rFonts w:eastAsia="Calibri"/>
                <w:b/>
                <w:bCs/>
                <w:sz w:val="22"/>
                <w:lang w:eastAsia="en-US"/>
              </w:rPr>
              <w:t>g.</w:t>
            </w:r>
          </w:p>
        </w:tc>
        <w:tc>
          <w:tcPr>
            <w:tcW w:w="1516" w:type="dxa"/>
            <w:tcBorders>
              <w:top w:val="single" w:sz="24" w:space="0" w:color="FFFFFF"/>
              <w:left w:val="single" w:sz="8" w:space="0" w:color="FFFFFF"/>
              <w:bottom w:val="single" w:sz="36" w:space="0" w:color="FFFF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77B9A15" w14:textId="77777777" w:rsidR="003D53E3" w:rsidRPr="00E379E7" w:rsidRDefault="003D53E3" w:rsidP="00E008BC">
            <w:pPr>
              <w:spacing w:before="120" w:after="120"/>
              <w:ind w:firstLine="0"/>
              <w:jc w:val="center"/>
              <w:rPr>
                <w:rFonts w:eastAsia="Calibri"/>
                <w:b/>
                <w:sz w:val="22"/>
                <w:lang w:eastAsia="en-US"/>
              </w:rPr>
            </w:pPr>
            <w:r w:rsidRPr="00E379E7">
              <w:rPr>
                <w:rFonts w:eastAsia="Calibri"/>
                <w:b/>
                <w:bCs/>
                <w:sz w:val="22"/>
                <w:lang w:eastAsia="en-US"/>
              </w:rPr>
              <w:t>2040.</w:t>
            </w:r>
            <w:r w:rsidR="005E4BD9">
              <w:rPr>
                <w:rFonts w:eastAsia="Calibri"/>
                <w:b/>
                <w:bCs/>
                <w:sz w:val="22"/>
                <w:lang w:eastAsia="en-US"/>
              </w:rPr>
              <w:t> </w:t>
            </w:r>
            <w:r w:rsidRPr="00E379E7">
              <w:rPr>
                <w:rFonts w:eastAsia="Calibri"/>
                <w:b/>
                <w:bCs/>
                <w:sz w:val="22"/>
                <w:lang w:eastAsia="en-US"/>
              </w:rPr>
              <w:t>g.</w:t>
            </w:r>
          </w:p>
        </w:tc>
        <w:tc>
          <w:tcPr>
            <w:tcW w:w="2125" w:type="dxa"/>
            <w:tcBorders>
              <w:top w:val="single" w:sz="24"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BD2EE52" w14:textId="77777777" w:rsidR="003D53E3" w:rsidRPr="00E379E7" w:rsidRDefault="003D53E3" w:rsidP="003D53E3">
            <w:pPr>
              <w:spacing w:before="120" w:after="120"/>
              <w:rPr>
                <w:rFonts w:eastAsia="Calibri"/>
                <w:b/>
                <w:sz w:val="22"/>
                <w:lang w:eastAsia="en-US"/>
              </w:rPr>
            </w:pPr>
            <w:r w:rsidRPr="00E379E7">
              <w:rPr>
                <w:rFonts w:eastAsia="Calibri"/>
                <w:b/>
                <w:bCs/>
                <w:sz w:val="22"/>
                <w:lang w:eastAsia="en-US"/>
              </w:rPr>
              <w:t>2050.</w:t>
            </w:r>
            <w:r w:rsidR="005E4BD9">
              <w:rPr>
                <w:rFonts w:eastAsia="Calibri"/>
                <w:b/>
                <w:bCs/>
                <w:sz w:val="22"/>
                <w:lang w:eastAsia="en-US"/>
              </w:rPr>
              <w:t> </w:t>
            </w:r>
            <w:r w:rsidRPr="00E379E7">
              <w:rPr>
                <w:rFonts w:eastAsia="Calibri"/>
                <w:b/>
                <w:bCs/>
                <w:sz w:val="22"/>
                <w:lang w:eastAsia="en-US"/>
              </w:rPr>
              <w:t>g.</w:t>
            </w:r>
          </w:p>
        </w:tc>
      </w:tr>
      <w:tr w:rsidR="003D53E3" w:rsidRPr="003968DF" w14:paraId="4B98DA2E" w14:textId="77777777" w:rsidTr="009B0C53">
        <w:trPr>
          <w:trHeight w:val="543"/>
          <w:jc w:val="center"/>
        </w:trPr>
        <w:tc>
          <w:tcPr>
            <w:tcW w:w="142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3B45CB0" w14:textId="77777777" w:rsidR="003D53E3" w:rsidRPr="00E379E7" w:rsidRDefault="003D53E3" w:rsidP="003D53E3">
            <w:pPr>
              <w:spacing w:before="120" w:after="120"/>
              <w:ind w:firstLine="0"/>
              <w:rPr>
                <w:rFonts w:eastAsia="Calibri"/>
                <w:b/>
                <w:sz w:val="22"/>
                <w:lang w:eastAsia="en-US"/>
              </w:rPr>
            </w:pPr>
            <w:r w:rsidRPr="00E379E7">
              <w:rPr>
                <w:rFonts w:eastAsia="Calibri"/>
                <w:b/>
                <w:bCs/>
                <w:sz w:val="22"/>
                <w:lang w:eastAsia="en-US"/>
              </w:rPr>
              <w:t>SEG emisijas (bez ZIZIMM sektora)</w:t>
            </w:r>
          </w:p>
        </w:tc>
        <w:tc>
          <w:tcPr>
            <w:tcW w:w="1296"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9548A81" w14:textId="77777777" w:rsidR="003D53E3" w:rsidRPr="00E379E7" w:rsidRDefault="003D53E3" w:rsidP="00E1538D">
            <w:pPr>
              <w:spacing w:before="120" w:after="120"/>
              <w:ind w:firstLine="0"/>
              <w:jc w:val="center"/>
              <w:rPr>
                <w:rFonts w:eastAsia="Calibri"/>
                <w:b/>
                <w:sz w:val="22"/>
                <w:lang w:eastAsia="en-US"/>
              </w:rPr>
            </w:pPr>
            <w:r w:rsidRPr="00E379E7">
              <w:rPr>
                <w:rFonts w:eastAsia="Calibri"/>
                <w:b/>
                <w:sz w:val="22"/>
                <w:lang w:eastAsia="en-US"/>
              </w:rPr>
              <w:t>26</w:t>
            </w:r>
            <w:r w:rsidR="003F30A2" w:rsidRPr="00E379E7">
              <w:rPr>
                <w:rFonts w:eastAsia="Calibri"/>
                <w:b/>
                <w:sz w:val="22"/>
                <w:lang w:eastAsia="en-US"/>
              </w:rPr>
              <w:t> </w:t>
            </w:r>
            <w:r w:rsidRPr="00E379E7">
              <w:rPr>
                <w:rFonts w:eastAsia="Calibri"/>
                <w:b/>
                <w:sz w:val="22"/>
                <w:lang w:eastAsia="en-US"/>
              </w:rPr>
              <w:t>299 ktCO</w:t>
            </w:r>
            <w:r w:rsidRPr="00E379E7">
              <w:rPr>
                <w:rFonts w:eastAsia="Calibri"/>
                <w:b/>
                <w:sz w:val="22"/>
                <w:vertAlign w:val="subscript"/>
                <w:lang w:eastAsia="en-US"/>
              </w:rPr>
              <w:t>2</w:t>
            </w:r>
            <w:r w:rsidRPr="00E379E7">
              <w:rPr>
                <w:rFonts w:eastAsia="Calibri"/>
                <w:b/>
                <w:sz w:val="22"/>
                <w:lang w:eastAsia="en-US"/>
              </w:rPr>
              <w:t>ekv.</w:t>
            </w:r>
          </w:p>
        </w:tc>
        <w:tc>
          <w:tcPr>
            <w:tcW w:w="1531" w:type="dxa"/>
            <w:tcBorders>
              <w:top w:val="single" w:sz="24" w:space="0" w:color="FFFFFF"/>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7B524409" w14:textId="77777777" w:rsidR="003D53E3" w:rsidRPr="00E379E7" w:rsidRDefault="003D53E3" w:rsidP="00E1538D">
            <w:pPr>
              <w:spacing w:before="120" w:after="120"/>
              <w:ind w:firstLine="0"/>
              <w:jc w:val="center"/>
              <w:rPr>
                <w:rFonts w:eastAsia="Calibri"/>
                <w:b/>
                <w:sz w:val="22"/>
                <w:lang w:eastAsia="en-US"/>
              </w:rPr>
            </w:pPr>
            <w:r w:rsidRPr="00E379E7">
              <w:rPr>
                <w:rFonts w:eastAsia="Calibri"/>
                <w:b/>
                <w:sz w:val="22"/>
                <w:lang w:eastAsia="en-US"/>
              </w:rPr>
              <w:t>-55</w:t>
            </w:r>
            <w:r w:rsidR="005E4BD9">
              <w:rPr>
                <w:rFonts w:eastAsia="Calibri"/>
                <w:b/>
                <w:sz w:val="22"/>
                <w:lang w:eastAsia="en-US"/>
              </w:rPr>
              <w:t> </w:t>
            </w:r>
            <w:r w:rsidRPr="00E379E7">
              <w:rPr>
                <w:rFonts w:eastAsia="Calibri"/>
                <w:b/>
                <w:sz w:val="22"/>
                <w:lang w:eastAsia="en-US"/>
              </w:rPr>
              <w:t>%</w:t>
            </w:r>
          </w:p>
        </w:tc>
        <w:tc>
          <w:tcPr>
            <w:tcW w:w="1876" w:type="dxa"/>
            <w:tcBorders>
              <w:top w:val="single" w:sz="36" w:space="0" w:color="FFFF00"/>
              <w:left w:val="single" w:sz="36" w:space="0" w:color="FFFF00"/>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E0910EC" w14:textId="77777777" w:rsidR="003D53E3" w:rsidRPr="00E379E7" w:rsidRDefault="003D53E3" w:rsidP="00E1538D">
            <w:pPr>
              <w:spacing w:before="120" w:after="120"/>
              <w:rPr>
                <w:rFonts w:eastAsia="Calibri"/>
                <w:b/>
                <w:sz w:val="22"/>
                <w:lang w:eastAsia="en-US"/>
              </w:rPr>
            </w:pPr>
            <w:r w:rsidRPr="00E379E7">
              <w:rPr>
                <w:rFonts w:eastAsia="Calibri"/>
                <w:b/>
                <w:sz w:val="22"/>
                <w:lang w:eastAsia="en-US"/>
              </w:rPr>
              <w:t>-65</w:t>
            </w:r>
            <w:r w:rsidR="005E4BD9">
              <w:rPr>
                <w:rFonts w:eastAsia="Calibri"/>
                <w:b/>
                <w:sz w:val="22"/>
                <w:lang w:eastAsia="en-US"/>
              </w:rPr>
              <w:t> </w:t>
            </w:r>
            <w:r w:rsidRPr="00E379E7">
              <w:rPr>
                <w:rFonts w:eastAsia="Calibri"/>
                <w:b/>
                <w:sz w:val="22"/>
                <w:lang w:eastAsia="en-US"/>
              </w:rPr>
              <w:t>%</w:t>
            </w:r>
            <w:r w:rsidR="00EB2020" w:rsidRPr="00E379E7">
              <w:rPr>
                <w:rFonts w:eastAsia="Calibri"/>
                <w:b/>
                <w:sz w:val="22"/>
                <w:lang w:eastAsia="en-US"/>
              </w:rPr>
              <w:t xml:space="preserve"> (salīdzinājumā ar 1990.</w:t>
            </w:r>
            <w:r w:rsidR="005E4BD9">
              <w:rPr>
                <w:rFonts w:eastAsia="Calibri"/>
                <w:b/>
                <w:sz w:val="22"/>
                <w:lang w:eastAsia="en-US"/>
              </w:rPr>
              <w:t> </w:t>
            </w:r>
            <w:r w:rsidR="00EB2020" w:rsidRPr="00E379E7">
              <w:rPr>
                <w:rFonts w:eastAsia="Calibri"/>
                <w:b/>
                <w:sz w:val="22"/>
                <w:lang w:eastAsia="en-US"/>
              </w:rPr>
              <w:t>gadu)</w:t>
            </w:r>
          </w:p>
        </w:tc>
        <w:tc>
          <w:tcPr>
            <w:tcW w:w="1516" w:type="dxa"/>
            <w:tcBorders>
              <w:top w:val="single" w:sz="36" w:space="0" w:color="FFFF00"/>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5CDAE6C1" w14:textId="77777777" w:rsidR="003D53E3" w:rsidRPr="00E379E7" w:rsidRDefault="003D53E3" w:rsidP="005E4BD9">
            <w:pPr>
              <w:spacing w:before="120" w:after="120"/>
              <w:rPr>
                <w:rFonts w:eastAsia="Calibri"/>
                <w:b/>
                <w:sz w:val="22"/>
                <w:lang w:eastAsia="en-US"/>
              </w:rPr>
            </w:pPr>
            <w:r w:rsidRPr="00E379E7">
              <w:rPr>
                <w:rFonts w:eastAsia="Calibri"/>
                <w:b/>
                <w:sz w:val="22"/>
                <w:lang w:eastAsia="en-US"/>
              </w:rPr>
              <w:t>-85</w:t>
            </w:r>
            <w:r w:rsidR="005E4BD9">
              <w:rPr>
                <w:rFonts w:eastAsia="Calibri"/>
                <w:b/>
                <w:sz w:val="22"/>
                <w:lang w:eastAsia="en-US"/>
              </w:rPr>
              <w:t> </w:t>
            </w:r>
            <w:r w:rsidRPr="00E379E7">
              <w:rPr>
                <w:rFonts w:eastAsia="Calibri"/>
                <w:b/>
                <w:sz w:val="22"/>
                <w:lang w:eastAsia="en-US"/>
              </w:rPr>
              <w:t>%</w:t>
            </w:r>
            <w:r w:rsidR="00EB2020" w:rsidRPr="00E379E7">
              <w:rPr>
                <w:rFonts w:eastAsia="Calibri"/>
                <w:b/>
                <w:sz w:val="22"/>
                <w:lang w:eastAsia="en-US"/>
              </w:rPr>
              <w:t xml:space="preserve"> (salīdzinājumā ar 1990.</w:t>
            </w:r>
            <w:r w:rsidR="005E4BD9">
              <w:rPr>
                <w:rFonts w:eastAsia="Calibri"/>
                <w:b/>
                <w:sz w:val="22"/>
                <w:lang w:eastAsia="en-US"/>
              </w:rPr>
              <w:t> </w:t>
            </w:r>
            <w:r w:rsidR="00EB2020" w:rsidRPr="00E379E7">
              <w:rPr>
                <w:rFonts w:eastAsia="Calibri"/>
                <w:b/>
                <w:sz w:val="22"/>
                <w:lang w:eastAsia="en-US"/>
              </w:rPr>
              <w:t>gadu)</w:t>
            </w:r>
          </w:p>
        </w:tc>
        <w:tc>
          <w:tcPr>
            <w:tcW w:w="2125" w:type="dxa"/>
            <w:vMerge w:val="restart"/>
            <w:tcBorders>
              <w:top w:val="single" w:sz="24" w:space="0" w:color="FFFFFF"/>
              <w:left w:val="single" w:sz="36" w:space="0" w:color="FFFF00"/>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54D35CB8" w14:textId="77777777" w:rsidR="003D53E3" w:rsidRPr="00E379E7" w:rsidRDefault="003D53E3" w:rsidP="003D53E3">
            <w:pPr>
              <w:spacing w:before="120" w:after="120"/>
              <w:ind w:firstLine="0"/>
              <w:rPr>
                <w:rFonts w:eastAsia="Calibri"/>
                <w:b/>
                <w:sz w:val="22"/>
                <w:lang w:eastAsia="en-US"/>
              </w:rPr>
            </w:pPr>
            <w:r w:rsidRPr="00E379E7">
              <w:rPr>
                <w:rFonts w:eastAsia="Calibri"/>
                <w:b/>
                <w:bCs/>
                <w:sz w:val="22"/>
                <w:lang w:eastAsia="en-US"/>
              </w:rPr>
              <w:t>Klimatneitralitāte</w:t>
            </w:r>
            <w:r w:rsidRPr="00E379E7">
              <w:rPr>
                <w:rFonts w:eastAsia="Calibri"/>
                <w:b/>
                <w:sz w:val="22"/>
                <w:lang w:eastAsia="en-US"/>
              </w:rPr>
              <w:t xml:space="preserve"> (nesamazināmās SEG emisijas kompensē piesaiste ZIZIMM sektorā)</w:t>
            </w:r>
          </w:p>
        </w:tc>
      </w:tr>
      <w:tr w:rsidR="003D53E3" w:rsidRPr="003968DF" w14:paraId="5D9F6D86" w14:textId="77777777" w:rsidTr="009B0C53">
        <w:trPr>
          <w:trHeight w:val="673"/>
          <w:jc w:val="center"/>
        </w:trPr>
        <w:tc>
          <w:tcPr>
            <w:tcW w:w="142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1F700A9" w14:textId="77777777" w:rsidR="003D53E3" w:rsidRPr="00E379E7" w:rsidRDefault="003D53E3" w:rsidP="003D53E3">
            <w:pPr>
              <w:spacing w:before="120" w:after="120"/>
              <w:ind w:firstLine="0"/>
              <w:rPr>
                <w:rFonts w:eastAsia="Calibri"/>
                <w:b/>
                <w:sz w:val="22"/>
                <w:lang w:eastAsia="en-US"/>
              </w:rPr>
            </w:pPr>
            <w:r w:rsidRPr="00E379E7">
              <w:rPr>
                <w:rFonts w:eastAsia="Calibri"/>
                <w:b/>
                <w:bCs/>
                <w:sz w:val="22"/>
                <w:lang w:eastAsia="en-US"/>
              </w:rPr>
              <w:t>CO</w:t>
            </w:r>
            <w:r w:rsidRPr="00E379E7">
              <w:rPr>
                <w:rFonts w:eastAsia="Calibri"/>
                <w:b/>
                <w:bCs/>
                <w:sz w:val="22"/>
                <w:vertAlign w:val="subscript"/>
                <w:lang w:eastAsia="en-US"/>
              </w:rPr>
              <w:t>2</w:t>
            </w:r>
            <w:r w:rsidRPr="00E379E7">
              <w:rPr>
                <w:rFonts w:eastAsia="Calibri"/>
                <w:b/>
                <w:bCs/>
                <w:sz w:val="22"/>
                <w:lang w:eastAsia="en-US"/>
              </w:rPr>
              <w:t xml:space="preserve"> piesaiste un SEG emisijas ZIZIMM sektorā</w:t>
            </w:r>
          </w:p>
        </w:tc>
        <w:tc>
          <w:tcPr>
            <w:tcW w:w="129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3BE12717" w14:textId="77777777" w:rsidR="003D53E3" w:rsidRPr="00E379E7" w:rsidRDefault="00861F08" w:rsidP="00E1538D">
            <w:pPr>
              <w:spacing w:before="120" w:after="120"/>
              <w:ind w:firstLine="0"/>
              <w:jc w:val="center"/>
              <w:rPr>
                <w:rFonts w:eastAsia="Calibri"/>
                <w:b/>
                <w:sz w:val="22"/>
                <w:lang w:eastAsia="en-US"/>
              </w:rPr>
            </w:pPr>
            <w:r w:rsidRPr="00E379E7">
              <w:rPr>
                <w:rFonts w:eastAsia="Calibri"/>
                <w:b/>
                <w:sz w:val="22"/>
                <w:lang w:eastAsia="en-US"/>
              </w:rPr>
              <w:t>-9 </w:t>
            </w:r>
            <w:r w:rsidR="003D53E3" w:rsidRPr="00E379E7">
              <w:rPr>
                <w:rFonts w:eastAsia="Calibri"/>
                <w:b/>
                <w:sz w:val="22"/>
                <w:lang w:eastAsia="en-US"/>
              </w:rPr>
              <w:t>828 ktCO</w:t>
            </w:r>
            <w:r w:rsidR="003D53E3" w:rsidRPr="00E379E7">
              <w:rPr>
                <w:rFonts w:eastAsia="Calibri"/>
                <w:b/>
                <w:sz w:val="22"/>
                <w:vertAlign w:val="subscript"/>
                <w:lang w:eastAsia="en-US"/>
              </w:rPr>
              <w:t>2</w:t>
            </w:r>
            <w:r w:rsidR="003D53E3" w:rsidRPr="00E379E7">
              <w:rPr>
                <w:rFonts w:eastAsia="Calibri"/>
                <w:b/>
                <w:sz w:val="22"/>
                <w:lang w:eastAsia="en-US"/>
              </w:rPr>
              <w:t>ekv. (piesaiste)</w:t>
            </w:r>
          </w:p>
        </w:tc>
        <w:tc>
          <w:tcPr>
            <w:tcW w:w="1531" w:type="dxa"/>
            <w:tcBorders>
              <w:top w:val="single" w:sz="8" w:space="0" w:color="FFFFFF"/>
              <w:left w:val="single" w:sz="8" w:space="0" w:color="FFFFFF"/>
              <w:bottom w:val="single" w:sz="8" w:space="0" w:color="FFFFFF"/>
              <w:right w:val="single" w:sz="36" w:space="0" w:color="FFFF00"/>
            </w:tcBorders>
            <w:shd w:val="clear" w:color="auto" w:fill="D9D9D9" w:themeFill="background1" w:themeFillShade="D9"/>
            <w:tcMar>
              <w:top w:w="15" w:type="dxa"/>
              <w:left w:w="15" w:type="dxa"/>
              <w:bottom w:w="0" w:type="dxa"/>
              <w:right w:w="15" w:type="dxa"/>
            </w:tcMar>
            <w:vAlign w:val="center"/>
            <w:hideMark/>
          </w:tcPr>
          <w:p w14:paraId="47A57313" w14:textId="77777777" w:rsidR="003D53E3" w:rsidRPr="00E379E7" w:rsidRDefault="003D53E3" w:rsidP="00E1538D">
            <w:pPr>
              <w:ind w:firstLine="0"/>
              <w:jc w:val="center"/>
              <w:rPr>
                <w:rFonts w:eastAsia="Calibri"/>
                <w:b/>
                <w:sz w:val="22"/>
                <w:lang w:eastAsia="en-US"/>
              </w:rPr>
            </w:pPr>
            <w:r w:rsidRPr="00E379E7">
              <w:rPr>
                <w:rFonts w:eastAsia="Calibri"/>
                <w:b/>
                <w:sz w:val="22"/>
                <w:lang w:eastAsia="en-US"/>
              </w:rPr>
              <w:t>2</w:t>
            </w:r>
            <w:r w:rsidR="00861F08" w:rsidRPr="00E379E7">
              <w:rPr>
                <w:rFonts w:eastAsia="Calibri"/>
                <w:b/>
                <w:sz w:val="22"/>
                <w:lang w:eastAsia="en-US"/>
              </w:rPr>
              <w:t> </w:t>
            </w:r>
            <w:r w:rsidRPr="00E379E7">
              <w:rPr>
                <w:rFonts w:eastAsia="Calibri"/>
                <w:b/>
                <w:sz w:val="22"/>
                <w:lang w:eastAsia="en-US"/>
              </w:rPr>
              <w:t>094 ktCO</w:t>
            </w:r>
            <w:r w:rsidRPr="00E379E7">
              <w:rPr>
                <w:rFonts w:eastAsia="Calibri"/>
                <w:b/>
                <w:sz w:val="22"/>
                <w:vertAlign w:val="subscript"/>
                <w:lang w:eastAsia="en-US"/>
              </w:rPr>
              <w:t>2</w:t>
            </w:r>
            <w:r w:rsidRPr="00E379E7">
              <w:rPr>
                <w:rFonts w:eastAsia="Calibri"/>
                <w:b/>
                <w:sz w:val="22"/>
                <w:lang w:eastAsia="en-US"/>
              </w:rPr>
              <w:t>ekv.</w:t>
            </w:r>
          </w:p>
          <w:p w14:paraId="313C71F3" w14:textId="77777777" w:rsidR="003D53E3" w:rsidRPr="00E379E7" w:rsidRDefault="003D53E3" w:rsidP="00E1538D">
            <w:pPr>
              <w:ind w:firstLine="0"/>
              <w:jc w:val="center"/>
              <w:rPr>
                <w:rFonts w:eastAsia="Calibri"/>
                <w:b/>
                <w:sz w:val="22"/>
                <w:lang w:eastAsia="en-US"/>
              </w:rPr>
            </w:pPr>
            <w:r w:rsidRPr="00E379E7">
              <w:rPr>
                <w:rFonts w:eastAsia="Calibri"/>
                <w:b/>
                <w:sz w:val="22"/>
                <w:lang w:eastAsia="en-US"/>
              </w:rPr>
              <w:t>(emisijas)</w:t>
            </w:r>
          </w:p>
        </w:tc>
        <w:tc>
          <w:tcPr>
            <w:tcW w:w="1876" w:type="dxa"/>
            <w:tcBorders>
              <w:top w:val="single" w:sz="8" w:space="0" w:color="FFFFFF"/>
              <w:left w:val="single" w:sz="36" w:space="0" w:color="FFFF00"/>
              <w:bottom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76EC4D24" w14:textId="77777777" w:rsidR="003D53E3" w:rsidRPr="00E379E7" w:rsidRDefault="00910EC7" w:rsidP="00E1538D">
            <w:pPr>
              <w:spacing w:before="120" w:after="120"/>
              <w:ind w:firstLine="0"/>
              <w:jc w:val="center"/>
              <w:rPr>
                <w:rFonts w:eastAsia="Calibri"/>
                <w:b/>
                <w:sz w:val="22"/>
                <w:lang w:eastAsia="en-US"/>
              </w:rPr>
            </w:pPr>
            <w:r w:rsidRPr="00E379E7">
              <w:rPr>
                <w:rFonts w:eastAsia="Calibri"/>
                <w:b/>
                <w:sz w:val="22"/>
                <w:lang w:eastAsia="en-US"/>
              </w:rPr>
              <w:t>≤</w:t>
            </w:r>
            <w:r w:rsidR="003D53E3" w:rsidRPr="00E379E7">
              <w:rPr>
                <w:rFonts w:eastAsia="Calibri"/>
                <w:b/>
                <w:sz w:val="22"/>
                <w:lang w:eastAsia="en-US"/>
              </w:rPr>
              <w:t>1</w:t>
            </w:r>
            <w:r w:rsidR="00861F08" w:rsidRPr="00E379E7">
              <w:rPr>
                <w:rFonts w:eastAsia="Calibri"/>
                <w:b/>
                <w:sz w:val="22"/>
                <w:lang w:eastAsia="en-US"/>
              </w:rPr>
              <w:t> </w:t>
            </w:r>
            <w:r w:rsidR="003D53E3" w:rsidRPr="00E379E7">
              <w:rPr>
                <w:rFonts w:eastAsia="Calibri"/>
                <w:b/>
                <w:sz w:val="22"/>
                <w:lang w:eastAsia="en-US"/>
              </w:rPr>
              <w:t>047 ktCO</w:t>
            </w:r>
            <w:r w:rsidR="003D53E3" w:rsidRPr="00E379E7">
              <w:rPr>
                <w:rFonts w:eastAsia="Calibri"/>
                <w:b/>
                <w:sz w:val="22"/>
                <w:vertAlign w:val="subscript"/>
                <w:lang w:eastAsia="en-US"/>
              </w:rPr>
              <w:t>2</w:t>
            </w:r>
            <w:r w:rsidR="003D53E3" w:rsidRPr="00E379E7">
              <w:rPr>
                <w:rFonts w:eastAsia="Calibri"/>
                <w:b/>
                <w:sz w:val="22"/>
                <w:lang w:eastAsia="en-US"/>
              </w:rPr>
              <w:t>ekv. (emisijas)</w:t>
            </w:r>
          </w:p>
        </w:tc>
        <w:tc>
          <w:tcPr>
            <w:tcW w:w="1516" w:type="dxa"/>
            <w:tcBorders>
              <w:top w:val="single" w:sz="8" w:space="0" w:color="FFFFFF"/>
              <w:left w:val="single" w:sz="8" w:space="0" w:color="FFFFFF"/>
              <w:bottom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6258646C" w14:textId="77777777" w:rsidR="003D53E3" w:rsidRPr="00E379E7" w:rsidRDefault="007E42D0" w:rsidP="00E1538D">
            <w:pPr>
              <w:spacing w:before="120" w:after="120"/>
              <w:ind w:firstLine="0"/>
              <w:jc w:val="center"/>
              <w:rPr>
                <w:rFonts w:eastAsia="Calibri"/>
                <w:b/>
                <w:sz w:val="22"/>
                <w:lang w:eastAsia="en-US"/>
              </w:rPr>
            </w:pPr>
            <w:r w:rsidRPr="00E379E7">
              <w:rPr>
                <w:rFonts w:eastAsia="Calibri"/>
                <w:b/>
                <w:sz w:val="22"/>
                <w:lang w:eastAsia="en-US"/>
              </w:rPr>
              <w:t xml:space="preserve">Neto “0” </w:t>
            </w:r>
            <w:r w:rsidR="003D53E3" w:rsidRPr="00E379E7">
              <w:rPr>
                <w:rFonts w:eastAsia="Calibri"/>
                <w:b/>
                <w:sz w:val="22"/>
                <w:lang w:eastAsia="en-US"/>
              </w:rPr>
              <w:t>emisijas</w:t>
            </w:r>
          </w:p>
          <w:p w14:paraId="7411774C" w14:textId="77777777" w:rsidR="003D53E3" w:rsidRPr="00E379E7" w:rsidRDefault="003D53E3" w:rsidP="00E1538D">
            <w:pPr>
              <w:spacing w:before="120" w:after="120"/>
              <w:ind w:firstLine="0"/>
              <w:jc w:val="center"/>
              <w:rPr>
                <w:rFonts w:eastAsia="Calibri"/>
                <w:b/>
                <w:sz w:val="22"/>
                <w:lang w:eastAsia="en-US"/>
              </w:rPr>
            </w:pPr>
            <w:r w:rsidRPr="00E379E7">
              <w:rPr>
                <w:rFonts w:eastAsia="Calibri"/>
                <w:b/>
                <w:sz w:val="22"/>
                <w:lang w:eastAsia="en-US"/>
              </w:rPr>
              <w:t>(sektora piesaiste kompensē sektora emisijas)</w:t>
            </w:r>
          </w:p>
        </w:tc>
        <w:tc>
          <w:tcPr>
            <w:tcW w:w="2125" w:type="dxa"/>
            <w:vMerge/>
            <w:tcBorders>
              <w:top w:val="single" w:sz="24" w:space="0" w:color="FFFFFF"/>
              <w:left w:val="single" w:sz="36" w:space="0" w:color="FFFF00"/>
              <w:bottom w:val="single" w:sz="8" w:space="0" w:color="FFFFFF"/>
              <w:right w:val="single" w:sz="8" w:space="0" w:color="FFFFFF"/>
            </w:tcBorders>
            <w:shd w:val="clear" w:color="auto" w:fill="D9D9D9" w:themeFill="background1" w:themeFillShade="D9"/>
            <w:vAlign w:val="center"/>
            <w:hideMark/>
          </w:tcPr>
          <w:p w14:paraId="5D1A864F" w14:textId="77777777" w:rsidR="003D53E3" w:rsidRPr="00E379E7" w:rsidRDefault="003D53E3" w:rsidP="003D53E3">
            <w:pPr>
              <w:spacing w:before="120" w:after="120"/>
              <w:ind w:firstLine="720"/>
              <w:rPr>
                <w:rFonts w:eastAsia="Calibri"/>
                <w:b/>
                <w:sz w:val="22"/>
                <w:lang w:eastAsia="en-US"/>
              </w:rPr>
            </w:pPr>
          </w:p>
        </w:tc>
      </w:tr>
      <w:tr w:rsidR="003D53E3" w:rsidRPr="003968DF" w14:paraId="639A10A6" w14:textId="77777777" w:rsidTr="00CD7524">
        <w:trPr>
          <w:trHeight w:val="565"/>
          <w:jc w:val="center"/>
        </w:trPr>
        <w:tc>
          <w:tcPr>
            <w:tcW w:w="1426" w:type="dxa"/>
            <w:tcBorders>
              <w:top w:val="single" w:sz="8" w:space="0" w:color="FFFFFF"/>
              <w:left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8398BF0" w14:textId="77777777" w:rsidR="003D53E3" w:rsidRPr="00E379E7" w:rsidRDefault="003D53E3" w:rsidP="003D53E3">
            <w:pPr>
              <w:spacing w:before="120" w:after="120"/>
              <w:ind w:firstLine="0"/>
              <w:rPr>
                <w:rFonts w:eastAsia="Calibri"/>
                <w:b/>
                <w:sz w:val="22"/>
                <w:lang w:eastAsia="en-US"/>
              </w:rPr>
            </w:pPr>
            <w:r w:rsidRPr="00E379E7">
              <w:rPr>
                <w:rFonts w:eastAsia="Calibri"/>
                <w:b/>
                <w:bCs/>
                <w:sz w:val="22"/>
                <w:lang w:eastAsia="en-US"/>
              </w:rPr>
              <w:t>Virzība uz klimat-neitralitāti (</w:t>
            </w:r>
            <w:r w:rsidR="00523EDB" w:rsidRPr="00E379E7">
              <w:rPr>
                <w:rFonts w:eastAsia="Calibri"/>
                <w:b/>
                <w:bCs/>
                <w:sz w:val="22"/>
                <w:lang w:eastAsia="en-US"/>
              </w:rPr>
              <w:t xml:space="preserve">kopējās </w:t>
            </w:r>
            <w:r w:rsidRPr="00E379E7">
              <w:rPr>
                <w:rFonts w:eastAsia="Calibri"/>
                <w:b/>
                <w:bCs/>
                <w:sz w:val="22"/>
                <w:lang w:eastAsia="en-US"/>
              </w:rPr>
              <w:t>SEG emisijas</w:t>
            </w:r>
            <w:r w:rsidR="00523EDB" w:rsidRPr="00E379E7">
              <w:rPr>
                <w:rFonts w:eastAsia="Calibri"/>
                <w:b/>
                <w:bCs/>
                <w:sz w:val="22"/>
                <w:lang w:eastAsia="en-US"/>
              </w:rPr>
              <w:t>, iekļaujot</w:t>
            </w:r>
            <w:r w:rsidRPr="00E379E7">
              <w:rPr>
                <w:rFonts w:eastAsia="Calibri"/>
                <w:b/>
                <w:bCs/>
                <w:sz w:val="22"/>
                <w:lang w:eastAsia="en-US"/>
              </w:rPr>
              <w:t xml:space="preserve"> un ZIZIMM sektor</w:t>
            </w:r>
            <w:r w:rsidR="00523EDB" w:rsidRPr="00E379E7">
              <w:rPr>
                <w:rFonts w:eastAsia="Calibri"/>
                <w:b/>
                <w:bCs/>
                <w:sz w:val="22"/>
                <w:lang w:eastAsia="en-US"/>
              </w:rPr>
              <w:t>u</w:t>
            </w:r>
            <w:r w:rsidRPr="00E379E7">
              <w:rPr>
                <w:rFonts w:eastAsia="Calibri"/>
                <w:b/>
                <w:bCs/>
                <w:sz w:val="22"/>
                <w:lang w:eastAsia="en-US"/>
              </w:rPr>
              <w:t>)</w:t>
            </w:r>
          </w:p>
        </w:tc>
        <w:tc>
          <w:tcPr>
            <w:tcW w:w="1296" w:type="dxa"/>
            <w:tcBorders>
              <w:top w:val="single" w:sz="8" w:space="0" w:color="FFFFFF"/>
              <w:left w:val="single" w:sz="8" w:space="0" w:color="FFFFFF"/>
              <w:right w:val="single" w:sz="8" w:space="0" w:color="FFFFFF"/>
            </w:tcBorders>
            <w:shd w:val="clear" w:color="auto" w:fill="D9D9D9" w:themeFill="background1" w:themeFillShade="D9"/>
            <w:tcMar>
              <w:top w:w="15" w:type="dxa"/>
              <w:left w:w="15" w:type="dxa"/>
              <w:bottom w:w="0" w:type="dxa"/>
              <w:right w:w="15" w:type="dxa"/>
            </w:tcMar>
            <w:vAlign w:val="center"/>
            <w:hideMark/>
          </w:tcPr>
          <w:p w14:paraId="62BA635B" w14:textId="77777777" w:rsidR="003D53E3" w:rsidRPr="00E379E7" w:rsidRDefault="003D53E3" w:rsidP="00E1538D">
            <w:pPr>
              <w:spacing w:before="120" w:after="120"/>
              <w:ind w:firstLine="0"/>
              <w:jc w:val="center"/>
              <w:rPr>
                <w:rFonts w:eastAsia="Calibri"/>
                <w:b/>
                <w:sz w:val="22"/>
                <w:lang w:eastAsia="en-US"/>
              </w:rPr>
            </w:pPr>
            <w:r w:rsidRPr="00E379E7">
              <w:rPr>
                <w:rFonts w:eastAsia="Calibri"/>
                <w:b/>
                <w:sz w:val="22"/>
                <w:lang w:eastAsia="en-US"/>
              </w:rPr>
              <w:t>16</w:t>
            </w:r>
            <w:r w:rsidR="00861F08" w:rsidRPr="00E379E7">
              <w:rPr>
                <w:rFonts w:eastAsia="Calibri"/>
                <w:b/>
                <w:sz w:val="22"/>
                <w:lang w:eastAsia="en-US"/>
              </w:rPr>
              <w:t> </w:t>
            </w:r>
            <w:r w:rsidRPr="00E379E7">
              <w:rPr>
                <w:rFonts w:eastAsia="Calibri"/>
                <w:b/>
                <w:sz w:val="22"/>
                <w:lang w:eastAsia="en-US"/>
              </w:rPr>
              <w:t>471 ktCO</w:t>
            </w:r>
            <w:r w:rsidRPr="00E379E7">
              <w:rPr>
                <w:rFonts w:eastAsia="Calibri"/>
                <w:b/>
                <w:sz w:val="22"/>
                <w:vertAlign w:val="subscript"/>
                <w:lang w:eastAsia="en-US"/>
              </w:rPr>
              <w:t>2</w:t>
            </w:r>
            <w:r w:rsidRPr="00E379E7">
              <w:rPr>
                <w:rFonts w:eastAsia="Calibri"/>
                <w:b/>
                <w:sz w:val="22"/>
                <w:lang w:eastAsia="en-US"/>
              </w:rPr>
              <w:t>ekv.</w:t>
            </w:r>
          </w:p>
        </w:tc>
        <w:tc>
          <w:tcPr>
            <w:tcW w:w="1531" w:type="dxa"/>
            <w:tcBorders>
              <w:top w:val="single" w:sz="8" w:space="0" w:color="FFFFFF"/>
              <w:left w:val="single" w:sz="8" w:space="0" w:color="FFFFFF"/>
              <w:right w:val="single" w:sz="36" w:space="0" w:color="FFFF00"/>
            </w:tcBorders>
            <w:shd w:val="clear" w:color="auto" w:fill="D9D9D9" w:themeFill="background1" w:themeFillShade="D9"/>
            <w:tcMar>
              <w:top w:w="15" w:type="dxa"/>
              <w:left w:w="15" w:type="dxa"/>
              <w:bottom w:w="0" w:type="dxa"/>
              <w:right w:w="15" w:type="dxa"/>
            </w:tcMar>
            <w:vAlign w:val="center"/>
            <w:hideMark/>
          </w:tcPr>
          <w:p w14:paraId="23828CDA" w14:textId="77777777" w:rsidR="003D53E3" w:rsidRPr="00E379E7" w:rsidRDefault="003D53E3" w:rsidP="00E379E7">
            <w:pPr>
              <w:spacing w:before="120" w:after="120"/>
              <w:rPr>
                <w:rFonts w:eastAsia="Calibri"/>
                <w:b/>
                <w:sz w:val="22"/>
                <w:lang w:eastAsia="en-US"/>
              </w:rPr>
            </w:pPr>
            <w:r w:rsidRPr="00E379E7">
              <w:rPr>
                <w:rFonts w:eastAsia="Calibri"/>
                <w:b/>
                <w:sz w:val="22"/>
                <w:lang w:eastAsia="en-US"/>
              </w:rPr>
              <w:t>-16</w:t>
            </w:r>
            <w:r w:rsidR="005E4BD9">
              <w:rPr>
                <w:rFonts w:eastAsia="Calibri"/>
                <w:b/>
                <w:sz w:val="22"/>
                <w:lang w:eastAsia="en-US"/>
              </w:rPr>
              <w:t> </w:t>
            </w:r>
            <w:r w:rsidRPr="00E379E7">
              <w:rPr>
                <w:rFonts w:eastAsia="Calibri"/>
                <w:b/>
                <w:sz w:val="22"/>
                <w:lang w:eastAsia="en-US"/>
              </w:rPr>
              <w:t>%</w:t>
            </w:r>
          </w:p>
        </w:tc>
        <w:tc>
          <w:tcPr>
            <w:tcW w:w="1876" w:type="dxa"/>
            <w:tcBorders>
              <w:top w:val="single" w:sz="8" w:space="0" w:color="FFFFFF"/>
              <w:left w:val="single" w:sz="36" w:space="0" w:color="FFFF00"/>
              <w:right w:val="single" w:sz="8" w:space="0" w:color="FFFFFF"/>
            </w:tcBorders>
            <w:shd w:val="clear" w:color="auto" w:fill="D9D9D9" w:themeFill="background1" w:themeFillShade="D9"/>
            <w:tcMar>
              <w:top w:w="15" w:type="dxa"/>
              <w:left w:w="15" w:type="dxa"/>
              <w:bottom w:w="0" w:type="dxa"/>
              <w:right w:w="15" w:type="dxa"/>
            </w:tcMar>
            <w:vAlign w:val="center"/>
            <w:hideMark/>
          </w:tcPr>
          <w:p w14:paraId="62624529" w14:textId="77777777" w:rsidR="003E434C" w:rsidRPr="003E434C" w:rsidRDefault="003E434C" w:rsidP="00E379E7">
            <w:pPr>
              <w:spacing w:before="120" w:after="120"/>
              <w:rPr>
                <w:rFonts w:eastAsia="Calibri"/>
                <w:b/>
                <w:sz w:val="2"/>
                <w:lang w:eastAsia="en-US"/>
              </w:rPr>
            </w:pPr>
          </w:p>
          <w:p w14:paraId="6F04180C" w14:textId="2755F02C" w:rsidR="003D53E3" w:rsidRPr="00E379E7" w:rsidRDefault="003D53E3" w:rsidP="00E379E7">
            <w:pPr>
              <w:spacing w:before="120" w:after="120"/>
              <w:rPr>
                <w:rFonts w:eastAsia="Calibri"/>
                <w:b/>
                <w:sz w:val="22"/>
                <w:lang w:eastAsia="en-US"/>
              </w:rPr>
            </w:pPr>
            <w:r w:rsidRPr="00E379E7">
              <w:rPr>
                <w:rFonts w:eastAsia="Calibri"/>
                <w:b/>
                <w:sz w:val="22"/>
                <w:lang w:eastAsia="en-US"/>
              </w:rPr>
              <w:t>-38</w:t>
            </w:r>
            <w:r w:rsidR="005E4BD9">
              <w:rPr>
                <w:rFonts w:eastAsia="Calibri"/>
                <w:b/>
                <w:sz w:val="22"/>
                <w:lang w:eastAsia="en-US"/>
              </w:rPr>
              <w:t> </w:t>
            </w:r>
            <w:r w:rsidRPr="00E379E7">
              <w:rPr>
                <w:rFonts w:eastAsia="Calibri"/>
                <w:b/>
                <w:sz w:val="22"/>
                <w:lang w:eastAsia="en-US"/>
              </w:rPr>
              <w:t>%</w:t>
            </w:r>
            <w:r w:rsidR="006746A9" w:rsidRPr="00E379E7">
              <w:rPr>
                <w:rFonts w:eastAsia="Calibri"/>
                <w:b/>
                <w:sz w:val="22"/>
                <w:lang w:eastAsia="en-US"/>
              </w:rPr>
              <w:t>*</w:t>
            </w:r>
            <w:r w:rsidR="008C33F1" w:rsidRPr="00E379E7">
              <w:rPr>
                <w:rFonts w:eastAsia="Calibri"/>
                <w:b/>
                <w:sz w:val="22"/>
                <w:lang w:eastAsia="en-US"/>
              </w:rPr>
              <w:t xml:space="preserve"> (salīdzinājumā ar 1990.</w:t>
            </w:r>
            <w:r w:rsidR="005E4BD9">
              <w:rPr>
                <w:rFonts w:eastAsia="Calibri"/>
                <w:b/>
                <w:sz w:val="22"/>
                <w:lang w:eastAsia="en-US"/>
              </w:rPr>
              <w:t> </w:t>
            </w:r>
            <w:r w:rsidR="008C33F1" w:rsidRPr="00E379E7">
              <w:rPr>
                <w:rFonts w:eastAsia="Calibri"/>
                <w:b/>
                <w:sz w:val="22"/>
                <w:lang w:eastAsia="en-US"/>
              </w:rPr>
              <w:t>gadu)</w:t>
            </w:r>
          </w:p>
        </w:tc>
        <w:tc>
          <w:tcPr>
            <w:tcW w:w="1516" w:type="dxa"/>
            <w:tcBorders>
              <w:top w:val="single" w:sz="8" w:space="0" w:color="FFFFFF"/>
              <w:left w:val="single" w:sz="8" w:space="0" w:color="FFFFFF"/>
              <w:right w:val="single" w:sz="36" w:space="0" w:color="FFFF00"/>
            </w:tcBorders>
            <w:shd w:val="clear" w:color="auto" w:fill="D9D9D9" w:themeFill="background1" w:themeFillShade="D9"/>
            <w:tcMar>
              <w:top w:w="72" w:type="dxa"/>
              <w:left w:w="144" w:type="dxa"/>
              <w:bottom w:w="72" w:type="dxa"/>
              <w:right w:w="144" w:type="dxa"/>
            </w:tcMar>
            <w:vAlign w:val="center"/>
            <w:hideMark/>
          </w:tcPr>
          <w:p w14:paraId="0B1B829E" w14:textId="1CC47DF5" w:rsidR="003D53E3" w:rsidRPr="00E379E7" w:rsidRDefault="003D53E3" w:rsidP="005E4BD9">
            <w:pPr>
              <w:spacing w:before="120" w:after="120"/>
              <w:ind w:firstLine="0"/>
              <w:jc w:val="center"/>
              <w:rPr>
                <w:rFonts w:eastAsia="Calibri"/>
                <w:b/>
                <w:sz w:val="22"/>
                <w:lang w:eastAsia="en-US"/>
              </w:rPr>
            </w:pPr>
            <w:r w:rsidRPr="00E379E7">
              <w:rPr>
                <w:rFonts w:eastAsia="Calibri"/>
                <w:b/>
                <w:sz w:val="22"/>
                <w:lang w:eastAsia="en-US"/>
              </w:rPr>
              <w:t>-76%</w:t>
            </w:r>
            <w:r w:rsidR="005E4BD9">
              <w:rPr>
                <w:rFonts w:eastAsia="Calibri"/>
                <w:b/>
                <w:sz w:val="22"/>
                <w:lang w:eastAsia="en-US"/>
              </w:rPr>
              <w:t> </w:t>
            </w:r>
            <w:r w:rsidR="006746A9" w:rsidRPr="00E379E7">
              <w:rPr>
                <w:rFonts w:eastAsia="Calibri"/>
                <w:b/>
                <w:sz w:val="22"/>
                <w:lang w:eastAsia="en-US"/>
              </w:rPr>
              <w:t>*</w:t>
            </w:r>
            <w:r w:rsidR="008C33F1" w:rsidRPr="00E379E7">
              <w:rPr>
                <w:rFonts w:eastAsia="Calibri"/>
                <w:b/>
                <w:sz w:val="22"/>
                <w:lang w:eastAsia="en-US"/>
              </w:rPr>
              <w:t xml:space="preserve"> (salīdzinājumā ar 1990.</w:t>
            </w:r>
            <w:r w:rsidR="005E4BD9">
              <w:rPr>
                <w:rFonts w:eastAsia="Calibri"/>
                <w:b/>
                <w:sz w:val="22"/>
                <w:lang w:eastAsia="en-US"/>
              </w:rPr>
              <w:t> </w:t>
            </w:r>
            <w:r w:rsidR="008C33F1" w:rsidRPr="00E379E7">
              <w:rPr>
                <w:rFonts w:eastAsia="Calibri"/>
                <w:b/>
                <w:sz w:val="22"/>
                <w:lang w:eastAsia="en-US"/>
              </w:rPr>
              <w:t>gadu)</w:t>
            </w:r>
          </w:p>
        </w:tc>
        <w:tc>
          <w:tcPr>
            <w:tcW w:w="2125" w:type="dxa"/>
            <w:vMerge/>
            <w:tcBorders>
              <w:top w:val="single" w:sz="24" w:space="0" w:color="FFFFFF"/>
              <w:left w:val="single" w:sz="36" w:space="0" w:color="FFFF00"/>
              <w:right w:val="single" w:sz="8" w:space="0" w:color="FFFFFF"/>
            </w:tcBorders>
            <w:shd w:val="clear" w:color="auto" w:fill="D9D9D9" w:themeFill="background1" w:themeFillShade="D9"/>
            <w:vAlign w:val="center"/>
            <w:hideMark/>
          </w:tcPr>
          <w:p w14:paraId="396E9D6C" w14:textId="77777777" w:rsidR="003D53E3" w:rsidRPr="00E379E7" w:rsidRDefault="003D53E3" w:rsidP="003D53E3">
            <w:pPr>
              <w:spacing w:before="120" w:after="120"/>
              <w:ind w:firstLine="720"/>
              <w:rPr>
                <w:rFonts w:eastAsia="Calibri"/>
                <w:b/>
                <w:sz w:val="22"/>
                <w:lang w:eastAsia="en-US"/>
              </w:rPr>
            </w:pPr>
          </w:p>
        </w:tc>
      </w:tr>
    </w:tbl>
    <w:p w14:paraId="287D9708" w14:textId="3920D5CE" w:rsidR="006746A9" w:rsidRPr="00E008BC" w:rsidRDefault="00CD7524" w:rsidP="00D01919">
      <w:pPr>
        <w:spacing w:before="120" w:after="120"/>
        <w:ind w:firstLine="0"/>
        <w:rPr>
          <w:rFonts w:eastAsia="Calibri"/>
          <w:sz w:val="18"/>
          <w:szCs w:val="24"/>
          <w:lang w:eastAsia="en-US"/>
        </w:rPr>
      </w:pPr>
      <w:r>
        <w:rPr>
          <w:rFonts w:eastAsia="Calibri"/>
          <w:b/>
          <w:bCs/>
          <w:noProof/>
          <w:sz w:val="22"/>
        </w:rPr>
        <mc:AlternateContent>
          <mc:Choice Requires="wps">
            <w:drawing>
              <wp:anchor distT="0" distB="0" distL="114300" distR="114300" simplePos="0" relativeHeight="251663872" behindDoc="0" locked="0" layoutInCell="1" allowOverlap="1" wp14:anchorId="37D43ED6" wp14:editId="190D0BD9">
                <wp:simplePos x="0" y="0"/>
                <wp:positionH relativeFrom="column">
                  <wp:posOffset>2446655</wp:posOffset>
                </wp:positionH>
                <wp:positionV relativeFrom="paragraph">
                  <wp:posOffset>17145</wp:posOffset>
                </wp:positionV>
                <wp:extent cx="2196465" cy="7620"/>
                <wp:effectExtent l="0" t="19050" r="51435" b="495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6465" cy="762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2247C"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5pt,1.35pt" to="36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x7AEAAC0EAAAOAAAAZHJzL2Uyb0RvYy54bWysU02P2yAQvVfqf0DcG9tRk22tOHvIKr2s&#10;2qhpfwDBEKMCg4DGzr/vgGN3+6GVtqoPyDDzZt57DJv7wWhyET4osA2tFiUlwnJolT039OuX/Zt3&#10;lITIbMs0WNHQqwj0fvv61aZ3tVhCB7oVnmARG+reNbSL0dVFEXgnDAsLcMJiUII3LOLWn4vWsx6r&#10;G10sy3Jd9OBb54GLEPD0YQzSba4vpeDxk5RBRKIbitxiXn1eT2ktthtWnz1zneI3GuwfWBimLDad&#10;Sz2wyMh3r/4oZRT3EEDGBQdTgJSKi6wB1VTlb2qOHXMia0FzgpttCv+vLP94OXii2oauKLHM4BUd&#10;o2fq3EWyA2vRQPBklXzqXagxfWcPPinlgz26R+DfAsaKX4JpE9yYNkhvUjpKJUP2/Tr7LoZIOB4u&#10;q/frt2skwDF2t17maylYPWGdD/GDAEPST0O1sskVVrPLY4ipO6unlHSsLelRz121KnNaAK3avdI6&#10;BYM/n3bakwvDidjjV07dnqRhQW1vqkYhWVK8ajE2+CwkmobUq7FDGlcxl2WcCxurZFquhNkJJpHC&#10;DLxRew54y09QkUf5JeAZkTuDjTPYKAv+b7TjMFGWY/7kwKg7WXCC9nrw04XjTGaFt/eThv7pPsN/&#10;vvLtDwAAAP//AwBQSwMEFAAGAAgAAAAhAAOZ/0zbAAAABwEAAA8AAABkcnMvZG93bnJldi54bWxM&#10;jsFOwzAQRO9I/IO1SNyo00TQNsSpShHqgQu0cN/ESxIRr0PstuHvWU5wHL3RzCvWk+vVicbQeTYw&#10;nyWgiGtvO24MvB2ebpagQkS22HsmA98UYF1eXhSYW3/mVzrtY6NkhEOOBtoYh1zrULfkMMz8QCzs&#10;w48Oo8Sx0XbEs4y7XqdJcqcddiwPLQ60ban+3B+dnGj7ddi9v2x2aLf188pOXD0+GHN9NW3uQUWa&#10;4l8ZfvVFHUpxqvyRbVC9gWx5m0nVQLoAJXyRzVNQlYAV6LLQ//3LHwAAAP//AwBQSwECLQAUAAYA&#10;CAAAACEAtoM4kv4AAADhAQAAEwAAAAAAAAAAAAAAAAAAAAAAW0NvbnRlbnRfVHlwZXNdLnhtbFBL&#10;AQItABQABgAIAAAAIQA4/SH/1gAAAJQBAAALAAAAAAAAAAAAAAAAAC8BAABfcmVscy8ucmVsc1BL&#10;AQItABQABgAIAAAAIQDyxQZx7AEAAC0EAAAOAAAAAAAAAAAAAAAAAC4CAABkcnMvZTJvRG9jLnht&#10;bFBLAQItABQABgAIAAAAIQADmf9M2wAAAAcBAAAPAAAAAAAAAAAAAAAAAEYEAABkcnMvZG93bnJl&#10;di54bWxQSwUGAAAAAAQABADzAAAATgUAAAAA&#10;" strokecolor="yellow" strokeweight="4.5pt">
                <v:stroke joinstyle="miter"/>
                <o:lock v:ext="edit" shapetype="f"/>
              </v:line>
            </w:pict>
          </mc:Fallback>
        </mc:AlternateContent>
      </w:r>
      <w:r w:rsidR="00541828" w:rsidRPr="00E008BC">
        <w:rPr>
          <w:rFonts w:eastAsia="Calibri"/>
          <w:sz w:val="18"/>
          <w:szCs w:val="24"/>
          <w:lang w:eastAsia="en-US"/>
        </w:rPr>
        <w:t>*</w:t>
      </w:r>
      <w:r w:rsidR="005E4BD9" w:rsidRPr="00E008BC">
        <w:rPr>
          <w:rFonts w:eastAsia="Calibri"/>
          <w:sz w:val="18"/>
          <w:szCs w:val="24"/>
          <w:lang w:eastAsia="en-US"/>
        </w:rPr>
        <w:t> </w:t>
      </w:r>
      <w:r w:rsidR="00541828" w:rsidRPr="00E008BC">
        <w:rPr>
          <w:rFonts w:eastAsia="Calibri"/>
          <w:sz w:val="18"/>
          <w:szCs w:val="24"/>
          <w:lang w:eastAsia="en-US"/>
        </w:rPr>
        <w:t>mērķis tiek uzskatīts par izpildītu, ja novirze ir ±5%</w:t>
      </w:r>
    </w:p>
    <w:p w14:paraId="7517E8DE" w14:textId="77777777" w:rsidR="006746A9" w:rsidRPr="006746A9" w:rsidRDefault="006746A9" w:rsidP="00D01919">
      <w:pPr>
        <w:spacing w:before="120" w:after="120"/>
        <w:ind w:firstLine="0"/>
        <w:rPr>
          <w:rFonts w:eastAsia="Calibri"/>
          <w:b/>
          <w:sz w:val="16"/>
          <w:szCs w:val="24"/>
          <w:lang w:eastAsia="en-US"/>
        </w:rPr>
      </w:pPr>
    </w:p>
    <w:p w14:paraId="314D7A1F" w14:textId="77777777" w:rsidR="001F18C9" w:rsidRPr="001F18C9" w:rsidRDefault="001F18C9" w:rsidP="00327535">
      <w:pPr>
        <w:spacing w:before="120" w:after="120"/>
        <w:ind w:firstLine="720"/>
        <w:rPr>
          <w:rFonts w:eastAsia="Calibri"/>
          <w:szCs w:val="24"/>
          <w:lang w:eastAsia="en-US"/>
        </w:rPr>
      </w:pPr>
      <w:r w:rsidRPr="008C33F1">
        <w:rPr>
          <w:rFonts w:eastAsia="Calibri"/>
          <w:szCs w:val="24"/>
          <w:lang w:eastAsia="en-US"/>
        </w:rPr>
        <w:t>1.</w:t>
      </w:r>
      <w:r w:rsidR="003C5B75">
        <w:rPr>
          <w:rFonts w:eastAsia="Calibri"/>
          <w:szCs w:val="24"/>
          <w:lang w:eastAsia="en-US"/>
        </w:rPr>
        <w:t> </w:t>
      </w:r>
      <w:r w:rsidRPr="008C33F1">
        <w:rPr>
          <w:rFonts w:eastAsia="Calibri"/>
          <w:szCs w:val="24"/>
          <w:lang w:eastAsia="en-US"/>
        </w:rPr>
        <w:t xml:space="preserve">tabulā ar </w:t>
      </w:r>
      <w:r w:rsidRPr="008C33F1">
        <w:rPr>
          <w:rFonts w:eastAsia="Calibri"/>
          <w:lang w:eastAsia="en-US"/>
        </w:rPr>
        <w:t>dzeltenu</w:t>
      </w:r>
      <w:r w:rsidRPr="008C33F1">
        <w:rPr>
          <w:rFonts w:eastAsia="Calibri"/>
          <w:szCs w:val="24"/>
          <w:lang w:eastAsia="en-US"/>
        </w:rPr>
        <w:t xml:space="preserve"> ietvaru apvilktie mērķi 2030. un 2040.</w:t>
      </w:r>
      <w:r w:rsidR="003C5B75">
        <w:rPr>
          <w:rFonts w:eastAsia="Calibri"/>
          <w:szCs w:val="24"/>
          <w:lang w:eastAsia="en-US"/>
        </w:rPr>
        <w:t> </w:t>
      </w:r>
      <w:r w:rsidRPr="008C33F1">
        <w:rPr>
          <w:rFonts w:eastAsia="Calibri"/>
          <w:szCs w:val="24"/>
          <w:lang w:eastAsia="en-US"/>
        </w:rPr>
        <w:t>gadam var tikt mainīti, ja pētījumu (Stratēģijas protokollēmums paredz nozaru ministrijām</w:t>
      </w:r>
      <w:r w:rsidR="008315CD" w:rsidRPr="008C33F1">
        <w:rPr>
          <w:rFonts w:eastAsia="Calibri"/>
          <w:szCs w:val="24"/>
          <w:lang w:eastAsia="en-US"/>
        </w:rPr>
        <w:t xml:space="preserve"> veikt izpēti, kā savas atbildības/sfēras ietvaros virzīties uz klitmatneitralitāti</w:t>
      </w:r>
      <w:r w:rsidRPr="008C33F1">
        <w:rPr>
          <w:rFonts w:eastAsia="Calibri"/>
          <w:szCs w:val="24"/>
          <w:lang w:eastAsia="en-US"/>
        </w:rPr>
        <w:t>) un diskusiju ceļā</w:t>
      </w:r>
      <w:r w:rsidR="008315CD" w:rsidRPr="008C33F1">
        <w:rPr>
          <w:rFonts w:eastAsia="Calibri"/>
          <w:szCs w:val="24"/>
          <w:lang w:eastAsia="en-US"/>
        </w:rPr>
        <w:t xml:space="preserve"> izdodas vienoties par piemērotāku trajektoriju klimatneitralitātes mērķa sasniegšanai 2050.</w:t>
      </w:r>
      <w:r w:rsidR="003C5B75">
        <w:rPr>
          <w:rFonts w:eastAsia="Calibri"/>
          <w:szCs w:val="24"/>
          <w:lang w:eastAsia="en-US"/>
        </w:rPr>
        <w:t> </w:t>
      </w:r>
      <w:r w:rsidR="008315CD" w:rsidRPr="008C33F1">
        <w:rPr>
          <w:rFonts w:eastAsia="Calibri"/>
          <w:szCs w:val="24"/>
          <w:lang w:eastAsia="en-US"/>
        </w:rPr>
        <w:t>gadā.</w:t>
      </w:r>
    </w:p>
    <w:p w14:paraId="0452B947" w14:textId="63125751" w:rsidR="003415D3" w:rsidRDefault="003415D3" w:rsidP="00327535">
      <w:pPr>
        <w:spacing w:before="120" w:after="120"/>
        <w:ind w:firstLine="720"/>
        <w:rPr>
          <w:rFonts w:eastAsia="Calibri"/>
          <w:lang w:eastAsia="en-US"/>
        </w:rPr>
      </w:pPr>
      <w:r>
        <w:rPr>
          <w:rFonts w:eastAsia="Calibri"/>
          <w:lang w:eastAsia="en-US"/>
        </w:rPr>
        <w:t xml:space="preserve">Attiecīgais pakāpeniskums </w:t>
      </w:r>
      <w:r w:rsidR="00F867B1">
        <w:rPr>
          <w:rFonts w:eastAsia="Calibri"/>
          <w:lang w:eastAsia="en-US"/>
        </w:rPr>
        <w:t xml:space="preserve">kopējā </w:t>
      </w:r>
      <w:r w:rsidR="00932259">
        <w:rPr>
          <w:rFonts w:eastAsia="Calibri"/>
          <w:lang w:eastAsia="en-US"/>
        </w:rPr>
        <w:t>virs</w:t>
      </w:r>
      <w:r>
        <w:rPr>
          <w:rFonts w:eastAsia="Calibri"/>
          <w:lang w:eastAsia="en-US"/>
        </w:rPr>
        <w:t>mērķa sasniegšanai (</w:t>
      </w:r>
      <w:r w:rsidR="00932259">
        <w:rPr>
          <w:rFonts w:eastAsia="Calibri"/>
          <w:lang w:eastAsia="en-US"/>
        </w:rPr>
        <w:t xml:space="preserve">klimatneitralitāte </w:t>
      </w:r>
      <w:r>
        <w:rPr>
          <w:rFonts w:eastAsia="Calibri"/>
          <w:lang w:eastAsia="en-US"/>
        </w:rPr>
        <w:t>2050.</w:t>
      </w:r>
      <w:r w:rsidR="003C5B75">
        <w:rPr>
          <w:rFonts w:eastAsia="Calibri"/>
          <w:lang w:eastAsia="en-US"/>
        </w:rPr>
        <w:t> </w:t>
      </w:r>
      <w:r>
        <w:rPr>
          <w:rFonts w:eastAsia="Calibri"/>
          <w:lang w:eastAsia="en-US"/>
        </w:rPr>
        <w:t xml:space="preserve">gadā) noteikts, atbilstoši tā sauktajai inovāciju S-līknei jeb Basa difūzijas modelim, </w:t>
      </w:r>
      <w:r w:rsidRPr="002D499F">
        <w:rPr>
          <w:rFonts w:eastAsia="Calibri"/>
          <w:lang w:eastAsia="en-US"/>
        </w:rPr>
        <w:t>kas matemātiski apraksta, kā jaunas inovācijas tiek adaptētas esošā un potenciālā lietotāja mijiedarbības ietekmē</w:t>
      </w:r>
      <w:r>
        <w:rPr>
          <w:rFonts w:eastAsia="Calibri"/>
          <w:lang w:eastAsia="en-US"/>
        </w:rPr>
        <w:t xml:space="preserve">. Saskaņā ar šo teoriju inovāciju līkne sākumposmā ir lēzena, jo sākotnēji inovācijas lieto tikai novatori, bet pēc tam arī ātrie piekritēji, savukārt, vidusposmā lietotāju skaits strauji pieaug un tehnoloģijas sāk lietot vairākums. Beigu posmā tehnoloģijas lietotāju pieauguma tempi atkal samazinās un lietotāju pieaugums ir lēns. Ņemot vērā to, ka OMA </w:t>
      </w:r>
      <w:r w:rsidR="008C33F1">
        <w:rPr>
          <w:rFonts w:eastAsia="Calibri"/>
          <w:lang w:eastAsia="en-US"/>
        </w:rPr>
        <w:t xml:space="preserve">īstenošana </w:t>
      </w:r>
      <w:r>
        <w:rPr>
          <w:rFonts w:eastAsia="Calibri"/>
          <w:lang w:eastAsia="en-US"/>
        </w:rPr>
        <w:t xml:space="preserve">lielā mērā ir atkarīga no “zaļo” tehnoloģiju un inovāciju </w:t>
      </w:r>
      <w:r w:rsidR="00AA1F83">
        <w:rPr>
          <w:rFonts w:eastAsia="Calibri"/>
          <w:lang w:eastAsia="en-US"/>
        </w:rPr>
        <w:t>izplatīšanās</w:t>
      </w:r>
      <w:r w:rsidR="00521BEC">
        <w:rPr>
          <w:rFonts w:eastAsia="Calibri"/>
          <w:lang w:eastAsia="en-US"/>
        </w:rPr>
        <w:t xml:space="preserve"> ātruma, arī Latvijas </w:t>
      </w:r>
      <w:r w:rsidR="008C33F1">
        <w:rPr>
          <w:rFonts w:eastAsia="Calibri"/>
          <w:lang w:eastAsia="en-US"/>
        </w:rPr>
        <w:t>Stratēģijas</w:t>
      </w:r>
      <w:r w:rsidR="00521BEC">
        <w:rPr>
          <w:rFonts w:eastAsia="Calibri"/>
          <w:lang w:eastAsia="en-US"/>
        </w:rPr>
        <w:t xml:space="preserve"> </w:t>
      </w:r>
      <w:r>
        <w:rPr>
          <w:rFonts w:eastAsia="Calibri"/>
          <w:lang w:eastAsia="en-US"/>
        </w:rPr>
        <w:t>mērķi noteikti atbilstoši iepriekš minētajai teorijai</w:t>
      </w:r>
      <w:r w:rsidR="005D5FFF">
        <w:rPr>
          <w:rFonts w:eastAsia="Calibri"/>
          <w:lang w:eastAsia="en-US"/>
        </w:rPr>
        <w:t> </w:t>
      </w:r>
      <w:r>
        <w:rPr>
          <w:rFonts w:eastAsia="Calibri"/>
          <w:lang w:eastAsia="en-US"/>
        </w:rPr>
        <w:t>–</w:t>
      </w:r>
      <w:r w:rsidR="005D5FFF">
        <w:rPr>
          <w:rFonts w:eastAsia="Calibri"/>
          <w:lang w:eastAsia="en-US"/>
        </w:rPr>
        <w:t> </w:t>
      </w:r>
      <w:r>
        <w:rPr>
          <w:rFonts w:eastAsia="Calibri"/>
          <w:lang w:eastAsia="en-US"/>
        </w:rPr>
        <w:t xml:space="preserve">proti, lielākais SEG </w:t>
      </w:r>
      <w:r w:rsidR="00DA5CDB">
        <w:rPr>
          <w:rFonts w:eastAsia="Calibri"/>
          <w:lang w:eastAsia="en-US"/>
        </w:rPr>
        <w:t xml:space="preserve">emisiju </w:t>
      </w:r>
      <w:r>
        <w:rPr>
          <w:rFonts w:eastAsia="Calibri"/>
          <w:lang w:eastAsia="en-US"/>
        </w:rPr>
        <w:t>samazinājums (</w:t>
      </w:r>
      <w:r w:rsidR="00F867B1">
        <w:rPr>
          <w:rFonts w:eastAsia="Calibri"/>
          <w:lang w:eastAsia="en-US"/>
        </w:rPr>
        <w:t>-38</w:t>
      </w:r>
      <w:r w:rsidR="003C5B75">
        <w:rPr>
          <w:rFonts w:eastAsia="Calibri"/>
          <w:lang w:eastAsia="en-US"/>
        </w:rPr>
        <w:t> </w:t>
      </w:r>
      <w:r>
        <w:rPr>
          <w:rFonts w:eastAsia="Calibri"/>
          <w:lang w:eastAsia="en-US"/>
        </w:rPr>
        <w:t>%) jāsasniedz vidusposmā (2030.</w:t>
      </w:r>
      <w:r w:rsidR="00ED1DFA">
        <w:rPr>
          <w:rFonts w:eastAsia="Calibri"/>
          <w:lang w:eastAsia="en-US"/>
        </w:rPr>
        <w:t xml:space="preserve"> </w:t>
      </w:r>
      <w:r>
        <w:rPr>
          <w:rFonts w:eastAsia="Calibri"/>
          <w:lang w:eastAsia="en-US"/>
        </w:rPr>
        <w:t>-</w:t>
      </w:r>
      <w:r w:rsidR="00ED1DFA">
        <w:rPr>
          <w:rFonts w:eastAsia="Calibri"/>
          <w:lang w:eastAsia="en-US"/>
        </w:rPr>
        <w:t xml:space="preserve"> </w:t>
      </w:r>
      <w:r>
        <w:rPr>
          <w:rFonts w:eastAsia="Calibri"/>
          <w:lang w:eastAsia="en-US"/>
        </w:rPr>
        <w:t>2040.gadā).</w:t>
      </w:r>
    </w:p>
    <w:p w14:paraId="749A8D3D" w14:textId="2FE4C0B1" w:rsidR="003415D3" w:rsidRPr="00033EE6" w:rsidRDefault="00521BEC" w:rsidP="00DA2D2F">
      <w:pPr>
        <w:pStyle w:val="Heading2"/>
        <w:spacing w:before="120"/>
        <w:ind w:left="360"/>
        <w:jc w:val="both"/>
        <w:rPr>
          <w:rFonts w:eastAsia="Calibri"/>
        </w:rPr>
      </w:pPr>
      <w:bookmarkStart w:id="6" w:name="_Toc25580320"/>
      <w:r w:rsidRPr="00B61B9A">
        <w:rPr>
          <w:rFonts w:eastAsia="Calibri"/>
        </w:rPr>
        <w:t>1.2.</w:t>
      </w:r>
      <w:r w:rsidR="003C5B75" w:rsidRPr="00E7202F">
        <w:rPr>
          <w:rFonts w:eastAsia="Calibri"/>
        </w:rPr>
        <w:t> </w:t>
      </w:r>
      <w:r w:rsidR="00963641" w:rsidRPr="00E7202F">
        <w:rPr>
          <w:rFonts w:eastAsia="Calibri"/>
        </w:rPr>
        <w:t>I</w:t>
      </w:r>
      <w:r w:rsidR="003415D3" w:rsidRPr="00033EE6">
        <w:rPr>
          <w:rFonts w:eastAsia="Calibri"/>
        </w:rPr>
        <w:t>ndikatori</w:t>
      </w:r>
      <w:bookmarkEnd w:id="6"/>
    </w:p>
    <w:p w14:paraId="6829630E" w14:textId="77777777" w:rsidR="00963641" w:rsidRPr="00E52599" w:rsidRDefault="00963641" w:rsidP="00327535">
      <w:pPr>
        <w:spacing w:before="120" w:after="120"/>
        <w:ind w:firstLine="720"/>
        <w:rPr>
          <w:rFonts w:eastAsia="Calibri"/>
          <w:lang w:eastAsia="en-US"/>
        </w:rPr>
      </w:pPr>
      <w:r w:rsidRPr="00E52599">
        <w:rPr>
          <w:rFonts w:eastAsia="Calibri"/>
          <w:lang w:eastAsia="en-US"/>
        </w:rPr>
        <w:t xml:space="preserve">Stratēģijas īstenošanas </w:t>
      </w:r>
      <w:r w:rsidR="00521BEC">
        <w:rPr>
          <w:rFonts w:eastAsia="Calibri"/>
          <w:lang w:eastAsia="en-US"/>
        </w:rPr>
        <w:t>virzības</w:t>
      </w:r>
      <w:r w:rsidRPr="00E52599">
        <w:rPr>
          <w:rFonts w:eastAsia="Calibri"/>
          <w:lang w:eastAsia="en-US"/>
        </w:rPr>
        <w:t xml:space="preserve"> novērtēšanai svarīga nozīme ir indikatoriem</w:t>
      </w:r>
      <w:r w:rsidR="00FB0D25">
        <w:rPr>
          <w:rFonts w:eastAsia="Calibri"/>
          <w:lang w:eastAsia="en-US"/>
        </w:rPr>
        <w:t>, kas</w:t>
      </w:r>
      <w:r w:rsidR="00932259">
        <w:rPr>
          <w:rFonts w:eastAsia="Calibri"/>
          <w:lang w:eastAsia="en-US"/>
        </w:rPr>
        <w:t xml:space="preserve"> </w:t>
      </w:r>
      <w:r w:rsidR="00521BEC">
        <w:rPr>
          <w:rFonts w:eastAsia="Calibri"/>
          <w:lang w:eastAsia="en-US"/>
        </w:rPr>
        <w:t>norāda</w:t>
      </w:r>
      <w:r w:rsidR="00E52599">
        <w:rPr>
          <w:rFonts w:eastAsia="Calibri"/>
          <w:lang w:eastAsia="en-US"/>
        </w:rPr>
        <w:t xml:space="preserve"> </w:t>
      </w:r>
      <w:r w:rsidRPr="00E52599">
        <w:rPr>
          <w:rFonts w:eastAsia="Calibri"/>
          <w:lang w:eastAsia="en-US"/>
        </w:rPr>
        <w:t>virzīb</w:t>
      </w:r>
      <w:r w:rsidR="00932259">
        <w:rPr>
          <w:rFonts w:eastAsia="Calibri"/>
          <w:lang w:eastAsia="en-US"/>
        </w:rPr>
        <w:t>as</w:t>
      </w:r>
      <w:r w:rsidR="00521BEC">
        <w:rPr>
          <w:rFonts w:eastAsia="Calibri"/>
          <w:lang w:eastAsia="en-US"/>
        </w:rPr>
        <w:t xml:space="preserve"> </w:t>
      </w:r>
      <w:r w:rsidR="00932259">
        <w:rPr>
          <w:rFonts w:eastAsia="Calibri"/>
          <w:lang w:eastAsia="en-US"/>
        </w:rPr>
        <w:t>tendenci (tuvināšanos vai attālināšanos no klimatneitralitātes mērķa)</w:t>
      </w:r>
      <w:r w:rsidRPr="00E52599">
        <w:rPr>
          <w:rFonts w:eastAsia="Calibri"/>
          <w:lang w:eastAsia="en-US"/>
        </w:rPr>
        <w:t>.</w:t>
      </w:r>
    </w:p>
    <w:p w14:paraId="16CA00B5" w14:textId="0525E6AA" w:rsidR="003415D3" w:rsidRPr="004B4D95" w:rsidRDefault="003415D3" w:rsidP="0031388F">
      <w:pPr>
        <w:pStyle w:val="Subtitle"/>
        <w:numPr>
          <w:ilvl w:val="0"/>
          <w:numId w:val="7"/>
        </w:numPr>
        <w:spacing w:after="120"/>
        <w:ind w:left="1134" w:hanging="425"/>
        <w:rPr>
          <w:rFonts w:eastAsia="Calibri"/>
          <w:lang w:eastAsia="en-US"/>
        </w:rPr>
      </w:pPr>
      <w:r w:rsidRPr="004B4D95">
        <w:rPr>
          <w:rFonts w:eastAsia="Calibri"/>
          <w:lang w:eastAsia="en-US"/>
        </w:rPr>
        <w:t>SEG emisiju intensitāte (t CO</w:t>
      </w:r>
      <w:r w:rsidRPr="004B4D95">
        <w:rPr>
          <w:rFonts w:eastAsia="Calibri"/>
          <w:vertAlign w:val="subscript"/>
          <w:lang w:eastAsia="en-US"/>
        </w:rPr>
        <w:t>2</w:t>
      </w:r>
      <w:r w:rsidRPr="009E3BAB">
        <w:rPr>
          <w:rFonts w:eastAsia="Calibri"/>
          <w:lang w:eastAsia="en-US"/>
        </w:rPr>
        <w:t xml:space="preserve"> ekv</w:t>
      </w:r>
      <w:r w:rsidRPr="004B4D95">
        <w:rPr>
          <w:rFonts w:eastAsia="Calibri"/>
          <w:lang w:eastAsia="en-US"/>
        </w:rPr>
        <w:t xml:space="preserve"> </w:t>
      </w:r>
      <w:r w:rsidRPr="004B4D95">
        <w:rPr>
          <w:rStyle w:val="FootnoteReference"/>
          <w:rFonts w:eastAsia="Calibri"/>
          <w:lang w:eastAsia="en-US"/>
        </w:rPr>
        <w:footnoteReference w:id="11"/>
      </w:r>
      <w:r w:rsidRPr="004B4D95">
        <w:rPr>
          <w:rFonts w:eastAsia="Calibri"/>
          <w:lang w:eastAsia="en-US"/>
        </w:rPr>
        <w:t xml:space="preserve"> uz </w:t>
      </w:r>
      <w:r w:rsidR="00AC0DA3">
        <w:rPr>
          <w:rFonts w:eastAsia="Calibri"/>
          <w:lang w:eastAsia="en-US"/>
        </w:rPr>
        <w:t>milj. EUR</w:t>
      </w:r>
      <w:r w:rsidRPr="004B4D95">
        <w:rPr>
          <w:rFonts w:eastAsia="Calibri"/>
          <w:lang w:eastAsia="en-US"/>
        </w:rPr>
        <w:t>)</w:t>
      </w:r>
    </w:p>
    <w:p w14:paraId="5E89D374" w14:textId="77777777" w:rsidR="003975AA" w:rsidRPr="0073065C" w:rsidRDefault="00AA1F83" w:rsidP="00327535">
      <w:pPr>
        <w:spacing w:before="120" w:after="120"/>
        <w:ind w:firstLine="720"/>
        <w:rPr>
          <w:rFonts w:eastAsia="Calibri"/>
          <w:lang w:eastAsia="en-US"/>
        </w:rPr>
      </w:pPr>
      <w:r w:rsidRPr="004B4D95">
        <w:rPr>
          <w:rFonts w:eastAsia="Calibri"/>
          <w:lang w:eastAsia="en-US"/>
        </w:rPr>
        <w:t xml:space="preserve">Stratēģija paredz Latvijas </w:t>
      </w:r>
      <w:r w:rsidR="008315CD">
        <w:rPr>
          <w:rFonts w:eastAsia="Calibri"/>
          <w:lang w:eastAsia="en-US"/>
        </w:rPr>
        <w:t xml:space="preserve">ekonomisko attīstību, </w:t>
      </w:r>
      <w:r w:rsidRPr="004B4D95">
        <w:rPr>
          <w:rFonts w:eastAsia="Calibri"/>
          <w:lang w:eastAsia="en-US"/>
        </w:rPr>
        <w:t xml:space="preserve">IKP </w:t>
      </w:r>
      <w:r w:rsidR="00B81BC3">
        <w:rPr>
          <w:rFonts w:eastAsia="Calibri"/>
          <w:lang w:eastAsia="en-US"/>
        </w:rPr>
        <w:t>pieaugumu</w:t>
      </w:r>
      <w:r w:rsidRPr="004B4D95">
        <w:rPr>
          <w:rFonts w:eastAsia="Calibri"/>
          <w:lang w:eastAsia="en-US"/>
        </w:rPr>
        <w:t xml:space="preserve">, taču </w:t>
      </w:r>
      <w:r w:rsidR="008C5987">
        <w:rPr>
          <w:rFonts w:eastAsia="Calibri"/>
          <w:lang w:eastAsia="en-US"/>
        </w:rPr>
        <w:t>tā paredz arī vienlaicīgu</w:t>
      </w:r>
      <w:r w:rsidRPr="004B4D95">
        <w:rPr>
          <w:rFonts w:eastAsia="Calibri"/>
          <w:lang w:eastAsia="en-US"/>
        </w:rPr>
        <w:t xml:space="preserve"> SEG emisiju samazinājumu visā</w:t>
      </w:r>
      <w:r w:rsidR="00B81BC3">
        <w:rPr>
          <w:rFonts w:eastAsia="Calibri"/>
          <w:lang w:eastAsia="en-US"/>
        </w:rPr>
        <w:t>s</w:t>
      </w:r>
      <w:r w:rsidRPr="004B4D95">
        <w:rPr>
          <w:rFonts w:eastAsia="Calibri"/>
          <w:lang w:eastAsia="en-US"/>
        </w:rPr>
        <w:t xml:space="preserve"> tautsaimniecības nozarē</w:t>
      </w:r>
      <w:r w:rsidR="00B81BC3">
        <w:rPr>
          <w:rFonts w:eastAsia="Calibri"/>
          <w:lang w:eastAsia="en-US"/>
        </w:rPr>
        <w:t>s</w:t>
      </w:r>
      <w:r w:rsidRPr="004B4D95">
        <w:rPr>
          <w:rFonts w:eastAsia="Calibri"/>
          <w:lang w:eastAsia="en-US"/>
        </w:rPr>
        <w:t xml:space="preserve">. </w:t>
      </w:r>
      <w:r w:rsidRPr="00B81BC3">
        <w:rPr>
          <w:rFonts w:eastAsia="Calibri"/>
          <w:lang w:eastAsia="en-US"/>
        </w:rPr>
        <w:t xml:space="preserve">SEG emisiju intensitāte ir indikators, pēc kura secināms, </w:t>
      </w:r>
      <w:r w:rsidR="00883DCD">
        <w:rPr>
          <w:rFonts w:eastAsia="Calibri"/>
          <w:lang w:eastAsia="en-US"/>
        </w:rPr>
        <w:t xml:space="preserve">cik </w:t>
      </w:r>
      <w:r w:rsidR="00883DCD" w:rsidRPr="00327535">
        <w:rPr>
          <w:szCs w:val="24"/>
        </w:rPr>
        <w:t>ļoti</w:t>
      </w:r>
      <w:r w:rsidRPr="00B81BC3">
        <w:rPr>
          <w:rFonts w:eastAsia="Calibri"/>
          <w:lang w:eastAsia="en-US"/>
        </w:rPr>
        <w:t xml:space="preserve"> </w:t>
      </w:r>
      <w:r w:rsidR="00883DCD">
        <w:rPr>
          <w:rFonts w:eastAsia="Calibri"/>
          <w:lang w:eastAsia="en-US"/>
        </w:rPr>
        <w:t>ekonomiskā</w:t>
      </w:r>
      <w:r w:rsidR="003415D3" w:rsidRPr="00B81BC3">
        <w:rPr>
          <w:rFonts w:eastAsia="Calibri"/>
          <w:lang w:eastAsia="en-US"/>
        </w:rPr>
        <w:t xml:space="preserve"> izaugsme</w:t>
      </w:r>
      <w:r w:rsidR="00B81BC3">
        <w:rPr>
          <w:rFonts w:eastAsia="Calibri"/>
          <w:lang w:eastAsia="en-US"/>
        </w:rPr>
        <w:t xml:space="preserve"> </w:t>
      </w:r>
      <w:r w:rsidR="00B81BC3" w:rsidRPr="00B81BC3">
        <w:rPr>
          <w:rFonts w:eastAsia="Calibri"/>
          <w:lang w:eastAsia="en-US"/>
        </w:rPr>
        <w:t xml:space="preserve">ir </w:t>
      </w:r>
      <w:r w:rsidR="00B81BC3">
        <w:rPr>
          <w:rFonts w:eastAsia="Calibri"/>
          <w:lang w:eastAsia="en-US"/>
        </w:rPr>
        <w:t>“</w:t>
      </w:r>
      <w:r w:rsidR="00B81BC3" w:rsidRPr="00B81BC3">
        <w:rPr>
          <w:rFonts w:eastAsia="Calibri"/>
          <w:lang w:eastAsia="en-US"/>
        </w:rPr>
        <w:t>sasaistīta</w:t>
      </w:r>
      <w:r w:rsidR="00B81BC3">
        <w:rPr>
          <w:rFonts w:eastAsia="Calibri"/>
          <w:lang w:eastAsia="en-US"/>
        </w:rPr>
        <w:t>”</w:t>
      </w:r>
      <w:r w:rsidR="00B81BC3" w:rsidRPr="00B81BC3">
        <w:rPr>
          <w:rFonts w:eastAsia="Calibri"/>
          <w:lang w:eastAsia="en-US"/>
        </w:rPr>
        <w:t xml:space="preserve"> ar</w:t>
      </w:r>
      <w:r w:rsidR="00DA5CDB">
        <w:rPr>
          <w:rFonts w:eastAsia="Calibri"/>
          <w:lang w:eastAsia="en-US"/>
        </w:rPr>
        <w:t xml:space="preserve"> radīto</w:t>
      </w:r>
      <w:r w:rsidR="00B81BC3" w:rsidRPr="00B81BC3">
        <w:rPr>
          <w:rFonts w:eastAsia="Calibri"/>
          <w:lang w:eastAsia="en-US"/>
        </w:rPr>
        <w:t xml:space="preserve"> SEG emisij</w:t>
      </w:r>
      <w:r w:rsidR="00B81BC3">
        <w:rPr>
          <w:rFonts w:eastAsia="Calibri"/>
          <w:lang w:eastAsia="en-US"/>
        </w:rPr>
        <w:t>u apjom</w:t>
      </w:r>
      <w:r w:rsidR="00DA5CDB">
        <w:rPr>
          <w:rFonts w:eastAsia="Calibri"/>
          <w:lang w:eastAsia="en-US"/>
        </w:rPr>
        <w:t>u</w:t>
      </w:r>
      <w:r w:rsidR="00B81BC3" w:rsidRPr="00B81BC3">
        <w:rPr>
          <w:rFonts w:eastAsia="Calibri"/>
          <w:lang w:eastAsia="en-US"/>
        </w:rPr>
        <w:t xml:space="preserve">. </w:t>
      </w:r>
      <w:r w:rsidR="003975AA" w:rsidRPr="00A46CC4">
        <w:t xml:space="preserve">SEG emisiju </w:t>
      </w:r>
      <w:r w:rsidR="00883DCD">
        <w:t xml:space="preserve">intensitātes samazināšanās </w:t>
      </w:r>
      <w:r w:rsidR="003975AA" w:rsidRPr="00A46CC4">
        <w:t>n</w:t>
      </w:r>
      <w:r w:rsidR="00883DCD">
        <w:t xml:space="preserve">orāda uz </w:t>
      </w:r>
      <w:r w:rsidR="00656B76">
        <w:t>OMA</w:t>
      </w:r>
      <w:r w:rsidR="00883DCD">
        <w:t xml:space="preserve"> īstenošanu, kas veicinājusi arī </w:t>
      </w:r>
      <w:r w:rsidR="003975AA" w:rsidRPr="00A46CC4">
        <w:t>ekonomisko izaugsmi valstī</w:t>
      </w:r>
      <w:r w:rsidR="0073065C">
        <w:t xml:space="preserve">. </w:t>
      </w:r>
    </w:p>
    <w:p w14:paraId="6881EFB7" w14:textId="77777777" w:rsidR="003415D3" w:rsidRPr="00AC020A" w:rsidRDefault="003415D3" w:rsidP="0031388F">
      <w:pPr>
        <w:pStyle w:val="Subtitle"/>
        <w:numPr>
          <w:ilvl w:val="0"/>
          <w:numId w:val="7"/>
        </w:numPr>
        <w:spacing w:after="120"/>
        <w:ind w:left="1134" w:hanging="425"/>
        <w:rPr>
          <w:rFonts w:eastAsia="Calibri"/>
          <w:lang w:eastAsia="en-US"/>
        </w:rPr>
      </w:pPr>
      <w:r w:rsidRPr="00AC020A">
        <w:rPr>
          <w:rFonts w:eastAsia="Calibri"/>
          <w:lang w:eastAsia="en-US"/>
        </w:rPr>
        <w:t xml:space="preserve">SEG emisiju no enerģētikas sektora intensitāte </w:t>
      </w:r>
      <w:r w:rsidR="00973173">
        <w:rPr>
          <w:rFonts w:eastAsia="Calibri"/>
          <w:lang w:eastAsia="en-US"/>
        </w:rPr>
        <w:t xml:space="preserve">– SEG emisijas </w:t>
      </w:r>
      <w:r w:rsidR="00AC020A" w:rsidRPr="00AC020A">
        <w:rPr>
          <w:rFonts w:eastAsia="Calibri"/>
          <w:lang w:eastAsia="en-US"/>
        </w:rPr>
        <w:t>uz</w:t>
      </w:r>
      <w:r w:rsidRPr="00AC020A">
        <w:rPr>
          <w:rFonts w:eastAsia="Calibri"/>
          <w:lang w:eastAsia="en-US"/>
        </w:rPr>
        <w:t xml:space="preserve"> kopējo </w:t>
      </w:r>
      <w:r w:rsidR="009E3BAB">
        <w:rPr>
          <w:rFonts w:eastAsia="Calibri"/>
          <w:lang w:eastAsia="en-US"/>
        </w:rPr>
        <w:t xml:space="preserve">primāro </w:t>
      </w:r>
      <w:r w:rsidRPr="00AC020A">
        <w:rPr>
          <w:rFonts w:eastAsia="Calibri"/>
          <w:lang w:eastAsia="en-US"/>
        </w:rPr>
        <w:t>energoresursu patēriņu (t CO</w:t>
      </w:r>
      <w:r w:rsidRPr="00AC020A">
        <w:rPr>
          <w:rFonts w:eastAsia="Calibri"/>
          <w:vertAlign w:val="subscript"/>
          <w:lang w:eastAsia="en-US"/>
        </w:rPr>
        <w:t xml:space="preserve">2 </w:t>
      </w:r>
      <w:r w:rsidRPr="009E3BAB">
        <w:rPr>
          <w:rFonts w:eastAsia="Calibri"/>
          <w:lang w:eastAsia="en-US"/>
        </w:rPr>
        <w:t>ekv</w:t>
      </w:r>
      <w:r w:rsidR="00FB0D25">
        <w:rPr>
          <w:rFonts w:eastAsia="Calibri"/>
          <w:lang w:eastAsia="en-US"/>
        </w:rPr>
        <w:t>.</w:t>
      </w:r>
      <w:r w:rsidRPr="009E3BAB">
        <w:rPr>
          <w:rFonts w:eastAsia="Calibri"/>
          <w:lang w:eastAsia="en-US"/>
        </w:rPr>
        <w:t xml:space="preserve"> </w:t>
      </w:r>
      <w:r w:rsidRPr="00AC020A">
        <w:rPr>
          <w:rFonts w:eastAsia="Calibri"/>
          <w:lang w:eastAsia="en-US"/>
        </w:rPr>
        <w:t>uz kopējo energoresursu patēriņu)</w:t>
      </w:r>
    </w:p>
    <w:p w14:paraId="5BD632DE" w14:textId="77777777" w:rsidR="003415D3" w:rsidRPr="00521BEC" w:rsidRDefault="003415D3" w:rsidP="00327535">
      <w:pPr>
        <w:spacing w:before="120" w:after="120"/>
        <w:ind w:firstLine="720"/>
      </w:pPr>
      <w:r w:rsidRPr="005D2962">
        <w:t xml:space="preserve">Ņemot vērā to, ka Latvijā ir </w:t>
      </w:r>
      <w:r w:rsidRPr="00B761CA">
        <w:rPr>
          <w:szCs w:val="24"/>
        </w:rPr>
        <w:t>salīdzinoši</w:t>
      </w:r>
      <w:r w:rsidRPr="005D2962">
        <w:t xml:space="preserve"> attīstīts pakalpojumu sniegšanas sektors, bet mazāk attīstīta ražošana (Latvijas tautsaimniecības sektori, kas specializējas pakalpojumu sniegšanas jomā, rada gandrīz 65</w:t>
      </w:r>
      <w:r w:rsidR="008C3042">
        <w:t> </w:t>
      </w:r>
      <w:r w:rsidRPr="005D2962">
        <w:t xml:space="preserve">% no kopējās pievienotās vērtības), </w:t>
      </w:r>
      <w:r w:rsidR="00813B3E">
        <w:t>indikators, kas vairāk saistīts ar ražošanas procesiem un enerģijas patēriņu, ir enerģēti</w:t>
      </w:r>
      <w:r w:rsidRPr="005D2962">
        <w:t>kas SEG</w:t>
      </w:r>
      <w:r w:rsidR="00813B3E">
        <w:t xml:space="preserve"> emisiju</w:t>
      </w:r>
      <w:r w:rsidRPr="005D2962">
        <w:t xml:space="preserve"> intensitāte </w:t>
      </w:r>
      <w:r w:rsidR="009E3BAB">
        <w:t>uz</w:t>
      </w:r>
      <w:r w:rsidRPr="005D2962">
        <w:t xml:space="preserve"> kopējo </w:t>
      </w:r>
      <w:r w:rsidR="009E3BAB">
        <w:t xml:space="preserve">primāro </w:t>
      </w:r>
      <w:r w:rsidRPr="005D2962">
        <w:t>energoresursu patēriņu</w:t>
      </w:r>
      <w:r w:rsidR="00813B3E">
        <w:t>. Šajā indikatorā ir iekļauts</w:t>
      </w:r>
      <w:r w:rsidRPr="005D2962">
        <w:t xml:space="preserve"> </w:t>
      </w:r>
      <w:r w:rsidR="00813B3E">
        <w:t>energoresursu patēriņš</w:t>
      </w:r>
      <w:r w:rsidRPr="005D2962">
        <w:t xml:space="preserve"> siltumenerģijas un elektroenerģijas ražošanā (pārveidošanas sektors), un </w:t>
      </w:r>
      <w:r w:rsidR="00813B3E">
        <w:t>gala patēriņā</w:t>
      </w:r>
      <w:r w:rsidRPr="005D2962">
        <w:t>, kas</w:t>
      </w:r>
      <w:r w:rsidR="00813B3E">
        <w:t>, savukārt,</w:t>
      </w:r>
      <w:r w:rsidRPr="005D2962">
        <w:t xml:space="preserve"> ietver visas tautsaimniecības nozares (rūpniecība un būvniecība, transports (būtis</w:t>
      </w:r>
      <w:r w:rsidR="00813B3E">
        <w:t>kākā pakalpojumu eksporta daļa ir transporta pakalpojumi</w:t>
      </w:r>
      <w:r w:rsidRPr="005D2962">
        <w:t>), lauksaimniecība, mežsaimni</w:t>
      </w:r>
      <w:r w:rsidR="00521BEC">
        <w:t>ecība), kā arī mājsaimniecības.</w:t>
      </w:r>
    </w:p>
    <w:p w14:paraId="436A645C" w14:textId="77777777" w:rsidR="003415D3" w:rsidRPr="009E3BAB" w:rsidRDefault="003415D3" w:rsidP="0031388F">
      <w:pPr>
        <w:pStyle w:val="Subtitle"/>
        <w:numPr>
          <w:ilvl w:val="0"/>
          <w:numId w:val="7"/>
        </w:numPr>
        <w:spacing w:after="120"/>
        <w:ind w:left="1134" w:hanging="425"/>
        <w:rPr>
          <w:rFonts w:eastAsia="Calibri"/>
          <w:lang w:eastAsia="en-US"/>
        </w:rPr>
      </w:pPr>
      <w:r w:rsidRPr="009E3BAB">
        <w:rPr>
          <w:rFonts w:eastAsia="Calibri"/>
          <w:lang w:eastAsia="en-US"/>
        </w:rPr>
        <w:t xml:space="preserve">SEG emisiju apjoma </w:t>
      </w:r>
      <w:r w:rsidR="009E3BAB">
        <w:rPr>
          <w:rFonts w:eastAsia="Calibri"/>
          <w:lang w:eastAsia="en-US"/>
        </w:rPr>
        <w:t>izmaiņas attiecībā uz</w:t>
      </w:r>
      <w:r w:rsidRPr="009E3BAB">
        <w:rPr>
          <w:rFonts w:eastAsia="Calibri"/>
          <w:lang w:eastAsia="en-US"/>
        </w:rPr>
        <w:t xml:space="preserve"> iepriekšējo </w:t>
      </w:r>
      <w:r w:rsidR="001864F9">
        <w:rPr>
          <w:rFonts w:eastAsia="Calibri"/>
          <w:lang w:eastAsia="en-US"/>
        </w:rPr>
        <w:t>gadu</w:t>
      </w:r>
      <w:r w:rsidRPr="009E3BAB">
        <w:rPr>
          <w:rFonts w:eastAsia="Calibri"/>
          <w:lang w:eastAsia="en-US"/>
        </w:rPr>
        <w:t xml:space="preserve"> sektorālā griezumā (kt CO</w:t>
      </w:r>
      <w:r w:rsidRPr="009E3BAB">
        <w:rPr>
          <w:rFonts w:eastAsia="Calibri"/>
          <w:vertAlign w:val="subscript"/>
          <w:lang w:eastAsia="en-US"/>
        </w:rPr>
        <w:t>2</w:t>
      </w:r>
      <w:r w:rsidRPr="009E3BAB">
        <w:rPr>
          <w:rFonts w:eastAsia="Calibri"/>
          <w:lang w:eastAsia="en-US"/>
        </w:rPr>
        <w:t xml:space="preserve"> ekv)</w:t>
      </w:r>
    </w:p>
    <w:p w14:paraId="639904F9" w14:textId="1A0EAC8D" w:rsidR="00E36231" w:rsidRDefault="003415D3" w:rsidP="00327535">
      <w:pPr>
        <w:spacing w:before="120" w:after="120"/>
        <w:ind w:firstLine="720"/>
        <w:rPr>
          <w:rFonts w:eastAsia="Calibri"/>
          <w:lang w:eastAsia="en-US"/>
        </w:rPr>
      </w:pPr>
      <w:r w:rsidRPr="009E3BAB">
        <w:rPr>
          <w:rFonts w:eastAsia="Calibri"/>
          <w:lang w:eastAsia="en-US"/>
        </w:rPr>
        <w:t xml:space="preserve">Lai novērtētu SEG emisiju dinamiku un tendences dažādās tautsaimniecības nozarēs, katru gadu </w:t>
      </w:r>
      <w:r w:rsidR="009E3BAB">
        <w:rPr>
          <w:rFonts w:eastAsia="Calibri"/>
          <w:lang w:eastAsia="en-US"/>
        </w:rPr>
        <w:t>(</w:t>
      </w:r>
      <w:r w:rsidR="009E3BAB" w:rsidRPr="009E3BAB">
        <w:rPr>
          <w:rFonts w:eastAsia="Calibri"/>
          <w:lang w:eastAsia="en-US"/>
        </w:rPr>
        <w:t>sākot no 1990.</w:t>
      </w:r>
      <w:r w:rsidR="008C3042">
        <w:rPr>
          <w:rFonts w:eastAsia="Calibri"/>
          <w:lang w:eastAsia="en-US"/>
        </w:rPr>
        <w:t> </w:t>
      </w:r>
      <w:r w:rsidR="009E3BAB" w:rsidRPr="009E3BAB">
        <w:rPr>
          <w:rFonts w:eastAsia="Calibri"/>
          <w:lang w:eastAsia="en-US"/>
        </w:rPr>
        <w:t>gada</w:t>
      </w:r>
      <w:r w:rsidR="009E3BAB">
        <w:rPr>
          <w:rFonts w:eastAsia="Calibri"/>
          <w:lang w:eastAsia="en-US"/>
        </w:rPr>
        <w:t>)</w:t>
      </w:r>
      <w:r w:rsidR="009E3BAB" w:rsidRPr="009E3BAB">
        <w:rPr>
          <w:rFonts w:eastAsia="Calibri"/>
          <w:lang w:eastAsia="en-US"/>
        </w:rPr>
        <w:t xml:space="preserve"> </w:t>
      </w:r>
      <w:r w:rsidRPr="009E3BAB">
        <w:rPr>
          <w:rFonts w:eastAsia="Calibri"/>
          <w:lang w:eastAsia="en-US"/>
        </w:rPr>
        <w:t xml:space="preserve">tiek uzskaitītas Latvijas SEG emisijas un piesaiste enerģētikas, transporta, rūpniecisko procesu un produktu izmantošanas, lauksaimniecības, </w:t>
      </w:r>
      <w:r w:rsidR="00932259">
        <w:rPr>
          <w:rFonts w:eastAsia="Calibri"/>
          <w:lang w:eastAsia="en-US"/>
        </w:rPr>
        <w:t>ZIZIMM</w:t>
      </w:r>
      <w:r w:rsidRPr="009E3BAB">
        <w:rPr>
          <w:rFonts w:eastAsia="Calibri"/>
          <w:lang w:eastAsia="en-US"/>
        </w:rPr>
        <w:t xml:space="preserve"> un atkritumu apsaimniekošanas </w:t>
      </w:r>
      <w:r w:rsidRPr="00327535">
        <w:rPr>
          <w:szCs w:val="24"/>
        </w:rPr>
        <w:t>sektorā</w:t>
      </w:r>
      <w:r w:rsidRPr="009E3BAB">
        <w:rPr>
          <w:rFonts w:eastAsia="Calibri"/>
          <w:lang w:eastAsia="en-US"/>
        </w:rPr>
        <w:t xml:space="preserve">. </w:t>
      </w:r>
      <w:r w:rsidR="00C5053A">
        <w:rPr>
          <w:rFonts w:eastAsia="Calibri"/>
          <w:lang w:eastAsia="en-US"/>
        </w:rPr>
        <w:t xml:space="preserve">SEG emisiju apjoma izmaiņu ikgadēja novērtēšana katrā sektorā attiecībā uz iepriekšējo </w:t>
      </w:r>
      <w:r w:rsidR="00932259">
        <w:rPr>
          <w:rFonts w:eastAsia="Calibri"/>
          <w:lang w:eastAsia="en-US"/>
        </w:rPr>
        <w:t>periodu</w:t>
      </w:r>
      <w:r w:rsidR="00C5053A">
        <w:rPr>
          <w:rFonts w:eastAsia="Calibri"/>
          <w:lang w:eastAsia="en-US"/>
        </w:rPr>
        <w:t xml:space="preserve">, </w:t>
      </w:r>
      <w:r w:rsidR="00E36231">
        <w:rPr>
          <w:rFonts w:eastAsia="Calibri"/>
          <w:lang w:eastAsia="en-US"/>
        </w:rPr>
        <w:t>ļauj pārliecin</w:t>
      </w:r>
      <w:r w:rsidR="00C5053A">
        <w:rPr>
          <w:rFonts w:eastAsia="Calibri"/>
          <w:lang w:eastAsia="en-US"/>
        </w:rPr>
        <w:t>āties, ka virzība uz klimatneitralitāti noris pastāvīgi un visos tautsaimniecības sektoros</w:t>
      </w:r>
      <w:r w:rsidR="000F2E71">
        <w:rPr>
          <w:rFonts w:eastAsia="Calibri"/>
          <w:lang w:eastAsia="en-US"/>
        </w:rPr>
        <w:t>.</w:t>
      </w:r>
    </w:p>
    <w:p w14:paraId="00609F59" w14:textId="77777777" w:rsidR="003415D3" w:rsidRDefault="009E3BAB" w:rsidP="0031388F">
      <w:pPr>
        <w:pStyle w:val="ListParagraph"/>
        <w:numPr>
          <w:ilvl w:val="0"/>
          <w:numId w:val="7"/>
        </w:numPr>
        <w:spacing w:before="120" w:after="120"/>
        <w:ind w:left="1134" w:hanging="425"/>
        <w:rPr>
          <w:rFonts w:eastAsia="Calibri"/>
          <w:b/>
          <w:lang w:eastAsia="en-US"/>
        </w:rPr>
      </w:pPr>
      <w:r w:rsidRPr="009E3BAB">
        <w:rPr>
          <w:rFonts w:eastAsia="Calibri"/>
          <w:b/>
          <w:lang w:eastAsia="en-US"/>
        </w:rPr>
        <w:lastRenderedPageBreak/>
        <w:t>Z</w:t>
      </w:r>
      <w:r w:rsidR="003415D3" w:rsidRPr="009E3BAB">
        <w:rPr>
          <w:rFonts w:eastAsia="Calibri"/>
          <w:b/>
          <w:lang w:eastAsia="en-US"/>
        </w:rPr>
        <w:t xml:space="preserve">emes izmantošanas, zemes izmantošanas maiņas un mežsaimniecības sektora </w:t>
      </w:r>
      <w:r w:rsidRPr="009E3BAB">
        <w:rPr>
          <w:rFonts w:eastAsia="Calibri"/>
          <w:b/>
          <w:lang w:eastAsia="en-US"/>
        </w:rPr>
        <w:t xml:space="preserve">emisiju un piesaistes kopējā </w:t>
      </w:r>
      <w:r w:rsidR="00C5053A">
        <w:rPr>
          <w:rFonts w:eastAsia="Calibri"/>
          <w:b/>
          <w:lang w:eastAsia="en-US"/>
        </w:rPr>
        <w:t>bilance</w:t>
      </w:r>
    </w:p>
    <w:p w14:paraId="15CDD979" w14:textId="77777777" w:rsidR="00C5053A" w:rsidRPr="00521BEC" w:rsidRDefault="00521BEC" w:rsidP="00327535">
      <w:pPr>
        <w:spacing w:before="120" w:after="120"/>
        <w:ind w:firstLine="720"/>
        <w:rPr>
          <w:rFonts w:eastAsia="Calibri"/>
          <w:lang w:eastAsia="en-US"/>
        </w:rPr>
      </w:pPr>
      <w:r>
        <w:rPr>
          <w:rFonts w:eastAsia="Calibri"/>
          <w:lang w:eastAsia="en-US"/>
        </w:rPr>
        <w:t xml:space="preserve">Tā kā ZIZIMM sektoram ir </w:t>
      </w:r>
      <w:r w:rsidRPr="00327535">
        <w:rPr>
          <w:szCs w:val="24"/>
        </w:rPr>
        <w:t>īpaša</w:t>
      </w:r>
      <w:r>
        <w:rPr>
          <w:rFonts w:eastAsia="Calibri"/>
          <w:lang w:eastAsia="en-US"/>
        </w:rPr>
        <w:t xml:space="preserve"> loma virzībā uz klimatneitralitāti, šis indikators rāda, vai/cik daudz </w:t>
      </w:r>
      <w:r w:rsidR="009D6BAD">
        <w:rPr>
          <w:rFonts w:eastAsia="Calibri"/>
          <w:lang w:eastAsia="en-US"/>
        </w:rPr>
        <w:t xml:space="preserve">viss </w:t>
      </w:r>
      <w:r>
        <w:rPr>
          <w:rFonts w:eastAsia="Calibri"/>
          <w:lang w:eastAsia="en-US"/>
        </w:rPr>
        <w:t>ZIZIMM sektors esošajā gadā spēj kompensēt pats savas SEG em</w:t>
      </w:r>
      <w:r w:rsidR="009D6BAD">
        <w:rPr>
          <w:rFonts w:eastAsia="Calibri"/>
          <w:lang w:eastAsia="en-US"/>
        </w:rPr>
        <w:t>i</w:t>
      </w:r>
      <w:r>
        <w:rPr>
          <w:rFonts w:eastAsia="Calibri"/>
          <w:lang w:eastAsia="en-US"/>
        </w:rPr>
        <w:t>sijas.</w:t>
      </w:r>
    </w:p>
    <w:p w14:paraId="151CBD05" w14:textId="77777777" w:rsidR="003415D3" w:rsidRPr="00966237" w:rsidRDefault="00521BEC" w:rsidP="003415D3">
      <w:pPr>
        <w:pStyle w:val="Heading2"/>
        <w:spacing w:before="120"/>
        <w:ind w:left="360"/>
        <w:jc w:val="both"/>
        <w:rPr>
          <w:rFonts w:eastAsia="Calibri"/>
        </w:rPr>
      </w:pPr>
      <w:bookmarkStart w:id="7" w:name="_Toc25580321"/>
      <w:r>
        <w:rPr>
          <w:rFonts w:eastAsia="Calibri"/>
        </w:rPr>
        <w:t>1</w:t>
      </w:r>
      <w:r w:rsidR="003415D3" w:rsidRPr="00966237">
        <w:rPr>
          <w:rFonts w:eastAsia="Calibri"/>
        </w:rPr>
        <w:t>.3.</w:t>
      </w:r>
      <w:r w:rsidR="006F5EBD">
        <w:rPr>
          <w:rFonts w:eastAsia="Calibri"/>
        </w:rPr>
        <w:t> </w:t>
      </w:r>
      <w:r w:rsidR="00D712A0" w:rsidRPr="00966237">
        <w:rPr>
          <w:rFonts w:eastAsia="Calibri"/>
        </w:rPr>
        <w:t>R</w:t>
      </w:r>
      <w:r w:rsidR="003415D3" w:rsidRPr="00966237">
        <w:rPr>
          <w:rFonts w:eastAsia="Calibri"/>
        </w:rPr>
        <w:t>īcības virzieni</w:t>
      </w:r>
      <w:bookmarkEnd w:id="7"/>
      <w:r w:rsidR="003415D3" w:rsidRPr="00966237">
        <w:rPr>
          <w:rFonts w:eastAsia="Calibri"/>
        </w:rPr>
        <w:t xml:space="preserve"> </w:t>
      </w:r>
    </w:p>
    <w:p w14:paraId="0A8C244B" w14:textId="77777777" w:rsidR="00FB2605" w:rsidRPr="005F2265" w:rsidRDefault="00FB2605" w:rsidP="0031388F">
      <w:pPr>
        <w:pStyle w:val="ListParagraph"/>
        <w:numPr>
          <w:ilvl w:val="0"/>
          <w:numId w:val="2"/>
        </w:numPr>
        <w:spacing w:before="240" w:after="120"/>
        <w:ind w:left="714" w:hanging="357"/>
        <w:rPr>
          <w:b/>
        </w:rPr>
      </w:pPr>
      <w:r w:rsidRPr="005F2265">
        <w:rPr>
          <w:b/>
        </w:rPr>
        <w:t>Divas pamatpieejas klimatneitratātes sasniegšanai</w:t>
      </w:r>
    </w:p>
    <w:p w14:paraId="3D59151D" w14:textId="77777777" w:rsidR="00FB2605" w:rsidRDefault="00FB2605" w:rsidP="00FB2605">
      <w:r>
        <w:t xml:space="preserve">Klimatneitralitātes sasniegšanai var izmantot divas </w:t>
      </w:r>
      <w:r w:rsidR="005F05DF">
        <w:t>pamatpieejas</w:t>
      </w:r>
      <w:r>
        <w:t>:</w:t>
      </w:r>
    </w:p>
    <w:p w14:paraId="1D8BCA97" w14:textId="77777777" w:rsidR="00FB2605" w:rsidRDefault="00FB2605" w:rsidP="0031388F">
      <w:pPr>
        <w:pStyle w:val="ListParagraph"/>
        <w:numPr>
          <w:ilvl w:val="0"/>
          <w:numId w:val="8"/>
        </w:numPr>
      </w:pPr>
      <w:r>
        <w:t>tehnoloģiskie risinājumi;</w:t>
      </w:r>
    </w:p>
    <w:p w14:paraId="16E7D2BB" w14:textId="77777777" w:rsidR="00FB2605" w:rsidRDefault="00FB2605" w:rsidP="0031388F">
      <w:pPr>
        <w:pStyle w:val="ListParagraph"/>
        <w:numPr>
          <w:ilvl w:val="0"/>
          <w:numId w:val="8"/>
        </w:numPr>
      </w:pPr>
      <w:r>
        <w:t>dzīvesveida maiņa.</w:t>
      </w:r>
    </w:p>
    <w:p w14:paraId="568C1B89" w14:textId="77777777" w:rsidR="00FB2605" w:rsidRDefault="00FB2605" w:rsidP="00327535">
      <w:pPr>
        <w:spacing w:before="120" w:after="120"/>
        <w:ind w:firstLine="720"/>
      </w:pPr>
      <w:r>
        <w:t xml:space="preserve">Tehnoloģisko risinājumu </w:t>
      </w:r>
      <w:r w:rsidR="005F05DF">
        <w:t>pieeja</w:t>
      </w:r>
      <w:r>
        <w:t xml:space="preserve"> ietver risinājumus, kas primāri vērsti uz tiešiem SEG emisiju samazinājumiem (tehnoloģiskie un procesu risinājumi). Īstenojot šo taktiku ir jāparedz būtiskas investīcijas:</w:t>
      </w:r>
    </w:p>
    <w:p w14:paraId="58093B2C" w14:textId="77777777" w:rsidR="00FB2605" w:rsidRDefault="00FB2605" w:rsidP="0031388F">
      <w:pPr>
        <w:pStyle w:val="ListParagraph"/>
        <w:numPr>
          <w:ilvl w:val="0"/>
          <w:numId w:val="9"/>
        </w:numPr>
      </w:pPr>
      <w:r>
        <w:t xml:space="preserve">tiešajos SEG </w:t>
      </w:r>
      <w:r w:rsidR="0065753B">
        <w:t xml:space="preserve">emisiju </w:t>
      </w:r>
      <w:r>
        <w:t xml:space="preserve">samazinājumos (enerģētikā, transportā, lauksaimniecībā, atkritumu apsaimniekošanā, rūpnieciskajos procesos u.c.), </w:t>
      </w:r>
    </w:p>
    <w:p w14:paraId="752FF01B" w14:textId="77777777" w:rsidR="00FB2605" w:rsidRDefault="00FB2605" w:rsidP="0031388F">
      <w:pPr>
        <w:pStyle w:val="ListParagraph"/>
        <w:numPr>
          <w:ilvl w:val="0"/>
          <w:numId w:val="9"/>
        </w:numPr>
      </w:pPr>
      <w:r>
        <w:t>“zaļo” inovāciju attīstīšanā un komercializēšanā, kas optimālajā scenārijā nodrošinātu iespēju arī inovatīvu tehnoloģiju eksportam.</w:t>
      </w:r>
    </w:p>
    <w:p w14:paraId="4B1B35F1" w14:textId="77777777" w:rsidR="00FB2605" w:rsidRDefault="00FB2605" w:rsidP="00FB2605">
      <w:r>
        <w:t xml:space="preserve">Savukārt, dzīvesveida maiņas </w:t>
      </w:r>
      <w:r w:rsidR="005F05DF">
        <w:t>pieeja</w:t>
      </w:r>
      <w:r>
        <w:t xml:space="preserve"> ietver risinājumus, kas primāri vērsti uz dzīvesveida maiņu un netiešiem SEG emisiju samazinājumiem, īstenojot: </w:t>
      </w:r>
    </w:p>
    <w:p w14:paraId="6DF13B62" w14:textId="77777777" w:rsidR="00FB2605" w:rsidRDefault="00FB2605" w:rsidP="0031388F">
      <w:pPr>
        <w:pStyle w:val="ListParagraph"/>
        <w:numPr>
          <w:ilvl w:val="0"/>
          <w:numId w:val="9"/>
        </w:numPr>
      </w:pPr>
      <w:r>
        <w:t xml:space="preserve">plašus sabiedrības informēšanas un izglītošanas pasākumus, lai nodrošinātu ikviena iedzīvotāja izpratni un ieinteresētību </w:t>
      </w:r>
      <w:r w:rsidR="00523EDB">
        <w:t xml:space="preserve">virzībā </w:t>
      </w:r>
      <w:r>
        <w:t>uz klimatneitralitāti;</w:t>
      </w:r>
    </w:p>
    <w:p w14:paraId="5A8020D3" w14:textId="77777777" w:rsidR="00FB2605" w:rsidRDefault="00FB2605" w:rsidP="0031388F">
      <w:pPr>
        <w:pStyle w:val="ListParagraph"/>
        <w:numPr>
          <w:ilvl w:val="0"/>
          <w:numId w:val="9"/>
        </w:numPr>
      </w:pPr>
      <w:r>
        <w:t>nodokļu sistēmas “zaļināšanu”, pielāgojot visu nodokļu sistēmu tā, lai gan iedzīvotājiem, gan komersantiem būtu skaidra valsts kopējā ilgtermiņa virzība (t.i., lai ar nodokļu politiku netiktu doti pretrunīgi signāli), kā arī ikvienam radītu ekonomiskus stimulus izvēlēties videi draudzīgākus paradumus un tehnoloģijas.</w:t>
      </w:r>
    </w:p>
    <w:p w14:paraId="0078332C" w14:textId="77777777" w:rsidR="005F05DF" w:rsidRDefault="005F05DF" w:rsidP="005F05DF">
      <w:pPr>
        <w:pStyle w:val="ListParagraph"/>
        <w:ind w:left="1287" w:firstLine="0"/>
      </w:pPr>
    </w:p>
    <w:p w14:paraId="1E4FBD68" w14:textId="77777777" w:rsidR="00FB2605" w:rsidRPr="005F2265" w:rsidRDefault="00FB2605" w:rsidP="0031388F">
      <w:pPr>
        <w:pStyle w:val="ListParagraph"/>
        <w:numPr>
          <w:ilvl w:val="0"/>
          <w:numId w:val="2"/>
        </w:numPr>
        <w:spacing w:before="240" w:after="120"/>
        <w:ind w:left="714" w:hanging="357"/>
        <w:rPr>
          <w:b/>
        </w:rPr>
      </w:pPr>
      <w:r w:rsidRPr="005F2265">
        <w:rPr>
          <w:b/>
        </w:rPr>
        <w:t>Risinājumi OMA īstenošanai dažādos tautsaimniecības sektoros</w:t>
      </w:r>
    </w:p>
    <w:p w14:paraId="74220EE1" w14:textId="6F19DE95" w:rsidR="003415D3" w:rsidRPr="00004C8B" w:rsidRDefault="00D922CD" w:rsidP="00327535">
      <w:pPr>
        <w:spacing w:before="120" w:after="120"/>
        <w:ind w:firstLine="720"/>
        <w:rPr>
          <w:rFonts w:eastAsia="Calibri"/>
          <w:lang w:eastAsia="en-US"/>
        </w:rPr>
      </w:pPr>
      <w:r>
        <w:rPr>
          <w:rFonts w:eastAsia="Calibri"/>
          <w:lang w:eastAsia="en-US"/>
        </w:rPr>
        <w:t xml:space="preserve">Lai </w:t>
      </w:r>
      <w:r w:rsidR="002002D6">
        <w:rPr>
          <w:rFonts w:eastAsia="Calibri"/>
          <w:lang w:eastAsia="en-US"/>
        </w:rPr>
        <w:t xml:space="preserve">veiktu </w:t>
      </w:r>
      <w:r w:rsidR="003415D3" w:rsidRPr="00004C8B">
        <w:rPr>
          <w:rFonts w:eastAsia="Calibri"/>
          <w:lang w:eastAsia="en-US"/>
        </w:rPr>
        <w:t>Stratēģij</w:t>
      </w:r>
      <w:r>
        <w:rPr>
          <w:rFonts w:eastAsia="Calibri"/>
          <w:lang w:eastAsia="en-US"/>
        </w:rPr>
        <w:t>as</w:t>
      </w:r>
      <w:r w:rsidR="003415D3" w:rsidRPr="00004C8B">
        <w:rPr>
          <w:rFonts w:eastAsia="Calibri"/>
          <w:lang w:eastAsia="en-US"/>
        </w:rPr>
        <w:t xml:space="preserve"> sekmīg</w:t>
      </w:r>
      <w:r>
        <w:rPr>
          <w:rFonts w:eastAsia="Calibri"/>
          <w:lang w:eastAsia="en-US"/>
        </w:rPr>
        <w:t>u</w:t>
      </w:r>
      <w:r w:rsidR="003415D3" w:rsidRPr="00004C8B">
        <w:rPr>
          <w:rFonts w:eastAsia="Calibri"/>
          <w:lang w:eastAsia="en-US"/>
        </w:rPr>
        <w:t xml:space="preserve"> </w:t>
      </w:r>
      <w:r w:rsidR="003415D3" w:rsidRPr="00327535">
        <w:rPr>
          <w:szCs w:val="24"/>
        </w:rPr>
        <w:t>īstenošan</w:t>
      </w:r>
      <w:r w:rsidRPr="00327535">
        <w:rPr>
          <w:szCs w:val="24"/>
        </w:rPr>
        <w:t>u</w:t>
      </w:r>
      <w:r>
        <w:rPr>
          <w:rFonts w:eastAsia="Calibri"/>
          <w:lang w:eastAsia="en-US"/>
        </w:rPr>
        <w:t xml:space="preserve">, nepieciešams plānot atbilstošas rīcības, kas </w:t>
      </w:r>
      <w:r w:rsidR="009D6BAD">
        <w:rPr>
          <w:rFonts w:eastAsia="Calibri"/>
          <w:lang w:eastAsia="en-US"/>
        </w:rPr>
        <w:t xml:space="preserve">aptver </w:t>
      </w:r>
      <w:r>
        <w:rPr>
          <w:rFonts w:eastAsia="Calibri"/>
          <w:lang w:eastAsia="en-US"/>
        </w:rPr>
        <w:t>gan vispārēj</w:t>
      </w:r>
      <w:r w:rsidR="009D6BAD">
        <w:rPr>
          <w:rFonts w:eastAsia="Calibri"/>
          <w:lang w:eastAsia="en-US"/>
        </w:rPr>
        <w:t>u</w:t>
      </w:r>
      <w:r>
        <w:rPr>
          <w:rFonts w:eastAsia="Calibri"/>
          <w:lang w:eastAsia="en-US"/>
        </w:rPr>
        <w:t xml:space="preserve"> (horizontāl</w:t>
      </w:r>
      <w:r w:rsidR="009D6BAD">
        <w:rPr>
          <w:rFonts w:eastAsia="Calibri"/>
          <w:lang w:eastAsia="en-US"/>
        </w:rPr>
        <w:t>u</w:t>
      </w:r>
      <w:r>
        <w:rPr>
          <w:rFonts w:eastAsia="Calibri"/>
          <w:lang w:eastAsia="en-US"/>
        </w:rPr>
        <w:t>) OMA principu īstenošan</w:t>
      </w:r>
      <w:r w:rsidR="009D6BAD">
        <w:rPr>
          <w:rFonts w:eastAsia="Calibri"/>
          <w:lang w:eastAsia="en-US"/>
        </w:rPr>
        <w:t>u</w:t>
      </w:r>
      <w:r>
        <w:rPr>
          <w:rFonts w:eastAsia="Calibri"/>
          <w:lang w:eastAsia="en-US"/>
        </w:rPr>
        <w:t xml:space="preserve">, gan arī rīcības nozaru politikās, </w:t>
      </w:r>
      <w:r w:rsidR="009D6BAD">
        <w:rPr>
          <w:rFonts w:eastAsia="Calibri"/>
          <w:lang w:eastAsia="en-US"/>
        </w:rPr>
        <w:t>iekļaujot</w:t>
      </w:r>
      <w:r>
        <w:rPr>
          <w:rFonts w:eastAsia="Calibri"/>
          <w:lang w:eastAsia="en-US"/>
        </w:rPr>
        <w:t xml:space="preserve"> visus tautsaimniecības sektorus: </w:t>
      </w:r>
      <w:r w:rsidR="003415D3" w:rsidRPr="00004C8B">
        <w:rPr>
          <w:rFonts w:eastAsia="Calibri"/>
          <w:lang w:eastAsia="en-US"/>
        </w:rPr>
        <w:t xml:space="preserve"> </w:t>
      </w:r>
    </w:p>
    <w:p w14:paraId="59A1B9BF" w14:textId="77777777" w:rsidR="00FB2605" w:rsidRDefault="00FB2605" w:rsidP="0031388F">
      <w:pPr>
        <w:numPr>
          <w:ilvl w:val="0"/>
          <w:numId w:val="10"/>
        </w:numPr>
        <w:ind w:left="1491" w:hanging="357"/>
        <w:rPr>
          <w:rFonts w:eastAsia="Calibri"/>
          <w:szCs w:val="24"/>
          <w:lang w:eastAsia="en-US"/>
        </w:rPr>
      </w:pPr>
      <w:r w:rsidRPr="00D712A0">
        <w:t xml:space="preserve">Nodrošināt, ka </w:t>
      </w:r>
      <w:r w:rsidR="006F5EBD">
        <w:t>OMA</w:t>
      </w:r>
      <w:r w:rsidRPr="00D712A0">
        <w:t xml:space="preserve"> aspekti ir integrēti visos pētījumos, oglekļa mazietilpīgas inovācijas </w:t>
      </w:r>
      <w:r>
        <w:t xml:space="preserve">un tehnoloģijas </w:t>
      </w:r>
      <w:r w:rsidRPr="00D712A0">
        <w:t xml:space="preserve">tiek </w:t>
      </w:r>
      <w:r>
        <w:t xml:space="preserve">komercializētas un </w:t>
      </w:r>
      <w:r w:rsidRPr="00D712A0">
        <w:rPr>
          <w:rFonts w:eastAsia="Calibri"/>
          <w:szCs w:val="24"/>
          <w:lang w:eastAsia="en-US"/>
        </w:rPr>
        <w:t>pārnestas uz</w:t>
      </w:r>
      <w:r>
        <w:rPr>
          <w:rFonts w:eastAsia="Calibri"/>
          <w:szCs w:val="24"/>
          <w:lang w:eastAsia="en-US"/>
        </w:rPr>
        <w:t xml:space="preserve"> visām tautsaimniecības nozarēm;</w:t>
      </w:r>
    </w:p>
    <w:p w14:paraId="2C5FBB1D" w14:textId="77777777" w:rsidR="003415D3" w:rsidRPr="00D712A0" w:rsidRDefault="003415D3" w:rsidP="0031388F">
      <w:pPr>
        <w:pStyle w:val="ListParagraph"/>
        <w:numPr>
          <w:ilvl w:val="0"/>
          <w:numId w:val="10"/>
        </w:numPr>
        <w:spacing w:line="276" w:lineRule="auto"/>
        <w:ind w:left="1491" w:hanging="357"/>
      </w:pPr>
      <w:r w:rsidRPr="00D712A0">
        <w:t>Nodrošināt visaptverošu energoefektivitāti ikvienā tautsaimniecības nozarē;</w:t>
      </w:r>
    </w:p>
    <w:p w14:paraId="6F9A227F" w14:textId="77777777" w:rsidR="003415D3" w:rsidRPr="00D712A0" w:rsidRDefault="003415D3" w:rsidP="0031388F">
      <w:pPr>
        <w:pStyle w:val="ListParagraph"/>
        <w:numPr>
          <w:ilvl w:val="0"/>
          <w:numId w:val="10"/>
        </w:numPr>
        <w:spacing w:line="276" w:lineRule="auto"/>
        <w:ind w:left="1491" w:hanging="357"/>
      </w:pPr>
      <w:r w:rsidRPr="00D712A0">
        <w:t xml:space="preserve">Nodrošināt tikai </w:t>
      </w:r>
      <w:r w:rsidR="00F81BB4" w:rsidRPr="00D712A0">
        <w:t xml:space="preserve"> </w:t>
      </w:r>
      <w:r w:rsidRPr="00D712A0">
        <w:t>atjaunojamo energoresursu izmantošanu enerģijas ieguvē visos sektoros</w:t>
      </w:r>
      <w:r w:rsidR="00F81BB4">
        <w:t xml:space="preserve"> (kur vien tas</w:t>
      </w:r>
      <w:r w:rsidR="00A71CE6">
        <w:t xml:space="preserve"> ir</w:t>
      </w:r>
      <w:r w:rsidR="00F81BB4">
        <w:t xml:space="preserve"> </w:t>
      </w:r>
      <w:r w:rsidR="00A71CE6">
        <w:t xml:space="preserve">tehnoloģiski </w:t>
      </w:r>
      <w:r w:rsidR="00F81BB4">
        <w:t>iespējams)</w:t>
      </w:r>
      <w:r w:rsidRPr="00D712A0">
        <w:t xml:space="preserve">, kā arī to, ka </w:t>
      </w:r>
      <w:r w:rsidR="00D712A0">
        <w:t xml:space="preserve">tiek izmantoti vietējie energoresursi un </w:t>
      </w:r>
      <w:r w:rsidRPr="00D712A0">
        <w:t>energotirgus ir pilnībā savienots</w:t>
      </w:r>
      <w:r w:rsidR="00D712A0">
        <w:t>,</w:t>
      </w:r>
      <w:r w:rsidRPr="00D712A0">
        <w:t xml:space="preserve"> ikvienam brīvi pieejams;</w:t>
      </w:r>
    </w:p>
    <w:p w14:paraId="072A4F9C" w14:textId="77777777" w:rsidR="003415D3" w:rsidRPr="00D712A0" w:rsidRDefault="00004C8B" w:rsidP="0031388F">
      <w:pPr>
        <w:numPr>
          <w:ilvl w:val="0"/>
          <w:numId w:val="10"/>
        </w:numPr>
        <w:ind w:left="1491" w:hanging="357"/>
        <w:rPr>
          <w:rFonts w:eastAsia="Calibri"/>
          <w:szCs w:val="24"/>
          <w:lang w:eastAsia="en-US"/>
        </w:rPr>
      </w:pPr>
      <w:r>
        <w:t>N</w:t>
      </w:r>
      <w:r w:rsidR="003415D3" w:rsidRPr="00D712A0">
        <w:t>odrošināt optimālu transporta infrastruktūru</w:t>
      </w:r>
      <w:r>
        <w:t>,</w:t>
      </w:r>
      <w:r w:rsidR="003415D3" w:rsidRPr="00D712A0">
        <w:t xml:space="preserve"> </w:t>
      </w:r>
      <w:r>
        <w:t>m</w:t>
      </w:r>
      <w:r w:rsidRPr="00D712A0">
        <w:t>ainīt iedzīvotāju pārvietošanās paradumus,</w:t>
      </w:r>
      <w:r>
        <w:t xml:space="preserve"> </w:t>
      </w:r>
      <w:r w:rsidR="003415D3" w:rsidRPr="00D712A0">
        <w:t>palielināt resursefektīvu un videi draudzīgu transportlīdzekļu veidu lietošanu;</w:t>
      </w:r>
    </w:p>
    <w:p w14:paraId="7D3CD5AE" w14:textId="77777777" w:rsidR="003415D3" w:rsidRPr="00D712A0" w:rsidRDefault="003415D3" w:rsidP="0031388F">
      <w:pPr>
        <w:pStyle w:val="ListParagraph"/>
        <w:numPr>
          <w:ilvl w:val="0"/>
          <w:numId w:val="10"/>
        </w:numPr>
        <w:ind w:left="1491" w:hanging="357"/>
      </w:pPr>
      <w:r w:rsidRPr="00D712A0">
        <w:t>Nodrošināt ilgtspējīgu zemes apsaimniekošan</w:t>
      </w:r>
      <w:r w:rsidR="00FB0D25">
        <w:t>u</w:t>
      </w:r>
      <w:r w:rsidRPr="00D712A0">
        <w:t>, lauksaimniecībā panākot augstu produktivitāti</w:t>
      </w:r>
      <w:r w:rsidR="00FB0D25" w:rsidRPr="00D712A0">
        <w:t>,</w:t>
      </w:r>
      <w:r w:rsidR="00FB0D25">
        <w:t xml:space="preserve"> kā arī </w:t>
      </w:r>
      <w:r w:rsidRPr="00D712A0">
        <w:t>ilgtspējīgi apsaimniekojot Latvijas mežus</w:t>
      </w:r>
      <w:r w:rsidR="00B45ABE">
        <w:t>;</w:t>
      </w:r>
    </w:p>
    <w:p w14:paraId="21DE7564" w14:textId="77777777" w:rsidR="003415D3" w:rsidRPr="00D712A0" w:rsidRDefault="003415D3" w:rsidP="0031388F">
      <w:pPr>
        <w:pStyle w:val="ListParagraph"/>
        <w:numPr>
          <w:ilvl w:val="0"/>
          <w:numId w:val="10"/>
        </w:numPr>
        <w:ind w:left="1491" w:hanging="357"/>
      </w:pPr>
      <w:r w:rsidRPr="00D712A0">
        <w:t>Nodrošināt, ka Latvijas iedzīvotāji īsteno videi draudzīgu dzīvesveidu, un uzņēmumi ir pielāgojušies pasaules tirgus tendencēm un sekmīgi īsteno aprites ekonomiku;</w:t>
      </w:r>
    </w:p>
    <w:p w14:paraId="6E4A367F" w14:textId="77777777" w:rsidR="003415D3" w:rsidRPr="00D712A0" w:rsidRDefault="003415D3" w:rsidP="0031388F">
      <w:pPr>
        <w:numPr>
          <w:ilvl w:val="0"/>
          <w:numId w:val="10"/>
        </w:numPr>
        <w:ind w:left="1418" w:hanging="284"/>
        <w:rPr>
          <w:rFonts w:eastAsia="Calibri"/>
          <w:szCs w:val="24"/>
          <w:lang w:eastAsia="en-US"/>
        </w:rPr>
      </w:pPr>
      <w:r w:rsidRPr="00D712A0">
        <w:lastRenderedPageBreak/>
        <w:t>Nodrošināt pašvaldību ilgtspējīgu attīstību, veicinot viedu</w:t>
      </w:r>
      <w:r w:rsidR="00D922CD">
        <w:t>, klimatneitrālu</w:t>
      </w:r>
      <w:r w:rsidRPr="00D712A0">
        <w:t xml:space="preserve"> un elastīgu pilsētvidi</w:t>
      </w:r>
      <w:r w:rsidR="00FF5262">
        <w:t xml:space="preserve">, </w:t>
      </w:r>
      <w:r w:rsidR="00FF5262" w:rsidRPr="00FF5262">
        <w:t>tostarp pilsētvides attīstībā izvēloties zaļo infrastruktūru</w:t>
      </w:r>
      <w:r w:rsidR="00D922CD">
        <w:t>.</w:t>
      </w:r>
    </w:p>
    <w:p w14:paraId="301996AE" w14:textId="51ACAAB2" w:rsidR="002707A6" w:rsidRDefault="00D922CD" w:rsidP="00600845">
      <w:pPr>
        <w:spacing w:before="120" w:after="120"/>
        <w:rPr>
          <w:rFonts w:eastAsia="Calibri"/>
          <w:lang w:eastAsia="en-US"/>
        </w:rPr>
      </w:pPr>
      <w:r>
        <w:rPr>
          <w:rFonts w:eastAsia="Calibri"/>
          <w:lang w:eastAsia="en-US"/>
        </w:rPr>
        <w:t xml:space="preserve">Rīcības virzieni </w:t>
      </w:r>
      <w:r w:rsidRPr="00004C8B">
        <w:rPr>
          <w:rFonts w:eastAsia="Calibri"/>
          <w:lang w:eastAsia="en-US"/>
        </w:rPr>
        <w:t xml:space="preserve">ir plašāk izvērsti </w:t>
      </w:r>
      <w:r>
        <w:rPr>
          <w:rFonts w:eastAsia="Calibri"/>
          <w:lang w:eastAsia="en-US"/>
        </w:rPr>
        <w:t>turpmāk (skat.</w:t>
      </w:r>
      <w:r w:rsidR="00A00CBB">
        <w:rPr>
          <w:rFonts w:eastAsia="Calibri"/>
          <w:lang w:eastAsia="en-US"/>
        </w:rPr>
        <w:t> </w:t>
      </w:r>
      <w:r w:rsidR="00B263D4" w:rsidRPr="00B263D4">
        <w:rPr>
          <w:rFonts w:eastAsia="Calibri"/>
          <w:lang w:eastAsia="en-US"/>
        </w:rPr>
        <w:t>6</w:t>
      </w:r>
      <w:r w:rsidRPr="00B263D4">
        <w:rPr>
          <w:rFonts w:eastAsia="Calibri"/>
          <w:lang w:eastAsia="en-US"/>
        </w:rPr>
        <w:t>.</w:t>
      </w:r>
      <w:r w:rsidR="00ED1DFA">
        <w:rPr>
          <w:rFonts w:eastAsia="Calibri"/>
          <w:lang w:eastAsia="en-US"/>
        </w:rPr>
        <w:t xml:space="preserve"> </w:t>
      </w:r>
      <w:r w:rsidRPr="00B263D4">
        <w:rPr>
          <w:rFonts w:eastAsia="Calibri"/>
          <w:lang w:eastAsia="en-US"/>
        </w:rPr>
        <w:t>nodaļu).</w:t>
      </w:r>
    </w:p>
    <w:p w14:paraId="60B66474" w14:textId="77777777" w:rsidR="00724660" w:rsidRDefault="00724660" w:rsidP="00600845">
      <w:pPr>
        <w:spacing w:before="120" w:after="120"/>
      </w:pPr>
      <w:r>
        <w:t>Konkrēti p</w:t>
      </w:r>
      <w:r w:rsidR="00BB5B37" w:rsidRPr="00F5471B">
        <w:t>asākum</w:t>
      </w:r>
      <w:r>
        <w:t>i</w:t>
      </w:r>
      <w:r w:rsidR="00BB5B37" w:rsidRPr="00F5471B">
        <w:t xml:space="preserve"> </w:t>
      </w:r>
      <w:r>
        <w:t>un dažādu tautsaimniecības sektoru devums klimatneitralitātes mērķa sasniegšanai tiks noteikts secīgajos NEKP, kā arī</w:t>
      </w:r>
      <w:r w:rsidR="00BB5B37" w:rsidRPr="00F5471B">
        <w:t xml:space="preserve"> īsāka termiņa nozaru plānošanas dokumentos</w:t>
      </w:r>
      <w:r>
        <w:t>.</w:t>
      </w:r>
    </w:p>
    <w:p w14:paraId="5038AEC6" w14:textId="77777777" w:rsidR="00BB5B37" w:rsidRDefault="00BB5B37" w:rsidP="00600845">
      <w:pPr>
        <w:spacing w:before="120" w:after="120"/>
        <w:rPr>
          <w:rFonts w:eastAsia="Calibri"/>
          <w:lang w:eastAsia="en-US"/>
        </w:rPr>
      </w:pPr>
    </w:p>
    <w:p w14:paraId="2995CCB4" w14:textId="77777777" w:rsidR="002707A6" w:rsidRPr="004B7FCB" w:rsidRDefault="002707A6" w:rsidP="002707A6">
      <w:pPr>
        <w:pStyle w:val="Heading2"/>
        <w:spacing w:before="120"/>
        <w:ind w:left="360"/>
        <w:jc w:val="both"/>
        <w:rPr>
          <w:rFonts w:eastAsia="Calibri"/>
        </w:rPr>
      </w:pPr>
      <w:bookmarkStart w:id="8" w:name="_Toc25580322"/>
      <w:r>
        <w:rPr>
          <w:rFonts w:eastAsia="Calibri"/>
        </w:rPr>
        <w:t xml:space="preserve">1.4. Vispārēji </w:t>
      </w:r>
      <w:r w:rsidRPr="009F2A74">
        <w:rPr>
          <w:rFonts w:eastAsia="Calibri"/>
        </w:rPr>
        <w:t xml:space="preserve">OMA </w:t>
      </w:r>
      <w:r>
        <w:rPr>
          <w:rFonts w:eastAsia="Calibri"/>
        </w:rPr>
        <w:t>un Stratēģijas īstenošanas principi</w:t>
      </w:r>
      <w:bookmarkEnd w:id="8"/>
    </w:p>
    <w:p w14:paraId="72DAE902" w14:textId="77777777" w:rsidR="002707A6" w:rsidRDefault="002707A6" w:rsidP="002707A6">
      <w:r>
        <w:t>Virzībai uz klimatneitralitāti jāiet roku rokā ar</w:t>
      </w:r>
      <w:r w:rsidRPr="00F62711">
        <w:t xml:space="preserve"> ekonomisk</w:t>
      </w:r>
      <w:r>
        <w:t>ās</w:t>
      </w:r>
      <w:r w:rsidRPr="00F62711">
        <w:t xml:space="preserve"> labklājība</w:t>
      </w:r>
      <w:r>
        <w:t>s</w:t>
      </w:r>
      <w:r w:rsidRPr="00F62711">
        <w:t xml:space="preserve"> un sociāl</w:t>
      </w:r>
      <w:r>
        <w:t>ā</w:t>
      </w:r>
      <w:r w:rsidRPr="00F62711">
        <w:t xml:space="preserve"> taisnīgum</w:t>
      </w:r>
      <w:r>
        <w:t>a nodrošināšanu (skat. 1. attēlu).</w:t>
      </w:r>
    </w:p>
    <w:p w14:paraId="5329E6D7" w14:textId="77777777" w:rsidR="002707A6" w:rsidRDefault="002707A6" w:rsidP="002707A6">
      <w:r>
        <w:t xml:space="preserve">OMA (nosaka, </w:t>
      </w:r>
      <w:r w:rsidRPr="001A166C">
        <w:rPr>
          <w:i/>
        </w:rPr>
        <w:t>kas</w:t>
      </w:r>
      <w:r>
        <w:t xml:space="preserve"> jāīsteno) vispārēji </w:t>
      </w:r>
      <w:r w:rsidR="00E616C5">
        <w:t xml:space="preserve">(horizontāli) </w:t>
      </w:r>
      <w:r>
        <w:t>principi:</w:t>
      </w:r>
    </w:p>
    <w:p w14:paraId="09899C5A" w14:textId="77777777" w:rsidR="002707A6" w:rsidRPr="00A07F89" w:rsidRDefault="002707A6" w:rsidP="0031388F">
      <w:pPr>
        <w:pStyle w:val="ListParagraph"/>
        <w:numPr>
          <w:ilvl w:val="0"/>
          <w:numId w:val="5"/>
        </w:numPr>
      </w:pPr>
      <w:r w:rsidRPr="00A07F89">
        <w:t>tautsaimniecības pārstrukturizēšana</w:t>
      </w:r>
      <w:r>
        <w:t>, procesu optimizēšana</w:t>
      </w:r>
      <w:r w:rsidRPr="00A07F89">
        <w:t xml:space="preserve"> izmaksu efektīvā veidā, nemazinot konkurētspēj</w:t>
      </w:r>
      <w:r>
        <w:t>u (nodrošinot stabilu un pieaugošu IKP atsaisti no SEG emisijām)</w:t>
      </w:r>
      <w:r w:rsidRPr="00A07F89">
        <w:t>;</w:t>
      </w:r>
    </w:p>
    <w:p w14:paraId="7F3FDECA" w14:textId="77777777" w:rsidR="00E616C5" w:rsidRDefault="00E616C5" w:rsidP="0031388F">
      <w:pPr>
        <w:pStyle w:val="ListParagraph"/>
        <w:numPr>
          <w:ilvl w:val="0"/>
          <w:numId w:val="5"/>
        </w:numPr>
      </w:pPr>
      <w:r>
        <w:t>resurs</w:t>
      </w:r>
      <w:r w:rsidR="002707A6">
        <w:t>efektivitātes, t.sk. energoefektivitātes, paaugstināšana</w:t>
      </w:r>
      <w:r>
        <w:t xml:space="preserve"> (princips: energoefektivitāte vispirms);</w:t>
      </w:r>
    </w:p>
    <w:p w14:paraId="5052F121" w14:textId="3FFE57D1" w:rsidR="002707A6" w:rsidRDefault="002707A6" w:rsidP="0031388F">
      <w:pPr>
        <w:pStyle w:val="ListParagraph"/>
        <w:numPr>
          <w:ilvl w:val="0"/>
          <w:numId w:val="5"/>
        </w:numPr>
      </w:pPr>
      <w:r>
        <w:t xml:space="preserve"> atjaunojamo energoresursu izmantošana</w:t>
      </w:r>
      <w:r w:rsidR="00E616C5">
        <w:t>s veicināšana</w:t>
      </w:r>
      <w:r>
        <w:t>;</w:t>
      </w:r>
    </w:p>
    <w:p w14:paraId="18F961AC" w14:textId="77777777" w:rsidR="002707A6" w:rsidRDefault="002707A6" w:rsidP="0031388F">
      <w:pPr>
        <w:pStyle w:val="ListParagraph"/>
        <w:numPr>
          <w:ilvl w:val="0"/>
          <w:numId w:val="5"/>
        </w:numPr>
      </w:pPr>
      <w:r>
        <w:t>valsts nesubsidē fosilo energoresursu izmantošanu;</w:t>
      </w:r>
    </w:p>
    <w:p w14:paraId="3224BF6E" w14:textId="77777777" w:rsidR="002707A6" w:rsidRDefault="002707A6" w:rsidP="0031388F">
      <w:pPr>
        <w:pStyle w:val="ListParagraph"/>
        <w:numPr>
          <w:ilvl w:val="0"/>
          <w:numId w:val="5"/>
        </w:numPr>
      </w:pPr>
      <w:r>
        <w:t>“zaļo” inovāciju un pētniecības attīstīšana un komercializācija;</w:t>
      </w:r>
    </w:p>
    <w:p w14:paraId="46D09E6D" w14:textId="77777777" w:rsidR="002707A6" w:rsidRDefault="002707A6" w:rsidP="0031388F">
      <w:pPr>
        <w:pStyle w:val="ListParagraph"/>
        <w:numPr>
          <w:ilvl w:val="0"/>
          <w:numId w:val="5"/>
        </w:numPr>
      </w:pPr>
      <w:r>
        <w:t>jaunu “zaļo” darbavietu radīšana;</w:t>
      </w:r>
    </w:p>
    <w:p w14:paraId="4C5A8FAB" w14:textId="77777777" w:rsidR="002707A6" w:rsidRDefault="002707A6" w:rsidP="0031388F">
      <w:pPr>
        <w:pStyle w:val="ListParagraph"/>
        <w:numPr>
          <w:ilvl w:val="0"/>
          <w:numId w:val="5"/>
        </w:numPr>
      </w:pPr>
      <w:r w:rsidRPr="00A07F89">
        <w:t>savstarpējas komunikācijas, sadarbības, simbiozes un tīklošanas veicināšana;</w:t>
      </w:r>
    </w:p>
    <w:p w14:paraId="49466551" w14:textId="77777777" w:rsidR="002707A6" w:rsidRDefault="002707A6" w:rsidP="0031388F">
      <w:pPr>
        <w:pStyle w:val="ListParagraph"/>
        <w:numPr>
          <w:ilvl w:val="0"/>
          <w:numId w:val="5"/>
        </w:numPr>
      </w:pPr>
      <w:r>
        <w:t>nodrošināta iepriekš minēto principu horizontāla integrācija visās tautsaimniecības politikās un publiskā finansējuma ieguldījumos.</w:t>
      </w:r>
    </w:p>
    <w:p w14:paraId="2CA9B83B" w14:textId="77777777" w:rsidR="002707A6" w:rsidRDefault="002707A6" w:rsidP="002707A6">
      <w:pPr>
        <w:pStyle w:val="ListParagraph"/>
        <w:ind w:left="1287" w:firstLine="0"/>
      </w:pPr>
    </w:p>
    <w:p w14:paraId="060D872E" w14:textId="77777777" w:rsidR="002707A6" w:rsidRPr="006A1CED" w:rsidRDefault="002707A6" w:rsidP="002707A6">
      <w:pPr>
        <w:rPr>
          <w:rFonts w:eastAsia="Calibri"/>
          <w:noProof/>
          <w:szCs w:val="24"/>
          <w:lang w:eastAsia="en-US"/>
        </w:rPr>
      </w:pPr>
      <w:r>
        <w:rPr>
          <w:rFonts w:eastAsia="Calibri"/>
          <w:noProof/>
          <w:szCs w:val="24"/>
          <w:lang w:eastAsia="en-US"/>
        </w:rPr>
        <w:t xml:space="preserve">Vispārīgi Stratēģijas īstenošanas principi (nosaka, </w:t>
      </w:r>
      <w:r w:rsidRPr="001A166C">
        <w:rPr>
          <w:rFonts w:eastAsia="Calibri"/>
          <w:i/>
          <w:noProof/>
          <w:szCs w:val="24"/>
          <w:lang w:eastAsia="en-US"/>
        </w:rPr>
        <w:t>kā</w:t>
      </w:r>
      <w:r w:rsidRPr="005F4AEC">
        <w:t xml:space="preserve"> </w:t>
      </w:r>
      <w:r>
        <w:t>jāīsteno Stratēģija):</w:t>
      </w:r>
    </w:p>
    <w:p w14:paraId="500797B9" w14:textId="77777777" w:rsidR="002707A6" w:rsidRDefault="002707A6" w:rsidP="0031388F">
      <w:pPr>
        <w:pStyle w:val="ListParagraph"/>
        <w:numPr>
          <w:ilvl w:val="0"/>
          <w:numId w:val="5"/>
        </w:numPr>
      </w:pPr>
      <w:r>
        <w:t>vispirms īstenot un ieviest pasākumus ar</w:t>
      </w:r>
      <w:r w:rsidRPr="003D3E96">
        <w:t xml:space="preserve"> </w:t>
      </w:r>
      <w:r>
        <w:t>zemākajām izmaksām;</w:t>
      </w:r>
    </w:p>
    <w:p w14:paraId="4E546DE5" w14:textId="77777777" w:rsidR="002707A6" w:rsidRDefault="002707A6" w:rsidP="0031388F">
      <w:pPr>
        <w:pStyle w:val="ListParagraph"/>
        <w:numPr>
          <w:ilvl w:val="0"/>
          <w:numId w:val="5"/>
        </w:numPr>
      </w:pPr>
      <w:r>
        <w:t>konkrētā pasākuma ietekmes vērtē ne tikai īstermiņā, bet arī ilgtermiņā;</w:t>
      </w:r>
    </w:p>
    <w:p w14:paraId="1808D44B" w14:textId="77777777" w:rsidR="002707A6" w:rsidRDefault="002707A6" w:rsidP="0031388F">
      <w:pPr>
        <w:pStyle w:val="ListParagraph"/>
        <w:numPr>
          <w:ilvl w:val="0"/>
          <w:numId w:val="5"/>
        </w:numPr>
      </w:pPr>
      <w:r>
        <w:t>balstīšanās uz nacionāli pieejamiem resursiem;</w:t>
      </w:r>
    </w:p>
    <w:p w14:paraId="25C4FC84" w14:textId="77777777" w:rsidR="002707A6" w:rsidRPr="0096382B" w:rsidRDefault="002707A6" w:rsidP="0031388F">
      <w:pPr>
        <w:pStyle w:val="ListParagraph"/>
        <w:numPr>
          <w:ilvl w:val="0"/>
          <w:numId w:val="5"/>
        </w:numPr>
      </w:pPr>
      <w:r w:rsidRPr="005F4AEC">
        <w:rPr>
          <w:rFonts w:eastAsia="Calibri"/>
          <w:szCs w:val="24"/>
          <w:lang w:eastAsia="en-US"/>
        </w:rPr>
        <w:t>ekonomiskā attīstība nav balstīta uz intensīvu enerģijas un resursu patēriņu</w:t>
      </w:r>
      <w:r>
        <w:rPr>
          <w:rStyle w:val="FootnoteReference"/>
          <w:rFonts w:eastAsia="Calibri"/>
          <w:szCs w:val="24"/>
          <w:lang w:eastAsia="en-US"/>
        </w:rPr>
        <w:footnoteReference w:id="12"/>
      </w:r>
      <w:r>
        <w:rPr>
          <w:rFonts w:eastAsia="Calibri"/>
          <w:szCs w:val="24"/>
          <w:lang w:eastAsia="en-US"/>
        </w:rPr>
        <w:t>;</w:t>
      </w:r>
    </w:p>
    <w:p w14:paraId="1118216F" w14:textId="77777777" w:rsidR="002707A6" w:rsidRPr="00A23724" w:rsidRDefault="002707A6" w:rsidP="0031388F">
      <w:pPr>
        <w:pStyle w:val="ListParagraph"/>
        <w:numPr>
          <w:ilvl w:val="0"/>
          <w:numId w:val="5"/>
        </w:numPr>
      </w:pPr>
      <w:r w:rsidRPr="00A23724">
        <w:t>sociāli taisnīga pāreja</w:t>
      </w:r>
      <w:r>
        <w:t> </w:t>
      </w:r>
      <w:r w:rsidRPr="00A23724">
        <w:t>–</w:t>
      </w:r>
      <w:r>
        <w:t> </w:t>
      </w:r>
      <w:r w:rsidRPr="00A23724">
        <w:t>nodrošināts sociālais dialogs, tiek ņemtas vērā katra tautsaimniecība</w:t>
      </w:r>
      <w:r>
        <w:t>s sektora īpatnības un iespējas</w:t>
      </w:r>
      <w:r w:rsidRPr="00A23724">
        <w:t>;</w:t>
      </w:r>
    </w:p>
    <w:p w14:paraId="65C74BC1" w14:textId="77777777" w:rsidR="002707A6" w:rsidRDefault="002707A6" w:rsidP="0031388F">
      <w:pPr>
        <w:pStyle w:val="ListParagraph"/>
        <w:numPr>
          <w:ilvl w:val="0"/>
          <w:numId w:val="5"/>
        </w:numPr>
      </w:pPr>
      <w:r>
        <w:t>attīstība nav pretrunā bioloģiskās daudzveidības, dabas un vides aizsardzības mērķiem.</w:t>
      </w:r>
    </w:p>
    <w:p w14:paraId="29B2204E" w14:textId="77777777" w:rsidR="002707A6" w:rsidRDefault="002707A6" w:rsidP="002707A6"/>
    <w:p w14:paraId="318E071C" w14:textId="77777777" w:rsidR="00521BEC" w:rsidRDefault="00521BEC" w:rsidP="00600845">
      <w:pPr>
        <w:spacing w:before="120" w:after="120"/>
        <w:rPr>
          <w:rFonts w:eastAsia="Calibri"/>
          <w:lang w:eastAsia="en-US"/>
        </w:rPr>
      </w:pPr>
      <w:r>
        <w:rPr>
          <w:rFonts w:eastAsia="Calibri"/>
          <w:lang w:eastAsia="en-US"/>
        </w:rPr>
        <w:br w:type="page"/>
      </w:r>
    </w:p>
    <w:p w14:paraId="30B38E8C" w14:textId="77777777" w:rsidR="00E773F8" w:rsidRDefault="005A2EFC" w:rsidP="00057656">
      <w:pPr>
        <w:pStyle w:val="Heading1"/>
        <w:spacing w:before="120" w:after="120"/>
        <w:ind w:left="499" w:hanging="357"/>
      </w:pPr>
      <w:bookmarkStart w:id="9" w:name="_Toc25580323"/>
      <w:r>
        <w:lastRenderedPageBreak/>
        <w:t>P</w:t>
      </w:r>
      <w:r w:rsidR="008967F7">
        <w:t>amat</w:t>
      </w:r>
      <w:r w:rsidR="00057656" w:rsidRPr="00057656">
        <w:t>pieņēmumi</w:t>
      </w:r>
      <w:bookmarkEnd w:id="9"/>
    </w:p>
    <w:p w14:paraId="73704E5F" w14:textId="77777777" w:rsidR="00496CEE" w:rsidRPr="00880479" w:rsidRDefault="00496CEE" w:rsidP="00327535">
      <w:pPr>
        <w:spacing w:before="120" w:after="120"/>
        <w:ind w:firstLine="720"/>
      </w:pPr>
      <w:r>
        <w:t xml:space="preserve">Izstrādājot </w:t>
      </w:r>
      <w:r w:rsidRPr="005C3FB2">
        <w:t>Stratēģij</w:t>
      </w:r>
      <w:r>
        <w:t>u</w:t>
      </w:r>
      <w:r w:rsidRPr="005C3FB2">
        <w:t xml:space="preserve"> </w:t>
      </w:r>
      <w:r>
        <w:t>un tajā iekļaut</w:t>
      </w:r>
      <w:r w:rsidR="00C632DC">
        <w:t>o</w:t>
      </w:r>
      <w:r>
        <w:t xml:space="preserve"> vīzij</w:t>
      </w:r>
      <w:r w:rsidR="00C632DC">
        <w:t>u</w:t>
      </w:r>
      <w:r>
        <w:t xml:space="preserve">, kā arī izvēloties iespējamos risinājumus, tika </w:t>
      </w:r>
      <w:r w:rsidR="005A2EFC">
        <w:t>izdarīti</w:t>
      </w:r>
      <w:r>
        <w:t xml:space="preserve"> vairāki pieņēmumi </w:t>
      </w:r>
      <w:r w:rsidRPr="00880479">
        <w:t>attiecībā uz</w:t>
      </w:r>
      <w:r w:rsidR="00880479" w:rsidRPr="00880479">
        <w:t xml:space="preserve"> tendencēm Latvijā un pasaulē </w:t>
      </w:r>
      <w:r w:rsidR="00600845">
        <w:t>līdz šī gadsimta vidum</w:t>
      </w:r>
      <w:r w:rsidR="00BB34C5">
        <w:t> </w:t>
      </w:r>
      <w:r w:rsidR="00BB34C5">
        <w:rPr>
          <w:rFonts w:eastAsia="Calibri"/>
          <w:lang w:eastAsia="en-US"/>
        </w:rPr>
        <w:t>–</w:t>
      </w:r>
      <w:r w:rsidR="00BB34C5">
        <w:t> </w:t>
      </w:r>
      <w:r w:rsidR="00600845">
        <w:t xml:space="preserve">Latvijas </w:t>
      </w:r>
      <w:r w:rsidR="00113956" w:rsidRPr="00880479">
        <w:t xml:space="preserve">makroekonomisko </w:t>
      </w:r>
      <w:r w:rsidR="00880479" w:rsidRPr="00880479">
        <w:t xml:space="preserve">situāciju </w:t>
      </w:r>
      <w:r w:rsidR="00113956" w:rsidRPr="00880479">
        <w:t>un iedzīvotāju skaitu</w:t>
      </w:r>
      <w:r w:rsidR="00880479" w:rsidRPr="00880479">
        <w:t xml:space="preserve">, </w:t>
      </w:r>
      <w:r w:rsidR="00DE453B" w:rsidRPr="00880479">
        <w:t xml:space="preserve">klimata pārmaiņām, </w:t>
      </w:r>
      <w:r w:rsidRPr="00880479">
        <w:t xml:space="preserve">citu pasaules valstu ekonomisko virzību, </w:t>
      </w:r>
      <w:r w:rsidR="00880479" w:rsidRPr="00880479">
        <w:t xml:space="preserve">Latvijas iedzīvotāju izpratni par klimata pārmaiņām, </w:t>
      </w:r>
      <w:r w:rsidRPr="00880479">
        <w:t xml:space="preserve">„zaļo” tehnoloģiju attīstību un cenu tendencēm, kā arī </w:t>
      </w:r>
      <w:r w:rsidR="00880479" w:rsidRPr="00880479">
        <w:t>bezdarbības klimata pārmaiņu mazināšanā sekām</w:t>
      </w:r>
      <w:r w:rsidRPr="00880479">
        <w:t>.</w:t>
      </w:r>
    </w:p>
    <w:p w14:paraId="367B9796" w14:textId="77777777" w:rsidR="002C40AB" w:rsidRPr="00C37F72" w:rsidRDefault="005A2EFC" w:rsidP="0031388F">
      <w:pPr>
        <w:pStyle w:val="ListParagraph"/>
        <w:numPr>
          <w:ilvl w:val="0"/>
          <w:numId w:val="2"/>
        </w:numPr>
        <w:spacing w:before="240" w:after="120"/>
        <w:ind w:left="714" w:hanging="357"/>
        <w:rPr>
          <w:b/>
        </w:rPr>
      </w:pPr>
      <w:r>
        <w:rPr>
          <w:b/>
        </w:rPr>
        <w:t>Latvijas makroekonomiskā situācija</w:t>
      </w:r>
    </w:p>
    <w:p w14:paraId="3E731FBF" w14:textId="44CADC88" w:rsidR="002C40AB" w:rsidRDefault="002C40AB" w:rsidP="00327535">
      <w:pPr>
        <w:spacing w:before="120" w:after="120"/>
        <w:ind w:firstLine="720"/>
      </w:pPr>
      <w:r>
        <w:t>Latvijas</w:t>
      </w:r>
      <w:r w:rsidR="007D71B0">
        <w:t xml:space="preserve"> </w:t>
      </w:r>
      <w:r>
        <w:t>IKP turpinās pieaugt</w:t>
      </w:r>
      <w:r w:rsidR="007D71B0" w:rsidRPr="005A2EFC">
        <w:rPr>
          <w:rStyle w:val="FootnoteReference"/>
        </w:rPr>
        <w:footnoteReference w:id="13"/>
      </w:r>
      <w:r>
        <w:t xml:space="preserve"> un 2050.</w:t>
      </w:r>
      <w:r w:rsidR="00BB34C5">
        <w:t> </w:t>
      </w:r>
      <w:r>
        <w:t xml:space="preserve">gadā sasniegs </w:t>
      </w:r>
      <w:r w:rsidR="00461CEE">
        <w:t>~</w:t>
      </w:r>
      <w:r>
        <w:t>4</w:t>
      </w:r>
      <w:r w:rsidR="007D71B0">
        <w:t>2</w:t>
      </w:r>
      <w:r>
        <w:t xml:space="preserve"> </w:t>
      </w:r>
      <w:r w:rsidR="007D71B0" w:rsidRPr="007D71B0">
        <w:t xml:space="preserve">mljrd.EUR </w:t>
      </w:r>
      <w:r w:rsidR="007D71B0">
        <w:t>(2010.gada salīdzināmajās cenās)</w:t>
      </w:r>
      <w:r w:rsidR="005A2EFC">
        <w:t>.</w:t>
      </w:r>
      <w:r>
        <w:t xml:space="preserve"> </w:t>
      </w:r>
      <w:r w:rsidR="005A2EFC">
        <w:t>I</w:t>
      </w:r>
      <w:r>
        <w:t>edzīvotāju skaits samazināsies</w:t>
      </w:r>
      <w:r w:rsidR="005A2EFC">
        <w:t xml:space="preserve"> līdz </w:t>
      </w:r>
      <w:r w:rsidR="00461CEE">
        <w:t>~</w:t>
      </w:r>
      <w:r w:rsidR="005A2EFC">
        <w:t>1,</w:t>
      </w:r>
      <w:r w:rsidR="00461CEE">
        <w:t>5</w:t>
      </w:r>
      <w:r w:rsidR="005A2EFC">
        <w:t xml:space="preserve"> milj. </w:t>
      </w:r>
    </w:p>
    <w:p w14:paraId="6195BC73" w14:textId="77777777" w:rsidR="00DE453B" w:rsidRPr="005F2265" w:rsidRDefault="00DE453B" w:rsidP="0031388F">
      <w:pPr>
        <w:pStyle w:val="ListParagraph"/>
        <w:numPr>
          <w:ilvl w:val="0"/>
          <w:numId w:val="2"/>
        </w:numPr>
        <w:spacing w:before="240" w:after="120"/>
        <w:ind w:left="714" w:hanging="357"/>
        <w:rPr>
          <w:b/>
        </w:rPr>
      </w:pPr>
      <w:r w:rsidRPr="00DE453B">
        <w:rPr>
          <w:b/>
        </w:rPr>
        <w:t>Klimata pārmaiņ</w:t>
      </w:r>
      <w:r w:rsidR="005A2EFC">
        <w:rPr>
          <w:b/>
        </w:rPr>
        <w:t>as</w:t>
      </w:r>
    </w:p>
    <w:p w14:paraId="486B6E5B" w14:textId="77777777" w:rsidR="00FA7281" w:rsidRPr="00FA7281" w:rsidRDefault="00FA7281" w:rsidP="00327535">
      <w:pPr>
        <w:spacing w:before="120" w:after="120"/>
        <w:ind w:firstLine="720"/>
        <w:rPr>
          <w:color w:val="000000"/>
        </w:rPr>
      </w:pPr>
      <w:r w:rsidRPr="00E008BC">
        <w:rPr>
          <w:i/>
          <w:noProof/>
        </w:rPr>
        <w:t>IPCC</w:t>
      </w:r>
      <w:r w:rsidRPr="00FA7281">
        <w:rPr>
          <w:bCs/>
        </w:rPr>
        <w:t xml:space="preserve"> ziņojumā</w:t>
      </w:r>
      <w:r w:rsidR="00C632DC">
        <w:rPr>
          <w:rStyle w:val="FootnoteReference"/>
          <w:bCs/>
        </w:rPr>
        <w:footnoteReference w:id="14"/>
      </w:r>
      <w:r w:rsidRPr="00FA7281">
        <w:rPr>
          <w:bCs/>
        </w:rPr>
        <w:t xml:space="preserve"> </w:t>
      </w:r>
      <w:r w:rsidRPr="00DB01A2">
        <w:t>konstatēts</w:t>
      </w:r>
      <w:r w:rsidRPr="00FA7281">
        <w:rPr>
          <w:bCs/>
        </w:rPr>
        <w:t xml:space="preserve">, ka zaudējumi pie globālās gaisa temperatūras paaugstināšanās par </w:t>
      </w:r>
      <w:r w:rsidRPr="00802CF7">
        <w:rPr>
          <w:noProof/>
        </w:rPr>
        <w:t xml:space="preserve">2°C būtu ievērojami lielāki nekā pie 1,5°C, tāpēc uzsvērta gan nepieciešamība steidzami samazināt SEG emisijas, gan arī ieviest pārdomātus pielāgošanās klimata pārmaiņām pasākumus. </w:t>
      </w:r>
      <w:r w:rsidRPr="00FA7281">
        <w:rPr>
          <w:color w:val="000000"/>
        </w:rPr>
        <w:t xml:space="preserve">Zinātniskie pētījumi liecina, ka </w:t>
      </w:r>
      <w:r w:rsidRPr="00327535">
        <w:rPr>
          <w:szCs w:val="24"/>
        </w:rPr>
        <w:t>riski</w:t>
      </w:r>
      <w:r w:rsidRPr="00FA7281">
        <w:rPr>
          <w:color w:val="000000"/>
        </w:rPr>
        <w:t>, kas iepriekš prognozēti saistībā ar globālās temperatūras pieaugumu 1,5°C  un 2°C  robežās, ir daudz augstāki nekā līdz šim domāts un ka neatgriezenisko klimata pārmaiņu spirāle varētu iestāties tieši starp 1,5°C  un 2°C  robežām.</w:t>
      </w:r>
    </w:p>
    <w:p w14:paraId="5C756615" w14:textId="77777777" w:rsidR="00FA7281" w:rsidRDefault="00D4189F" w:rsidP="00327535">
      <w:pPr>
        <w:spacing w:before="120" w:after="120"/>
        <w:ind w:firstLine="720"/>
      </w:pPr>
      <w:r w:rsidRPr="00802CF7">
        <w:t>Saskaņā ar valsts sabiedrības ar ierobežotu atbildību “Latvijas Vides, ģeoloģijas un meteoroloģijas centrs” 2017. gada ziņojumu “</w:t>
      </w:r>
      <w:r w:rsidRPr="00802CF7">
        <w:rPr>
          <w:i/>
        </w:rPr>
        <w:t>Klimata pārmaiņu scenāriji Latvijai</w:t>
      </w:r>
      <w:r w:rsidRPr="00802CF7">
        <w:t>”</w:t>
      </w:r>
      <w:r w:rsidRPr="00802CF7">
        <w:rPr>
          <w:rStyle w:val="FootnoteReference"/>
          <w:sz w:val="20"/>
          <w:szCs w:val="20"/>
        </w:rPr>
        <w:footnoteReference w:id="15"/>
      </w:r>
      <w:r>
        <w:t xml:space="preserve"> </w:t>
      </w:r>
      <w:r w:rsidRPr="00802CF7">
        <w:t>gaisa temperatūra līdz gadsimta beigām Latvijā palielināsies par vidēji 3,5</w:t>
      </w:r>
      <w:r w:rsidRPr="00802CF7">
        <w:rPr>
          <w:color w:val="000000"/>
        </w:rPr>
        <w:t>°</w:t>
      </w:r>
      <w:r w:rsidRPr="00802CF7">
        <w:t>C - 5,5</w:t>
      </w:r>
      <w:r w:rsidRPr="00802CF7">
        <w:rPr>
          <w:color w:val="000000"/>
        </w:rPr>
        <w:t>°</w:t>
      </w:r>
      <w:r w:rsidRPr="00802CF7">
        <w:t xml:space="preserve">C. Gada maksimālā gaisa temperatūra gadsimta beigās </w:t>
      </w:r>
      <w:r w:rsidRPr="00B761CA">
        <w:rPr>
          <w:szCs w:val="24"/>
        </w:rPr>
        <w:t>Latvijā</w:t>
      </w:r>
      <w:r w:rsidRPr="00802CF7">
        <w:t xml:space="preserve"> vidēji varētu sasniegt pat +35</w:t>
      </w:r>
      <w:r w:rsidRPr="00802CF7">
        <w:rPr>
          <w:color w:val="000000"/>
        </w:rPr>
        <w:t>°</w:t>
      </w:r>
      <w:r w:rsidRPr="00802CF7">
        <w:t>C. Toties visbūtiskāk līdz 2100. gadam paaugstināsies minimālā gaisa temperatūra – par vidēji 9,3</w:t>
      </w:r>
      <w:r w:rsidRPr="00802CF7">
        <w:rPr>
          <w:color w:val="000000"/>
        </w:rPr>
        <w:t>°</w:t>
      </w:r>
      <w:r w:rsidRPr="00802CF7">
        <w:t>C līdz 13,5</w:t>
      </w:r>
      <w:r w:rsidRPr="00802CF7">
        <w:rPr>
          <w:color w:val="000000"/>
        </w:rPr>
        <w:t>°</w:t>
      </w:r>
      <w:r w:rsidRPr="00802CF7">
        <w:t xml:space="preserve">C. </w:t>
      </w:r>
    </w:p>
    <w:p w14:paraId="1EDA2958" w14:textId="77777777" w:rsidR="00296289" w:rsidRDefault="0025721F" w:rsidP="00327535">
      <w:pPr>
        <w:spacing w:before="120" w:after="120"/>
        <w:ind w:firstLine="720"/>
        <w:rPr>
          <w:szCs w:val="24"/>
        </w:rPr>
      </w:pPr>
      <w:r w:rsidRPr="00356893">
        <w:rPr>
          <w:szCs w:val="24"/>
        </w:rPr>
        <w:t>Līdzšinējo klimatisko apstākļu, kā arī nākotnes klimata pārmaiņu scenāriju analīze uzskatāmi demonstrē</w:t>
      </w:r>
      <w:r>
        <w:rPr>
          <w:szCs w:val="24"/>
        </w:rPr>
        <w:t>, ka</w:t>
      </w:r>
      <w:r w:rsidRPr="00356893">
        <w:rPr>
          <w:szCs w:val="24"/>
        </w:rPr>
        <w:t xml:space="preserve"> izteiktas klimata pārmaiņu tendences</w:t>
      </w:r>
      <w:r>
        <w:rPr>
          <w:szCs w:val="24"/>
        </w:rPr>
        <w:t xml:space="preserve"> </w:t>
      </w:r>
      <w:r w:rsidRPr="00356893">
        <w:rPr>
          <w:szCs w:val="24"/>
        </w:rPr>
        <w:t>turpināsies arī visa šī gadsimta laikā. Visbūtiskākās izmaiņas skar</w:t>
      </w:r>
      <w:r>
        <w:rPr>
          <w:szCs w:val="24"/>
        </w:rPr>
        <w:t>s</w:t>
      </w:r>
      <w:r w:rsidRPr="00356893">
        <w:rPr>
          <w:szCs w:val="24"/>
        </w:rPr>
        <w:t xml:space="preserve"> klimatisko parametru ekstremālās vērtības, kas norāda, ka nākotnē aizvien biežāk nāksies saskarties ar Latvijas teritorijai neraksturīgiem un ekstremāliem laikapstākļiem. </w:t>
      </w:r>
    </w:p>
    <w:p w14:paraId="3270D628" w14:textId="77777777" w:rsidR="00DB01A2" w:rsidRDefault="0025721F" w:rsidP="00327535">
      <w:pPr>
        <w:spacing w:before="120" w:after="120"/>
        <w:ind w:firstLine="720"/>
      </w:pPr>
      <w:r>
        <w:rPr>
          <w:szCs w:val="24"/>
        </w:rPr>
        <w:t>Kā būtiskākie klimata pārmaiņu izraisītie riski Latvijā gaidāmi tādi riski kā s</w:t>
      </w:r>
      <w:r>
        <w:t xml:space="preserve">ezonu t.sk. </w:t>
      </w:r>
      <w:r w:rsidRPr="0025721F">
        <w:t>veģetācijas perioda izmaiņas</w:t>
      </w:r>
      <w:r w:rsidRPr="0025721F">
        <w:rPr>
          <w:rStyle w:val="CommentReference"/>
        </w:rPr>
        <w:t>,</w:t>
      </w:r>
      <w:r>
        <w:rPr>
          <w:rStyle w:val="CommentReference"/>
        </w:rPr>
        <w:t xml:space="preserve"> </w:t>
      </w:r>
      <w:r w:rsidRPr="0025721F">
        <w:t xml:space="preserve">paaugstināta </w:t>
      </w:r>
      <w:r>
        <w:t xml:space="preserve">ugunsbīstamība, kaitēkļu un patogēnu savairošanās, koku slimības, vietējo sugu izstumšana, jaunu sugu ienākšana, elpošanas sistēmu slimību izplatība, nokrišņu izraisīti plūdi, vējuzplūdi, </w:t>
      </w:r>
      <w:r w:rsidRPr="00B761CA">
        <w:rPr>
          <w:szCs w:val="24"/>
        </w:rPr>
        <w:t>ekstrēmas</w:t>
      </w:r>
      <w:r>
        <w:t xml:space="preserve"> spēcīgas vēja brāzmas, elektropadeves traucējumu rašanās, sasaluma mazināšanās, kailsals, </w:t>
      </w:r>
      <w:r w:rsidR="00600845">
        <w:t xml:space="preserve">augsnes </w:t>
      </w:r>
      <w:r>
        <w:t>izkalšana, eitrofikācija, infrastruktūru bojājumi, aprīkojuma pārkaršana, infekcijas slimību izplatība un karstuma dūrieni.</w:t>
      </w:r>
      <w:r w:rsidR="00FC40A3">
        <w:t xml:space="preserve"> </w:t>
      </w:r>
      <w:r w:rsidR="0053793E">
        <w:t>Tādējādi</w:t>
      </w:r>
      <w:r w:rsidR="00FC40A3">
        <w:t xml:space="preserve"> klimata pārmaiņas Latvijā radīs </w:t>
      </w:r>
      <w:r w:rsidR="00296289">
        <w:t>riskus un līdz ar to arī zaudējumus veselības un labklājības jomā, civilajā aizsardzībā, lauksaimniecībā un mežsaimniecībā, tūrismā un ainavu plānošanā, būvniecībā un infrastruktūras plānošanā, kā arī bioloģiskajā un ekosistēmu pakalpojumu daudzveidībā.</w:t>
      </w:r>
    </w:p>
    <w:p w14:paraId="00ADAB4A" w14:textId="77777777" w:rsidR="00B45148" w:rsidRDefault="00B45148" w:rsidP="00327535">
      <w:pPr>
        <w:spacing w:before="120" w:after="120"/>
        <w:ind w:firstLine="720"/>
      </w:pPr>
    </w:p>
    <w:p w14:paraId="2DD4976C" w14:textId="77777777" w:rsidR="00DE453B" w:rsidRPr="00DE453B" w:rsidRDefault="00E97224" w:rsidP="0031388F">
      <w:pPr>
        <w:pStyle w:val="ListParagraph"/>
        <w:numPr>
          <w:ilvl w:val="0"/>
          <w:numId w:val="2"/>
        </w:numPr>
        <w:spacing w:before="240" w:after="120"/>
        <w:ind w:left="714" w:hanging="357"/>
        <w:rPr>
          <w:b/>
        </w:rPr>
      </w:pPr>
      <w:r>
        <w:rPr>
          <w:b/>
        </w:rPr>
        <w:t>Starptautiskais konteksts</w:t>
      </w:r>
    </w:p>
    <w:p w14:paraId="4FC1CA5F" w14:textId="77777777" w:rsidR="002529E0" w:rsidRDefault="00D73F9D" w:rsidP="00327535">
      <w:pPr>
        <w:spacing w:before="120" w:after="120"/>
        <w:ind w:firstLine="720"/>
      </w:pPr>
      <w:r>
        <w:t xml:space="preserve">Paredzams, ka iedzīvotāju </w:t>
      </w:r>
      <w:r w:rsidRPr="00B761CA">
        <w:rPr>
          <w:szCs w:val="24"/>
        </w:rPr>
        <w:t>izpratne</w:t>
      </w:r>
      <w:r>
        <w:t xml:space="preserve"> par rīcības nepieciešamību klimata pārmaiņu mazināšanā </w:t>
      </w:r>
      <w:r w:rsidR="000E0089">
        <w:t xml:space="preserve">Eiropā, kā arī citās pasaules valstīs </w:t>
      </w:r>
      <w:r>
        <w:t xml:space="preserve">pieaugs. </w:t>
      </w:r>
    </w:p>
    <w:p w14:paraId="587D8AEF" w14:textId="77777777" w:rsidR="00710393" w:rsidRDefault="00710393" w:rsidP="00327535">
      <w:pPr>
        <w:spacing w:before="120" w:after="120"/>
        <w:ind w:firstLine="720"/>
      </w:pPr>
      <w:r w:rsidRPr="0059088E">
        <w:t>2018.</w:t>
      </w:r>
      <w:r w:rsidR="00F64992">
        <w:t> </w:t>
      </w:r>
      <w:r w:rsidRPr="0059088E">
        <w:t>gada 28.</w:t>
      </w:r>
      <w:r w:rsidR="00F64992">
        <w:t> </w:t>
      </w:r>
      <w:r w:rsidRPr="0059088E">
        <w:t xml:space="preserve">novembrī EK publicētajā </w:t>
      </w:r>
      <w:r w:rsidR="0025008D">
        <w:t>pa</w:t>
      </w:r>
      <w:r w:rsidRPr="0059088E">
        <w:t xml:space="preserve">ziņojumā “Tīru planētu visiem! Stratēģisks Eiropas ilgtermiņa redzējums par pārticīgu, modernu, konkurētspējīgu un klimatneitrālu ekonomiku” </w:t>
      </w:r>
      <w:r w:rsidR="00697C78">
        <w:t xml:space="preserve">(EK Paziņojums) </w:t>
      </w:r>
      <w:r w:rsidRPr="0059088E">
        <w:t xml:space="preserve">skaidrots, ka </w:t>
      </w:r>
      <w:r>
        <w:t xml:space="preserve">tikai jau </w:t>
      </w:r>
      <w:r w:rsidRPr="0059088E">
        <w:t>šobrīd ES apstiprināt</w:t>
      </w:r>
      <w:r w:rsidR="002529E0">
        <w:t>o</w:t>
      </w:r>
      <w:r w:rsidRPr="0059088E">
        <w:t xml:space="preserve"> </w:t>
      </w:r>
      <w:r>
        <w:t>tiesību normu</w:t>
      </w:r>
      <w:r w:rsidRPr="0059088E">
        <w:t xml:space="preserve"> prasību pilnīga ieviešana līdz 2030. gadam </w:t>
      </w:r>
      <w:r>
        <w:t xml:space="preserve">jau </w:t>
      </w:r>
      <w:r w:rsidRPr="00B761CA">
        <w:rPr>
          <w:szCs w:val="24"/>
        </w:rPr>
        <w:t>nodrošinās</w:t>
      </w:r>
      <w:r w:rsidRPr="0059088E">
        <w:t xml:space="preserve"> SEG samazinājumu par aptuveni 45% un līdz 2050. gadam – par aptuveni 60%</w:t>
      </w:r>
      <w:r w:rsidR="00B64742">
        <w:t xml:space="preserve">. Tomēr </w:t>
      </w:r>
      <w:r>
        <w:t xml:space="preserve">ES stratēģiski </w:t>
      </w:r>
      <w:r w:rsidR="0025008D">
        <w:t>jā</w:t>
      </w:r>
      <w:r>
        <w:t>tiecas uz klimatneitralitāti 2050.</w:t>
      </w:r>
      <w:r w:rsidR="00F64992">
        <w:t> </w:t>
      </w:r>
      <w:r>
        <w:t>gadā</w:t>
      </w:r>
      <w:r w:rsidR="00B64742">
        <w:t>, ko</w:t>
      </w:r>
      <w:r w:rsidR="000E4823">
        <w:t>,</w:t>
      </w:r>
      <w:r w:rsidR="00B64742">
        <w:t xml:space="preserve"> tāpat kā vairums ES dalībvalstu</w:t>
      </w:r>
      <w:r w:rsidR="000E4823">
        <w:t>,</w:t>
      </w:r>
      <w:r w:rsidR="00B64742">
        <w:t xml:space="preserve"> atbalsta arī Latvija</w:t>
      </w:r>
      <w:r w:rsidR="00B64742">
        <w:rPr>
          <w:rStyle w:val="FootnoteReference"/>
        </w:rPr>
        <w:footnoteReference w:id="16"/>
      </w:r>
      <w:r w:rsidR="00B64742">
        <w:t>, uzskatot, ka ES jāparāda līderība cīņā ar klimata pārmaiņām, kā arī paužot gatavību pārskatīt ES iesniegto</w:t>
      </w:r>
      <w:r w:rsidR="00F64992">
        <w:rPr>
          <w:rFonts w:eastAsia="Calibri"/>
        </w:rPr>
        <w:t> </w:t>
      </w:r>
      <w:r w:rsidR="00B64742">
        <w:t>NDC</w:t>
      </w:r>
      <w:r w:rsidR="00DA5CDB">
        <w:t xml:space="preserve"> Parīzes nolīguma īstenošanai</w:t>
      </w:r>
      <w:r w:rsidR="0025008D">
        <w:t xml:space="preserve"> jeb SEG emisiju samazināšanas mērķus 2030.</w:t>
      </w:r>
      <w:r w:rsidR="00F64992">
        <w:t> </w:t>
      </w:r>
      <w:r w:rsidR="0025008D">
        <w:t>gadam</w:t>
      </w:r>
      <w:r w:rsidRPr="0059088E">
        <w:t>.</w:t>
      </w:r>
      <w:r w:rsidRPr="00BD2872">
        <w:t xml:space="preserve"> </w:t>
      </w:r>
    </w:p>
    <w:p w14:paraId="6347C64B" w14:textId="77777777" w:rsidR="00496CEE" w:rsidRDefault="00496CEE" w:rsidP="00327535">
      <w:pPr>
        <w:spacing w:before="120" w:after="120"/>
        <w:ind w:firstLine="720"/>
      </w:pPr>
      <w:r>
        <w:t xml:space="preserve">Tā kā </w:t>
      </w:r>
      <w:r w:rsidR="00710393">
        <w:t>Parīzes</w:t>
      </w:r>
      <w:r>
        <w:t xml:space="preserve"> nolīgumu ir ratificējušas gandrīz visas pasaules valstis</w:t>
      </w:r>
      <w:r w:rsidR="00710393">
        <w:t xml:space="preserve">, </w:t>
      </w:r>
      <w:r>
        <w:t xml:space="preserve">tiek pieņemts, ka </w:t>
      </w:r>
      <w:r w:rsidR="0025008D">
        <w:t xml:space="preserve">tās </w:t>
      </w:r>
      <w:r>
        <w:t xml:space="preserve">visas virzīsies uz oglekļa mazietilpīgu attīstību. </w:t>
      </w:r>
      <w:r w:rsidR="0025008D">
        <w:t>Dažādas industrijas</w:t>
      </w:r>
      <w:r>
        <w:t xml:space="preserve"> jau šobrīd sāk apzināties aprites ekonomikas priekšrocības, tādējādi pieprasījums pēc enerģijas intensīviem izejmateriāliem mazināsies, vienlaikus pieaugot </w:t>
      </w:r>
      <w:r w:rsidRPr="00B761CA">
        <w:rPr>
          <w:szCs w:val="24"/>
        </w:rPr>
        <w:t>materiālu</w:t>
      </w:r>
      <w:r>
        <w:t xml:space="preserve"> produktivitātei un samazinot</w:t>
      </w:r>
      <w:r w:rsidR="0025008D">
        <w:t>ies</w:t>
      </w:r>
      <w:r>
        <w:t xml:space="preserve"> radīto atkritumu daudzum</w:t>
      </w:r>
      <w:r w:rsidR="0025008D">
        <w:t>am</w:t>
      </w:r>
      <w:r>
        <w:t xml:space="preserve">. </w:t>
      </w:r>
    </w:p>
    <w:p w14:paraId="538F126C" w14:textId="77777777" w:rsidR="00296289" w:rsidRDefault="009844D4" w:rsidP="00327535">
      <w:pPr>
        <w:spacing w:before="120" w:after="120"/>
        <w:ind w:firstLine="720"/>
      </w:pPr>
      <w:r>
        <w:t xml:space="preserve">Arī </w:t>
      </w:r>
      <w:r w:rsidR="00710393">
        <w:t xml:space="preserve">dažādas </w:t>
      </w:r>
      <w:r>
        <w:t>nozaru asociācijas paudušas atbalstu un apņēmušās aktīvi rīkoties klimata pārmaiņu mazināšanas jomā, brīvprātīgi izvirzot sev 2050.</w:t>
      </w:r>
      <w:r w:rsidR="00F64992">
        <w:t> </w:t>
      </w:r>
      <w:r>
        <w:t xml:space="preserve">gadā sasniedzamos </w:t>
      </w:r>
      <w:r w:rsidR="00945F1D">
        <w:t xml:space="preserve">klimata pārmaiņu mazināšanas </w:t>
      </w:r>
      <w:r>
        <w:t xml:space="preserve">mērķus, piemēram, </w:t>
      </w:r>
      <w:r w:rsidRPr="00B761CA">
        <w:rPr>
          <w:szCs w:val="24"/>
        </w:rPr>
        <w:t>Ķīmisko</w:t>
      </w:r>
      <w:r w:rsidRPr="009844D4">
        <w:t xml:space="preserve"> vielu ražotāju asociāciju starptautiskā padome</w:t>
      </w:r>
      <w:r>
        <w:t xml:space="preserve">, </w:t>
      </w:r>
      <w:r w:rsidR="00D27FC5">
        <w:t>Starptautiskā gaisa transporta asociācija</w:t>
      </w:r>
      <w:r w:rsidR="00D27FC5" w:rsidRPr="00D27FC5">
        <w:t xml:space="preserve"> (IATA)</w:t>
      </w:r>
      <w:r w:rsidR="0053793E">
        <w:t xml:space="preserve"> un</w:t>
      </w:r>
      <w:r w:rsidR="00D27FC5">
        <w:t xml:space="preserve"> </w:t>
      </w:r>
      <w:r w:rsidR="00E615EB" w:rsidRPr="00E615EB">
        <w:t>Gaisa transporta darba grupa</w:t>
      </w:r>
      <w:r w:rsidR="00E615EB">
        <w:t xml:space="preserve"> (ATAG)</w:t>
      </w:r>
      <w:r w:rsidR="00EA513B">
        <w:t>.</w:t>
      </w:r>
    </w:p>
    <w:p w14:paraId="32C297A5" w14:textId="77777777" w:rsidR="00296289" w:rsidRDefault="00296289" w:rsidP="0031388F">
      <w:pPr>
        <w:pStyle w:val="ListParagraph"/>
        <w:numPr>
          <w:ilvl w:val="0"/>
          <w:numId w:val="2"/>
        </w:numPr>
        <w:spacing w:before="240" w:after="120"/>
        <w:ind w:left="714" w:hanging="357"/>
        <w:rPr>
          <w:b/>
        </w:rPr>
      </w:pPr>
      <w:r w:rsidRPr="00296289">
        <w:rPr>
          <w:b/>
        </w:rPr>
        <w:t xml:space="preserve">Latvijas iedzīvotāju </w:t>
      </w:r>
      <w:r>
        <w:rPr>
          <w:b/>
        </w:rPr>
        <w:t>izpratne</w:t>
      </w:r>
      <w:r w:rsidR="00354880">
        <w:rPr>
          <w:b/>
        </w:rPr>
        <w:t xml:space="preserve"> par kl</w:t>
      </w:r>
      <w:r w:rsidR="00932D51">
        <w:rPr>
          <w:b/>
        </w:rPr>
        <w:t>imata pārmaiņām</w:t>
      </w:r>
    </w:p>
    <w:p w14:paraId="6E4069AF" w14:textId="77777777" w:rsidR="00296289" w:rsidRDefault="007E6276" w:rsidP="00327535">
      <w:pPr>
        <w:spacing w:before="120" w:after="120"/>
        <w:ind w:firstLine="720"/>
      </w:pPr>
      <w:r>
        <w:t xml:space="preserve">Kaut arī līdz šim </w:t>
      </w:r>
      <w:r w:rsidR="009026C4">
        <w:t>Latvijas iedzīvotāju izpratne par klimata pārmaiņām kā globālu problēmu ir bij</w:t>
      </w:r>
      <w:r w:rsidR="007834CB">
        <w:t>usi viena no zemākajā</w:t>
      </w:r>
      <w:r w:rsidR="009026C4">
        <w:t xml:space="preserve">m ES valstu vidū, tomēr tā </w:t>
      </w:r>
      <w:r w:rsidR="00CC5CB4">
        <w:t>pieaug</w:t>
      </w:r>
      <w:r w:rsidR="0053793E">
        <w:t>. A</w:t>
      </w:r>
      <w:r w:rsidR="009026C4">
        <w:t>rvien vairāk Latvijas iedzīvotāju klimata pārmaiņas atzīst par ļoti nopietnu problēmu</w:t>
      </w:r>
      <w:r w:rsidR="009026C4">
        <w:rPr>
          <w:rStyle w:val="FootnoteReference"/>
        </w:rPr>
        <w:footnoteReference w:id="17"/>
      </w:r>
      <w:r w:rsidR="00932D51">
        <w:t xml:space="preserve">. </w:t>
      </w:r>
      <w:r w:rsidR="007834CB" w:rsidRPr="00B64742">
        <w:t>Pārliecinoši rezultāti iegūti arī 2017.</w:t>
      </w:r>
      <w:r w:rsidR="00B14F41">
        <w:t> </w:t>
      </w:r>
      <w:r w:rsidR="007834CB" w:rsidRPr="00B64742">
        <w:t xml:space="preserve">gadā </w:t>
      </w:r>
      <w:r w:rsidR="007834CB" w:rsidRPr="00B64742">
        <w:rPr>
          <w:i/>
          <w:iCs/>
        </w:rPr>
        <w:t>Kantar TNS</w:t>
      </w:r>
      <w:r w:rsidR="007834CB" w:rsidRPr="00B64742">
        <w:t xml:space="preserve"> Latvia organizētajā aptaujā</w:t>
      </w:r>
      <w:r w:rsidR="007834CB">
        <w:rPr>
          <w:rStyle w:val="FootnoteReference"/>
        </w:rPr>
        <w:footnoteReference w:id="18"/>
      </w:r>
      <w:r w:rsidR="007834CB" w:rsidRPr="00B64742">
        <w:t>, kurā secināts, ka 85</w:t>
      </w:r>
      <w:r w:rsidR="00B14F41">
        <w:t> </w:t>
      </w:r>
      <w:r w:rsidR="007834CB" w:rsidRPr="00B64742">
        <w:t xml:space="preserve">% Latvijas iedzīvotāju </w:t>
      </w:r>
      <w:r w:rsidR="00697C78">
        <w:t>(</w:t>
      </w:r>
      <w:r w:rsidR="007834CB" w:rsidRPr="00B64742">
        <w:t>vecumā no 15 līdz 74 gadiem</w:t>
      </w:r>
      <w:r w:rsidR="00697C78">
        <w:t>)</w:t>
      </w:r>
      <w:r w:rsidR="007834CB" w:rsidRPr="00B64742">
        <w:t xml:space="preserve"> </w:t>
      </w:r>
      <w:r w:rsidR="00697C78">
        <w:t>atzīst</w:t>
      </w:r>
      <w:r w:rsidR="007834CB" w:rsidRPr="00B64742">
        <w:t>, ka klimata pārmaiņas notiek un ir novērojamas arī Latvijā</w:t>
      </w:r>
      <w:r w:rsidR="007834CB">
        <w:t>.</w:t>
      </w:r>
      <w:r w:rsidR="007834CB" w:rsidRPr="00B64742">
        <w:t xml:space="preserve"> </w:t>
      </w:r>
      <w:r w:rsidR="007834CB">
        <w:t xml:space="preserve">Turklāt iedzīvotāji kļuvuši arī sociāli aktīvāki, piemēram, </w:t>
      </w:r>
      <w:r w:rsidR="00C75624">
        <w:t xml:space="preserve">kustība </w:t>
      </w:r>
      <w:r w:rsidR="007834CB" w:rsidRPr="007834CB">
        <w:rPr>
          <w:i/>
        </w:rPr>
        <w:t>Fridays For Future Latvia</w:t>
      </w:r>
      <w:r w:rsidR="007834CB">
        <w:t xml:space="preserve"> ir iesaistījusies globālajā klimata streikā, organizējot vairākas ar zaļo politiku saistītas protesta akcijas, kurās pulcēti vairāki </w:t>
      </w:r>
      <w:r w:rsidR="0025008D">
        <w:t xml:space="preserve">simti </w:t>
      </w:r>
      <w:r w:rsidR="007834CB">
        <w:t>jauniešu</w:t>
      </w:r>
      <w:r w:rsidR="007834CB">
        <w:rPr>
          <w:rStyle w:val="FootnoteReference"/>
        </w:rPr>
        <w:footnoteReference w:id="19"/>
      </w:r>
      <w:r w:rsidR="00932D51">
        <w:t xml:space="preserve">, vēršot uzmanību uz </w:t>
      </w:r>
      <w:r w:rsidR="0025008D">
        <w:t xml:space="preserve">ambiciozākas </w:t>
      </w:r>
      <w:r w:rsidR="00932D51">
        <w:t>rīcīb</w:t>
      </w:r>
      <w:r w:rsidR="0025008D">
        <w:t>as nepieciešamību</w:t>
      </w:r>
      <w:r w:rsidR="00932D51">
        <w:t xml:space="preserve">, lai sasniegtu </w:t>
      </w:r>
      <w:r w:rsidR="00932D51" w:rsidRPr="00932D51">
        <w:t xml:space="preserve">Parīzes </w:t>
      </w:r>
      <w:r w:rsidR="00932D51">
        <w:t xml:space="preserve">nolīguma mērķus. </w:t>
      </w:r>
    </w:p>
    <w:p w14:paraId="38234920" w14:textId="77777777" w:rsidR="00FC5FDD" w:rsidRPr="00FC5FDD" w:rsidRDefault="00FC5FDD" w:rsidP="00327535">
      <w:pPr>
        <w:spacing w:before="120" w:after="120"/>
        <w:ind w:firstLine="720"/>
      </w:pPr>
      <w:r>
        <w:t xml:space="preserve">Ņemot vērā klimata pārmaiņu </w:t>
      </w:r>
      <w:r w:rsidRPr="00B761CA">
        <w:rPr>
          <w:szCs w:val="24"/>
        </w:rPr>
        <w:t>radīto</w:t>
      </w:r>
      <w:r>
        <w:t xml:space="preserve"> seku </w:t>
      </w:r>
      <w:r w:rsidR="008E240D">
        <w:t>pastiprināšanos</w:t>
      </w:r>
      <w:r>
        <w:t>, kā arī ES politiskos uzstādījumus, Latvijas iedzīvotāju izpratne un ieinteresētība par klimata pārmaiņu mazināšanu arvien pieaugs.</w:t>
      </w:r>
    </w:p>
    <w:p w14:paraId="3CB90F7E" w14:textId="77777777" w:rsidR="00496CEE" w:rsidRDefault="004A6B7C" w:rsidP="0031388F">
      <w:pPr>
        <w:pStyle w:val="ListParagraph"/>
        <w:numPr>
          <w:ilvl w:val="0"/>
          <w:numId w:val="2"/>
        </w:numPr>
        <w:spacing w:before="240" w:after="120"/>
        <w:ind w:left="714" w:hanging="357"/>
        <w:rPr>
          <w:b/>
        </w:rPr>
      </w:pPr>
      <w:r>
        <w:rPr>
          <w:b/>
        </w:rPr>
        <w:t>„</w:t>
      </w:r>
      <w:r w:rsidR="00DE453B">
        <w:rPr>
          <w:b/>
        </w:rPr>
        <w:t>Z</w:t>
      </w:r>
      <w:r w:rsidR="00496CEE">
        <w:rPr>
          <w:b/>
        </w:rPr>
        <w:t>aļo” t</w:t>
      </w:r>
      <w:r w:rsidR="00496CEE" w:rsidRPr="00C37F72">
        <w:rPr>
          <w:b/>
        </w:rPr>
        <w:t>ehnoloģiju attīstība</w:t>
      </w:r>
      <w:r w:rsidR="00496CEE">
        <w:rPr>
          <w:b/>
        </w:rPr>
        <w:t xml:space="preserve"> </w:t>
      </w:r>
      <w:r w:rsidR="00DE453B">
        <w:rPr>
          <w:b/>
        </w:rPr>
        <w:t>padara tās pieejamākas un izplatītākas</w:t>
      </w:r>
    </w:p>
    <w:p w14:paraId="22941776" w14:textId="77777777" w:rsidR="00496CEE" w:rsidRDefault="0087245B" w:rsidP="00327535">
      <w:pPr>
        <w:spacing w:before="120" w:after="120"/>
        <w:ind w:firstLine="720"/>
      </w:pPr>
      <w:r>
        <w:lastRenderedPageBreak/>
        <w:t>P</w:t>
      </w:r>
      <w:r w:rsidR="00496CEE">
        <w:t xml:space="preserve">apildus plaša politiku noteikšana </w:t>
      </w:r>
      <w:r w:rsidR="000A35C3">
        <w:t xml:space="preserve"> OMA</w:t>
      </w:r>
      <w:r w:rsidR="00496CEE">
        <w:t xml:space="preserve"> veicināšanā enerģētikas sektorā radīs jaunas darba vietas enerģijas sektorā, proti, plašāka pārvirze uz atjaunojamajiem energoresursiem radīs vairāk darba vietu enerģijas sektorā nekā darba vietas, kas tiks likvidētas fosilā kurināmā industrijā nodarbinātajiem</w:t>
      </w:r>
      <w:r>
        <w:t>,</w:t>
      </w:r>
      <w:r w:rsidR="00697C78">
        <w:t xml:space="preserve"> kopumā</w:t>
      </w:r>
      <w:r>
        <w:t xml:space="preserve"> </w:t>
      </w:r>
      <w:r w:rsidR="00697C78">
        <w:t xml:space="preserve">atstājot pozitīvu ietekmi uz ekonomiku, veicinot </w:t>
      </w:r>
      <w:r>
        <w:t>IKP pieaugumu</w:t>
      </w:r>
      <w:r>
        <w:rPr>
          <w:rStyle w:val="FootnoteReference"/>
        </w:rPr>
        <w:footnoteReference w:id="20"/>
      </w:r>
      <w:r w:rsidR="00496CEE">
        <w:t xml:space="preserve">. </w:t>
      </w:r>
    </w:p>
    <w:p w14:paraId="2654D6AC" w14:textId="77777777" w:rsidR="0088549B" w:rsidRDefault="00496CEE" w:rsidP="00327535">
      <w:pPr>
        <w:spacing w:before="120" w:after="120"/>
        <w:ind w:firstLine="720"/>
      </w:pPr>
      <w:r>
        <w:t>Atsaucoties uz Starptautiskā</w:t>
      </w:r>
      <w:r w:rsidR="00BE1236">
        <w:t>s</w:t>
      </w:r>
      <w:r>
        <w:t xml:space="preserve"> atjaunojamās enerģijas aģentūras ziņojumā norādīto, </w:t>
      </w:r>
      <w:r w:rsidR="000A35C3">
        <w:t>S</w:t>
      </w:r>
      <w:r>
        <w:t>tratēģijā tiek pieņemts, ka enerģijas pāreja balstīsies straujā atjaunojamo energoresursu cenu samazinājumā, cenas turpinās samazināties saules paneļiem un vēja enerģijai</w:t>
      </w:r>
      <w:r w:rsidR="008820C0">
        <w:t>, kas tiek novērots jau šobrīd.</w:t>
      </w:r>
      <w:r>
        <w:t xml:space="preserve"> Arī attiecībā uz transporta sektoru, tiek </w:t>
      </w:r>
      <w:r w:rsidRPr="00B761CA">
        <w:rPr>
          <w:szCs w:val="24"/>
        </w:rPr>
        <w:t>pieņemts</w:t>
      </w:r>
      <w:r>
        <w:t xml:space="preserve">, ka nākotnē transporta enerģijā dominēs atjaunojama elektroenerģija, attīstītas biodegvielas un dažādas elektrifikācijas tehnoloģijas, to skaitā elektromobiļi. </w:t>
      </w:r>
    </w:p>
    <w:p w14:paraId="1FBC3EEE" w14:textId="77777777" w:rsidR="004A6B7C" w:rsidRDefault="004A6B7C" w:rsidP="00327535">
      <w:pPr>
        <w:spacing w:before="120" w:after="120"/>
        <w:ind w:firstLine="720"/>
      </w:pPr>
      <w:r w:rsidRPr="00945F1D">
        <w:t xml:space="preserve">Lai īstenotu </w:t>
      </w:r>
      <w:r w:rsidR="000A35C3">
        <w:t>OMA</w:t>
      </w:r>
      <w:r w:rsidRPr="00945F1D">
        <w:t>, būs nepieciešams</w:t>
      </w:r>
      <w:r>
        <w:rPr>
          <w:rFonts w:asciiTheme="majorBidi" w:hAnsiTheme="majorBidi" w:cstheme="majorBidi"/>
        </w:rPr>
        <w:t xml:space="preserve"> </w:t>
      </w:r>
      <w:r w:rsidRPr="00802CF7">
        <w:t xml:space="preserve">ES ekonomikas modernizācijas un dekarbonizācijas ietvaros stimulēt ievērojamas </w:t>
      </w:r>
      <w:r w:rsidRPr="00B761CA">
        <w:rPr>
          <w:szCs w:val="24"/>
        </w:rPr>
        <w:t>papildu</w:t>
      </w:r>
      <w:r w:rsidRPr="00802CF7">
        <w:t xml:space="preserve"> investīcijas. Patlaban ES energosistēmā un saistītajā infrastruktūrā tiek investēti aptuveni 2 % no ES IKP (izņemot ar transportlīdzekļu aizstāšanu saistītās investīcijas). Saskaņā ar </w:t>
      </w:r>
      <w:r w:rsidR="00697C78">
        <w:t>EK Paziņojumā</w:t>
      </w:r>
      <w:r w:rsidRPr="00802CF7">
        <w:t xml:space="preserve"> minēto, lai nonāktu pie klimatneitrālas ekonomikas, šim apjomam </w:t>
      </w:r>
      <w:r w:rsidR="003D19EA">
        <w:t xml:space="preserve">ES </w:t>
      </w:r>
      <w:r w:rsidRPr="00802CF7">
        <w:t>būtu jāpalielinās līdz 2,8 % jeb līdz 520 - 575 miljardiem</w:t>
      </w:r>
      <w:r w:rsidR="002B6D25">
        <w:t xml:space="preserve"> EUR </w:t>
      </w:r>
      <w:r w:rsidRPr="00802CF7">
        <w:t>gadā</w:t>
      </w:r>
      <w:r w:rsidRPr="00802CF7">
        <w:rPr>
          <w:rStyle w:val="FootnoteReference"/>
          <w:sz w:val="20"/>
          <w:szCs w:val="20"/>
        </w:rPr>
        <w:footnoteReference w:id="21"/>
      </w:r>
      <w:r w:rsidRPr="00802CF7">
        <w:t xml:space="preserve">.  </w:t>
      </w:r>
    </w:p>
    <w:p w14:paraId="13C6FE04" w14:textId="77777777" w:rsidR="0088549B" w:rsidRPr="004079EA" w:rsidRDefault="004A6B7C" w:rsidP="00327535">
      <w:pPr>
        <w:spacing w:before="120" w:after="120"/>
        <w:ind w:firstLine="720"/>
      </w:pPr>
      <w:r>
        <w:t xml:space="preserve">Enerģijas transformācijai (pārejai no fosiliem energoresursiem uz atjaunojamiem) ir ekonomiskais pamatojums, jo papildus izmaksas tiks segtas ar ietaupījumiem no samazināta gaisa piesārņojuma, veselības uzlabojumiem, zemākiem postījumiem, salīdzinot ar situāciju, kurā netiktu darīts nekas, lai mazinātu klimata pārmaiņas. </w:t>
      </w:r>
    </w:p>
    <w:p w14:paraId="540B92DA" w14:textId="77777777" w:rsidR="00945F1D" w:rsidRPr="00D4189F" w:rsidRDefault="00DE453B" w:rsidP="0031388F">
      <w:pPr>
        <w:pStyle w:val="ListParagraph"/>
        <w:numPr>
          <w:ilvl w:val="0"/>
          <w:numId w:val="2"/>
        </w:numPr>
        <w:spacing w:before="240" w:after="120"/>
        <w:ind w:left="714" w:hanging="357"/>
        <w:rPr>
          <w:b/>
        </w:rPr>
      </w:pPr>
      <w:r>
        <w:rPr>
          <w:b/>
        </w:rPr>
        <w:t>B</w:t>
      </w:r>
      <w:r w:rsidR="00945F1D">
        <w:rPr>
          <w:b/>
        </w:rPr>
        <w:t>ezdarbība</w:t>
      </w:r>
      <w:r>
        <w:rPr>
          <w:b/>
        </w:rPr>
        <w:t xml:space="preserve"> klimata pārmaiņu mazināšanā</w:t>
      </w:r>
      <w:r w:rsidR="00945F1D">
        <w:rPr>
          <w:b/>
        </w:rPr>
        <w:t xml:space="preserve"> rad</w:t>
      </w:r>
      <w:r>
        <w:rPr>
          <w:b/>
        </w:rPr>
        <w:t>a ekonomiskus zaudējumus un</w:t>
      </w:r>
      <w:r w:rsidR="00945F1D">
        <w:rPr>
          <w:b/>
        </w:rPr>
        <w:t xml:space="preserve"> </w:t>
      </w:r>
      <w:r>
        <w:rPr>
          <w:b/>
        </w:rPr>
        <w:t xml:space="preserve">prasa </w:t>
      </w:r>
      <w:r w:rsidR="00945F1D">
        <w:rPr>
          <w:b/>
        </w:rPr>
        <w:t>papildus izmaksas</w:t>
      </w:r>
    </w:p>
    <w:p w14:paraId="5B0DA643" w14:textId="77777777" w:rsidR="00945F1D" w:rsidRPr="00945F1D" w:rsidRDefault="00945F1D" w:rsidP="00327535">
      <w:pPr>
        <w:spacing w:before="120" w:after="120"/>
        <w:ind w:firstLine="720"/>
        <w:rPr>
          <w:color w:val="000000" w:themeColor="text1"/>
        </w:rPr>
      </w:pPr>
      <w:r w:rsidRPr="007F0060">
        <w:rPr>
          <w:color w:val="000000" w:themeColor="text1"/>
        </w:rPr>
        <w:t xml:space="preserve">Klimata pārmaiņu izraisītās ietekmes uz vidi var būtiski ietekmēt Eiropas ekonomikas ražīgumu, infrastruktūru, sabiedrības veselību, pārtikas pieejamību, bioloģisko daudzveidību un politisko stabilitāti. 2017. gadā ar laikapstākļiem saistīto katastrofu radītie ekonomiskie zaudējumi pasaulē sasniedza rekordlielu summu – </w:t>
      </w:r>
      <w:r w:rsidRPr="00327535">
        <w:rPr>
          <w:szCs w:val="24"/>
        </w:rPr>
        <w:t>283</w:t>
      </w:r>
      <w:r w:rsidRPr="007F0060">
        <w:rPr>
          <w:color w:val="000000" w:themeColor="text1"/>
        </w:rPr>
        <w:t xml:space="preserve"> miljardus </w:t>
      </w:r>
      <w:r w:rsidR="00D80F60" w:rsidRPr="00D80F60">
        <w:rPr>
          <w:color w:val="000000" w:themeColor="text1"/>
        </w:rPr>
        <w:t>EUR</w:t>
      </w:r>
      <w:r w:rsidRPr="007F0060">
        <w:rPr>
          <w:color w:val="000000" w:themeColor="text1"/>
        </w:rPr>
        <w:t>.</w:t>
      </w:r>
      <w:r w:rsidRPr="007F0060">
        <w:rPr>
          <w:rStyle w:val="FootnoteReference"/>
          <w:color w:val="000000" w:themeColor="text1"/>
          <w:sz w:val="20"/>
          <w:szCs w:val="20"/>
        </w:rPr>
        <w:footnoteReference w:id="22"/>
      </w:r>
      <w:r w:rsidRPr="007F0060">
        <w:rPr>
          <w:color w:val="000000" w:themeColor="text1"/>
          <w:sz w:val="20"/>
          <w:szCs w:val="20"/>
        </w:rPr>
        <w:t xml:space="preserve"> </w:t>
      </w:r>
      <w:r w:rsidRPr="007F0060">
        <w:rPr>
          <w:color w:val="000000" w:themeColor="text1"/>
        </w:rPr>
        <w:t xml:space="preserve"> Patlaban šādas katastrofas tieši ietekmē 5 % Eiropas iedzīvotāju, bet līdz 2100. gadam to tiešo ietekmi varētu sajust jau divas trešdaļas eiropiešu.</w:t>
      </w:r>
      <w:r w:rsidRPr="007F0060">
        <w:rPr>
          <w:rStyle w:val="FootnoteReference"/>
          <w:color w:val="000000" w:themeColor="text1"/>
          <w:sz w:val="20"/>
          <w:szCs w:val="20"/>
        </w:rPr>
        <w:footnoteReference w:id="23"/>
      </w:r>
      <w:r w:rsidRPr="007F0060">
        <w:rPr>
          <w:color w:val="000000" w:themeColor="text1"/>
          <w:sz w:val="20"/>
          <w:szCs w:val="20"/>
        </w:rPr>
        <w:t xml:space="preserve"> </w:t>
      </w:r>
    </w:p>
    <w:p w14:paraId="35B035DA" w14:textId="6630384F" w:rsidR="00945F1D" w:rsidRDefault="00F16F96" w:rsidP="00327535">
      <w:pPr>
        <w:spacing w:before="120" w:after="120"/>
        <w:ind w:firstLine="720"/>
      </w:pPr>
      <w:r>
        <w:t>E</w:t>
      </w:r>
      <w:r w:rsidR="00945F1D" w:rsidRPr="00802CF7">
        <w:t>konomisko aprēķinu rezultāti</w:t>
      </w:r>
      <w:r w:rsidR="00945F1D" w:rsidRPr="00802CF7">
        <w:rPr>
          <w:sz w:val="20"/>
          <w:szCs w:val="20"/>
        </w:rPr>
        <w:t xml:space="preserve"> </w:t>
      </w:r>
      <w:r w:rsidR="00945F1D">
        <w:t>rāda, ka</w:t>
      </w:r>
      <w:r w:rsidR="00BE1236">
        <w:t>, piemēram,</w:t>
      </w:r>
      <w:r w:rsidR="007A125C">
        <w:t xml:space="preserve"> </w:t>
      </w:r>
      <w:r w:rsidR="00945F1D" w:rsidRPr="00802CF7">
        <w:t xml:space="preserve">visās jūras piekrastes pilsētās Latvijā uzplūdu radīto bojājumu ēkām </w:t>
      </w:r>
      <w:r w:rsidR="00945F1D" w:rsidRPr="00B761CA">
        <w:rPr>
          <w:szCs w:val="24"/>
        </w:rPr>
        <w:t>ikgadējais</w:t>
      </w:r>
      <w:r w:rsidR="00945F1D" w:rsidRPr="00802CF7">
        <w:t xml:space="preserve"> zaudējumu pieaugums laika periodā no 2040. līdz 2070. gadam varētu būt ap 1,5 miljoniem</w:t>
      </w:r>
      <w:r w:rsidR="002B6D25">
        <w:t xml:space="preserve"> EUR </w:t>
      </w:r>
      <w:r w:rsidR="00945F1D" w:rsidRPr="00802CF7">
        <w:t xml:space="preserve">gadā, bet periodā </w:t>
      </w:r>
      <w:r w:rsidR="00ED1DFA">
        <w:t xml:space="preserve">no </w:t>
      </w:r>
      <w:r w:rsidR="00945F1D" w:rsidRPr="00802CF7">
        <w:t>2070.</w:t>
      </w:r>
      <w:r w:rsidR="00ED1DFA">
        <w:rPr>
          <w:rFonts w:eastAsia="Calibri"/>
          <w:lang w:eastAsia="en-US"/>
        </w:rPr>
        <w:t xml:space="preserve"> līdz</w:t>
      </w:r>
      <w:r w:rsidR="004F1916">
        <w:rPr>
          <w:rFonts w:eastAsia="Calibri"/>
          <w:lang w:eastAsia="en-US"/>
        </w:rPr>
        <w:t xml:space="preserve"> </w:t>
      </w:r>
      <w:r w:rsidR="00945F1D" w:rsidRPr="00802CF7">
        <w:t>2100. </w:t>
      </w:r>
      <w:r w:rsidR="00945F1D">
        <w:t>gadam</w:t>
      </w:r>
      <w:r w:rsidR="000A35C3">
        <w:t> </w:t>
      </w:r>
      <w:r w:rsidR="000A35C3">
        <w:rPr>
          <w:rFonts w:eastAsia="Calibri"/>
          <w:lang w:eastAsia="en-US"/>
        </w:rPr>
        <w:t>–</w:t>
      </w:r>
      <w:r w:rsidR="00945F1D" w:rsidRPr="00802CF7">
        <w:t>varētu sasniegt 3 miljonus</w:t>
      </w:r>
      <w:r w:rsidR="002B6D25">
        <w:t xml:space="preserve"> EUR </w:t>
      </w:r>
      <w:r w:rsidR="00945F1D" w:rsidRPr="00802CF7">
        <w:t>gadā</w:t>
      </w:r>
      <w:r w:rsidR="00945F1D" w:rsidRPr="00802CF7">
        <w:rPr>
          <w:rStyle w:val="FootnoteReference"/>
          <w:sz w:val="20"/>
          <w:szCs w:val="20"/>
        </w:rPr>
        <w:footnoteReference w:id="24"/>
      </w:r>
      <w:r w:rsidR="000A35C3">
        <w:t>.</w:t>
      </w:r>
    </w:p>
    <w:p w14:paraId="440EBA0C" w14:textId="126431E2" w:rsidR="00CF2509" w:rsidRPr="00B761CA" w:rsidRDefault="00D87939" w:rsidP="00B761CA">
      <w:pPr>
        <w:spacing w:before="120" w:after="120"/>
        <w:ind w:firstLine="720"/>
        <w:rPr>
          <w:szCs w:val="24"/>
        </w:rPr>
      </w:pPr>
      <w:r w:rsidRPr="002F7B97">
        <w:lastRenderedPageBreak/>
        <w:t>Savukārt lietus un sniega kušanas radīto plūdu pieauguma sekas klimata pārmaiņu ietekmē Latvijā ēkām var radīt ikgadējos ekonomiskos zaudējumus 40</w:t>
      </w:r>
      <w:r w:rsidR="00ED1DFA">
        <w:t xml:space="preserve"> </w:t>
      </w:r>
      <w:r w:rsidRPr="002F7B97">
        <w:t>-</w:t>
      </w:r>
      <w:r w:rsidR="00ED1DFA">
        <w:t xml:space="preserve"> </w:t>
      </w:r>
      <w:r w:rsidRPr="002F7B97">
        <w:t xml:space="preserve">50 tūkst. </w:t>
      </w:r>
      <w:r>
        <w:t>EUR</w:t>
      </w:r>
      <w:r w:rsidRPr="002F7B97">
        <w:t xml:space="preserve"> (periodā 2020.</w:t>
      </w:r>
      <w:r w:rsidR="00ED1DFA">
        <w:t xml:space="preserve"> </w:t>
      </w:r>
      <w:r w:rsidRPr="002F7B97">
        <w:t>-2040.</w:t>
      </w:r>
      <w:r w:rsidR="000A35C3">
        <w:t> </w:t>
      </w:r>
      <w:r w:rsidRPr="002F7B97">
        <w:t>gads) un ap 160</w:t>
      </w:r>
      <w:r w:rsidR="00ED1DFA">
        <w:t xml:space="preserve"> </w:t>
      </w:r>
      <w:r w:rsidRPr="002F7B97">
        <w:t>-</w:t>
      </w:r>
      <w:r w:rsidR="00ED1DFA">
        <w:t xml:space="preserve"> </w:t>
      </w:r>
      <w:r w:rsidRPr="002F7B97">
        <w:t>210 tūkst. EUR gadā laika periodā 2070.</w:t>
      </w:r>
      <w:r w:rsidR="00ED1DFA">
        <w:t xml:space="preserve"> </w:t>
      </w:r>
      <w:r w:rsidRPr="002F7B97">
        <w:t>-</w:t>
      </w:r>
      <w:r w:rsidR="00ED1DFA">
        <w:t xml:space="preserve"> </w:t>
      </w:r>
      <w:r w:rsidRPr="002F7B97">
        <w:t xml:space="preserve">2100.gads. </w:t>
      </w:r>
      <w:r>
        <w:t>S</w:t>
      </w:r>
      <w:r w:rsidRPr="002F7B97">
        <w:t xml:space="preserve">niega segas pārslodzes pieauguma dēļ uz jumtiem </w:t>
      </w:r>
      <w:r w:rsidRPr="00B761CA">
        <w:rPr>
          <w:szCs w:val="24"/>
        </w:rPr>
        <w:t>paredzētais</w:t>
      </w:r>
      <w:r w:rsidRPr="002F7B97">
        <w:t xml:space="preserve"> ekonomiskais apdraudējums tuvākā nākotnē (līdz 2040.</w:t>
      </w:r>
      <w:r w:rsidR="000A35C3">
        <w:t> </w:t>
      </w:r>
      <w:r w:rsidRPr="002F7B97">
        <w:t>gadam) ir ap 90 tūkst. EUR gadā, bet gadsimta beigās (periodā 2071.</w:t>
      </w:r>
      <w:r w:rsidR="00ED1DFA">
        <w:t xml:space="preserve"> </w:t>
      </w:r>
      <w:r w:rsidRPr="002F7B97">
        <w:t>-</w:t>
      </w:r>
      <w:r w:rsidR="00ED1DFA">
        <w:t xml:space="preserve"> </w:t>
      </w:r>
      <w:r w:rsidRPr="002F7B97">
        <w:t>2100.gads) tas būs ap 300 – 700 tūkst. EUR gadā</w:t>
      </w:r>
      <w:r>
        <w:t>.</w:t>
      </w:r>
    </w:p>
    <w:p w14:paraId="04042DA3" w14:textId="72A9CCE1" w:rsidR="00CF2509" w:rsidRDefault="00D87939" w:rsidP="00B761CA">
      <w:pPr>
        <w:spacing w:before="120" w:after="120"/>
        <w:ind w:firstLine="720"/>
      </w:pPr>
      <w:r w:rsidRPr="00B761CA">
        <w:rPr>
          <w:szCs w:val="24"/>
        </w:rPr>
        <w:t>Novērtējot kavējumu dienas, kas rodas sliežu ceļu degradācijas</w:t>
      </w:r>
      <w:r>
        <w:t xml:space="preserve"> dēļ,</w:t>
      </w:r>
      <w:r w:rsidRPr="002F7B97">
        <w:t xml:space="preserve"> ikgadējie kavējuma zaudējumi laika periodā 2040.</w:t>
      </w:r>
      <w:r w:rsidR="00ED1DFA">
        <w:t xml:space="preserve"> </w:t>
      </w:r>
      <w:r w:rsidRPr="002F7B97">
        <w:t>-</w:t>
      </w:r>
      <w:r w:rsidR="00ED1DFA">
        <w:t xml:space="preserve"> </w:t>
      </w:r>
      <w:r w:rsidRPr="002F7B97">
        <w:t>2070.</w:t>
      </w:r>
      <w:r w:rsidR="000A35C3">
        <w:t> </w:t>
      </w:r>
      <w:r w:rsidRPr="002F7B97">
        <w:t>gads ir ap 0,2 milj. EUR ar pieaugumu 0,1 milj. EUR, bet laika periodā 2070.</w:t>
      </w:r>
      <w:r w:rsidR="00ED1DFA">
        <w:t xml:space="preserve"> </w:t>
      </w:r>
      <w:r w:rsidRPr="002F7B97">
        <w:t>-</w:t>
      </w:r>
      <w:r w:rsidR="00ED1DFA">
        <w:t xml:space="preserve"> </w:t>
      </w:r>
      <w:r w:rsidRPr="002F7B97">
        <w:t>2100.</w:t>
      </w:r>
      <w:r w:rsidR="000A35C3">
        <w:t> </w:t>
      </w:r>
      <w:r w:rsidRPr="002F7B97">
        <w:t>gads attiecīgi ir 0,4 milj. EUR un 0,3 milj. EUR.</w:t>
      </w:r>
      <w:r w:rsidR="006C3217">
        <w:t xml:space="preserve"> Pētījumi rāda, ka ikgadējus finansiālus zaudējumus Latvijā radīs arī uzplūdu radīto bojājumu pieaugums ceļiem jūras piekrastē un upju grīvas pilsētās, lietus gāžu plūdu radīto bojājumu pieaugums ceļiem (kopā ar ceļu sasaluma perioda samazināšanos), palielināta asfalta kušana un citi ceļu seguma bojājumi, pastiprināta sliežu izliekšanās, materiālu nolietojums un uzbērumu nestabilitāte karstuma dēļ, uzplūdu radīto bojājumu pieaugums ostām </w:t>
      </w:r>
      <w:r w:rsidRPr="002F7B97">
        <w:rPr>
          <w:rStyle w:val="FootnoteReference"/>
        </w:rPr>
        <w:footnoteReference w:id="25"/>
      </w:r>
      <w:r w:rsidR="006C3217">
        <w:t xml:space="preserve"> </w:t>
      </w:r>
      <w:r w:rsidR="00D14170">
        <w:t>.</w:t>
      </w:r>
    </w:p>
    <w:p w14:paraId="2F57806F" w14:textId="77777777" w:rsidR="00D87939" w:rsidRDefault="00D87939" w:rsidP="00945F1D">
      <w:pPr>
        <w:pStyle w:val="Default"/>
        <w:spacing w:before="120" w:after="120"/>
        <w:ind w:firstLine="567"/>
        <w:jc w:val="both"/>
      </w:pPr>
    </w:p>
    <w:p w14:paraId="4AE70155" w14:textId="77777777" w:rsidR="00E773F8" w:rsidRPr="00A46CC4" w:rsidRDefault="00E773F8" w:rsidP="00663AE3">
      <w:pPr>
        <w:ind w:firstLine="0"/>
        <w:jc w:val="left"/>
        <w:rPr>
          <w:rFonts w:eastAsia="Calibri"/>
          <w:szCs w:val="24"/>
          <w:lang w:eastAsia="en-US"/>
        </w:rPr>
      </w:pPr>
      <w:bookmarkStart w:id="10" w:name="_Toc460423719"/>
      <w:bookmarkEnd w:id="10"/>
      <w:r w:rsidRPr="00A46CC4">
        <w:rPr>
          <w:rFonts w:eastAsia="Calibri"/>
          <w:szCs w:val="24"/>
          <w:lang w:eastAsia="en-US"/>
        </w:rPr>
        <w:br w:type="page"/>
      </w:r>
    </w:p>
    <w:p w14:paraId="1B2B0002" w14:textId="77777777" w:rsidR="00657A6A" w:rsidRPr="00251053" w:rsidRDefault="0005384C" w:rsidP="00A33C13">
      <w:pPr>
        <w:pStyle w:val="Heading1"/>
        <w:rPr>
          <w:rFonts w:eastAsia="Calibri"/>
        </w:rPr>
      </w:pPr>
      <w:bookmarkStart w:id="11" w:name="_Toc25580324"/>
      <w:r>
        <w:rPr>
          <w:rFonts w:eastAsia="Calibri"/>
        </w:rPr>
        <w:lastRenderedPageBreak/>
        <w:t>Stratēģija</w:t>
      </w:r>
      <w:r w:rsidR="00385F81" w:rsidRPr="00251053">
        <w:rPr>
          <w:rFonts w:eastAsia="Calibri"/>
        </w:rPr>
        <w:t>s</w:t>
      </w:r>
      <w:r w:rsidR="00657A6A" w:rsidRPr="00251053">
        <w:rPr>
          <w:rFonts w:eastAsia="Calibri"/>
        </w:rPr>
        <w:t xml:space="preserve"> sasaiste ar esošiem </w:t>
      </w:r>
      <w:r w:rsidR="00E02B6C" w:rsidRPr="00251053">
        <w:rPr>
          <w:rFonts w:eastAsia="Calibri"/>
        </w:rPr>
        <w:t xml:space="preserve">tiesību aktiem un </w:t>
      </w:r>
      <w:r w:rsidR="00657A6A" w:rsidRPr="00251053">
        <w:rPr>
          <w:rFonts w:eastAsia="Calibri"/>
        </w:rPr>
        <w:t>politikas plānošanas dokumentiem</w:t>
      </w:r>
      <w:bookmarkEnd w:id="11"/>
    </w:p>
    <w:p w14:paraId="5BAC164E" w14:textId="77777777" w:rsidR="00657A6A" w:rsidRPr="00A46CC4" w:rsidRDefault="0005384C" w:rsidP="0005736E">
      <w:pPr>
        <w:rPr>
          <w:rFonts w:eastAsia="Calibri"/>
          <w:lang w:eastAsia="en-US"/>
        </w:rPr>
      </w:pPr>
      <w:r>
        <w:rPr>
          <w:rFonts w:eastAsia="Calibri"/>
          <w:lang w:eastAsia="en-US"/>
        </w:rPr>
        <w:t>Stratēģija</w:t>
      </w:r>
      <w:r w:rsidR="00A33C13" w:rsidRPr="00A46CC4">
        <w:rPr>
          <w:rFonts w:eastAsia="Calibri"/>
          <w:lang w:eastAsia="en-US"/>
        </w:rPr>
        <w:t>s</w:t>
      </w:r>
      <w:r w:rsidR="00657A6A" w:rsidRPr="00A46CC4">
        <w:rPr>
          <w:rFonts w:eastAsia="Calibri"/>
          <w:lang w:eastAsia="en-US"/>
        </w:rPr>
        <w:t xml:space="preserve"> izstrāde</w:t>
      </w:r>
      <w:r w:rsidR="00385F81">
        <w:rPr>
          <w:rFonts w:eastAsia="Calibri"/>
          <w:lang w:eastAsia="en-US"/>
        </w:rPr>
        <w:t>s nepieciešamība</w:t>
      </w:r>
      <w:r w:rsidR="00657A6A" w:rsidRPr="00A46CC4">
        <w:rPr>
          <w:rFonts w:eastAsia="Calibri"/>
          <w:lang w:eastAsia="en-US"/>
        </w:rPr>
        <w:t xml:space="preserve"> ir </w:t>
      </w:r>
      <w:r w:rsidR="00385F81">
        <w:rPr>
          <w:rFonts w:eastAsia="Calibri"/>
          <w:lang w:eastAsia="en-US"/>
        </w:rPr>
        <w:t>noteik</w:t>
      </w:r>
      <w:r w:rsidR="00657A6A" w:rsidRPr="00A46CC4">
        <w:rPr>
          <w:rFonts w:eastAsia="Calibri"/>
          <w:lang w:eastAsia="en-US"/>
        </w:rPr>
        <w:t>ta vairākos starptautiskos un ES līme</w:t>
      </w:r>
      <w:r w:rsidR="00E02B6C" w:rsidRPr="00A46CC4">
        <w:rPr>
          <w:rFonts w:eastAsia="Calibri"/>
          <w:lang w:eastAsia="en-US"/>
        </w:rPr>
        <w:t>ņa dokumentos</w:t>
      </w:r>
      <w:r w:rsidR="00CB2B6D">
        <w:rPr>
          <w:rFonts w:eastAsia="Calibri"/>
          <w:lang w:eastAsia="en-US"/>
        </w:rPr>
        <w:t xml:space="preserve"> </w:t>
      </w:r>
      <w:r w:rsidR="00657A6A" w:rsidRPr="00A46CC4">
        <w:rPr>
          <w:rFonts w:eastAsia="Calibri"/>
          <w:lang w:eastAsia="en-US"/>
        </w:rPr>
        <w:t xml:space="preserve">un </w:t>
      </w:r>
      <w:r w:rsidR="00CB2B6D">
        <w:rPr>
          <w:rFonts w:eastAsia="Calibri"/>
          <w:lang w:eastAsia="en-US"/>
        </w:rPr>
        <w:t xml:space="preserve">tā saturiski iekļauj nacionālos </w:t>
      </w:r>
      <w:r w:rsidR="00657A6A" w:rsidRPr="00A46CC4">
        <w:rPr>
          <w:rFonts w:eastAsia="Calibri"/>
          <w:lang w:eastAsia="en-US"/>
        </w:rPr>
        <w:t xml:space="preserve">starpnozaru </w:t>
      </w:r>
      <w:r w:rsidR="00CB2B6D">
        <w:rPr>
          <w:rFonts w:eastAsia="Calibri"/>
          <w:lang w:eastAsia="en-US"/>
        </w:rPr>
        <w:t>politikas plānošanas dokumentos ietvertās kompetences</w:t>
      </w:r>
      <w:r w:rsidR="005324A9">
        <w:rPr>
          <w:rFonts w:eastAsia="Calibri"/>
          <w:lang w:eastAsia="en-US"/>
        </w:rPr>
        <w:t>.</w:t>
      </w:r>
    </w:p>
    <w:p w14:paraId="73E09669" w14:textId="77777777" w:rsidR="00657A6A" w:rsidRPr="005F2265" w:rsidRDefault="00657A6A" w:rsidP="0031388F">
      <w:pPr>
        <w:pStyle w:val="ListParagraph"/>
        <w:numPr>
          <w:ilvl w:val="0"/>
          <w:numId w:val="2"/>
        </w:numPr>
        <w:spacing w:before="240" w:after="120"/>
        <w:ind w:left="714" w:hanging="357"/>
        <w:rPr>
          <w:b/>
        </w:rPr>
      </w:pPr>
      <w:r w:rsidRPr="005F2265">
        <w:rPr>
          <w:b/>
        </w:rPr>
        <w:t xml:space="preserve">Starptautiskie </w:t>
      </w:r>
      <w:r w:rsidR="00E02B6C" w:rsidRPr="005F2265">
        <w:rPr>
          <w:b/>
        </w:rPr>
        <w:t>dokumenti</w:t>
      </w:r>
    </w:p>
    <w:p w14:paraId="09F71F74" w14:textId="77777777" w:rsidR="00E33990" w:rsidRPr="00A46CC4" w:rsidRDefault="00663AE3" w:rsidP="00E008BC">
      <w:pPr>
        <w:spacing w:before="120" w:after="120"/>
        <w:rPr>
          <w:rFonts w:eastAsia="Calibri"/>
          <w:vanish/>
          <w:szCs w:val="24"/>
          <w:lang w:eastAsia="en-US"/>
        </w:rPr>
      </w:pPr>
      <w:r w:rsidRPr="00A46CC4">
        <w:rPr>
          <w:rFonts w:eastAsia="Calibri"/>
          <w:lang w:eastAsia="en-US"/>
        </w:rPr>
        <w:t>Konvencija</w:t>
      </w:r>
      <w:r w:rsidR="00657A6A" w:rsidRPr="00A46CC4">
        <w:rPr>
          <w:rFonts w:eastAsia="Calibri"/>
          <w:lang w:eastAsia="en-US"/>
        </w:rPr>
        <w:t xml:space="preserve"> </w:t>
      </w:r>
      <w:r w:rsidR="00FA7281">
        <w:rPr>
          <w:rFonts w:eastAsia="Calibri"/>
          <w:lang w:eastAsia="en-US"/>
        </w:rPr>
        <w:t>uzsver</w:t>
      </w:r>
      <w:r w:rsidR="00657A6A" w:rsidRPr="00A46CC4">
        <w:rPr>
          <w:rFonts w:eastAsia="Calibri"/>
          <w:lang w:eastAsia="en-US"/>
        </w:rPr>
        <w:t xml:space="preserve"> SEG emisiju samazināšan</w:t>
      </w:r>
      <w:r w:rsidR="00DC76A7" w:rsidRPr="00A46CC4">
        <w:rPr>
          <w:rFonts w:eastAsia="Calibri"/>
          <w:lang w:eastAsia="en-US"/>
        </w:rPr>
        <w:t>as nepieciešamību</w:t>
      </w:r>
      <w:r w:rsidR="00657A6A" w:rsidRPr="00A46CC4">
        <w:rPr>
          <w:rFonts w:eastAsia="Calibri"/>
          <w:lang w:eastAsia="en-US"/>
        </w:rPr>
        <w:t xml:space="preserve">, lai mazinātu cilvēka ietekmi uz klimata sistēmu un ļautu ekosistēmām pielāgoties klimata pārmaiņām. </w:t>
      </w:r>
    </w:p>
    <w:p w14:paraId="687E486E" w14:textId="77777777" w:rsidR="00657A6A" w:rsidRDefault="00385F81" w:rsidP="00E008BC">
      <w:pPr>
        <w:spacing w:before="120" w:after="120"/>
        <w:rPr>
          <w:rFonts w:eastAsia="Calibri"/>
          <w:szCs w:val="24"/>
          <w:lang w:eastAsia="en-US"/>
        </w:rPr>
      </w:pPr>
      <w:r>
        <w:rPr>
          <w:rFonts w:eastAsia="Calibri"/>
          <w:szCs w:val="24"/>
          <w:lang w:eastAsia="en-US"/>
        </w:rPr>
        <w:t>Parīzes n</w:t>
      </w:r>
      <w:r w:rsidR="00657A6A" w:rsidRPr="00A46CC4">
        <w:rPr>
          <w:rFonts w:eastAsia="Calibri"/>
          <w:szCs w:val="24"/>
          <w:lang w:eastAsia="en-US"/>
        </w:rPr>
        <w:t xml:space="preserve">olīgums, kas tika pieņemts </w:t>
      </w:r>
      <w:r w:rsidR="00A402E3" w:rsidRPr="00A46CC4">
        <w:rPr>
          <w:rFonts w:eastAsia="Calibri"/>
          <w:szCs w:val="24"/>
          <w:lang w:eastAsia="en-US"/>
        </w:rPr>
        <w:t>K</w:t>
      </w:r>
      <w:r w:rsidR="00657A6A" w:rsidRPr="00A46CC4">
        <w:rPr>
          <w:rFonts w:eastAsia="Calibri"/>
          <w:szCs w:val="24"/>
          <w:lang w:eastAsia="en-US"/>
        </w:rPr>
        <w:t>onvencijas Līgumslēdzēju pušu konferences 21.</w:t>
      </w:r>
      <w:r w:rsidR="00C222E4">
        <w:rPr>
          <w:rFonts w:eastAsia="Calibri"/>
          <w:szCs w:val="24"/>
          <w:lang w:eastAsia="en-US"/>
        </w:rPr>
        <w:t> </w:t>
      </w:r>
      <w:r w:rsidR="00657A6A" w:rsidRPr="00A46CC4">
        <w:rPr>
          <w:rFonts w:eastAsia="Calibri"/>
          <w:szCs w:val="24"/>
          <w:lang w:eastAsia="en-US"/>
        </w:rPr>
        <w:t>sesijā Parīzē, Francijā nosaka, ka nolīguma dalībvalstīm ir jā</w:t>
      </w:r>
      <w:r w:rsidR="00880479">
        <w:rPr>
          <w:rFonts w:eastAsia="Calibri"/>
          <w:szCs w:val="24"/>
          <w:lang w:eastAsia="en-US"/>
        </w:rPr>
        <w:t>izstrādā</w:t>
      </w:r>
      <w:r w:rsidR="00657A6A" w:rsidRPr="00A46CC4">
        <w:rPr>
          <w:rFonts w:eastAsia="Calibri"/>
          <w:szCs w:val="24"/>
          <w:lang w:eastAsia="en-US"/>
        </w:rPr>
        <w:t xml:space="preserve"> ilgtermiņa zemu SEG emisiju attīstības stratēģij</w:t>
      </w:r>
      <w:r w:rsidR="00A402E3" w:rsidRPr="00A46CC4">
        <w:rPr>
          <w:rFonts w:eastAsia="Calibri"/>
          <w:szCs w:val="24"/>
          <w:lang w:eastAsia="en-US"/>
        </w:rPr>
        <w:t>a</w:t>
      </w:r>
      <w:r>
        <w:rPr>
          <w:rFonts w:eastAsia="Calibri"/>
          <w:szCs w:val="24"/>
          <w:lang w:eastAsia="en-US"/>
        </w:rPr>
        <w:t>s</w:t>
      </w:r>
      <w:r w:rsidR="00657A6A" w:rsidRPr="00A46CC4">
        <w:rPr>
          <w:rFonts w:eastAsia="Calibri"/>
          <w:szCs w:val="24"/>
          <w:vertAlign w:val="superscript"/>
          <w:lang w:eastAsia="en-US"/>
        </w:rPr>
        <w:footnoteReference w:id="26"/>
      </w:r>
      <w:r w:rsidR="00C222E4">
        <w:rPr>
          <w:rFonts w:eastAsia="Calibri"/>
          <w:szCs w:val="24"/>
          <w:lang w:eastAsia="en-US"/>
        </w:rPr>
        <w:t>.</w:t>
      </w:r>
    </w:p>
    <w:p w14:paraId="4FAD9301" w14:textId="77777777" w:rsidR="00CB2B6D" w:rsidRDefault="00AF51B9" w:rsidP="00E008BC">
      <w:pPr>
        <w:spacing w:before="120" w:after="120"/>
        <w:rPr>
          <w:rFonts w:eastAsia="Calibri"/>
          <w:szCs w:val="24"/>
          <w:lang w:eastAsia="en-US"/>
        </w:rPr>
      </w:pPr>
      <w:r w:rsidRPr="00AF51B9">
        <w:rPr>
          <w:rFonts w:eastAsia="Calibri"/>
          <w:szCs w:val="24"/>
          <w:lang w:eastAsia="en-US"/>
        </w:rPr>
        <w:t xml:space="preserve">2015. </w:t>
      </w:r>
      <w:r w:rsidR="00C222E4">
        <w:rPr>
          <w:rFonts w:eastAsia="Calibri"/>
          <w:szCs w:val="24"/>
          <w:lang w:eastAsia="en-US"/>
        </w:rPr>
        <w:t> </w:t>
      </w:r>
      <w:r w:rsidR="005C6B28">
        <w:rPr>
          <w:rFonts w:eastAsia="Calibri"/>
          <w:szCs w:val="24"/>
          <w:lang w:eastAsia="en-US"/>
        </w:rPr>
        <w:t>g</w:t>
      </w:r>
      <w:r w:rsidRPr="00AF51B9">
        <w:rPr>
          <w:rFonts w:eastAsia="Calibri"/>
          <w:szCs w:val="24"/>
          <w:lang w:eastAsia="en-US"/>
        </w:rPr>
        <w:t xml:space="preserve">adā ANO Ģenerālajā asamblejā pieņēma rezolūciju </w:t>
      </w:r>
      <w:r>
        <w:rPr>
          <w:rFonts w:eastAsia="Calibri"/>
          <w:szCs w:val="24"/>
          <w:lang w:eastAsia="en-US"/>
        </w:rPr>
        <w:t>„</w:t>
      </w:r>
      <w:r w:rsidRPr="00AF51B9">
        <w:rPr>
          <w:rFonts w:eastAsia="Calibri"/>
          <w:szCs w:val="24"/>
          <w:lang w:eastAsia="en-US"/>
        </w:rPr>
        <w:t>Mūsu pasaules pārveidošana: ilgtspējīgas attīstības programma 2030.</w:t>
      </w:r>
      <w:r w:rsidR="00C222E4">
        <w:rPr>
          <w:rFonts w:eastAsia="Calibri"/>
          <w:szCs w:val="24"/>
          <w:lang w:eastAsia="en-US"/>
        </w:rPr>
        <w:t> </w:t>
      </w:r>
      <w:r w:rsidRPr="00AF51B9">
        <w:rPr>
          <w:rFonts w:eastAsia="Calibri"/>
          <w:szCs w:val="24"/>
          <w:lang w:eastAsia="en-US"/>
        </w:rPr>
        <w:t>gadam</w:t>
      </w:r>
      <w:r>
        <w:rPr>
          <w:rFonts w:eastAsia="Calibri"/>
          <w:szCs w:val="24"/>
          <w:lang w:eastAsia="en-US"/>
        </w:rPr>
        <w:t>”</w:t>
      </w:r>
      <w:r w:rsidRPr="00AF51B9">
        <w:rPr>
          <w:rFonts w:eastAsia="Calibri"/>
          <w:szCs w:val="24"/>
          <w:lang w:eastAsia="en-US"/>
        </w:rPr>
        <w:t xml:space="preserve"> jeb Dienaskārtība 2030. Tā nosaka 17 Ilgts</w:t>
      </w:r>
      <w:r w:rsidR="00CB2B6D">
        <w:rPr>
          <w:rFonts w:eastAsia="Calibri"/>
          <w:szCs w:val="24"/>
          <w:lang w:eastAsia="en-US"/>
        </w:rPr>
        <w:t>pējīgas attīstības mērķus (IAM)</w:t>
      </w:r>
      <w:r w:rsidRPr="00AF51B9">
        <w:rPr>
          <w:rFonts w:eastAsia="Calibri"/>
          <w:szCs w:val="24"/>
          <w:lang w:eastAsia="en-US"/>
        </w:rPr>
        <w:t>,</w:t>
      </w:r>
      <w:r>
        <w:rPr>
          <w:rFonts w:eastAsia="Calibri"/>
          <w:szCs w:val="24"/>
          <w:lang w:eastAsia="en-US"/>
        </w:rPr>
        <w:t xml:space="preserve"> </w:t>
      </w:r>
      <w:r w:rsidRPr="00AF51B9">
        <w:rPr>
          <w:rFonts w:eastAsia="Calibri"/>
          <w:szCs w:val="24"/>
          <w:lang w:eastAsia="en-US"/>
        </w:rPr>
        <w:t>lai pasaulē mazinātos nabadzība un pasaules attīstība būtu ilgtspējīga.</w:t>
      </w:r>
      <w:r w:rsidR="00CB2B6D">
        <w:rPr>
          <w:rFonts w:eastAsia="Calibri"/>
          <w:szCs w:val="24"/>
          <w:lang w:eastAsia="en-US"/>
        </w:rPr>
        <w:t xml:space="preserve"> Viens no tiem ir</w:t>
      </w:r>
      <w:r w:rsidR="00BE1236">
        <w:rPr>
          <w:rFonts w:eastAsia="Calibri"/>
          <w:szCs w:val="24"/>
          <w:lang w:eastAsia="en-US"/>
        </w:rPr>
        <w:t>: “</w:t>
      </w:r>
      <w:r w:rsidR="00CB2B6D" w:rsidRPr="00CB2B6D">
        <w:rPr>
          <w:rFonts w:eastAsia="Calibri"/>
          <w:szCs w:val="24"/>
          <w:lang w:eastAsia="en-US"/>
        </w:rPr>
        <w:t>Veikt steidzamus pasākumus, lai cīnītos pret klimata pārmaiņām un to ietekmi</w:t>
      </w:r>
      <w:r w:rsidR="00CB2B6D">
        <w:rPr>
          <w:rFonts w:eastAsia="Calibri"/>
          <w:szCs w:val="24"/>
          <w:lang w:eastAsia="en-US"/>
        </w:rPr>
        <w:t>.</w:t>
      </w:r>
      <w:r w:rsidR="00BE1236">
        <w:rPr>
          <w:rFonts w:eastAsia="Calibri"/>
          <w:szCs w:val="24"/>
          <w:lang w:eastAsia="en-US"/>
        </w:rPr>
        <w:t>”</w:t>
      </w:r>
    </w:p>
    <w:p w14:paraId="50ED6E8B" w14:textId="77777777" w:rsidR="00657A6A" w:rsidRPr="005F2265" w:rsidRDefault="00657A6A" w:rsidP="0031388F">
      <w:pPr>
        <w:pStyle w:val="ListParagraph"/>
        <w:numPr>
          <w:ilvl w:val="0"/>
          <w:numId w:val="2"/>
        </w:numPr>
        <w:spacing w:before="240" w:after="120"/>
        <w:ind w:left="714" w:hanging="357"/>
        <w:rPr>
          <w:b/>
        </w:rPr>
      </w:pPr>
      <w:r w:rsidRPr="005F2265">
        <w:rPr>
          <w:b/>
        </w:rPr>
        <w:t xml:space="preserve">Eiropas Savienības </w:t>
      </w:r>
      <w:r w:rsidR="00E02B6C" w:rsidRPr="005F2265">
        <w:rPr>
          <w:b/>
        </w:rPr>
        <w:t>dokumenti</w:t>
      </w:r>
    </w:p>
    <w:p w14:paraId="3FB6BAE4" w14:textId="77777777" w:rsidR="0087296E" w:rsidRPr="0087296E" w:rsidRDefault="00F068FC" w:rsidP="00E008BC">
      <w:pPr>
        <w:spacing w:before="120" w:after="120"/>
        <w:rPr>
          <w:rFonts w:eastAsia="Calibri"/>
          <w:lang w:eastAsia="en-US"/>
        </w:rPr>
      </w:pPr>
      <w:r w:rsidRPr="00E379E7">
        <w:t>Eiropadome</w:t>
      </w:r>
      <w:r w:rsidR="00FB2A0A" w:rsidRPr="00E379E7">
        <w:t xml:space="preserve"> </w:t>
      </w:r>
      <w:r w:rsidR="00C50D78" w:rsidRPr="00E379E7">
        <w:t>2019.</w:t>
      </w:r>
      <w:r w:rsidR="00C222E4">
        <w:t> </w:t>
      </w:r>
      <w:r w:rsidR="00C50D78" w:rsidRPr="00E379E7">
        <w:t>gada 20.</w:t>
      </w:r>
      <w:r w:rsidR="00C222E4">
        <w:t> </w:t>
      </w:r>
      <w:r w:rsidR="00C50D78" w:rsidRPr="00E379E7">
        <w:t xml:space="preserve">jūnija </w:t>
      </w:r>
      <w:r w:rsidRPr="00E379E7">
        <w:t>secinājumos</w:t>
      </w:r>
      <w:r w:rsidR="00B757AC" w:rsidRPr="00E379E7">
        <w:rPr>
          <w:rStyle w:val="FootnoteReference"/>
        </w:rPr>
        <w:footnoteReference w:id="27"/>
      </w:r>
      <w:r w:rsidR="00B757AC" w:rsidRPr="00E379E7">
        <w:t xml:space="preserve"> </w:t>
      </w:r>
      <w:r w:rsidR="00B757AC" w:rsidRPr="00C50D78">
        <w:t xml:space="preserve">aicina </w:t>
      </w:r>
      <w:r w:rsidR="00C50D78" w:rsidRPr="00C50D78">
        <w:t xml:space="preserve">ES </w:t>
      </w:r>
      <w:r w:rsidR="00B757AC" w:rsidRPr="006B269F">
        <w:t>Padomi</w:t>
      </w:r>
      <w:r w:rsidR="00B757AC" w:rsidRPr="00B6215E">
        <w:t xml:space="preserve"> </w:t>
      </w:r>
      <w:r w:rsidR="00B757AC" w:rsidRPr="00732168">
        <w:t xml:space="preserve">un </w:t>
      </w:r>
      <w:r w:rsidR="00C222E4">
        <w:t xml:space="preserve">Eiropas </w:t>
      </w:r>
      <w:r w:rsidR="00B757AC" w:rsidRPr="00732168">
        <w:t xml:space="preserve">Komisiju </w:t>
      </w:r>
      <w:r w:rsidR="00B757AC" w:rsidRPr="00C50D78">
        <w:t xml:space="preserve">virzīt uz priekšu darbu pie ieviešamajiem nosacījumiem, stimuliem un veicinoša satvara, lai nodrošinātu tādu pāreju uz klimatneitrālu ES, kura saglabās Eiropas konkurētspēju, būs taisnīga un sociāli līdzsvarota, ņems vērā </w:t>
      </w:r>
      <w:r w:rsidR="00C222E4">
        <w:t xml:space="preserve">ES </w:t>
      </w:r>
      <w:r w:rsidR="00B757AC" w:rsidRPr="00C50D78">
        <w:t xml:space="preserve">dalībvalstu apstākļus un respektēs </w:t>
      </w:r>
      <w:r w:rsidR="00C222E4">
        <w:t xml:space="preserve">ES </w:t>
      </w:r>
      <w:r w:rsidR="00B757AC" w:rsidRPr="00C50D78">
        <w:t xml:space="preserve">dalībvalstu tiesības pašām lemt par savu energoresursu struktūru. </w:t>
      </w:r>
      <w:r w:rsidR="00C50D78" w:rsidRPr="00C50D78">
        <w:t xml:space="preserve">Ārlietu </w:t>
      </w:r>
      <w:r w:rsidR="00541828" w:rsidRPr="00E379E7">
        <w:rPr>
          <w:rFonts w:eastAsia="Calibri"/>
          <w:lang w:eastAsia="en-US"/>
        </w:rPr>
        <w:t>Padome</w:t>
      </w:r>
      <w:r w:rsidR="00C50D78" w:rsidRPr="00E379E7">
        <w:rPr>
          <w:rFonts w:eastAsia="Calibri"/>
          <w:lang w:eastAsia="en-US"/>
        </w:rPr>
        <w:t>s 2019.</w:t>
      </w:r>
      <w:r w:rsidR="00C222E4">
        <w:rPr>
          <w:rFonts w:eastAsia="Calibri"/>
          <w:lang w:eastAsia="en-US"/>
        </w:rPr>
        <w:t> </w:t>
      </w:r>
      <w:r w:rsidR="00C50D78" w:rsidRPr="00E379E7">
        <w:rPr>
          <w:rFonts w:eastAsia="Calibri"/>
          <w:lang w:eastAsia="en-US"/>
        </w:rPr>
        <w:t>gada 18.</w:t>
      </w:r>
      <w:r w:rsidR="00C222E4">
        <w:rPr>
          <w:rFonts w:eastAsia="Calibri"/>
          <w:lang w:eastAsia="en-US"/>
        </w:rPr>
        <w:t> </w:t>
      </w:r>
      <w:r w:rsidR="00C50D78" w:rsidRPr="00E379E7">
        <w:rPr>
          <w:rFonts w:eastAsia="Calibri"/>
          <w:lang w:eastAsia="en-US"/>
        </w:rPr>
        <w:t>februāra</w:t>
      </w:r>
      <w:r w:rsidR="00541828" w:rsidRPr="00E379E7">
        <w:rPr>
          <w:rFonts w:eastAsia="Calibri"/>
          <w:lang w:eastAsia="en-US"/>
        </w:rPr>
        <w:t xml:space="preserve"> secinājumos</w:t>
      </w:r>
      <w:r w:rsidR="00541828" w:rsidRPr="00E379E7">
        <w:rPr>
          <w:rFonts w:eastAsia="Calibri"/>
          <w:vertAlign w:val="superscript"/>
          <w:lang w:eastAsia="en-US"/>
        </w:rPr>
        <w:footnoteReference w:id="28"/>
      </w:r>
      <w:r w:rsidR="00541828" w:rsidRPr="00E379E7">
        <w:rPr>
          <w:rFonts w:eastAsia="Calibri"/>
          <w:lang w:eastAsia="en-US"/>
        </w:rPr>
        <w:t xml:space="preserve"> </w:t>
      </w:r>
      <w:r w:rsidR="00C50D78" w:rsidRPr="00E379E7">
        <w:rPr>
          <w:rFonts w:eastAsia="Calibri"/>
          <w:lang w:eastAsia="en-US"/>
        </w:rPr>
        <w:t>ir uzsvērts</w:t>
      </w:r>
      <w:r w:rsidR="00541828" w:rsidRPr="00E379E7">
        <w:rPr>
          <w:rFonts w:eastAsia="Calibri"/>
          <w:lang w:eastAsia="en-US"/>
        </w:rPr>
        <w:t>, ka klimata pārmaiņas ir tiešs un eksistenciāls drauds, kura sekas pasaule jau šobrīd piedzīvo, bet</w:t>
      </w:r>
      <w:r w:rsidR="00A652BF" w:rsidRPr="008A41BB">
        <w:rPr>
          <w:rFonts w:eastAsia="Calibri"/>
          <w:lang w:eastAsia="en-US"/>
        </w:rPr>
        <w:t xml:space="preserve"> rīcība, lai </w:t>
      </w:r>
      <w:r w:rsidR="008A41BB" w:rsidRPr="008A41BB">
        <w:rPr>
          <w:rFonts w:eastAsia="Calibri"/>
          <w:lang w:eastAsia="en-US"/>
        </w:rPr>
        <w:t xml:space="preserve">to </w:t>
      </w:r>
      <w:r w:rsidR="00A652BF" w:rsidRPr="008A41BB">
        <w:rPr>
          <w:rFonts w:eastAsia="Calibri"/>
          <w:lang w:eastAsia="en-US"/>
        </w:rPr>
        <w:t>apturē</w:t>
      </w:r>
      <w:r w:rsidR="008A41BB" w:rsidRPr="008A41BB">
        <w:rPr>
          <w:rFonts w:eastAsia="Calibri"/>
          <w:lang w:eastAsia="en-US"/>
        </w:rPr>
        <w:t>tu, joprojām ir nepietiekama</w:t>
      </w:r>
      <w:r w:rsidR="0087296E" w:rsidRPr="0087296E">
        <w:rPr>
          <w:rFonts w:eastAsia="Calibri"/>
          <w:lang w:eastAsia="en-US"/>
        </w:rPr>
        <w:t xml:space="preserve">. </w:t>
      </w:r>
    </w:p>
    <w:p w14:paraId="602C81FC" w14:textId="77777777" w:rsidR="00F11B50" w:rsidRPr="00F11B50" w:rsidRDefault="0005384C" w:rsidP="00E008BC">
      <w:pPr>
        <w:spacing w:before="120" w:after="120"/>
        <w:rPr>
          <w:rFonts w:eastAsia="Calibri"/>
          <w:lang w:eastAsia="en-US"/>
        </w:rPr>
      </w:pPr>
      <w:r>
        <w:rPr>
          <w:rFonts w:eastAsia="Calibri"/>
          <w:lang w:eastAsia="en-US"/>
        </w:rPr>
        <w:t>Stratēģija</w:t>
      </w:r>
      <w:r w:rsidR="00657A6A" w:rsidRPr="00A46CC4">
        <w:rPr>
          <w:rFonts w:eastAsia="Calibri"/>
          <w:lang w:eastAsia="en-US"/>
        </w:rPr>
        <w:t>s izstrādi savos politikas dokumentos</w:t>
      </w:r>
      <w:r w:rsidR="00C222E4">
        <w:rPr>
          <w:rFonts w:eastAsia="Calibri"/>
          <w:lang w:eastAsia="en-US"/>
        </w:rPr>
        <w:t xml:space="preserve"> </w:t>
      </w:r>
      <w:r w:rsidR="00A05AEA" w:rsidRPr="00A46CC4">
        <w:rPr>
          <w:rFonts w:eastAsia="Calibri"/>
          <w:lang w:eastAsia="en-US"/>
        </w:rPr>
        <w:t>ES</w:t>
      </w:r>
      <w:r w:rsidR="00657A6A" w:rsidRPr="00A46CC4">
        <w:rPr>
          <w:rFonts w:eastAsia="Calibri"/>
          <w:lang w:eastAsia="en-US"/>
        </w:rPr>
        <w:t xml:space="preserve"> ir iekļāvusi atbilstoši starptautiskajiem dokumentiem. </w:t>
      </w:r>
      <w:r w:rsidR="002D1F48">
        <w:rPr>
          <w:rFonts w:eastAsia="Calibri"/>
          <w:lang w:eastAsia="en-US"/>
        </w:rPr>
        <w:t xml:space="preserve">Jau </w:t>
      </w:r>
      <w:r w:rsidR="00657A6A" w:rsidRPr="00A46CC4">
        <w:rPr>
          <w:rFonts w:eastAsia="Calibri"/>
          <w:lang w:eastAsia="en-US"/>
        </w:rPr>
        <w:t>Eiropas Parlamenta un Padomes regulas (ES) Nr.</w:t>
      </w:r>
      <w:r w:rsidR="00DC76A7" w:rsidRPr="00A46CC4">
        <w:rPr>
          <w:rFonts w:eastAsia="Calibri"/>
          <w:lang w:eastAsia="en-US"/>
        </w:rPr>
        <w:t> </w:t>
      </w:r>
      <w:r w:rsidR="00657A6A" w:rsidRPr="00A46CC4">
        <w:rPr>
          <w:rFonts w:eastAsia="Calibri"/>
          <w:lang w:eastAsia="en-US"/>
        </w:rPr>
        <w:t>525/2013</w:t>
      </w:r>
      <w:r w:rsidR="00657A6A" w:rsidRPr="00A46CC4">
        <w:rPr>
          <w:rFonts w:eastAsia="Calibri"/>
          <w:vertAlign w:val="superscript"/>
          <w:lang w:eastAsia="en-US"/>
        </w:rPr>
        <w:footnoteReference w:id="29"/>
      </w:r>
      <w:r w:rsidR="00657A6A" w:rsidRPr="00A46CC4">
        <w:rPr>
          <w:rFonts w:eastAsia="Calibri"/>
          <w:lang w:eastAsia="en-US"/>
        </w:rPr>
        <w:t xml:space="preserve"> 4.</w:t>
      </w:r>
      <w:r w:rsidR="00DC76A7" w:rsidRPr="00A46CC4">
        <w:rPr>
          <w:rFonts w:eastAsia="Calibri"/>
          <w:lang w:eastAsia="en-US"/>
        </w:rPr>
        <w:t> </w:t>
      </w:r>
      <w:r w:rsidR="00657A6A" w:rsidRPr="00A46CC4">
        <w:rPr>
          <w:rFonts w:eastAsia="Calibri"/>
          <w:lang w:eastAsia="en-US"/>
        </w:rPr>
        <w:t xml:space="preserve">pants </w:t>
      </w:r>
      <w:r w:rsidR="002D1F48">
        <w:rPr>
          <w:rFonts w:eastAsia="Calibri"/>
          <w:lang w:eastAsia="en-US"/>
        </w:rPr>
        <w:t>noteica</w:t>
      </w:r>
      <w:r w:rsidR="00657A6A" w:rsidRPr="00A46CC4">
        <w:rPr>
          <w:rFonts w:eastAsia="Calibri"/>
          <w:lang w:eastAsia="en-US"/>
        </w:rPr>
        <w:t xml:space="preserve">, ka ES dalībvalstīm ir jāizstrādā </w:t>
      </w:r>
      <w:r w:rsidR="004112AF">
        <w:rPr>
          <w:rFonts w:eastAsia="Calibri"/>
          <w:lang w:eastAsia="en-US"/>
        </w:rPr>
        <w:t xml:space="preserve">nacionālās </w:t>
      </w:r>
      <w:r w:rsidR="004112AF" w:rsidRPr="004112AF">
        <w:rPr>
          <w:rFonts w:eastAsia="Calibri"/>
          <w:lang w:eastAsia="en-US"/>
        </w:rPr>
        <w:t>zemu oglekļa emisiju attīstības stratēģijas</w:t>
      </w:r>
      <w:r w:rsidR="00657A6A" w:rsidRPr="00A46CC4">
        <w:rPr>
          <w:rFonts w:eastAsia="Calibri"/>
          <w:lang w:eastAsia="en-US"/>
        </w:rPr>
        <w:t xml:space="preserve"> un jāziņo par izstrādes progresu sākot </w:t>
      </w:r>
      <w:r w:rsidR="00A05AEA" w:rsidRPr="00A46CC4">
        <w:rPr>
          <w:rFonts w:eastAsia="Calibri"/>
          <w:lang w:eastAsia="en-US"/>
        </w:rPr>
        <w:t>ar</w:t>
      </w:r>
      <w:r w:rsidR="00657A6A" w:rsidRPr="00A46CC4">
        <w:rPr>
          <w:rFonts w:eastAsia="Calibri"/>
          <w:lang w:eastAsia="en-US"/>
        </w:rPr>
        <w:t xml:space="preserve"> 2015.</w:t>
      </w:r>
      <w:r w:rsidR="00C222E4">
        <w:rPr>
          <w:rFonts w:eastAsia="Calibri"/>
          <w:lang w:eastAsia="en-US"/>
        </w:rPr>
        <w:t> </w:t>
      </w:r>
      <w:r w:rsidR="00657A6A" w:rsidRPr="00A46CC4">
        <w:rPr>
          <w:rFonts w:eastAsia="Calibri"/>
          <w:lang w:eastAsia="en-US"/>
        </w:rPr>
        <w:t>gad</w:t>
      </w:r>
      <w:r w:rsidR="00A05AEA" w:rsidRPr="00A46CC4">
        <w:rPr>
          <w:rFonts w:eastAsia="Calibri"/>
          <w:lang w:eastAsia="en-US"/>
        </w:rPr>
        <w:t>u</w:t>
      </w:r>
      <w:r w:rsidR="002D1F48">
        <w:rPr>
          <w:rFonts w:eastAsia="Calibri"/>
          <w:lang w:eastAsia="en-US"/>
        </w:rPr>
        <w:t>, savukārt, regulā Nr.</w:t>
      </w:r>
      <w:r w:rsidR="00C222E4">
        <w:rPr>
          <w:rFonts w:eastAsia="Calibri"/>
          <w:lang w:eastAsia="en-US"/>
        </w:rPr>
        <w:t> </w:t>
      </w:r>
      <w:r w:rsidR="002D1F48">
        <w:t>2018/1999</w:t>
      </w:r>
      <w:r w:rsidR="004B572E">
        <w:t xml:space="preserve"> </w:t>
      </w:r>
      <w:r w:rsidR="002D1F48" w:rsidRPr="002D1F48">
        <w:rPr>
          <w:rFonts w:eastAsia="Calibri"/>
          <w:lang w:eastAsia="en-US"/>
        </w:rPr>
        <w:t>integrē</w:t>
      </w:r>
      <w:r w:rsidR="004B572E">
        <w:rPr>
          <w:rFonts w:eastAsia="Calibri"/>
          <w:lang w:eastAsia="en-US"/>
        </w:rPr>
        <w:t>ti</w:t>
      </w:r>
      <w:r w:rsidR="002D1F48" w:rsidRPr="002D1F48">
        <w:rPr>
          <w:rFonts w:eastAsia="Calibri"/>
          <w:lang w:eastAsia="en-US"/>
        </w:rPr>
        <w:t xml:space="preserve"> </w:t>
      </w:r>
      <w:r w:rsidR="00C222E4">
        <w:rPr>
          <w:rFonts w:eastAsia="Calibri"/>
          <w:lang w:eastAsia="en-US"/>
        </w:rPr>
        <w:t>r</w:t>
      </w:r>
      <w:r w:rsidR="002D1F48" w:rsidRPr="002D1F48">
        <w:rPr>
          <w:rFonts w:eastAsia="Calibri"/>
          <w:lang w:eastAsia="en-US"/>
        </w:rPr>
        <w:t>egulas (ES) Nr. 525/2013 noteikumi</w:t>
      </w:r>
      <w:r w:rsidR="004B572E">
        <w:rPr>
          <w:rFonts w:eastAsia="Calibri"/>
          <w:lang w:eastAsia="en-US"/>
        </w:rPr>
        <w:t xml:space="preserve">, kā arī noteikts, ka </w:t>
      </w:r>
      <w:r w:rsidR="004B572E">
        <w:rPr>
          <w:iCs/>
        </w:rPr>
        <w:t>līdz 2020.</w:t>
      </w:r>
      <w:r w:rsidR="00C222E4">
        <w:rPr>
          <w:iCs/>
        </w:rPr>
        <w:t> </w:t>
      </w:r>
      <w:r w:rsidR="004B572E">
        <w:rPr>
          <w:iCs/>
        </w:rPr>
        <w:t>gada 1.</w:t>
      </w:r>
      <w:r w:rsidR="00C222E4">
        <w:rPr>
          <w:iCs/>
        </w:rPr>
        <w:t> </w:t>
      </w:r>
      <w:r w:rsidR="004B572E" w:rsidRPr="001E4213">
        <w:rPr>
          <w:iCs/>
        </w:rPr>
        <w:t xml:space="preserve">janvārim katrai </w:t>
      </w:r>
      <w:r w:rsidR="000B3BB7">
        <w:rPr>
          <w:iCs/>
        </w:rPr>
        <w:t xml:space="preserve">ES </w:t>
      </w:r>
      <w:r w:rsidR="004B572E" w:rsidRPr="001E4213">
        <w:rPr>
          <w:iCs/>
        </w:rPr>
        <w:t xml:space="preserve">dalībvalstij jāsagatavo un jāiesniedz </w:t>
      </w:r>
      <w:r w:rsidR="004B572E">
        <w:rPr>
          <w:iCs/>
        </w:rPr>
        <w:t>Eiropas Komisijā</w:t>
      </w:r>
      <w:r w:rsidR="004B572E" w:rsidRPr="001E4213">
        <w:rPr>
          <w:iCs/>
        </w:rPr>
        <w:t xml:space="preserve"> sav</w:t>
      </w:r>
      <w:r w:rsidR="004B572E">
        <w:rPr>
          <w:iCs/>
        </w:rPr>
        <w:t>a</w:t>
      </w:r>
      <w:r w:rsidR="004B572E" w:rsidRPr="001E4213">
        <w:rPr>
          <w:iCs/>
        </w:rPr>
        <w:t xml:space="preserve"> ilgtermiņa </w:t>
      </w:r>
      <w:r w:rsidR="00C222E4">
        <w:rPr>
          <w:iCs/>
        </w:rPr>
        <w:t>OMA</w:t>
      </w:r>
      <w:r w:rsidR="004B572E">
        <w:rPr>
          <w:iCs/>
        </w:rPr>
        <w:t xml:space="preserve"> </w:t>
      </w:r>
      <w:r w:rsidR="004B572E" w:rsidRPr="001E4213">
        <w:rPr>
          <w:iCs/>
        </w:rPr>
        <w:t>stratēģij</w:t>
      </w:r>
      <w:r w:rsidR="004B572E">
        <w:rPr>
          <w:iCs/>
        </w:rPr>
        <w:t xml:space="preserve">a </w:t>
      </w:r>
      <w:r w:rsidR="004B572E">
        <w:rPr>
          <w:color w:val="000000"/>
          <w:shd w:val="clear" w:color="auto" w:fill="FFFFFF"/>
        </w:rPr>
        <w:t>līdz 2050.</w:t>
      </w:r>
      <w:r w:rsidR="00C222E4">
        <w:rPr>
          <w:color w:val="000000"/>
          <w:shd w:val="clear" w:color="auto" w:fill="FFFFFF"/>
        </w:rPr>
        <w:t> </w:t>
      </w:r>
      <w:r w:rsidR="004B572E">
        <w:rPr>
          <w:color w:val="000000"/>
          <w:shd w:val="clear" w:color="auto" w:fill="FFFFFF"/>
        </w:rPr>
        <w:t>gadam</w:t>
      </w:r>
      <w:r w:rsidR="004B572E">
        <w:rPr>
          <w:iCs/>
        </w:rPr>
        <w:t>.</w:t>
      </w:r>
    </w:p>
    <w:p w14:paraId="2683937D" w14:textId="77777777" w:rsidR="00657A6A" w:rsidRDefault="00657A6A" w:rsidP="00E008BC">
      <w:pPr>
        <w:spacing w:before="120" w:after="120"/>
        <w:rPr>
          <w:rFonts w:eastAsia="Calibri"/>
          <w:lang w:eastAsia="en-US"/>
        </w:rPr>
      </w:pPr>
      <w:r w:rsidRPr="00A46CC4">
        <w:rPr>
          <w:rFonts w:eastAsia="Calibri"/>
          <w:lang w:eastAsia="en-US"/>
        </w:rPr>
        <w:t xml:space="preserve">Nozīmīgs rīcībpolitiku </w:t>
      </w:r>
      <w:r w:rsidR="009A4A33" w:rsidRPr="00A46CC4">
        <w:rPr>
          <w:rFonts w:eastAsia="Calibri"/>
          <w:lang w:eastAsia="en-US"/>
        </w:rPr>
        <w:t xml:space="preserve">kopums </w:t>
      </w:r>
      <w:r w:rsidRPr="00A46CC4">
        <w:rPr>
          <w:rFonts w:eastAsia="Calibri"/>
          <w:lang w:eastAsia="en-US"/>
        </w:rPr>
        <w:t>ES līmenī ir Klimata un enerģētikas</w:t>
      </w:r>
      <w:r w:rsidR="009A4A33" w:rsidRPr="00A46CC4">
        <w:rPr>
          <w:rFonts w:eastAsia="Calibri"/>
          <w:lang w:eastAsia="en-US"/>
        </w:rPr>
        <w:t xml:space="preserve"> politikas</w:t>
      </w:r>
      <w:r w:rsidRPr="00A46CC4">
        <w:rPr>
          <w:rFonts w:eastAsia="Calibri"/>
          <w:lang w:eastAsia="en-US"/>
        </w:rPr>
        <w:t xml:space="preserve"> satvars laikposmam līdz 2030.</w:t>
      </w:r>
      <w:r w:rsidR="00C222E4">
        <w:rPr>
          <w:rFonts w:eastAsia="Calibri"/>
          <w:lang w:eastAsia="en-US"/>
        </w:rPr>
        <w:t> </w:t>
      </w:r>
      <w:r w:rsidRPr="00A46CC4">
        <w:rPr>
          <w:rFonts w:eastAsia="Calibri"/>
          <w:lang w:eastAsia="en-US"/>
        </w:rPr>
        <w:t>gadam (</w:t>
      </w:r>
      <w:r w:rsidRPr="00A46CC4">
        <w:rPr>
          <w:rFonts w:eastAsia="Calibri"/>
          <w:i/>
          <w:lang w:eastAsia="en-US"/>
        </w:rPr>
        <w:t>Policy framework for climate and energy from 2020 to 2030</w:t>
      </w:r>
      <w:r w:rsidR="00307537">
        <w:rPr>
          <w:rFonts w:eastAsia="Calibri"/>
          <w:i/>
          <w:lang w:eastAsia="en-US"/>
        </w:rPr>
        <w:t>)</w:t>
      </w:r>
      <w:r w:rsidRPr="00A46CC4">
        <w:rPr>
          <w:rFonts w:eastAsia="Calibri"/>
          <w:lang w:eastAsia="en-US"/>
        </w:rPr>
        <w:t xml:space="preserve">, , kurā ir ietverti ES kopējie un dalībvalstu SEG emisiju samazināšanas mērķi </w:t>
      </w:r>
      <w:r w:rsidR="00192F3D">
        <w:rPr>
          <w:rFonts w:eastAsia="Calibri"/>
          <w:lang w:eastAsia="en-US"/>
        </w:rPr>
        <w:t xml:space="preserve">ES Emisiju tirdzniecības sistēmas </w:t>
      </w:r>
      <w:r w:rsidRPr="00A46CC4">
        <w:rPr>
          <w:rFonts w:eastAsia="Calibri"/>
          <w:lang w:eastAsia="en-US"/>
        </w:rPr>
        <w:t>un ne-ETS</w:t>
      </w:r>
      <w:r w:rsidR="00367B69" w:rsidRPr="00A46CC4">
        <w:rPr>
          <w:rStyle w:val="FootnoteReference"/>
          <w:rFonts w:eastAsia="Calibri"/>
          <w:lang w:eastAsia="en-US"/>
        </w:rPr>
        <w:footnoteReference w:id="30"/>
      </w:r>
      <w:r w:rsidRPr="00A46CC4">
        <w:rPr>
          <w:rFonts w:eastAsia="Calibri"/>
          <w:lang w:eastAsia="en-US"/>
        </w:rPr>
        <w:t xml:space="preserve"> sektoriem, kā arī </w:t>
      </w:r>
      <w:r w:rsidR="005D3F5D" w:rsidRPr="00A46CC4">
        <w:rPr>
          <w:rFonts w:eastAsia="Calibri"/>
          <w:lang w:eastAsia="en-US"/>
        </w:rPr>
        <w:t>AER</w:t>
      </w:r>
      <w:r w:rsidR="00192F3D">
        <w:rPr>
          <w:rFonts w:eastAsia="Calibri"/>
          <w:lang w:eastAsia="en-US"/>
        </w:rPr>
        <w:t xml:space="preserve"> </w:t>
      </w:r>
      <w:r w:rsidR="00192F3D" w:rsidRPr="00E008BC">
        <w:rPr>
          <w:szCs w:val="24"/>
        </w:rPr>
        <w:t>kopējā enerģijas gala patēriņ</w:t>
      </w:r>
      <w:r w:rsidR="00192F3D">
        <w:rPr>
          <w:szCs w:val="24"/>
        </w:rPr>
        <w:t>ā</w:t>
      </w:r>
      <w:r w:rsidRPr="00A46CC4">
        <w:rPr>
          <w:rFonts w:eastAsia="Calibri"/>
          <w:lang w:eastAsia="en-US"/>
        </w:rPr>
        <w:t xml:space="preserve"> un </w:t>
      </w:r>
      <w:r w:rsidRPr="00A46CC4">
        <w:rPr>
          <w:rFonts w:eastAsia="Calibri"/>
          <w:lang w:eastAsia="en-US"/>
        </w:rPr>
        <w:lastRenderedPageBreak/>
        <w:t>energoefektivitātes mērķi</w:t>
      </w:r>
      <w:r w:rsidR="005D3F5D" w:rsidRPr="00A46CC4">
        <w:rPr>
          <w:rFonts w:eastAsia="Calibri"/>
          <w:lang w:eastAsia="en-US"/>
        </w:rPr>
        <w:t>.</w:t>
      </w:r>
      <w:r w:rsidR="00385F81">
        <w:rPr>
          <w:rFonts w:eastAsia="Calibri"/>
          <w:lang w:eastAsia="en-US"/>
        </w:rPr>
        <w:t xml:space="preserve"> Latvijai, ieviešot </w:t>
      </w:r>
      <w:r w:rsidR="000A35A1">
        <w:rPr>
          <w:rFonts w:eastAsia="Calibri"/>
          <w:lang w:eastAsia="en-US"/>
        </w:rPr>
        <w:t>S</w:t>
      </w:r>
      <w:r w:rsidR="00385F81">
        <w:rPr>
          <w:rFonts w:eastAsia="Calibri"/>
          <w:lang w:eastAsia="en-US"/>
        </w:rPr>
        <w:t>tratēģiju, ir jāņem vērā KEPS 2030 pakotnes ietvaros apstiprinātos ES tiesību aktus un Latvijai noteiktos mērķus</w:t>
      </w:r>
      <w:r w:rsidR="00666E12" w:rsidRPr="00666E12">
        <w:rPr>
          <w:rFonts w:eastAsia="Calibri"/>
          <w:lang w:eastAsia="en-US"/>
        </w:rPr>
        <w:t xml:space="preserve"> </w:t>
      </w:r>
      <w:r w:rsidR="00666E12">
        <w:rPr>
          <w:rFonts w:eastAsia="Calibri"/>
          <w:lang w:eastAsia="en-US"/>
        </w:rPr>
        <w:t>(</w:t>
      </w:r>
      <w:r w:rsidR="00666E12" w:rsidRPr="00A46CC4">
        <w:rPr>
          <w:rFonts w:eastAsia="Calibri"/>
          <w:lang w:eastAsia="en-US"/>
        </w:rPr>
        <w:t xml:space="preserve">ETS (kopējs ES) un ne-ETS sektoriem (individuāls katrai </w:t>
      </w:r>
      <w:r w:rsidR="00636722">
        <w:rPr>
          <w:rFonts w:eastAsia="Calibri"/>
          <w:lang w:eastAsia="en-US"/>
        </w:rPr>
        <w:t xml:space="preserve">ES </w:t>
      </w:r>
      <w:r w:rsidR="00666E12" w:rsidRPr="00A46CC4">
        <w:rPr>
          <w:rFonts w:eastAsia="Calibri"/>
          <w:lang w:eastAsia="en-US"/>
        </w:rPr>
        <w:t>dalībvalstij)</w:t>
      </w:r>
      <w:r w:rsidR="00666E12">
        <w:rPr>
          <w:rFonts w:eastAsia="Calibri"/>
          <w:lang w:eastAsia="en-US"/>
        </w:rPr>
        <w:t>)</w:t>
      </w:r>
      <w:r w:rsidR="00385F81">
        <w:rPr>
          <w:rFonts w:eastAsia="Calibri"/>
          <w:lang w:eastAsia="en-US"/>
        </w:rPr>
        <w:t xml:space="preserve">. </w:t>
      </w:r>
    </w:p>
    <w:p w14:paraId="20BDEE51" w14:textId="77777777" w:rsidR="00251053" w:rsidRPr="00A46CC4" w:rsidRDefault="00251053" w:rsidP="00E008BC">
      <w:pPr>
        <w:spacing w:before="120" w:after="120"/>
        <w:rPr>
          <w:rFonts w:eastAsia="Calibri"/>
          <w:lang w:eastAsia="en-US"/>
        </w:rPr>
      </w:pPr>
      <w:r>
        <w:rPr>
          <w:rFonts w:eastAsia="Calibri"/>
          <w:lang w:eastAsia="en-US"/>
        </w:rPr>
        <w:t xml:space="preserve">Papildus tam ES </w:t>
      </w:r>
      <w:r w:rsidR="00AB5CE9">
        <w:rPr>
          <w:rFonts w:eastAsia="Calibri"/>
          <w:lang w:eastAsia="en-US"/>
        </w:rPr>
        <w:t xml:space="preserve">izstrādāti </w:t>
      </w:r>
      <w:r>
        <w:rPr>
          <w:rFonts w:eastAsia="Calibri"/>
          <w:lang w:eastAsia="en-US"/>
        </w:rPr>
        <w:t>arī vairāki regulējuma kopumi (pakotnes), kurās ņemti vērā OMA principi, piemēram, Mobilitātes pakotne</w:t>
      </w:r>
      <w:r w:rsidR="007B0379">
        <w:rPr>
          <w:rStyle w:val="FootnoteReference"/>
          <w:rFonts w:eastAsia="Calibri"/>
          <w:lang w:eastAsia="en-US"/>
        </w:rPr>
        <w:footnoteReference w:id="31"/>
      </w:r>
      <w:r>
        <w:rPr>
          <w:rFonts w:eastAsia="Calibri"/>
          <w:lang w:eastAsia="en-US"/>
        </w:rPr>
        <w:t>, Aprites ekonomikas pakotne</w:t>
      </w:r>
      <w:r w:rsidR="007B0379">
        <w:rPr>
          <w:rStyle w:val="FootnoteReference"/>
          <w:rFonts w:eastAsia="Calibri"/>
          <w:lang w:eastAsia="en-US"/>
        </w:rPr>
        <w:footnoteReference w:id="32"/>
      </w:r>
      <w:r w:rsidR="00DE537A">
        <w:rPr>
          <w:rFonts w:eastAsia="Calibri"/>
          <w:lang w:eastAsia="en-US"/>
        </w:rPr>
        <w:t>,</w:t>
      </w:r>
      <w:r w:rsidR="00636722">
        <w:rPr>
          <w:rFonts w:eastAsia="Calibri"/>
          <w:lang w:eastAsia="en-US"/>
        </w:rPr>
        <w:t xml:space="preserve"> </w:t>
      </w:r>
      <w:r>
        <w:rPr>
          <w:rFonts w:eastAsia="Calibri"/>
          <w:lang w:eastAsia="en-US"/>
        </w:rPr>
        <w:t>kā arī Rīcības plāns ilgtspējīgam finansējumam</w:t>
      </w:r>
      <w:r w:rsidR="007B0379">
        <w:rPr>
          <w:rStyle w:val="FootnoteReference"/>
          <w:rFonts w:eastAsia="Calibri"/>
          <w:lang w:eastAsia="en-US"/>
        </w:rPr>
        <w:footnoteReference w:id="33"/>
      </w:r>
      <w:r>
        <w:rPr>
          <w:rFonts w:eastAsia="Calibri"/>
          <w:lang w:eastAsia="en-US"/>
        </w:rPr>
        <w:t xml:space="preserve"> un Tīra enerģija visiem Eiropas iedzīvotājiem</w:t>
      </w:r>
      <w:r w:rsidR="007B0379">
        <w:rPr>
          <w:rStyle w:val="FootnoteReference"/>
          <w:rFonts w:eastAsia="Calibri"/>
          <w:lang w:eastAsia="en-US"/>
        </w:rPr>
        <w:footnoteReference w:id="34"/>
      </w:r>
      <w:r>
        <w:rPr>
          <w:rFonts w:eastAsia="Calibri"/>
          <w:lang w:eastAsia="en-US"/>
        </w:rPr>
        <w:t>.</w:t>
      </w:r>
    </w:p>
    <w:p w14:paraId="316C4CFA" w14:textId="77777777" w:rsidR="00657A6A" w:rsidRPr="005F2265" w:rsidRDefault="00657A6A" w:rsidP="0031388F">
      <w:pPr>
        <w:pStyle w:val="ListParagraph"/>
        <w:numPr>
          <w:ilvl w:val="0"/>
          <w:numId w:val="2"/>
        </w:numPr>
        <w:spacing w:before="240" w:after="120"/>
        <w:ind w:left="714" w:hanging="357"/>
        <w:rPr>
          <w:b/>
        </w:rPr>
      </w:pPr>
      <w:r w:rsidRPr="005F2265">
        <w:rPr>
          <w:b/>
        </w:rPr>
        <w:t xml:space="preserve">Nacionālie </w:t>
      </w:r>
      <w:r w:rsidR="00E02B6C" w:rsidRPr="005F2265">
        <w:rPr>
          <w:b/>
        </w:rPr>
        <w:t>politikas plānošanas dokumenti</w:t>
      </w:r>
    </w:p>
    <w:p w14:paraId="22D1EB76" w14:textId="308C9685" w:rsidR="00657A6A" w:rsidRDefault="00657A6A" w:rsidP="003B4DCD">
      <w:pPr>
        <w:rPr>
          <w:rFonts w:eastAsia="Calibri"/>
          <w:lang w:eastAsia="en-US"/>
        </w:rPr>
      </w:pPr>
      <w:r w:rsidRPr="00A46CC4">
        <w:rPr>
          <w:rFonts w:eastAsia="Calibri"/>
          <w:lang w:eastAsia="en-US"/>
        </w:rPr>
        <w:t xml:space="preserve">Nacionālā līmenī vispārīga ilgtspējīga un uz zemām SEG emisijām balstīta attīstība ir </w:t>
      </w:r>
      <w:r w:rsidR="00BB5B37">
        <w:rPr>
          <w:rFonts w:eastAsia="Calibri"/>
          <w:lang w:eastAsia="en-US"/>
        </w:rPr>
        <w:t xml:space="preserve">iekļauta arī </w:t>
      </w:r>
      <w:r w:rsidRPr="00A46CC4">
        <w:rPr>
          <w:rFonts w:eastAsia="Calibri"/>
          <w:lang w:eastAsia="en-US"/>
        </w:rPr>
        <w:t>Latvijas ilgtspējīgas attīstības stratēģijā līdz 2030.</w:t>
      </w:r>
      <w:r w:rsidR="006A48AF">
        <w:rPr>
          <w:rFonts w:eastAsia="Calibri"/>
          <w:lang w:eastAsia="en-US"/>
        </w:rPr>
        <w:t> </w:t>
      </w:r>
      <w:r w:rsidRPr="00A46CC4">
        <w:rPr>
          <w:rFonts w:eastAsia="Calibri"/>
          <w:lang w:eastAsia="en-US"/>
        </w:rPr>
        <w:t xml:space="preserve">gadam, kā arī </w:t>
      </w:r>
      <w:r w:rsidR="008A41BB">
        <w:rPr>
          <w:rFonts w:eastAsia="Calibri"/>
          <w:lang w:eastAsia="en-US"/>
        </w:rPr>
        <w:t xml:space="preserve">citos </w:t>
      </w:r>
      <w:r w:rsidR="008A53BC">
        <w:rPr>
          <w:rFonts w:eastAsia="Calibri"/>
          <w:lang w:eastAsia="en-US"/>
        </w:rPr>
        <w:t xml:space="preserve">Latvijas </w:t>
      </w:r>
      <w:r w:rsidR="006A48AF">
        <w:rPr>
          <w:rFonts w:eastAsia="Calibri"/>
          <w:lang w:eastAsia="en-US"/>
        </w:rPr>
        <w:t xml:space="preserve">politikas </w:t>
      </w:r>
      <w:r w:rsidR="008A41BB">
        <w:rPr>
          <w:rFonts w:eastAsia="Calibri"/>
          <w:lang w:eastAsia="en-US"/>
        </w:rPr>
        <w:t>plānošanas dokumentos</w:t>
      </w:r>
      <w:r w:rsidR="009A4A33" w:rsidRPr="00A46CC4">
        <w:rPr>
          <w:rFonts w:eastAsia="Calibri"/>
          <w:lang w:eastAsia="en-US"/>
        </w:rPr>
        <w:t xml:space="preserve">, </w:t>
      </w:r>
      <w:r w:rsidR="008A53BC">
        <w:rPr>
          <w:rFonts w:eastAsia="Calibri"/>
          <w:lang w:eastAsia="en-US"/>
        </w:rPr>
        <w:t>ietverot nozaru plānošanu (</w:t>
      </w:r>
      <w:r w:rsidR="009A4A33" w:rsidRPr="006A48AF">
        <w:rPr>
          <w:rFonts w:eastAsia="Calibri"/>
          <w:lang w:eastAsia="en-US"/>
        </w:rPr>
        <w:t xml:space="preserve">skatīt </w:t>
      </w:r>
      <w:r w:rsidR="007C085B" w:rsidRPr="00E008BC">
        <w:rPr>
          <w:rFonts w:eastAsia="Calibri"/>
          <w:lang w:eastAsia="en-US"/>
        </w:rPr>
        <w:t>2</w:t>
      </w:r>
      <w:r w:rsidR="009A4A33" w:rsidRPr="00E008BC">
        <w:rPr>
          <w:rFonts w:eastAsia="Calibri"/>
          <w:lang w:eastAsia="en-US"/>
        </w:rPr>
        <w:t>.</w:t>
      </w:r>
      <w:r w:rsidR="006A48AF" w:rsidRPr="005A47E1">
        <w:rPr>
          <w:rFonts w:eastAsia="Calibri"/>
          <w:lang w:eastAsia="en-US"/>
        </w:rPr>
        <w:t> </w:t>
      </w:r>
      <w:r w:rsidR="009A4A33" w:rsidRPr="005A47E1">
        <w:rPr>
          <w:rFonts w:eastAsia="Calibri"/>
          <w:lang w:eastAsia="en-US"/>
        </w:rPr>
        <w:t>attēlu</w:t>
      </w:r>
      <w:r w:rsidR="008A53BC">
        <w:rPr>
          <w:rFonts w:eastAsia="Calibri"/>
          <w:lang w:eastAsia="en-US"/>
        </w:rPr>
        <w:t>)</w:t>
      </w:r>
      <w:r w:rsidR="009A4A33" w:rsidRPr="00A46CC4">
        <w:rPr>
          <w:rFonts w:eastAsia="Calibri"/>
          <w:lang w:eastAsia="en-US"/>
        </w:rPr>
        <w:t>.</w:t>
      </w:r>
    </w:p>
    <w:p w14:paraId="1C772CD5" w14:textId="18E5520D" w:rsidR="005F6123" w:rsidRDefault="005F6123" w:rsidP="003B4DCD">
      <w:pPr>
        <w:rPr>
          <w:rFonts w:eastAsia="Calibri"/>
          <w:lang w:eastAsia="en-US"/>
        </w:rPr>
      </w:pPr>
      <w:r>
        <w:rPr>
          <w:noProof/>
        </w:rPr>
        <w:drawing>
          <wp:inline distT="0" distB="0" distL="0" distR="0" wp14:anchorId="30898BB3" wp14:editId="52FA217A">
            <wp:extent cx="4824000" cy="39744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16" r="15971"/>
                    <a:stretch/>
                  </pic:blipFill>
                  <pic:spPr bwMode="auto">
                    <a:xfrm>
                      <a:off x="0" y="0"/>
                      <a:ext cx="4824000" cy="3974400"/>
                    </a:xfrm>
                    <a:prstGeom prst="rect">
                      <a:avLst/>
                    </a:prstGeom>
                    <a:ln>
                      <a:noFill/>
                    </a:ln>
                    <a:extLst>
                      <a:ext uri="{53640926-AAD7-44D8-BBD7-CCE9431645EC}">
                        <a14:shadowObscured xmlns:a14="http://schemas.microsoft.com/office/drawing/2010/main"/>
                      </a:ext>
                    </a:extLst>
                  </pic:spPr>
                </pic:pic>
              </a:graphicData>
            </a:graphic>
          </wp:inline>
        </w:drawing>
      </w:r>
    </w:p>
    <w:p w14:paraId="5B810DC4" w14:textId="77777777" w:rsidR="009A4A33" w:rsidRPr="007C085B" w:rsidRDefault="00880479" w:rsidP="00977BCE">
      <w:pPr>
        <w:pStyle w:val="Title"/>
        <w:rPr>
          <w:rFonts w:eastAsia="Calibri"/>
          <w:b/>
          <w:lang w:eastAsia="en-US"/>
        </w:rPr>
      </w:pPr>
      <w:r w:rsidRPr="007C085B">
        <w:rPr>
          <w:rFonts w:eastAsia="Calibri"/>
          <w:b/>
          <w:lang w:eastAsia="en-US"/>
        </w:rPr>
        <w:t>2</w:t>
      </w:r>
      <w:r w:rsidR="009A4A33" w:rsidRPr="007C085B">
        <w:rPr>
          <w:rFonts w:eastAsia="Calibri"/>
          <w:b/>
          <w:lang w:eastAsia="en-US"/>
        </w:rPr>
        <w:t>.</w:t>
      </w:r>
      <w:r w:rsidR="005A47E1">
        <w:rPr>
          <w:rFonts w:eastAsia="Calibri"/>
          <w:b/>
          <w:lang w:eastAsia="en-US"/>
        </w:rPr>
        <w:t> </w:t>
      </w:r>
      <w:r w:rsidR="009A4A33" w:rsidRPr="007C085B">
        <w:rPr>
          <w:rFonts w:eastAsia="Calibri"/>
          <w:b/>
          <w:lang w:eastAsia="en-US"/>
        </w:rPr>
        <w:t xml:space="preserve">attēls. </w:t>
      </w:r>
      <w:r w:rsidR="008A53BC" w:rsidRPr="007C085B">
        <w:rPr>
          <w:rFonts w:eastAsia="Calibri"/>
          <w:b/>
          <w:lang w:eastAsia="en-US"/>
        </w:rPr>
        <w:t>Stratēģiju</w:t>
      </w:r>
      <w:r w:rsidR="009A4A33" w:rsidRPr="007C085B">
        <w:rPr>
          <w:rFonts w:eastAsia="Calibri"/>
          <w:b/>
          <w:lang w:eastAsia="en-US"/>
        </w:rPr>
        <w:t xml:space="preserve"> atbalstošie politikas plānošanas dokumenti</w:t>
      </w:r>
    </w:p>
    <w:p w14:paraId="111D7248" w14:textId="084C4CF8" w:rsidR="009D2473" w:rsidRPr="00A46CC4" w:rsidRDefault="000A35A1" w:rsidP="00E008BC">
      <w:pPr>
        <w:spacing w:before="120" w:after="120"/>
        <w:rPr>
          <w:rFonts w:eastAsia="Calibri"/>
          <w:lang w:eastAsia="en-US"/>
        </w:rPr>
      </w:pPr>
      <w:r>
        <w:rPr>
          <w:rFonts w:eastAsia="Calibri"/>
          <w:bCs/>
          <w:szCs w:val="24"/>
        </w:rPr>
        <w:t xml:space="preserve">Tā kā šobrīd Latvijas nacionāla līmeņa politikas plānošanas dokumentos </w:t>
      </w:r>
      <w:r w:rsidRPr="00A46CC4">
        <w:rPr>
          <w:rFonts w:eastAsia="Calibri"/>
          <w:bCs/>
          <w:szCs w:val="24"/>
        </w:rPr>
        <w:t xml:space="preserve">nav </w:t>
      </w:r>
      <w:r w:rsidR="00BB5B37">
        <w:rPr>
          <w:rFonts w:eastAsia="Calibri"/>
          <w:bCs/>
          <w:szCs w:val="24"/>
        </w:rPr>
        <w:t xml:space="preserve">pietiekami </w:t>
      </w:r>
      <w:r w:rsidRPr="00A46CC4">
        <w:rPr>
          <w:rFonts w:eastAsia="Calibri"/>
          <w:bCs/>
          <w:szCs w:val="24"/>
        </w:rPr>
        <w:t xml:space="preserve">izstrādāti </w:t>
      </w:r>
      <w:r w:rsidR="005D4382">
        <w:rPr>
          <w:rFonts w:eastAsia="Calibri"/>
          <w:bCs/>
          <w:szCs w:val="24"/>
        </w:rPr>
        <w:t>OMA</w:t>
      </w:r>
      <w:r w:rsidRPr="00A46CC4">
        <w:rPr>
          <w:rFonts w:eastAsia="Calibri"/>
          <w:bCs/>
          <w:szCs w:val="24"/>
        </w:rPr>
        <w:t xml:space="preserve"> virzieni</w:t>
      </w:r>
      <w:r>
        <w:rPr>
          <w:rFonts w:eastAsia="Calibri"/>
          <w:bCs/>
          <w:szCs w:val="24"/>
        </w:rPr>
        <w:t xml:space="preserve">, kā arī trūkst </w:t>
      </w:r>
      <w:r w:rsidRPr="00A46CC4">
        <w:rPr>
          <w:rFonts w:eastAsia="Calibri"/>
          <w:bCs/>
          <w:szCs w:val="24"/>
        </w:rPr>
        <w:t>vienotas rīcībpolitikas SEG emisij</w:t>
      </w:r>
      <w:r>
        <w:rPr>
          <w:rFonts w:eastAsia="Calibri"/>
          <w:bCs/>
          <w:szCs w:val="24"/>
        </w:rPr>
        <w:t xml:space="preserve">u </w:t>
      </w:r>
      <w:r w:rsidR="007B42F7">
        <w:rPr>
          <w:rFonts w:eastAsia="Calibri"/>
          <w:bCs/>
          <w:szCs w:val="24"/>
        </w:rPr>
        <w:t>samazināšanai</w:t>
      </w:r>
      <w:r>
        <w:rPr>
          <w:rFonts w:eastAsia="Calibri"/>
          <w:bCs/>
          <w:szCs w:val="24"/>
        </w:rPr>
        <w:t xml:space="preserve">, </w:t>
      </w:r>
      <w:r w:rsidR="008A53BC">
        <w:rPr>
          <w:rFonts w:eastAsia="Calibri"/>
        </w:rPr>
        <w:t>Stratēģijā ap</w:t>
      </w:r>
      <w:r w:rsidR="007C085B">
        <w:rPr>
          <w:rFonts w:eastAsia="Calibri"/>
        </w:rPr>
        <w:t>kopoti</w:t>
      </w:r>
      <w:r w:rsidR="008A53BC">
        <w:rPr>
          <w:rFonts w:eastAsia="Calibri"/>
        </w:rPr>
        <w:t xml:space="preserve"> un </w:t>
      </w:r>
      <w:r w:rsidR="006A3EA2">
        <w:rPr>
          <w:rFonts w:eastAsia="Calibri"/>
        </w:rPr>
        <w:t>papildināti</w:t>
      </w:r>
      <w:r w:rsidR="008A53BC">
        <w:rPr>
          <w:rFonts w:eastAsia="Calibri"/>
        </w:rPr>
        <w:t xml:space="preserve"> nacionāla līmeņa </w:t>
      </w:r>
      <w:r w:rsidR="005D4382">
        <w:rPr>
          <w:rFonts w:eastAsia="Calibri"/>
        </w:rPr>
        <w:t xml:space="preserve">politikas </w:t>
      </w:r>
      <w:r w:rsidR="008A53BC">
        <w:rPr>
          <w:rFonts w:eastAsia="Calibri"/>
        </w:rPr>
        <w:t xml:space="preserve">plānošanas dokumentos, kā arī dažādu nozaru plānošanas dokumentos </w:t>
      </w:r>
      <w:r w:rsidR="007B42F7">
        <w:rPr>
          <w:rFonts w:eastAsia="Calibri"/>
        </w:rPr>
        <w:t xml:space="preserve">jau šobrīd </w:t>
      </w:r>
      <w:r w:rsidR="008A53BC">
        <w:rPr>
          <w:rFonts w:eastAsia="Calibri"/>
        </w:rPr>
        <w:t>ietvertie attīstības virzieni OMA veicināšanai</w:t>
      </w:r>
      <w:r w:rsidR="007C085B">
        <w:rPr>
          <w:rFonts w:eastAsia="Calibri"/>
        </w:rPr>
        <w:t>.</w:t>
      </w:r>
      <w:r w:rsidR="009D2473" w:rsidRPr="00726AE5">
        <w:rPr>
          <w:rFonts w:eastAsia="Calibri"/>
        </w:rPr>
        <w:br w:type="page"/>
      </w:r>
    </w:p>
    <w:p w14:paraId="31B5EF80" w14:textId="77777777" w:rsidR="00335643" w:rsidRPr="00A46CC4" w:rsidRDefault="00D349BB" w:rsidP="00DF7771">
      <w:pPr>
        <w:pStyle w:val="Heading1"/>
      </w:pPr>
      <w:bookmarkStart w:id="12" w:name="_Toc462063067"/>
      <w:bookmarkStart w:id="13" w:name="_Toc462063178"/>
      <w:bookmarkStart w:id="14" w:name="_Toc462063068"/>
      <w:bookmarkStart w:id="15" w:name="_Toc462063179"/>
      <w:bookmarkStart w:id="16" w:name="_Toc462063069"/>
      <w:bookmarkStart w:id="17" w:name="_Toc462063180"/>
      <w:bookmarkStart w:id="18" w:name="_Toc462063070"/>
      <w:bookmarkStart w:id="19" w:name="_Toc462063181"/>
      <w:bookmarkStart w:id="20" w:name="_Toc462063071"/>
      <w:bookmarkStart w:id="21" w:name="_Toc462063182"/>
      <w:bookmarkStart w:id="22" w:name="_Toc25580325"/>
      <w:bookmarkEnd w:id="12"/>
      <w:bookmarkEnd w:id="13"/>
      <w:bookmarkEnd w:id="14"/>
      <w:bookmarkEnd w:id="15"/>
      <w:bookmarkEnd w:id="16"/>
      <w:bookmarkEnd w:id="17"/>
      <w:bookmarkEnd w:id="18"/>
      <w:bookmarkEnd w:id="19"/>
      <w:bookmarkEnd w:id="20"/>
      <w:bookmarkEnd w:id="21"/>
      <w:r w:rsidRPr="00A46CC4">
        <w:lastRenderedPageBreak/>
        <w:t xml:space="preserve">Latvijas </w:t>
      </w:r>
      <w:r w:rsidR="00EB09FA">
        <w:t xml:space="preserve">līdzšinējais </w:t>
      </w:r>
      <w:r w:rsidRPr="00A46CC4">
        <w:t xml:space="preserve">progress </w:t>
      </w:r>
      <w:r w:rsidR="006A3EA2">
        <w:t xml:space="preserve">virzībā uz </w:t>
      </w:r>
      <w:r w:rsidR="00222243">
        <w:t>klimatneitralitāti</w:t>
      </w:r>
      <w:bookmarkEnd w:id="22"/>
    </w:p>
    <w:p w14:paraId="2BB1E172" w14:textId="77777777" w:rsidR="00F520A2" w:rsidRDefault="00E349F3" w:rsidP="00A64747">
      <w:pPr>
        <w:pStyle w:val="Heading2"/>
      </w:pPr>
      <w:bookmarkStart w:id="23" w:name="_Toc25580326"/>
      <w:r>
        <w:t>4</w:t>
      </w:r>
      <w:r w:rsidR="00F520A2" w:rsidRPr="00A46CC4">
        <w:t>.1.</w:t>
      </w:r>
      <w:r w:rsidR="0044077C">
        <w:t> </w:t>
      </w:r>
      <w:r w:rsidR="00F520A2" w:rsidRPr="00A46CC4">
        <w:t xml:space="preserve">SEG emisiju struktūra un dinamika </w:t>
      </w:r>
      <w:r w:rsidR="00CF12C6">
        <w:t>(neiekļaujot ZIZIMM sektoru)</w:t>
      </w:r>
      <w:bookmarkEnd w:id="23"/>
    </w:p>
    <w:p w14:paraId="6222AFBC" w14:textId="77777777" w:rsidR="003D3CB6" w:rsidRDefault="003D3CB6" w:rsidP="00DF7771">
      <w:r w:rsidRPr="00A46CC4">
        <w:t>SEG emisij</w:t>
      </w:r>
      <w:r w:rsidR="006A3EA2">
        <w:t>as</w:t>
      </w:r>
      <w:r w:rsidRPr="00A46CC4">
        <w:t xml:space="preserve"> Latvijā </w:t>
      </w:r>
      <w:r w:rsidR="006A3EA2">
        <w:t xml:space="preserve">rodas galvenokārt tādos tautsaimniecības sektoros kā </w:t>
      </w:r>
      <w:r w:rsidRPr="00A46CC4">
        <w:t xml:space="preserve">enerģētika, transports, rūpnieciskie procesi un produktu izmantošana, lauksaimniecība un atkritumu </w:t>
      </w:r>
      <w:r w:rsidRPr="00E4114E">
        <w:t>apsaimniekošana (</w:t>
      </w:r>
      <w:r w:rsidR="007C085B" w:rsidRPr="00E4114E">
        <w:t>3.</w:t>
      </w:r>
      <w:r w:rsidR="0044077C">
        <w:t> </w:t>
      </w:r>
      <w:r w:rsidR="00DF7771" w:rsidRPr="00E4114E">
        <w:t>attēls</w:t>
      </w:r>
      <w:r w:rsidR="00FE196F" w:rsidRPr="00E4114E">
        <w:t>).</w:t>
      </w:r>
      <w:r w:rsidRPr="00E4114E">
        <w:t xml:space="preserve"> Zemes izmantošanas, zemes izmantošanas maiņas un mežsaimniecības sektors </w:t>
      </w:r>
      <w:r w:rsidR="000A35A1" w:rsidRPr="00E4114E">
        <w:t xml:space="preserve">ne tikai </w:t>
      </w:r>
      <w:r w:rsidRPr="00E4114E">
        <w:t>kā SEG emisiju</w:t>
      </w:r>
      <w:r w:rsidR="00566020" w:rsidRPr="00E4114E">
        <w:t xml:space="preserve"> radītājs, bet arī</w:t>
      </w:r>
      <w:r w:rsidRPr="00E4114E">
        <w:t xml:space="preserve"> CO</w:t>
      </w:r>
      <w:r w:rsidRPr="00E4114E">
        <w:rPr>
          <w:vertAlign w:val="subscript"/>
        </w:rPr>
        <w:t>2</w:t>
      </w:r>
      <w:r w:rsidR="00DF7771" w:rsidRPr="00E4114E">
        <w:t xml:space="preserve"> piesaistes </w:t>
      </w:r>
      <w:r w:rsidR="00566020" w:rsidRPr="00E4114E">
        <w:t>veicinātājs</w:t>
      </w:r>
      <w:r w:rsidR="000A35A1" w:rsidRPr="00E4114E">
        <w:t>,</w:t>
      </w:r>
      <w:r w:rsidRPr="00E4114E">
        <w:t xml:space="preserve"> ir aprakstīts 4.2.</w:t>
      </w:r>
      <w:r w:rsidR="0044077C">
        <w:t> </w:t>
      </w:r>
      <w:r w:rsidRPr="00E4114E">
        <w:t>nodaļā.</w:t>
      </w:r>
    </w:p>
    <w:p w14:paraId="67BCB545" w14:textId="77777777" w:rsidR="00822E71" w:rsidRPr="00A46CC4" w:rsidRDefault="005B52D0" w:rsidP="00DF7771">
      <w:r w:rsidRPr="005B52D0">
        <w:rPr>
          <w:noProof/>
        </w:rPr>
        <w:t xml:space="preserve"> </w:t>
      </w:r>
      <w:r w:rsidR="00435664">
        <w:rPr>
          <w:noProof/>
        </w:rPr>
        <w:drawing>
          <wp:inline distT="0" distB="0" distL="0" distR="0" wp14:anchorId="7F120FAB" wp14:editId="72F005AF">
            <wp:extent cx="5886450" cy="3081337"/>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8304DD" w14:textId="77777777" w:rsidR="003D3CB6" w:rsidRPr="000A35A1" w:rsidRDefault="007C085B" w:rsidP="000A1595">
      <w:pPr>
        <w:spacing w:before="120" w:after="120"/>
        <w:ind w:firstLine="0"/>
        <w:jc w:val="center"/>
        <w:rPr>
          <w:b/>
          <w:szCs w:val="24"/>
        </w:rPr>
      </w:pPr>
      <w:r w:rsidRPr="000A35A1">
        <w:rPr>
          <w:b/>
          <w:szCs w:val="24"/>
        </w:rPr>
        <w:t>3.</w:t>
      </w:r>
      <w:r w:rsidR="0044077C">
        <w:rPr>
          <w:b/>
          <w:szCs w:val="24"/>
        </w:rPr>
        <w:t> </w:t>
      </w:r>
      <w:r w:rsidR="003D3CB6" w:rsidRPr="000A35A1">
        <w:rPr>
          <w:b/>
          <w:szCs w:val="24"/>
        </w:rPr>
        <w:t>attēls. Galvenie SEG emisiju avoti</w:t>
      </w:r>
      <w:r w:rsidR="006442A5" w:rsidRPr="000A35A1">
        <w:rPr>
          <w:b/>
          <w:szCs w:val="24"/>
        </w:rPr>
        <w:t xml:space="preserve"> 201</w:t>
      </w:r>
      <w:r w:rsidR="00D55C80" w:rsidRPr="000A35A1">
        <w:rPr>
          <w:b/>
          <w:szCs w:val="24"/>
        </w:rPr>
        <w:t>7</w:t>
      </w:r>
      <w:r w:rsidR="003D3CB6" w:rsidRPr="000A35A1">
        <w:rPr>
          <w:b/>
          <w:szCs w:val="24"/>
        </w:rPr>
        <w:t>.</w:t>
      </w:r>
      <w:r w:rsidR="0044077C">
        <w:rPr>
          <w:b/>
          <w:szCs w:val="24"/>
        </w:rPr>
        <w:t> </w:t>
      </w:r>
      <w:r w:rsidR="00B62227" w:rsidRPr="000A35A1">
        <w:rPr>
          <w:b/>
          <w:szCs w:val="24"/>
        </w:rPr>
        <w:t>gadā</w:t>
      </w:r>
      <w:r w:rsidR="000A35A1" w:rsidRPr="000A35A1">
        <w:rPr>
          <w:b/>
          <w:szCs w:val="24"/>
          <w:vertAlign w:val="superscript"/>
        </w:rPr>
        <w:footnoteReference w:id="35"/>
      </w:r>
      <w:r w:rsidR="003D3CB6" w:rsidRPr="000A35A1">
        <w:rPr>
          <w:b/>
          <w:szCs w:val="24"/>
        </w:rPr>
        <w:t xml:space="preserve"> (ne</w:t>
      </w:r>
      <w:r w:rsidR="002E2113">
        <w:rPr>
          <w:b/>
          <w:szCs w:val="24"/>
        </w:rPr>
        <w:t>iekļaujot</w:t>
      </w:r>
      <w:r w:rsidR="003D3CB6" w:rsidRPr="000A35A1">
        <w:rPr>
          <w:b/>
          <w:szCs w:val="24"/>
        </w:rPr>
        <w:t xml:space="preserve"> ZIZIMM)</w:t>
      </w:r>
    </w:p>
    <w:p w14:paraId="365E623C" w14:textId="77777777" w:rsidR="00F44ACE" w:rsidRDefault="003D3CB6" w:rsidP="00E008BC">
      <w:pPr>
        <w:spacing w:before="120" w:after="120"/>
      </w:pPr>
      <w:r w:rsidRPr="00A46CC4">
        <w:t xml:space="preserve">Katrs no </w:t>
      </w:r>
      <w:r w:rsidR="00B95ED3">
        <w:t>3</w:t>
      </w:r>
      <w:r w:rsidR="00DF7771" w:rsidRPr="00A46CC4">
        <w:t>.</w:t>
      </w:r>
      <w:r w:rsidR="0044077C">
        <w:t> </w:t>
      </w:r>
      <w:r w:rsidRPr="00A46CC4">
        <w:t xml:space="preserve">attēlā norādītajiem </w:t>
      </w:r>
      <w:r w:rsidR="006A3EA2">
        <w:t>sektoriem</w:t>
      </w:r>
      <w:r w:rsidRPr="00A46CC4">
        <w:t xml:space="preserve"> ietv</w:t>
      </w:r>
      <w:r w:rsidR="00E2784F" w:rsidRPr="00A46CC4">
        <w:t xml:space="preserve">er </w:t>
      </w:r>
      <w:r w:rsidR="006A3EA2">
        <w:t xml:space="preserve">arī sīkākas </w:t>
      </w:r>
      <w:r w:rsidR="00A44821">
        <w:t>apa</w:t>
      </w:r>
      <w:r w:rsidR="00EB09FA">
        <w:t>k</w:t>
      </w:r>
      <w:r w:rsidRPr="00A46CC4">
        <w:t>škategorijas</w:t>
      </w:r>
      <w:r w:rsidR="006A3EA2">
        <w:t>,</w:t>
      </w:r>
      <w:r w:rsidRPr="00A46CC4">
        <w:t xml:space="preserve"> pēc kurām </w:t>
      </w:r>
      <w:r w:rsidR="00621FFC" w:rsidRPr="00A46CC4">
        <w:t xml:space="preserve">iespējams </w:t>
      </w:r>
      <w:r w:rsidR="00621FFC">
        <w:t>noteikt atbilstošas</w:t>
      </w:r>
      <w:r w:rsidR="00621FFC" w:rsidRPr="00A46CC4">
        <w:t xml:space="preserve"> saimnieciskās darbības</w:t>
      </w:r>
      <w:r w:rsidR="00621FFC" w:rsidRPr="00A46CC4">
        <w:rPr>
          <w:vertAlign w:val="superscript"/>
        </w:rPr>
        <w:footnoteReference w:id="36"/>
      </w:r>
      <w:r w:rsidR="00621FFC">
        <w:t xml:space="preserve">, </w:t>
      </w:r>
      <w:r w:rsidR="00833C31">
        <w:t>pēc tāda</w:t>
      </w:r>
      <w:r w:rsidR="00EB09FA">
        <w:t xml:space="preserve"> iedal</w:t>
      </w:r>
      <w:r w:rsidR="00833C31">
        <w:t>ījuma</w:t>
      </w:r>
      <w:r w:rsidR="00EB09FA">
        <w:t xml:space="preserve"> ir </w:t>
      </w:r>
      <w:r w:rsidR="00621FFC">
        <w:t xml:space="preserve">jāveic </w:t>
      </w:r>
      <w:r w:rsidR="00B95ED3">
        <w:t xml:space="preserve">ikgadējā </w:t>
      </w:r>
      <w:r w:rsidR="00621FFC">
        <w:t>starptautiskā ziņošana</w:t>
      </w:r>
      <w:r w:rsidR="00EB09FA">
        <w:t xml:space="preserve"> par SEG </w:t>
      </w:r>
      <w:r w:rsidR="00833C31">
        <w:t>emisijām</w:t>
      </w:r>
      <w:r w:rsidRPr="00A46CC4">
        <w:t>.</w:t>
      </w:r>
    </w:p>
    <w:p w14:paraId="5DEB6A5E" w14:textId="77777777" w:rsidR="00D06F34" w:rsidRPr="00944B60" w:rsidRDefault="00D06F34" w:rsidP="00E008BC">
      <w:pPr>
        <w:spacing w:before="120" w:after="120"/>
      </w:pPr>
      <w:r>
        <w:t>Saskaņā ar 2019</w:t>
      </w:r>
      <w:r w:rsidRPr="00A46CC4">
        <w:t>.</w:t>
      </w:r>
      <w:r w:rsidR="0044077C">
        <w:t> </w:t>
      </w:r>
      <w:r w:rsidRPr="00A46CC4">
        <w:t>gadā iesniegto Latvijas SEG inventarizāciju</w:t>
      </w:r>
      <w:r w:rsidRPr="00A46CC4">
        <w:rPr>
          <w:vertAlign w:val="superscript"/>
        </w:rPr>
        <w:footnoteReference w:id="37"/>
      </w:r>
      <w:r w:rsidRPr="00A46CC4">
        <w:t xml:space="preserve"> </w:t>
      </w:r>
      <w:r>
        <w:t xml:space="preserve">Latvijas kopējās emisijas </w:t>
      </w:r>
      <w:r w:rsidR="00DE537A">
        <w:t>2017.</w:t>
      </w:r>
      <w:r w:rsidR="0044077C">
        <w:t> </w:t>
      </w:r>
      <w:r w:rsidR="00DE537A">
        <w:t xml:space="preserve">gadā </w:t>
      </w:r>
      <w:r>
        <w:t xml:space="preserve">(bez ZIZIMM sektora) </w:t>
      </w:r>
      <w:r w:rsidRPr="00A46CC4">
        <w:t xml:space="preserve">ir </w:t>
      </w:r>
      <w:r w:rsidRPr="0086467D">
        <w:rPr>
          <w:color w:val="000000" w:themeColor="text1"/>
        </w:rPr>
        <w:t>11</w:t>
      </w:r>
      <w:r w:rsidR="0044077C">
        <w:rPr>
          <w:color w:val="000000" w:themeColor="text1"/>
        </w:rPr>
        <w:t> </w:t>
      </w:r>
      <w:r w:rsidRPr="0086467D">
        <w:rPr>
          <w:color w:val="000000" w:themeColor="text1"/>
        </w:rPr>
        <w:t>32</w:t>
      </w:r>
      <w:r w:rsidR="00F2061A">
        <w:rPr>
          <w:color w:val="000000" w:themeColor="text1"/>
        </w:rPr>
        <w:t>5</w:t>
      </w:r>
      <w:r w:rsidR="0098469E">
        <w:rPr>
          <w:color w:val="000000" w:themeColor="text1"/>
        </w:rPr>
        <w:t xml:space="preserve"> </w:t>
      </w:r>
      <w:r w:rsidRPr="0086467D">
        <w:rPr>
          <w:color w:val="000000" w:themeColor="text1"/>
        </w:rPr>
        <w:t>kt</w:t>
      </w:r>
      <w:r w:rsidRPr="0086467D">
        <w:t>CO</w:t>
      </w:r>
      <w:r w:rsidRPr="0086467D">
        <w:rPr>
          <w:vertAlign w:val="subscript"/>
        </w:rPr>
        <w:t>2</w:t>
      </w:r>
      <w:r w:rsidR="00B95ED3">
        <w:t>ekv</w:t>
      </w:r>
      <w:r w:rsidR="0044077C">
        <w:t>.</w:t>
      </w:r>
      <w:r w:rsidRPr="00A46CC4">
        <w:t xml:space="preserve"> </w:t>
      </w:r>
      <w:r w:rsidR="0044077C">
        <w:t>L</w:t>
      </w:r>
      <w:r>
        <w:t xml:space="preserve">īdz ar to </w:t>
      </w:r>
      <w:r w:rsidRPr="00A46CC4">
        <w:t>periodā no 1990. līdz 201</w:t>
      </w:r>
      <w:r>
        <w:t>7</w:t>
      </w:r>
      <w:r w:rsidRPr="00A46CC4">
        <w:t>.</w:t>
      </w:r>
      <w:r w:rsidR="0044077C">
        <w:t> </w:t>
      </w:r>
      <w:r w:rsidRPr="00A46CC4">
        <w:t>gadam, valsts kopējās SEG emisijas, neskaitot ZIZIMM sektoru,</w:t>
      </w:r>
      <w:r>
        <w:t xml:space="preserve"> </w:t>
      </w:r>
      <w:r w:rsidRPr="00A46CC4">
        <w:t>samazinājušās par ~5</w:t>
      </w:r>
      <w:r w:rsidR="0098469E">
        <w:t>7</w:t>
      </w:r>
      <w:r w:rsidR="0044077C">
        <w:t> </w:t>
      </w:r>
      <w:r w:rsidRPr="00A46CC4">
        <w:t>%</w:t>
      </w:r>
      <w:r>
        <w:t>.</w:t>
      </w:r>
      <w:r w:rsidRPr="00A46CC4">
        <w:t xml:space="preserve"> </w:t>
      </w:r>
      <w:r w:rsidRPr="00CC1B1C">
        <w:t>2019.</w:t>
      </w:r>
      <w:r w:rsidR="0044077C">
        <w:t> </w:t>
      </w:r>
      <w:r w:rsidRPr="00CC1B1C">
        <w:t>gada SEG prognozes (turpmāk</w:t>
      </w:r>
      <w:r w:rsidR="0044077C">
        <w:t> </w:t>
      </w:r>
      <w:r w:rsidRPr="00CC1B1C">
        <w:t>–</w:t>
      </w:r>
      <w:r w:rsidR="0044077C">
        <w:t> </w:t>
      </w:r>
      <w:r w:rsidRPr="00CC1B1C">
        <w:t>SEG prognozes) liecina, ka 2050.</w:t>
      </w:r>
      <w:r w:rsidR="0044077C">
        <w:t> </w:t>
      </w:r>
      <w:r w:rsidRPr="00CC1B1C">
        <w:t>gadā, neskaitot ZIZIMM, iespējamais SEG samazinājums varētu būt 68</w:t>
      </w:r>
      <w:r w:rsidR="0044077C">
        <w:t> </w:t>
      </w:r>
      <w:r w:rsidR="00B95ED3">
        <w:t>%</w:t>
      </w:r>
      <w:r w:rsidRPr="00CC1B1C">
        <w:rPr>
          <w:vertAlign w:val="superscript"/>
        </w:rPr>
        <w:footnoteReference w:id="38"/>
      </w:r>
      <w:r w:rsidRPr="00CC1B1C">
        <w:t xml:space="preserve"> </w:t>
      </w:r>
      <w:r w:rsidR="00B95ED3">
        <w:t>(</w:t>
      </w:r>
      <w:r w:rsidRPr="00CC1B1C">
        <w:t xml:space="preserve">salīdzinot ar </w:t>
      </w:r>
      <w:r w:rsidRPr="00CC1B1C">
        <w:lastRenderedPageBreak/>
        <w:t>1990.</w:t>
      </w:r>
      <w:r w:rsidR="0044077C">
        <w:t> </w:t>
      </w:r>
      <w:r w:rsidRPr="00CC1B1C">
        <w:t>gadu</w:t>
      </w:r>
      <w:r w:rsidR="00B95ED3">
        <w:t>)</w:t>
      </w:r>
      <w:r w:rsidRPr="00CC1B1C">
        <w:t xml:space="preserve">. </w:t>
      </w:r>
      <w:r w:rsidR="00541828" w:rsidRPr="00944B60">
        <w:t>SEG emisiju prognozē</w:t>
      </w:r>
      <w:r w:rsidR="00DE537A" w:rsidRPr="00944B60">
        <w:t>s</w:t>
      </w:r>
      <w:r w:rsidR="00541828" w:rsidRPr="00944B60">
        <w:t xml:space="preserve"> uz 2050.</w:t>
      </w:r>
      <w:r w:rsidR="00C75A7B">
        <w:t> </w:t>
      </w:r>
      <w:r w:rsidR="00541828" w:rsidRPr="00944B60">
        <w:t>gadu ir ņemta vērā tikai pašreizējā politika un pasākumi, un scenārijs paredz tikai pašreiz pieejamās komerciālās tehnoloģijas.</w:t>
      </w:r>
    </w:p>
    <w:p w14:paraId="2B5C786F" w14:textId="77777777" w:rsidR="003D3CB6" w:rsidRDefault="003D3CB6" w:rsidP="00950B81">
      <w:r w:rsidRPr="00BE7BD0">
        <w:rPr>
          <w:i/>
        </w:rPr>
        <w:t>Enerģētika</w:t>
      </w:r>
      <w:r w:rsidRPr="00BE7BD0">
        <w:rPr>
          <w:vertAlign w:val="superscript"/>
        </w:rPr>
        <w:footnoteReference w:id="39"/>
      </w:r>
      <w:r w:rsidRPr="00BE7BD0">
        <w:rPr>
          <w:i/>
        </w:rPr>
        <w:t xml:space="preserve"> </w:t>
      </w:r>
      <w:r w:rsidRPr="00BE7BD0">
        <w:t>ir li</w:t>
      </w:r>
      <w:r w:rsidR="00D6531B" w:rsidRPr="00BE7BD0">
        <w:t xml:space="preserve">elākais SEG emisiju avots un </w:t>
      </w:r>
      <w:r w:rsidRPr="00BE7BD0">
        <w:t>radīj</w:t>
      </w:r>
      <w:r w:rsidR="00D6531B" w:rsidRPr="00BE7BD0">
        <w:t>a</w:t>
      </w:r>
      <w:r w:rsidR="00D73E1E" w:rsidRPr="00BE7BD0">
        <w:t xml:space="preserve"> 3</w:t>
      </w:r>
      <w:r w:rsidR="00BE7BD0" w:rsidRPr="00BE7BD0">
        <w:t>4</w:t>
      </w:r>
      <w:r w:rsidR="00C75A7B">
        <w:t> </w:t>
      </w:r>
      <w:r w:rsidR="006E7CA4" w:rsidRPr="00BE7BD0">
        <w:t xml:space="preserve">% no kopējām </w:t>
      </w:r>
      <w:r w:rsidR="00D6531B" w:rsidRPr="00BE7BD0">
        <w:t>201</w:t>
      </w:r>
      <w:r w:rsidR="00BE7BD0" w:rsidRPr="00BE7BD0">
        <w:t>7</w:t>
      </w:r>
      <w:r w:rsidR="00D6531B" w:rsidRPr="00BE7BD0">
        <w:t>.</w:t>
      </w:r>
      <w:r w:rsidR="00C75A7B">
        <w:t> </w:t>
      </w:r>
      <w:r w:rsidR="00D6531B" w:rsidRPr="00BE7BD0">
        <w:t xml:space="preserve">gada </w:t>
      </w:r>
      <w:r w:rsidR="006E7CA4" w:rsidRPr="00BE7BD0">
        <w:t xml:space="preserve">emisijām </w:t>
      </w:r>
      <w:r w:rsidR="00364804" w:rsidRPr="00BE7BD0">
        <w:t>(</w:t>
      </w:r>
      <w:r w:rsidR="00C75A7B">
        <w:t>3</w:t>
      </w:r>
      <w:r w:rsidR="00364804" w:rsidRPr="00BE7BD0">
        <w:t>.</w:t>
      </w:r>
      <w:r w:rsidR="00C75A7B">
        <w:t> </w:t>
      </w:r>
      <w:r w:rsidR="00364804" w:rsidRPr="00BE7BD0">
        <w:t>attēls)</w:t>
      </w:r>
      <w:r w:rsidRPr="00BE7BD0">
        <w:t xml:space="preserve">. Enerģētikas sektorā tiek uzskaitītas emisijas no sadedzināšanas procesiem </w:t>
      </w:r>
      <w:r w:rsidR="00B95ED3">
        <w:t>visās tautsaimniecības nozarēs</w:t>
      </w:r>
      <w:r w:rsidRPr="00BE7BD0">
        <w:t>.</w:t>
      </w:r>
      <w:r w:rsidRPr="0086329C">
        <w:rPr>
          <w:color w:val="FF0000"/>
        </w:rPr>
        <w:t xml:space="preserve"> </w:t>
      </w:r>
      <w:r w:rsidRPr="005D0DEC">
        <w:t xml:space="preserve">Lielāko daļu no emisijām rada </w:t>
      </w:r>
      <w:r w:rsidR="00D73E1E" w:rsidRPr="005D0DEC">
        <w:t>enerģētikas nozares (</w:t>
      </w:r>
      <w:r w:rsidRPr="005D0DEC">
        <w:t>publiskā elektroenerģijas</w:t>
      </w:r>
      <w:r w:rsidR="00D73E1E" w:rsidRPr="005D0DEC">
        <w:t xml:space="preserve"> un siltumenerģijas ražošana</w:t>
      </w:r>
      <w:r w:rsidR="00E273F0">
        <w:t xml:space="preserve"> </w:t>
      </w:r>
      <w:r w:rsidR="00C75A7B" w:rsidRPr="00CC1B1C">
        <w:t>–</w:t>
      </w:r>
      <w:r w:rsidR="00C75A7B">
        <w:t> </w:t>
      </w:r>
      <w:r w:rsidR="000D38FA" w:rsidRPr="005D0DEC">
        <w:t>4</w:t>
      </w:r>
      <w:r w:rsidR="000A167D">
        <w:t>0</w:t>
      </w:r>
      <w:r w:rsidRPr="005D0DEC">
        <w:t>%), tad seko komerciālais, institucionālais, mājsaimniecības, lauksaimniecības, mežsaimniecība</w:t>
      </w:r>
      <w:r w:rsidR="00D73E1E" w:rsidRPr="005D0DEC">
        <w:t>s un zivsaimniecības sektori (</w:t>
      </w:r>
      <w:r w:rsidR="000D38FA" w:rsidRPr="005D0DEC">
        <w:t>3</w:t>
      </w:r>
      <w:r w:rsidR="000A167D">
        <w:t>9</w:t>
      </w:r>
      <w:r w:rsidR="00C75A7B">
        <w:t> </w:t>
      </w:r>
      <w:r w:rsidRPr="005D0DEC">
        <w:t>%), atlikušo daļu veido apstrād</w:t>
      </w:r>
      <w:r w:rsidR="00E74936" w:rsidRPr="005D0DEC">
        <w:t>es</w:t>
      </w:r>
      <w:r w:rsidRPr="005D0DEC">
        <w:t xml:space="preserve"> rūpniecība un būvniecība, militārais transports un difūzās emisijas no naftas un dabasgāzes. Salīdzinot ar 1990.</w:t>
      </w:r>
      <w:r w:rsidR="00C75A7B">
        <w:t> </w:t>
      </w:r>
      <w:r w:rsidRPr="005D0DEC">
        <w:t>gadu emisiju apjomi ir samazinājušies visos enerģētikas nozares apakšsektoros, bet vislielākais samazinājums ir vērojams apstrā</w:t>
      </w:r>
      <w:r w:rsidR="006E7CA4" w:rsidRPr="005D0DEC">
        <w:t xml:space="preserve">des rūpniecībā un </w:t>
      </w:r>
      <w:r w:rsidR="000A167D">
        <w:t>būvniecībā (83</w:t>
      </w:r>
      <w:r w:rsidR="00C75A7B">
        <w:t> </w:t>
      </w:r>
      <w:r w:rsidRPr="005D0DEC">
        <w:t>%), kā arī pakalpojumu, mājsaimniecības, lauksaimniecības, zivsaimniecības</w:t>
      </w:r>
      <w:r w:rsidR="006E7CA4" w:rsidRPr="005D0DEC">
        <w:t xml:space="preserve"> un mežsaimniecības sektoros (7</w:t>
      </w:r>
      <w:r w:rsidR="000A167D">
        <w:t>4</w:t>
      </w:r>
      <w:r w:rsidR="00C75A7B">
        <w:t> </w:t>
      </w:r>
      <w:r w:rsidRPr="005D0DEC">
        <w:t xml:space="preserve">%). </w:t>
      </w:r>
      <w:r w:rsidR="00B95ED3">
        <w:t>E</w:t>
      </w:r>
      <w:r w:rsidRPr="0086329C">
        <w:t>nerģētikas sektora emisijas svārstās atkarībā no ekonomiskajām izmaiņām valstī</w:t>
      </w:r>
      <w:r w:rsidR="00364804" w:rsidRPr="0086329C">
        <w:t xml:space="preserve"> un</w:t>
      </w:r>
      <w:r w:rsidRPr="0086329C">
        <w:t xml:space="preserve"> būtiski atšķirīgām ziemas vidējām temperatūrām. Būtisks faktors enerģētikas SEG emisiju samazinājumam kopējā bilancē ir energoefektivitāte, kurināmā nomaiņa no šķidrajiem un cietajiem kurināmajiem uz dabasgāzi, kā arī fosilo </w:t>
      </w:r>
      <w:r w:rsidR="00C75A7B">
        <w:t>energoresursu</w:t>
      </w:r>
      <w:r w:rsidR="00C75A7B" w:rsidRPr="0086329C">
        <w:t xml:space="preserve"> </w:t>
      </w:r>
      <w:r w:rsidRPr="0086329C">
        <w:t xml:space="preserve">aizstāšana ar biomasu un citiem AER veidiem. Svarīgi faktori </w:t>
      </w:r>
      <w:r w:rsidR="00C4640B">
        <w:t>energoresursu</w:t>
      </w:r>
      <w:r w:rsidR="00C4640B" w:rsidRPr="0086329C">
        <w:t xml:space="preserve"> </w:t>
      </w:r>
      <w:r w:rsidRPr="0086329C">
        <w:t xml:space="preserve">nomaiņai ir tā cena un pieejamība, kā arī valsts politika un pasākumi, tai skaitā atbalsta pasākumi. </w:t>
      </w:r>
    </w:p>
    <w:p w14:paraId="1584FD76" w14:textId="77777777" w:rsidR="008B3034" w:rsidRDefault="004575E7" w:rsidP="00C54E88">
      <w:pPr>
        <w:spacing w:before="120" w:after="120"/>
        <w:rPr>
          <w:rFonts w:eastAsia="Calibri"/>
          <w:szCs w:val="24"/>
        </w:rPr>
      </w:pPr>
      <w:r w:rsidRPr="00915FC4">
        <w:t>Kopējais siltumenerģijas patēriņš Latvijā no 1990.</w:t>
      </w:r>
      <w:r w:rsidR="00C4640B">
        <w:t> </w:t>
      </w:r>
      <w:r w:rsidRPr="00915FC4">
        <w:t>gada ir samazinājies. Lielākais siltumenerģijas patēriņa samazinājums ir attiecināms uz rūpnieciskās ražošanas uzņēmumiem</w:t>
      </w:r>
      <w:r w:rsidR="00C54E88">
        <w:rPr>
          <w:rStyle w:val="FootnoteReference"/>
        </w:rPr>
        <w:footnoteReference w:id="40"/>
      </w:r>
      <w:r>
        <w:t xml:space="preserve">, daļēji attiecināms arī uz </w:t>
      </w:r>
      <w:r w:rsidRPr="00915FC4">
        <w:t>mājsaimniecībās īstenot</w:t>
      </w:r>
      <w:r w:rsidR="00DE537A">
        <w:t>ajiem</w:t>
      </w:r>
      <w:r w:rsidRPr="00915FC4">
        <w:t xml:space="preserve"> energoefektivitātes pasākum</w:t>
      </w:r>
      <w:r>
        <w:t xml:space="preserve">iem. </w:t>
      </w:r>
      <w:r w:rsidR="000A167D">
        <w:rPr>
          <w:rFonts w:eastAsia="Calibri"/>
          <w:szCs w:val="24"/>
        </w:rPr>
        <w:t>Mājsaimniecībās</w:t>
      </w:r>
      <w:r w:rsidR="008B3034" w:rsidRPr="008E4EB0">
        <w:rPr>
          <w:rFonts w:eastAsia="Calibri"/>
          <w:szCs w:val="24"/>
        </w:rPr>
        <w:t xml:space="preserve"> patērētā enerģija veido līdz 40</w:t>
      </w:r>
      <w:r w:rsidR="00C4640B">
        <w:rPr>
          <w:rFonts w:eastAsia="Calibri"/>
          <w:szCs w:val="24"/>
        </w:rPr>
        <w:t> </w:t>
      </w:r>
      <w:r w:rsidR="008B3034" w:rsidRPr="008E4EB0">
        <w:rPr>
          <w:rFonts w:eastAsia="Calibri"/>
          <w:szCs w:val="24"/>
        </w:rPr>
        <w:t xml:space="preserve">% no visas energobilances, tādēļ ēku sektors ietver ievērojamu potenciālu kopējo energoefektivitātes mērķu sasniegšanā. </w:t>
      </w:r>
    </w:p>
    <w:p w14:paraId="29FC681E" w14:textId="77777777" w:rsidR="004575E7" w:rsidRDefault="007B42F7" w:rsidP="00C54E88">
      <w:pPr>
        <w:spacing w:before="120" w:after="120"/>
      </w:pPr>
      <w:r>
        <w:t>L</w:t>
      </w:r>
      <w:r w:rsidR="00C54E88">
        <w:t xml:space="preserve">ai arī </w:t>
      </w:r>
      <w:r w:rsidR="004575E7">
        <w:t xml:space="preserve">elektroenerģijas </w:t>
      </w:r>
      <w:r w:rsidR="004575E7" w:rsidRPr="00915FC4">
        <w:t>patēriņš, salīdzinot ar 1990.</w:t>
      </w:r>
      <w:r w:rsidR="00C4640B">
        <w:t> </w:t>
      </w:r>
      <w:r w:rsidR="004575E7" w:rsidRPr="00915FC4">
        <w:t>gadu, ir samazinājies, tomēr periodā no 2005.</w:t>
      </w:r>
      <w:r w:rsidR="00C4640B">
        <w:t> </w:t>
      </w:r>
      <w:r w:rsidR="004575E7" w:rsidRPr="00915FC4">
        <w:t>gada tas palielinā</w:t>
      </w:r>
      <w:r w:rsidR="004575E7">
        <w:t>s</w:t>
      </w:r>
      <w:r w:rsidR="004575E7" w:rsidRPr="00915FC4">
        <w:t xml:space="preserve">. Izmaiņas ir izskaidrojamas ar iedzīvotāju labklājības un dzīves līmeņa uzlabošanos, kā arī ar tehnoloģiju attīstību, arvien vairāk pakalpojumu sektorā un mājsaimniecībās izmantojot elektriskās un elektroniskās ierīces. </w:t>
      </w:r>
    </w:p>
    <w:p w14:paraId="53330EFB" w14:textId="77777777" w:rsidR="004575E7" w:rsidRPr="008F056F" w:rsidRDefault="00C54E88" w:rsidP="00E008BC">
      <w:pPr>
        <w:spacing w:before="120" w:after="120"/>
      </w:pPr>
      <w:r>
        <w:t>Saražotās enerģijas apjoma samazinājums pārveidošanas sektorā</w:t>
      </w:r>
      <w:r w:rsidRPr="00BB5EF9">
        <w:t xml:space="preserve"> ir skaidrojams ar saražotās elektroenerģijas pieaugumu HES</w:t>
      </w:r>
      <w:r>
        <w:t xml:space="preserve"> </w:t>
      </w:r>
      <w:r w:rsidRPr="00BB5EF9">
        <w:t>un VES. Saražotā elektroenerģija 2017. gadā HES bija 4</w:t>
      </w:r>
      <w:r w:rsidR="00C4640B">
        <w:t> </w:t>
      </w:r>
      <w:r w:rsidRPr="00BB5EF9">
        <w:t>381</w:t>
      </w:r>
      <w:r w:rsidR="00BA32C7">
        <w:t xml:space="preserve"> </w:t>
      </w:r>
      <w:r w:rsidRPr="00BB5EF9">
        <w:t>GWh</w:t>
      </w:r>
      <w:r>
        <w:t>, VES saražotais</w:t>
      </w:r>
      <w:r w:rsidRPr="00BB5EF9">
        <w:t xml:space="preserve"> e</w:t>
      </w:r>
      <w:r>
        <w:t>lektroenerģijas apjoms 2017.</w:t>
      </w:r>
      <w:r w:rsidR="00C4640B">
        <w:t> </w:t>
      </w:r>
      <w:r w:rsidRPr="00BB5EF9">
        <w:t>gadā</w:t>
      </w:r>
      <w:r>
        <w:t xml:space="preserve"> </w:t>
      </w:r>
      <w:r w:rsidRPr="00BB5EF9">
        <w:t>bija</w:t>
      </w:r>
      <w:r>
        <w:t xml:space="preserve"> </w:t>
      </w:r>
      <w:r w:rsidRPr="00BB5EF9">
        <w:t>150</w:t>
      </w:r>
      <w:r>
        <w:t xml:space="preserve"> </w:t>
      </w:r>
      <w:r w:rsidRPr="00BB5EF9">
        <w:t>GWh. Pārveidoša</w:t>
      </w:r>
      <w:r>
        <w:t>nas sektorā pārsvarā izmanto</w:t>
      </w:r>
      <w:r w:rsidRPr="00BB5EF9">
        <w:t xml:space="preserve"> dabasgāz</w:t>
      </w:r>
      <w:r>
        <w:t xml:space="preserve">i, kuras īpatsvars pakāpeniski </w:t>
      </w:r>
      <w:r w:rsidRPr="00BB5EF9">
        <w:t>samazinās: 2010.</w:t>
      </w:r>
      <w:r w:rsidR="00C4640B">
        <w:t> </w:t>
      </w:r>
      <w:r w:rsidRPr="00BB5EF9">
        <w:t>gadā</w:t>
      </w:r>
      <w:r w:rsidR="00C4640B">
        <w:t> </w:t>
      </w:r>
      <w:r w:rsidRPr="00BB5EF9">
        <w:t>–</w:t>
      </w:r>
      <w:r w:rsidR="00C4640B">
        <w:t> </w:t>
      </w:r>
      <w:r>
        <w:t>81,0</w:t>
      </w:r>
      <w:r w:rsidR="00C4640B">
        <w:t> </w:t>
      </w:r>
      <w:r w:rsidRPr="00BB5EF9">
        <w:t>%, 2016.</w:t>
      </w:r>
      <w:r w:rsidR="00C4640B">
        <w:t> </w:t>
      </w:r>
      <w:r w:rsidRPr="00BB5EF9">
        <w:t>gadā</w:t>
      </w:r>
      <w:r w:rsidR="00C4640B">
        <w:t> </w:t>
      </w:r>
      <w:r w:rsidRPr="00BB5EF9">
        <w:t>–</w:t>
      </w:r>
      <w:r w:rsidR="00C4640B">
        <w:t> </w:t>
      </w:r>
      <w:r>
        <w:t>60,1</w:t>
      </w:r>
      <w:r w:rsidR="00C4640B">
        <w:t> </w:t>
      </w:r>
      <w:r>
        <w:t>%</w:t>
      </w:r>
      <w:r w:rsidRPr="00BB5EF9">
        <w:t xml:space="preserve"> un 2017.</w:t>
      </w:r>
      <w:r w:rsidR="00C4640B">
        <w:t> </w:t>
      </w:r>
      <w:r w:rsidRPr="00BB5EF9">
        <w:t>gadā</w:t>
      </w:r>
      <w:r w:rsidR="00C4640B">
        <w:t> </w:t>
      </w:r>
      <w:r w:rsidRPr="00BB5EF9">
        <w:t>–</w:t>
      </w:r>
      <w:r w:rsidR="00C4640B">
        <w:t> </w:t>
      </w:r>
      <w:r w:rsidRPr="00BB5EF9">
        <w:t>53,7</w:t>
      </w:r>
      <w:r w:rsidR="00C4640B">
        <w:t> </w:t>
      </w:r>
      <w:r w:rsidRPr="00BB5EF9">
        <w:t>%. Piecu gadu laikā pārveidošanas sektorā patērēto AER īpatsvars pieaudzis par 17,2</w:t>
      </w:r>
      <w:r>
        <w:t xml:space="preserve"> </w:t>
      </w:r>
      <w:r w:rsidRPr="00BB5EF9">
        <w:t>procentpunktiem un 2017.</w:t>
      </w:r>
      <w:r w:rsidR="00C4640B">
        <w:t> </w:t>
      </w:r>
      <w:r w:rsidRPr="00BB5EF9">
        <w:t>gadā sasniedza 45,9</w:t>
      </w:r>
      <w:r w:rsidR="00C4640B">
        <w:t> </w:t>
      </w:r>
      <w:r w:rsidRPr="00BB5EF9">
        <w:t>%. Pēdējo</w:t>
      </w:r>
      <w:r>
        <w:t xml:space="preserve"> </w:t>
      </w:r>
      <w:r w:rsidRPr="00BB5EF9">
        <w:t>piecu</w:t>
      </w:r>
      <w:r>
        <w:t xml:space="preserve"> </w:t>
      </w:r>
      <w:r w:rsidRPr="00BB5EF9">
        <w:t>gadu laikā saraž</w:t>
      </w:r>
      <w:r>
        <w:t>otā elektroenerģija biomasas</w:t>
      </w:r>
      <w:r w:rsidRPr="00BB5EF9">
        <w:t xml:space="preserve"> (kurināmās</w:t>
      </w:r>
      <w:r>
        <w:t xml:space="preserve"> koksnes)</w:t>
      </w:r>
      <w:r w:rsidRPr="00BB5EF9">
        <w:t xml:space="preserve"> koģenerācijas stacijās un elektrostacijās pieauga </w:t>
      </w:r>
      <w:r w:rsidRPr="008F056F">
        <w:t>no 215 līdz 525 GWh un biogāzes koģenerācijas stacijās no 288 līdz 405</w:t>
      </w:r>
      <w:r w:rsidR="00C4640B">
        <w:t xml:space="preserve"> </w:t>
      </w:r>
      <w:r w:rsidRPr="008F056F">
        <w:t>GWh.</w:t>
      </w:r>
    </w:p>
    <w:p w14:paraId="68D282FB" w14:textId="77777777" w:rsidR="003D3CB6" w:rsidRPr="00B34A25" w:rsidRDefault="00BA32C7" w:rsidP="00E008BC">
      <w:pPr>
        <w:spacing w:before="120" w:after="120"/>
        <w:rPr>
          <w:color w:val="FF0000"/>
        </w:rPr>
      </w:pPr>
      <w:r>
        <w:t>Atbilstoši</w:t>
      </w:r>
      <w:r w:rsidR="003D3CB6" w:rsidRPr="008F056F">
        <w:t xml:space="preserve"> prognozēm</w:t>
      </w:r>
      <w:r w:rsidR="00567D66" w:rsidRPr="008F056F">
        <w:t xml:space="preserve"> </w:t>
      </w:r>
      <w:r w:rsidR="003D3CB6" w:rsidRPr="008F056F">
        <w:t>enerģētikas sektora emisijas</w:t>
      </w:r>
      <w:r w:rsidR="00567D66" w:rsidRPr="008F056F">
        <w:t xml:space="preserve"> esošajā situācijā</w:t>
      </w:r>
      <w:r w:rsidR="003D3CB6" w:rsidRPr="000C1817">
        <w:t xml:space="preserve"> 2050.</w:t>
      </w:r>
      <w:r w:rsidR="00C4640B">
        <w:t> </w:t>
      </w:r>
      <w:r w:rsidR="003D3CB6" w:rsidRPr="004C5877">
        <w:t>gadā</w:t>
      </w:r>
      <w:r>
        <w:t xml:space="preserve"> </w:t>
      </w:r>
      <w:r w:rsidR="00462CED" w:rsidRPr="004C5877">
        <w:t>samazināsies</w:t>
      </w:r>
      <w:r w:rsidR="00D73E1E" w:rsidRPr="004C5877">
        <w:t xml:space="preserve">, ja salīdzina </w:t>
      </w:r>
      <w:r w:rsidR="00E74936" w:rsidRPr="004F7D7E">
        <w:t xml:space="preserve">ar </w:t>
      </w:r>
      <w:r w:rsidR="00D73E1E" w:rsidRPr="004F7D7E">
        <w:t>201</w:t>
      </w:r>
      <w:r w:rsidR="006B4CB8" w:rsidRPr="00BE20F3">
        <w:t>7</w:t>
      </w:r>
      <w:r w:rsidR="003D3CB6" w:rsidRPr="00BE20F3">
        <w:t>.</w:t>
      </w:r>
      <w:r w:rsidR="00C4640B">
        <w:t> </w:t>
      </w:r>
      <w:r w:rsidR="003D3CB6" w:rsidRPr="00BE20F3">
        <w:t>gadu</w:t>
      </w:r>
      <w:r w:rsidR="00D5184C" w:rsidRPr="00BE20F3">
        <w:t>,</w:t>
      </w:r>
      <w:r w:rsidR="003D3CB6" w:rsidRPr="00BE20F3">
        <w:t xml:space="preserve"> apm</w:t>
      </w:r>
      <w:r w:rsidR="00D73E1E" w:rsidRPr="00BE20F3">
        <w:t xml:space="preserve">ēram par </w:t>
      </w:r>
      <w:r w:rsidR="00462CED" w:rsidRPr="008F056F">
        <w:t>34</w:t>
      </w:r>
      <w:r w:rsidR="00C4640B">
        <w:t> </w:t>
      </w:r>
      <w:r w:rsidR="00636426" w:rsidRPr="008F056F">
        <w:t>%, bet salīdzinot ar</w:t>
      </w:r>
      <w:r w:rsidR="00FF11E4" w:rsidRPr="008F056F">
        <w:t xml:space="preserve"> 1990.</w:t>
      </w:r>
      <w:r w:rsidR="00C4640B">
        <w:t> </w:t>
      </w:r>
      <w:r w:rsidR="00636426" w:rsidRPr="008F056F">
        <w:t>gadu</w:t>
      </w:r>
      <w:r w:rsidR="00FF11E4" w:rsidRPr="008F056F">
        <w:t xml:space="preserve"> </w:t>
      </w:r>
      <w:r w:rsidR="006B269F">
        <w:t xml:space="preserve">tās </w:t>
      </w:r>
      <w:r w:rsidR="00FF11E4" w:rsidRPr="008F056F">
        <w:t>samazinās</w:t>
      </w:r>
      <w:r w:rsidR="00636426" w:rsidRPr="008F056F">
        <w:t>ies</w:t>
      </w:r>
      <w:r w:rsidR="00FF11E4" w:rsidRPr="008F056F">
        <w:t xml:space="preserve"> par </w:t>
      </w:r>
      <w:r w:rsidR="00462CED" w:rsidRPr="008F056F">
        <w:t>86</w:t>
      </w:r>
      <w:r w:rsidR="00C4640B">
        <w:t> </w:t>
      </w:r>
      <w:r w:rsidR="00FF11E4" w:rsidRPr="008F056F">
        <w:t>%.</w:t>
      </w:r>
    </w:p>
    <w:p w14:paraId="6EF7C22E" w14:textId="77777777" w:rsidR="009B614B" w:rsidRDefault="003D3CB6" w:rsidP="00977BCE">
      <w:r w:rsidRPr="0086329C">
        <w:rPr>
          <w:i/>
        </w:rPr>
        <w:lastRenderedPageBreak/>
        <w:t>Transports</w:t>
      </w:r>
      <w:r w:rsidRPr="0086329C">
        <w:rPr>
          <w:i/>
          <w:vertAlign w:val="superscript"/>
        </w:rPr>
        <w:footnoteReference w:id="41"/>
      </w:r>
      <w:r w:rsidRPr="0086329C">
        <w:t xml:space="preserve"> ir otrais lielākais SE</w:t>
      </w:r>
      <w:r w:rsidR="006E7CA4" w:rsidRPr="0086329C">
        <w:t>G emisiju avots un ir radījis 2</w:t>
      </w:r>
      <w:r w:rsidR="0086329C" w:rsidRPr="0086329C">
        <w:t>9</w:t>
      </w:r>
      <w:r w:rsidR="00C4640B">
        <w:t> </w:t>
      </w:r>
      <w:r w:rsidRPr="0086329C">
        <w:t xml:space="preserve">% no kopējām </w:t>
      </w:r>
      <w:r w:rsidR="00C745D3" w:rsidRPr="0086329C">
        <w:t>201</w:t>
      </w:r>
      <w:r w:rsidR="0086329C" w:rsidRPr="0086329C">
        <w:t>7</w:t>
      </w:r>
      <w:r w:rsidRPr="0086329C">
        <w:t>.</w:t>
      </w:r>
      <w:r w:rsidR="00C4640B">
        <w:t> </w:t>
      </w:r>
      <w:r w:rsidRPr="0086329C">
        <w:t>gad</w:t>
      </w:r>
      <w:r w:rsidR="00D5184C" w:rsidRPr="0086329C">
        <w:t>a</w:t>
      </w:r>
      <w:r w:rsidRPr="0086329C">
        <w:t xml:space="preserve"> emisijām. </w:t>
      </w:r>
      <w:r w:rsidRPr="00D72BFB">
        <w:t>Salīdzinot ar 1990.</w:t>
      </w:r>
      <w:r w:rsidR="00C4640B">
        <w:t> </w:t>
      </w:r>
      <w:r w:rsidRPr="00D72BFB">
        <w:t>gadu emisiju apjomi trans</w:t>
      </w:r>
      <w:r w:rsidR="006E7CA4" w:rsidRPr="00D72BFB">
        <w:t xml:space="preserve">porta sektorā ir palielinājušies </w:t>
      </w:r>
      <w:r w:rsidR="00C745D3" w:rsidRPr="00D72BFB">
        <w:t xml:space="preserve">par </w:t>
      </w:r>
      <w:r w:rsidR="00ED6AF2">
        <w:t>9,4</w:t>
      </w:r>
      <w:r w:rsidR="00C4640B">
        <w:t> </w:t>
      </w:r>
      <w:r w:rsidRPr="00D72BFB">
        <w:t xml:space="preserve">%. </w:t>
      </w:r>
    </w:p>
    <w:p w14:paraId="31E1473D" w14:textId="09424FA6" w:rsidR="009B614B" w:rsidRPr="009B614B" w:rsidRDefault="009B614B" w:rsidP="009B614B">
      <w:pPr>
        <w:spacing w:before="120" w:after="120"/>
        <w:rPr>
          <w:color w:val="000000"/>
          <w:szCs w:val="24"/>
        </w:rPr>
      </w:pPr>
      <w:r>
        <w:rPr>
          <w:color w:val="000000"/>
          <w:szCs w:val="24"/>
        </w:rPr>
        <w:t>Lielākā daļa no transporta sektora SEG emisijām 2017.</w:t>
      </w:r>
      <w:r w:rsidR="00C4640B">
        <w:rPr>
          <w:color w:val="000000"/>
          <w:szCs w:val="24"/>
        </w:rPr>
        <w:t> </w:t>
      </w:r>
      <w:r>
        <w:rPr>
          <w:color w:val="000000"/>
          <w:szCs w:val="24"/>
        </w:rPr>
        <w:t>gadā ir radītas no autoceļa transporta (93,88</w:t>
      </w:r>
      <w:r w:rsidR="00C4640B">
        <w:rPr>
          <w:color w:val="000000"/>
          <w:szCs w:val="24"/>
        </w:rPr>
        <w:t> </w:t>
      </w:r>
      <w:r>
        <w:rPr>
          <w:color w:val="000000"/>
          <w:szCs w:val="24"/>
        </w:rPr>
        <w:t>%), savukārt, autotransporta apakšsektorā lielākais emisiju radītājs pa transportlīdzekļu grupām ir pasažieru automašīnas</w:t>
      </w:r>
      <w:r w:rsidRPr="00E4114E">
        <w:rPr>
          <w:color w:val="000000"/>
          <w:szCs w:val="24"/>
        </w:rPr>
        <w:t>,</w:t>
      </w:r>
      <w:r>
        <w:rPr>
          <w:color w:val="000000"/>
          <w:szCs w:val="24"/>
        </w:rPr>
        <w:t xml:space="preserve"> kam seko kravas transportlīdzekļi un autobusi. Dzelzceļš rada vien 5,5</w:t>
      </w:r>
      <w:r w:rsidR="00C4640B">
        <w:rPr>
          <w:color w:val="000000"/>
          <w:szCs w:val="24"/>
        </w:rPr>
        <w:t> </w:t>
      </w:r>
      <w:r>
        <w:rPr>
          <w:color w:val="000000"/>
          <w:szCs w:val="24"/>
        </w:rPr>
        <w:t xml:space="preserve">% no kopējām transporta sektora emisijām, </w:t>
      </w:r>
      <w:r w:rsidR="002002D6">
        <w:rPr>
          <w:color w:val="000000"/>
          <w:szCs w:val="24"/>
        </w:rPr>
        <w:t xml:space="preserve">jūras transports – 0,48 %, bet </w:t>
      </w:r>
      <w:r>
        <w:rPr>
          <w:color w:val="000000"/>
          <w:szCs w:val="24"/>
        </w:rPr>
        <w:t>aviācija</w:t>
      </w:r>
      <w:r w:rsidR="00C4640B">
        <w:rPr>
          <w:color w:val="000000"/>
          <w:szCs w:val="24"/>
        </w:rPr>
        <w:t> </w:t>
      </w:r>
      <w:r>
        <w:rPr>
          <w:color w:val="000000"/>
          <w:szCs w:val="24"/>
        </w:rPr>
        <w:t>–</w:t>
      </w:r>
      <w:r w:rsidR="00C4640B">
        <w:rPr>
          <w:color w:val="000000"/>
          <w:szCs w:val="24"/>
        </w:rPr>
        <w:t> </w:t>
      </w:r>
      <w:r>
        <w:rPr>
          <w:color w:val="000000"/>
          <w:szCs w:val="24"/>
        </w:rPr>
        <w:t>0,14</w:t>
      </w:r>
      <w:r w:rsidR="00C4640B">
        <w:rPr>
          <w:color w:val="000000"/>
          <w:szCs w:val="24"/>
        </w:rPr>
        <w:t> </w:t>
      </w:r>
      <w:r>
        <w:rPr>
          <w:color w:val="000000"/>
          <w:szCs w:val="24"/>
        </w:rPr>
        <w:t>%</w:t>
      </w:r>
      <w:r w:rsidR="002002D6">
        <w:rPr>
          <w:color w:val="000000"/>
          <w:szCs w:val="24"/>
        </w:rPr>
        <w:t>.</w:t>
      </w:r>
    </w:p>
    <w:p w14:paraId="2A76B1A0" w14:textId="77777777" w:rsidR="003D3CB6" w:rsidRPr="00E4114E" w:rsidRDefault="007C6A23" w:rsidP="007C6A23">
      <w:r w:rsidRPr="00E4114E">
        <w:t>Kaut arī motorizēto transportlīdzekļu daudzums ir zemāks nekā vidēji</w:t>
      </w:r>
      <w:r w:rsidR="00BA593C" w:rsidRPr="00BA593C">
        <w:t xml:space="preserve"> </w:t>
      </w:r>
      <w:r w:rsidRPr="00E4114E">
        <w:t>OECD valstīs, kā arī iedzīvotāju skaits nākotnē visdrīzāk samazināsies, tomēr tiek prognozēts, ka motorizēto transportlīdzekļu skaits Latvijā pieaugs līdz ar iedzīvotāju dzīves līmeņa pieaugumu, kā arī pieaugošajām suburbanizācijas tendencēm.</w:t>
      </w:r>
      <w:r w:rsidR="00E4114E" w:rsidRPr="00E4114E">
        <w:t xml:space="preserve"> </w:t>
      </w:r>
      <w:r w:rsidR="003D3CB6" w:rsidRPr="00E4114E">
        <w:t xml:space="preserve">Saskaņā ar prognozēm </w:t>
      </w:r>
      <w:r w:rsidR="00C745D3" w:rsidRPr="00E4114E">
        <w:t>s</w:t>
      </w:r>
      <w:r w:rsidR="003D3CB6" w:rsidRPr="00E4114E">
        <w:t>agaidāms, ka 2050.</w:t>
      </w:r>
      <w:r w:rsidR="00AA3682">
        <w:t> </w:t>
      </w:r>
      <w:r w:rsidR="00462CED" w:rsidRPr="00E4114E">
        <w:t xml:space="preserve">gadā </w:t>
      </w:r>
      <w:r w:rsidR="003D3CB6" w:rsidRPr="00E4114E">
        <w:t>emisijas</w:t>
      </w:r>
      <w:r w:rsidR="00BA32C7" w:rsidRPr="00E4114E">
        <w:t xml:space="preserve"> transporta sektorā</w:t>
      </w:r>
      <w:r w:rsidR="003D3CB6" w:rsidRPr="00E4114E">
        <w:t xml:space="preserve">, </w:t>
      </w:r>
      <w:r w:rsidR="006E7CA4" w:rsidRPr="00E4114E">
        <w:t>at</w:t>
      </w:r>
      <w:r w:rsidR="00C745D3" w:rsidRPr="00E4114E">
        <w:t xml:space="preserve">tiecībā pret </w:t>
      </w:r>
      <w:r w:rsidR="00462CED" w:rsidRPr="00E4114E">
        <w:t>2017</w:t>
      </w:r>
      <w:r w:rsidR="003D3CB6" w:rsidRPr="00E4114E">
        <w:t xml:space="preserve">. </w:t>
      </w:r>
      <w:r w:rsidR="00636426" w:rsidRPr="00E4114E">
        <w:t>un 1990.</w:t>
      </w:r>
      <w:r w:rsidR="00AA3682">
        <w:t> </w:t>
      </w:r>
      <w:r w:rsidR="003D3CB6" w:rsidRPr="00E4114E">
        <w:t xml:space="preserve">gadu, </w:t>
      </w:r>
      <w:r w:rsidR="00BA32C7" w:rsidRPr="00E4114E">
        <w:t xml:space="preserve">kopumā </w:t>
      </w:r>
      <w:r w:rsidR="00462CED" w:rsidRPr="00E4114E">
        <w:t xml:space="preserve">samazināsies </w:t>
      </w:r>
      <w:r w:rsidR="00C745D3" w:rsidRPr="00E4114E">
        <w:t xml:space="preserve">(attiecīgi </w:t>
      </w:r>
      <w:r w:rsidR="008F056F" w:rsidRPr="00E4114E">
        <w:t xml:space="preserve">par </w:t>
      </w:r>
      <w:r w:rsidR="00462CED" w:rsidRPr="00E4114E">
        <w:t>53</w:t>
      </w:r>
      <w:r w:rsidR="00AA3682">
        <w:t> </w:t>
      </w:r>
      <w:r w:rsidR="00C745D3" w:rsidRPr="00E4114E">
        <w:t xml:space="preserve">% un </w:t>
      </w:r>
      <w:r w:rsidR="00462CED" w:rsidRPr="00E4114E">
        <w:t>47</w:t>
      </w:r>
      <w:r w:rsidR="00AA3682">
        <w:t> </w:t>
      </w:r>
      <w:r w:rsidR="00636426" w:rsidRPr="00E4114E">
        <w:t>%)</w:t>
      </w:r>
      <w:r w:rsidR="00462CED" w:rsidRPr="00E4114E">
        <w:t>.</w:t>
      </w:r>
    </w:p>
    <w:p w14:paraId="2688FF06" w14:textId="77777777" w:rsidR="00CF2509" w:rsidRDefault="003D3CB6" w:rsidP="00E379E7">
      <w:pPr>
        <w:spacing w:before="100" w:beforeAutospacing="1" w:after="100" w:afterAutospacing="1"/>
      </w:pPr>
      <w:r w:rsidRPr="00A46CC4">
        <w:rPr>
          <w:i/>
        </w:rPr>
        <w:t xml:space="preserve">Rūpniecisko procesu un produktu </w:t>
      </w:r>
      <w:r w:rsidR="00817017" w:rsidRPr="00A46CC4">
        <w:rPr>
          <w:i/>
        </w:rPr>
        <w:t>izmantošanas</w:t>
      </w:r>
      <w:r w:rsidR="00817017" w:rsidRPr="00A46CC4">
        <w:t xml:space="preserve"> </w:t>
      </w:r>
      <w:r w:rsidRPr="00A46CC4">
        <w:t>sektorā</w:t>
      </w:r>
      <w:r w:rsidRPr="00A46CC4">
        <w:rPr>
          <w:vertAlign w:val="superscript"/>
        </w:rPr>
        <w:footnoteReference w:id="42"/>
      </w:r>
      <w:r w:rsidRPr="00A46CC4">
        <w:t xml:space="preserve"> </w:t>
      </w:r>
      <w:r w:rsidR="00C15A36" w:rsidRPr="00A46CC4">
        <w:t>tiek uzskaitītas emisijas</w:t>
      </w:r>
      <w:r w:rsidR="00DE5C57" w:rsidRPr="00A46CC4">
        <w:t>, kas rodas no</w:t>
      </w:r>
      <w:r w:rsidR="00817017" w:rsidRPr="00A46CC4">
        <w:t xml:space="preserve"> rūpnieciskajiem procesiem</w:t>
      </w:r>
      <w:r w:rsidR="00DE5C57" w:rsidRPr="00A46CC4">
        <w:t>,</w:t>
      </w:r>
      <w:r w:rsidR="00C15A36" w:rsidRPr="00A46CC4">
        <w:t xml:space="preserve"> no izejvielu izmantošanas rūpnieciskajā ražošanā, </w:t>
      </w:r>
      <w:r w:rsidR="00DE5C57" w:rsidRPr="00A46CC4">
        <w:t xml:space="preserve">no </w:t>
      </w:r>
      <w:r w:rsidR="00C745D3" w:rsidRPr="00A46CC4">
        <w:t>ķīmisko vielu izmantošanas</w:t>
      </w:r>
      <w:r w:rsidR="00DE5C57" w:rsidRPr="00A46CC4">
        <w:t xml:space="preserve"> un kurināmā izmantošanas neenerģētiskām vajadzībām.</w:t>
      </w:r>
      <w:r w:rsidR="00C745D3" w:rsidRPr="00A46CC4">
        <w:t xml:space="preserve"> 201</w:t>
      </w:r>
      <w:r w:rsidR="00EB5542">
        <w:t>7</w:t>
      </w:r>
      <w:r w:rsidR="00C15A36" w:rsidRPr="00A46CC4">
        <w:t>.</w:t>
      </w:r>
      <w:r w:rsidR="00AA3682">
        <w:t> </w:t>
      </w:r>
      <w:r w:rsidR="00C745D3" w:rsidRPr="00A46CC4">
        <w:t>gadā šajā sektorā tika radīti 6</w:t>
      </w:r>
      <w:r w:rsidR="00B34A25">
        <w:t>,5</w:t>
      </w:r>
      <w:r w:rsidR="00AA3682">
        <w:t> </w:t>
      </w:r>
      <w:r w:rsidR="00C15A36" w:rsidRPr="00A46CC4">
        <w:t>% no kopējām Latvijas SEG emisijām. Lai gan emisiju apjoms ir salīdzinoši neliels, sākot ar 2009</w:t>
      </w:r>
      <w:r w:rsidR="00EF42BC" w:rsidRPr="00A46CC4">
        <w:t>.</w:t>
      </w:r>
      <w:r w:rsidR="00AA3682">
        <w:t> </w:t>
      </w:r>
      <w:r w:rsidR="00EF42BC" w:rsidRPr="00A46CC4">
        <w:t xml:space="preserve">gadu, tam ir tendence </w:t>
      </w:r>
      <w:r w:rsidR="00C15A36" w:rsidRPr="00A46CC4">
        <w:t>pieaugt. Kopumā lielāk</w:t>
      </w:r>
      <w:r w:rsidR="00E74936" w:rsidRPr="00A46CC4">
        <w:t>ais SEG emisiju apjoms</w:t>
      </w:r>
      <w:r w:rsidR="00C15A36" w:rsidRPr="00A46CC4">
        <w:t xml:space="preserve"> rodas n</w:t>
      </w:r>
      <w:r w:rsidR="00EF42BC" w:rsidRPr="00A46CC4">
        <w:t xml:space="preserve">o cementa, </w:t>
      </w:r>
      <w:r w:rsidR="00EF42BC" w:rsidRPr="00A46CC4">
        <w:rPr>
          <w:szCs w:val="24"/>
        </w:rPr>
        <w:t>stikla un ķieģeļu</w:t>
      </w:r>
      <w:r w:rsidR="00EF42BC" w:rsidRPr="00A46CC4">
        <w:t xml:space="preserve"> ražošanas, veidojot </w:t>
      </w:r>
      <w:r w:rsidR="00B34A25">
        <w:t>61</w:t>
      </w:r>
      <w:r w:rsidR="00AA3682">
        <w:t> </w:t>
      </w:r>
      <w:r w:rsidR="00C15A36" w:rsidRPr="00A46CC4">
        <w:t>% no kopējām rūpniecisko procesu</w:t>
      </w:r>
      <w:r w:rsidR="00EF42BC" w:rsidRPr="00A46CC4">
        <w:t xml:space="preserve"> emisijām 201</w:t>
      </w:r>
      <w:r w:rsidR="00B34A25">
        <w:t>7</w:t>
      </w:r>
      <w:r w:rsidR="00C15A36" w:rsidRPr="00A46CC4">
        <w:t>. gadā.</w:t>
      </w:r>
      <w:r w:rsidR="00A63811" w:rsidRPr="00A46CC4">
        <w:rPr>
          <w:sz w:val="22"/>
        </w:rPr>
        <w:t xml:space="preserve"> </w:t>
      </w:r>
      <w:r w:rsidR="00C15A36" w:rsidRPr="00A46CC4">
        <w:t xml:space="preserve">Lai gan fluorēto </w:t>
      </w:r>
      <w:r w:rsidR="00DE5C57" w:rsidRPr="00A46CC4">
        <w:t xml:space="preserve">siltumnīcefekta </w:t>
      </w:r>
      <w:r w:rsidR="00C15A36" w:rsidRPr="00A46CC4">
        <w:t>gāzu (fluorētās gāzes</w:t>
      </w:r>
      <w:r w:rsidR="00636426" w:rsidRPr="00A46CC4">
        <w:rPr>
          <w:rStyle w:val="FootnoteReference"/>
        </w:rPr>
        <w:footnoteReference w:id="43"/>
      </w:r>
      <w:r w:rsidR="00C15A36" w:rsidRPr="00A46CC4">
        <w:t>) daudzums valstī un emisi</w:t>
      </w:r>
      <w:r w:rsidR="00EF42BC" w:rsidRPr="00A46CC4">
        <w:t>ju apjomi no tām nav lieli (</w:t>
      </w:r>
      <w:r w:rsidR="00EF42BC" w:rsidRPr="003767A6">
        <w:t>201</w:t>
      </w:r>
      <w:r w:rsidR="003767A6" w:rsidRPr="003767A6">
        <w:t>7</w:t>
      </w:r>
      <w:r w:rsidR="00EF42BC" w:rsidRPr="003767A6">
        <w:t>.</w:t>
      </w:r>
      <w:r w:rsidR="00AA3682">
        <w:t> </w:t>
      </w:r>
      <w:r w:rsidR="00EF42BC" w:rsidRPr="003767A6">
        <w:t>gadā</w:t>
      </w:r>
      <w:r w:rsidR="00AA3682">
        <w:t> </w:t>
      </w:r>
      <w:r w:rsidR="00EF42BC" w:rsidRPr="003767A6">
        <w:t>–</w:t>
      </w:r>
      <w:r w:rsidR="00AA3682">
        <w:t> </w:t>
      </w:r>
      <w:r w:rsidR="00EF42BC" w:rsidRPr="003767A6">
        <w:t>3</w:t>
      </w:r>
      <w:r w:rsidR="003767A6" w:rsidRPr="003767A6">
        <w:t>2</w:t>
      </w:r>
      <w:r w:rsidR="00AA3682">
        <w:t> </w:t>
      </w:r>
      <w:r w:rsidR="00C15A36" w:rsidRPr="003767A6">
        <w:t>% no kopējām SEG emisijām</w:t>
      </w:r>
      <w:r w:rsidR="00CC484D" w:rsidRPr="003767A6">
        <w:t xml:space="preserve"> rūpniecisko procesu un produktu izmantošanas sektorā un 2</w:t>
      </w:r>
      <w:r w:rsidR="006B269F">
        <w:t>,</w:t>
      </w:r>
      <w:r w:rsidR="00CC484D" w:rsidRPr="003767A6">
        <w:t>1</w:t>
      </w:r>
      <w:r w:rsidR="00AA3682">
        <w:t> </w:t>
      </w:r>
      <w:r w:rsidR="00CC484D" w:rsidRPr="003767A6">
        <w:t>% no Latvijas kopējām SEG emisijām</w:t>
      </w:r>
      <w:r w:rsidR="00C15A36" w:rsidRPr="00A46CC4">
        <w:t xml:space="preserve">), taču </w:t>
      </w:r>
      <w:r w:rsidR="006E3740">
        <w:t>tām ir augsts</w:t>
      </w:r>
      <w:r w:rsidR="00C15A36" w:rsidRPr="00A46CC4">
        <w:t xml:space="preserve"> globālās sasilšanas potenciāl</w:t>
      </w:r>
      <w:r w:rsidR="006E3740">
        <w:t>s</w:t>
      </w:r>
      <w:r w:rsidR="00C15A36" w:rsidRPr="00A46CC4">
        <w:t>, kas pat vairākus tūkstošus reižu pārsniedz CO</w:t>
      </w:r>
      <w:r w:rsidR="00C15A36" w:rsidRPr="00A46CC4">
        <w:rPr>
          <w:vertAlign w:val="subscript"/>
        </w:rPr>
        <w:t>2</w:t>
      </w:r>
      <w:r w:rsidR="00C15A36" w:rsidRPr="00A46CC4">
        <w:t xml:space="preserve"> globālās sasilšanas potenciālu. Kopš 1995.</w:t>
      </w:r>
      <w:r w:rsidR="00AA3682">
        <w:t> </w:t>
      </w:r>
      <w:r w:rsidR="00C15A36" w:rsidRPr="00A46CC4">
        <w:t>gada fluorēto gāzu emisijas ir ievērojami pieaugušas, jo tās sāka lietot ozona slāni noārdošo vielu aizstāšanai. Fluorēto gāzu lietošana palielinās arī saistībā ar pieaugošo pieprasījumu pēc gaisa kondicion</w:t>
      </w:r>
      <w:r w:rsidR="00DE5C57" w:rsidRPr="00A46CC4">
        <w:t>ēšanas</w:t>
      </w:r>
      <w:r w:rsidR="00C15A36" w:rsidRPr="00A46CC4">
        <w:t xml:space="preserve"> iekārtām telpās un automašīnās, kā arī pieaugot iedzīvotāju </w:t>
      </w:r>
      <w:r w:rsidR="005D6ED3" w:rsidRPr="00A46CC4">
        <w:t>labklāj</w:t>
      </w:r>
      <w:r w:rsidR="00453875">
        <w:t xml:space="preserve">ības un dzīves līmenim. </w:t>
      </w:r>
      <w:r w:rsidR="00C15A36" w:rsidRPr="008F056F">
        <w:t xml:space="preserve">Ņemot vērā </w:t>
      </w:r>
      <w:r w:rsidR="009C5EA9" w:rsidRPr="008F056F">
        <w:t xml:space="preserve">paredzamo </w:t>
      </w:r>
      <w:r w:rsidR="00C15A36" w:rsidRPr="008F056F">
        <w:t>rūpniecības attīstības tendenci, šobrīd tiek prognozēts, ka turpināsies SEG emisiju pieaugums</w:t>
      </w:r>
      <w:r w:rsidR="00453875">
        <w:t xml:space="preserve"> no rūpnieciskajiem procesiem</w:t>
      </w:r>
      <w:r w:rsidR="00C15A36" w:rsidRPr="008F056F">
        <w:t xml:space="preserve">, </w:t>
      </w:r>
      <w:r w:rsidR="00EF42BC" w:rsidRPr="008F056F">
        <w:t>2050.</w:t>
      </w:r>
      <w:r w:rsidR="00AA3682">
        <w:t> </w:t>
      </w:r>
      <w:r w:rsidR="00EF42BC" w:rsidRPr="008F056F">
        <w:t xml:space="preserve">gadā radot </w:t>
      </w:r>
      <w:r w:rsidR="00462CED" w:rsidRPr="008F056F">
        <w:t>9</w:t>
      </w:r>
      <w:r w:rsidR="00AA3682">
        <w:t> </w:t>
      </w:r>
      <w:r w:rsidR="00C15A36" w:rsidRPr="008F056F">
        <w:t xml:space="preserve">% </w:t>
      </w:r>
      <w:r w:rsidR="006B269F">
        <w:t xml:space="preserve">SEG </w:t>
      </w:r>
      <w:r w:rsidR="00C15A36" w:rsidRPr="008F056F">
        <w:t>emisiju palielinājumu</w:t>
      </w:r>
      <w:r w:rsidR="00EF42BC" w:rsidRPr="008F056F">
        <w:t xml:space="preserve"> </w:t>
      </w:r>
      <w:r w:rsidR="00DE5C57" w:rsidRPr="008F056F">
        <w:t xml:space="preserve">salīdzinot </w:t>
      </w:r>
      <w:r w:rsidR="00462CED" w:rsidRPr="008F056F">
        <w:t>2017</w:t>
      </w:r>
      <w:r w:rsidR="00EF42BC" w:rsidRPr="008F056F">
        <w:t>.</w:t>
      </w:r>
      <w:r w:rsidR="00AA3682">
        <w:t> </w:t>
      </w:r>
      <w:r w:rsidR="00EF42BC" w:rsidRPr="008F056F">
        <w:t xml:space="preserve">gadu un </w:t>
      </w:r>
      <w:r w:rsidR="00462CED" w:rsidRPr="008F056F">
        <w:t>22</w:t>
      </w:r>
      <w:r w:rsidR="00AA3682">
        <w:t> </w:t>
      </w:r>
      <w:r w:rsidR="00AD6532" w:rsidRPr="008F056F">
        <w:t xml:space="preserve">% palielinājumu </w:t>
      </w:r>
      <w:r w:rsidR="00C15A36" w:rsidRPr="008F056F">
        <w:t>salīdzinot ar 1990.</w:t>
      </w:r>
      <w:r w:rsidR="00AA3682">
        <w:t> </w:t>
      </w:r>
      <w:r w:rsidR="00C15A36" w:rsidRPr="008F056F">
        <w:t xml:space="preserve">gadu. </w:t>
      </w:r>
    </w:p>
    <w:p w14:paraId="70AC4FFC" w14:textId="77777777" w:rsidR="003D3CB6" w:rsidRDefault="003D3CB6" w:rsidP="00E008BC">
      <w:pPr>
        <w:spacing w:before="120" w:after="120"/>
      </w:pPr>
      <w:r w:rsidRPr="00A46CC4">
        <w:rPr>
          <w:i/>
        </w:rPr>
        <w:t>Lauksaimniecība</w:t>
      </w:r>
      <w:r w:rsidRPr="00A46CC4">
        <w:rPr>
          <w:i/>
          <w:vertAlign w:val="superscript"/>
        </w:rPr>
        <w:footnoteReference w:id="44"/>
      </w:r>
      <w:r w:rsidRPr="00A46CC4">
        <w:t xml:space="preserve"> ir trešais </w:t>
      </w:r>
      <w:r w:rsidR="006B269F">
        <w:t>lielākais SEG emisiju avots</w:t>
      </w:r>
      <w:r w:rsidR="00D5184C" w:rsidRPr="00A46CC4">
        <w:t>,</w:t>
      </w:r>
      <w:r w:rsidRPr="00A46CC4">
        <w:t xml:space="preserve"> radot 2</w:t>
      </w:r>
      <w:r w:rsidR="00F2061A">
        <w:t>4</w:t>
      </w:r>
      <w:r w:rsidR="00301CB7">
        <w:t>,6</w:t>
      </w:r>
      <w:r w:rsidR="008A037F">
        <w:t> </w:t>
      </w:r>
      <w:r w:rsidRPr="00A46CC4">
        <w:t>% no kopējām Latvijas SEG emisijām</w:t>
      </w:r>
      <w:r w:rsidRPr="00A46CC4" w:rsidDel="00307011">
        <w:t xml:space="preserve"> </w:t>
      </w:r>
      <w:r w:rsidR="00EF42BC" w:rsidRPr="00A46CC4">
        <w:t>201</w:t>
      </w:r>
      <w:r w:rsidR="00301CB7">
        <w:t>7</w:t>
      </w:r>
      <w:r w:rsidRPr="00A46CC4">
        <w:t>.</w:t>
      </w:r>
      <w:r w:rsidR="008A037F">
        <w:t> </w:t>
      </w:r>
      <w:r w:rsidRPr="00A46CC4">
        <w:t>gadā. Šajā sektorā būtiskākās SEG emisijas rada lauksaimniecības zemju apst</w:t>
      </w:r>
      <w:r w:rsidR="00FF3E54" w:rsidRPr="00A46CC4">
        <w:t>rāde (6</w:t>
      </w:r>
      <w:r w:rsidR="00EB5542">
        <w:t>0,8</w:t>
      </w:r>
      <w:r w:rsidR="008A037F">
        <w:t> </w:t>
      </w:r>
      <w:r w:rsidRPr="00A46CC4">
        <w:t>%) u</w:t>
      </w:r>
      <w:r w:rsidR="00FF3E54" w:rsidRPr="00A46CC4">
        <w:t xml:space="preserve">n </w:t>
      </w:r>
      <w:r w:rsidR="00241E71">
        <w:t>lopkopība</w:t>
      </w:r>
      <w:r w:rsidR="00FF3E54" w:rsidRPr="00A46CC4">
        <w:t xml:space="preserve"> (</w:t>
      </w:r>
      <w:r w:rsidR="00EB5542">
        <w:t>31,2</w:t>
      </w:r>
      <w:r w:rsidR="008A037F">
        <w:t> </w:t>
      </w:r>
      <w:r w:rsidRPr="00A46CC4">
        <w:t>%). Kopš 1990.</w:t>
      </w:r>
      <w:r w:rsidR="008A037F">
        <w:t> </w:t>
      </w:r>
      <w:r w:rsidRPr="00A46CC4">
        <w:t>gada SEG emisiju apjoms lauksaimniecība</w:t>
      </w:r>
      <w:r w:rsidR="00EF42BC" w:rsidRPr="00A46CC4">
        <w:t>s sektorā ir samazinājies par 5</w:t>
      </w:r>
      <w:r w:rsidR="00EB5542">
        <w:t>0,5</w:t>
      </w:r>
      <w:r w:rsidR="008A037F">
        <w:t> </w:t>
      </w:r>
      <w:r w:rsidRPr="00A46CC4">
        <w:t xml:space="preserve">%, galvenokārt </w:t>
      </w:r>
      <w:r w:rsidRPr="00A46CC4">
        <w:lastRenderedPageBreak/>
        <w:t xml:space="preserve">tautsaimniecības pārstrukturēšanās, ražošanas apjoma samazināšanās lauku saimniecībās, kā arī lielsaimniecību sadalīšanās mazākās saimniecībās rezultātā. Emisiju daudzumu būtiski ietekmē lauksaimniecības dzīvnieku skaita svārstības un pielietotais slāpekļa minerālmēslu daudzums. Pēdējos gados ir vērojama lauksaimniecības sektora emisiju palielināšanās, galvenokārt no lauksaimniecības zemju apstrādes, palielinoties slāpekļa saturošu minerālmēslu izmantošanai. </w:t>
      </w:r>
    </w:p>
    <w:p w14:paraId="1D856957" w14:textId="77777777" w:rsidR="00F4594A" w:rsidRDefault="00F4594A" w:rsidP="00E008BC">
      <w:pPr>
        <w:spacing w:before="120" w:after="120"/>
        <w:rPr>
          <w:color w:val="000000" w:themeColor="text1"/>
        </w:rPr>
      </w:pPr>
      <w:r w:rsidRPr="00A832E6">
        <w:rPr>
          <w:color w:val="000000" w:themeColor="text1"/>
        </w:rPr>
        <w:t xml:space="preserve"> LIZ </w:t>
      </w:r>
      <w:r>
        <w:rPr>
          <w:color w:val="000000" w:themeColor="text1"/>
        </w:rPr>
        <w:t xml:space="preserve">galvenie lietošanas veidi ir aramzeme, kā arī pļavas un ganības. Latvijā lielākās platībās (ha) aizņem graudaugu, </w:t>
      </w:r>
      <w:r w:rsidRPr="00A61D65">
        <w:rPr>
          <w:color w:val="000000" w:themeColor="text1"/>
        </w:rPr>
        <w:t>lopbarības zaļbarības kultūr</w:t>
      </w:r>
      <w:r>
        <w:rPr>
          <w:color w:val="000000" w:themeColor="text1"/>
        </w:rPr>
        <w:t>u kā arī</w:t>
      </w:r>
      <w:r w:rsidRPr="00A61D65">
        <w:rPr>
          <w:color w:val="000000" w:themeColor="text1"/>
        </w:rPr>
        <w:t xml:space="preserve"> </w:t>
      </w:r>
      <w:r>
        <w:rPr>
          <w:color w:val="000000" w:themeColor="text1"/>
        </w:rPr>
        <w:t xml:space="preserve">tehnisko kultūru audzēšana. </w:t>
      </w:r>
    </w:p>
    <w:p w14:paraId="2226EC93" w14:textId="77777777" w:rsidR="00F4594A" w:rsidRDefault="00E3068D" w:rsidP="00E008BC">
      <w:pPr>
        <w:spacing w:before="120" w:after="120"/>
        <w:rPr>
          <w:color w:val="000000" w:themeColor="text1"/>
        </w:rPr>
      </w:pPr>
      <w:r>
        <w:rPr>
          <w:color w:val="000000" w:themeColor="text1"/>
        </w:rPr>
        <w:t>Visvairāk nekoptu LIZ teritoriju ir Pierīgā un Austrumlatgalē, bet vismazāk</w:t>
      </w:r>
      <w:r w:rsidR="008A037F">
        <w:rPr>
          <w:color w:val="000000" w:themeColor="text1"/>
        </w:rPr>
        <w:t> </w:t>
      </w:r>
      <w:r>
        <w:rPr>
          <w:color w:val="000000" w:themeColor="text1"/>
        </w:rPr>
        <w:t>–</w:t>
      </w:r>
      <w:r w:rsidR="008A037F">
        <w:rPr>
          <w:color w:val="000000" w:themeColor="text1"/>
        </w:rPr>
        <w:t> </w:t>
      </w:r>
      <w:r>
        <w:rPr>
          <w:color w:val="000000" w:themeColor="text1"/>
        </w:rPr>
        <w:t>Zemgalē.</w:t>
      </w:r>
      <w:r>
        <w:rPr>
          <w:color w:val="FF0000"/>
        </w:rPr>
        <w:t xml:space="preserve"> </w:t>
      </w:r>
      <w:r w:rsidRPr="00F122F0">
        <w:rPr>
          <w:color w:val="000000" w:themeColor="text1"/>
        </w:rPr>
        <w:t>2017.</w:t>
      </w:r>
      <w:r w:rsidR="008A037F">
        <w:rPr>
          <w:color w:val="000000" w:themeColor="text1"/>
        </w:rPr>
        <w:t> </w:t>
      </w:r>
      <w:r w:rsidRPr="00F122F0">
        <w:rPr>
          <w:color w:val="000000" w:themeColor="text1"/>
        </w:rPr>
        <w:t>gadā Latvijā graudaugu kopraža bija 2,6 milj.t, kas ir par 42</w:t>
      </w:r>
      <w:r w:rsidR="008A037F">
        <w:rPr>
          <w:color w:val="000000" w:themeColor="text1"/>
        </w:rPr>
        <w:t> </w:t>
      </w:r>
      <w:r w:rsidRPr="00F122F0">
        <w:rPr>
          <w:color w:val="000000" w:themeColor="text1"/>
        </w:rPr>
        <w:t>% vairāk nekā pirms desmit gadiem. Graudu kopražas nozīmīgo pieaugumu galvenokārt ietekmēja ar graudaugiem apsēto platību pieaugums.</w:t>
      </w:r>
    </w:p>
    <w:p w14:paraId="4A4E7F32" w14:textId="77777777" w:rsidR="00E3068D" w:rsidRPr="00A46CC4" w:rsidRDefault="00E3068D" w:rsidP="00E008BC">
      <w:pPr>
        <w:spacing w:before="120" w:after="120"/>
      </w:pPr>
      <w:r>
        <w:t>Kopējā ar</w:t>
      </w:r>
      <w:r w:rsidRPr="00450CDA">
        <w:t xml:space="preserve"> minerālmēsliem </w:t>
      </w:r>
      <w:r>
        <w:t xml:space="preserve">apstrādātā </w:t>
      </w:r>
      <w:r w:rsidRPr="00F46B90">
        <w:t xml:space="preserve">lauksaimniecības kultūru </w:t>
      </w:r>
      <w:r>
        <w:t xml:space="preserve">sējumu platība pieaug </w:t>
      </w:r>
      <w:r w:rsidRPr="008F056F">
        <w:t>2008.gad</w:t>
      </w:r>
      <w:r w:rsidRPr="008F056F">
        <w:rPr>
          <w:rFonts w:hint="eastAsia"/>
        </w:rPr>
        <w:t>ā</w:t>
      </w:r>
      <w:r w:rsidR="008A037F">
        <w:t> </w:t>
      </w:r>
      <w:r w:rsidR="008A037F" w:rsidRPr="00A832E6">
        <w:rPr>
          <w:color w:val="000000" w:themeColor="text1"/>
        </w:rPr>
        <w:t>–</w:t>
      </w:r>
      <w:r w:rsidR="008A037F">
        <w:t> </w:t>
      </w:r>
      <w:r w:rsidRPr="008F056F">
        <w:t>51</w:t>
      </w:r>
      <w:r w:rsidR="008A037F">
        <w:t> </w:t>
      </w:r>
      <w:r w:rsidRPr="008F056F">
        <w:t>%, 2010.</w:t>
      </w:r>
      <w:r w:rsidR="008A037F">
        <w:t> </w:t>
      </w:r>
      <w:r w:rsidRPr="008F056F">
        <w:t>gad</w:t>
      </w:r>
      <w:r w:rsidRPr="008F056F">
        <w:rPr>
          <w:rFonts w:hint="eastAsia"/>
        </w:rPr>
        <w:t>ā</w:t>
      </w:r>
      <w:r w:rsidR="008A037F">
        <w:t> </w:t>
      </w:r>
      <w:r w:rsidR="008A037F" w:rsidRPr="00A832E6">
        <w:rPr>
          <w:color w:val="000000" w:themeColor="text1"/>
        </w:rPr>
        <w:t>–</w:t>
      </w:r>
      <w:r w:rsidR="008A037F">
        <w:t> </w:t>
      </w:r>
      <w:r w:rsidRPr="008F056F">
        <w:t>55%, bet</w:t>
      </w:r>
      <w:r w:rsidRPr="00F46B90">
        <w:t xml:space="preserve"> 2017.</w:t>
      </w:r>
      <w:r w:rsidR="008A037F">
        <w:t> </w:t>
      </w:r>
      <w:r w:rsidRPr="00F46B90">
        <w:t>gadā tika mēslots 60</w:t>
      </w:r>
      <w:r w:rsidR="008A037F">
        <w:t> </w:t>
      </w:r>
      <w:r w:rsidRPr="00F46B90">
        <w:t xml:space="preserve">% visu sējumu platību. </w:t>
      </w:r>
    </w:p>
    <w:p w14:paraId="4072790E" w14:textId="77777777" w:rsidR="003D3CB6" w:rsidRDefault="00896CAF" w:rsidP="00E008BC">
      <w:pPr>
        <w:spacing w:before="120" w:after="120"/>
        <w:rPr>
          <w:color w:val="000000" w:themeColor="text1"/>
        </w:rPr>
      </w:pPr>
      <w:r w:rsidRPr="008F056F">
        <w:rPr>
          <w:color w:val="000000" w:themeColor="text1"/>
        </w:rPr>
        <w:t>P</w:t>
      </w:r>
      <w:r w:rsidR="00FF11E4" w:rsidRPr="008F056F">
        <w:rPr>
          <w:color w:val="000000" w:themeColor="text1"/>
        </w:rPr>
        <w:t xml:space="preserve">rognozes liecina, </w:t>
      </w:r>
      <w:r w:rsidR="003D3CB6" w:rsidRPr="008F056F">
        <w:rPr>
          <w:color w:val="000000" w:themeColor="text1"/>
        </w:rPr>
        <w:t xml:space="preserve">ka turpmāk lauksaimniecības sektora emisijas </w:t>
      </w:r>
      <w:r w:rsidR="008F056F" w:rsidRPr="008F056F">
        <w:rPr>
          <w:color w:val="000000" w:themeColor="text1"/>
        </w:rPr>
        <w:t xml:space="preserve">palielināsies. </w:t>
      </w:r>
      <w:r w:rsidR="00D8202C" w:rsidRPr="008F056F">
        <w:rPr>
          <w:color w:val="000000" w:themeColor="text1"/>
        </w:rPr>
        <w:t>2050.</w:t>
      </w:r>
      <w:r w:rsidR="008A037F">
        <w:rPr>
          <w:color w:val="000000" w:themeColor="text1"/>
        </w:rPr>
        <w:t> </w:t>
      </w:r>
      <w:r w:rsidR="00D8202C" w:rsidRPr="008F056F">
        <w:rPr>
          <w:color w:val="000000" w:themeColor="text1"/>
        </w:rPr>
        <w:t xml:space="preserve">gadā </w:t>
      </w:r>
      <w:r w:rsidR="008F056F" w:rsidRPr="008F056F">
        <w:rPr>
          <w:color w:val="000000" w:themeColor="text1"/>
        </w:rPr>
        <w:t>p</w:t>
      </w:r>
      <w:r w:rsidR="0056737B" w:rsidRPr="008F056F">
        <w:rPr>
          <w:color w:val="000000" w:themeColor="text1"/>
        </w:rPr>
        <w:t xml:space="preserve">ar </w:t>
      </w:r>
      <w:r w:rsidR="008F056F" w:rsidRPr="008F056F">
        <w:rPr>
          <w:color w:val="000000" w:themeColor="text1"/>
        </w:rPr>
        <w:t xml:space="preserve">attiecīgi </w:t>
      </w:r>
      <w:r w:rsidR="0056737B" w:rsidRPr="008F056F">
        <w:rPr>
          <w:color w:val="000000" w:themeColor="text1"/>
        </w:rPr>
        <w:t>~15</w:t>
      </w:r>
      <w:r w:rsidR="008A037F">
        <w:rPr>
          <w:color w:val="000000" w:themeColor="text1"/>
        </w:rPr>
        <w:t> </w:t>
      </w:r>
      <w:r w:rsidR="0056737B" w:rsidRPr="008F056F">
        <w:rPr>
          <w:color w:val="000000" w:themeColor="text1"/>
        </w:rPr>
        <w:t xml:space="preserve">% </w:t>
      </w:r>
      <w:r w:rsidRPr="008F056F">
        <w:rPr>
          <w:color w:val="000000" w:themeColor="text1"/>
        </w:rPr>
        <w:t>salīdzinājumā ar 201</w:t>
      </w:r>
      <w:r w:rsidR="0056737B" w:rsidRPr="008F056F">
        <w:rPr>
          <w:color w:val="000000" w:themeColor="text1"/>
        </w:rPr>
        <w:t>7</w:t>
      </w:r>
      <w:r w:rsidRPr="008F056F">
        <w:rPr>
          <w:color w:val="000000" w:themeColor="text1"/>
        </w:rPr>
        <w:t>.</w:t>
      </w:r>
      <w:r w:rsidR="008A037F">
        <w:rPr>
          <w:color w:val="000000" w:themeColor="text1"/>
        </w:rPr>
        <w:t> </w:t>
      </w:r>
      <w:r w:rsidRPr="008F056F">
        <w:rPr>
          <w:color w:val="000000" w:themeColor="text1"/>
        </w:rPr>
        <w:t>gadu</w:t>
      </w:r>
      <w:r w:rsidR="008F056F" w:rsidRPr="008F056F">
        <w:rPr>
          <w:color w:val="000000" w:themeColor="text1"/>
        </w:rPr>
        <w:t xml:space="preserve"> un 43</w:t>
      </w:r>
      <w:r w:rsidR="008A037F">
        <w:rPr>
          <w:color w:val="000000" w:themeColor="text1"/>
        </w:rPr>
        <w:t> </w:t>
      </w:r>
      <w:r w:rsidR="008F056F" w:rsidRPr="008F056F">
        <w:rPr>
          <w:color w:val="000000" w:themeColor="text1"/>
        </w:rPr>
        <w:t>% pret</w:t>
      </w:r>
      <w:r w:rsidR="00636426" w:rsidRPr="008F056F">
        <w:rPr>
          <w:color w:val="000000" w:themeColor="text1"/>
        </w:rPr>
        <w:t xml:space="preserve"> 1990.</w:t>
      </w:r>
      <w:r w:rsidR="008A037F">
        <w:rPr>
          <w:color w:val="000000" w:themeColor="text1"/>
        </w:rPr>
        <w:t> </w:t>
      </w:r>
      <w:r w:rsidR="00636426" w:rsidRPr="008F056F">
        <w:rPr>
          <w:color w:val="000000" w:themeColor="text1"/>
        </w:rPr>
        <w:t>gadu.</w:t>
      </w:r>
    </w:p>
    <w:p w14:paraId="029AEA67" w14:textId="77777777" w:rsidR="003D3CB6" w:rsidRPr="008F056F" w:rsidRDefault="003D3CB6" w:rsidP="00E008BC">
      <w:pPr>
        <w:spacing w:before="120" w:after="120"/>
      </w:pPr>
      <w:r w:rsidRPr="008F056F">
        <w:rPr>
          <w:i/>
        </w:rPr>
        <w:t>Atkritumu apsaimniekošanas</w:t>
      </w:r>
      <w:r w:rsidRPr="008F056F">
        <w:t xml:space="preserve"> sektors</w:t>
      </w:r>
      <w:r w:rsidRPr="008F056F">
        <w:rPr>
          <w:vertAlign w:val="superscript"/>
        </w:rPr>
        <w:footnoteReference w:id="45"/>
      </w:r>
      <w:r w:rsidRPr="008F056F">
        <w:t xml:space="preserve"> ra</w:t>
      </w:r>
      <w:r w:rsidR="00D5184C" w:rsidRPr="008F056F">
        <w:t>d</w:t>
      </w:r>
      <w:r w:rsidR="009C201E" w:rsidRPr="008F056F">
        <w:t xml:space="preserve">a </w:t>
      </w:r>
      <w:r w:rsidR="00A041D0" w:rsidRPr="008F056F">
        <w:t xml:space="preserve">apmēram </w:t>
      </w:r>
      <w:r w:rsidR="00EB5542" w:rsidRPr="008F056F">
        <w:t>5</w:t>
      </w:r>
      <w:r w:rsidR="008A037F">
        <w:t> </w:t>
      </w:r>
      <w:r w:rsidR="00B3254D" w:rsidRPr="008F056F">
        <w:t>% no kopējām 201</w:t>
      </w:r>
      <w:r w:rsidR="00EB5542" w:rsidRPr="008F056F">
        <w:t>7</w:t>
      </w:r>
      <w:r w:rsidRPr="008F056F">
        <w:t>.</w:t>
      </w:r>
      <w:r w:rsidR="008A037F">
        <w:t> </w:t>
      </w:r>
      <w:r w:rsidRPr="008F056F">
        <w:t>gada emisijām. Lielākā daļa emisij</w:t>
      </w:r>
      <w:r w:rsidR="000F6FBD" w:rsidRPr="008F056F">
        <w:t>as</w:t>
      </w:r>
      <w:r w:rsidRPr="008F056F">
        <w:t xml:space="preserve"> rodas no atkri</w:t>
      </w:r>
      <w:r w:rsidR="00B3254D" w:rsidRPr="008F056F">
        <w:t>tumu noglabāšanas izgāztuvēs (</w:t>
      </w:r>
      <w:r w:rsidR="00F2061A">
        <w:t>71</w:t>
      </w:r>
      <w:r w:rsidR="008A037F">
        <w:t> </w:t>
      </w:r>
      <w:r w:rsidRPr="008F056F">
        <w:t xml:space="preserve">%) un </w:t>
      </w:r>
      <w:r w:rsidR="000F6FBD" w:rsidRPr="008F056F">
        <w:t xml:space="preserve">no </w:t>
      </w:r>
      <w:r w:rsidR="00B3254D" w:rsidRPr="008F056F">
        <w:t>notekūdeņiem (</w:t>
      </w:r>
      <w:r w:rsidR="003767A6" w:rsidRPr="008F056F">
        <w:t>20</w:t>
      </w:r>
      <w:r w:rsidR="008A037F">
        <w:t> </w:t>
      </w:r>
      <w:r w:rsidRPr="008F056F">
        <w:t>%), atliku</w:t>
      </w:r>
      <w:r w:rsidR="000F6FBD" w:rsidRPr="008F056F">
        <w:t>sī</w:t>
      </w:r>
      <w:r w:rsidRPr="008F056F">
        <w:t xml:space="preserve"> daļa</w:t>
      </w:r>
      <w:r w:rsidR="008A037F">
        <w:t> </w:t>
      </w:r>
      <w:r w:rsidR="008A037F" w:rsidRPr="00A832E6">
        <w:rPr>
          <w:color w:val="000000" w:themeColor="text1"/>
        </w:rPr>
        <w:t>–</w:t>
      </w:r>
      <w:r w:rsidR="008A037F">
        <w:t> </w:t>
      </w:r>
      <w:r w:rsidRPr="008F056F">
        <w:t>atkritumu ko</w:t>
      </w:r>
      <w:r w:rsidR="00FF3E54" w:rsidRPr="008F056F">
        <w:t>mpostēšan</w:t>
      </w:r>
      <w:r w:rsidR="00B3254D" w:rsidRPr="008F056F">
        <w:t>as un sadedzināšanas (8</w:t>
      </w:r>
      <w:r w:rsidR="008A037F">
        <w:t> </w:t>
      </w:r>
      <w:r w:rsidRPr="008F056F">
        <w:t>%). Salīdzinājumā ar 1990.</w:t>
      </w:r>
      <w:r w:rsidR="008A037F">
        <w:t> </w:t>
      </w:r>
      <w:r w:rsidRPr="008F056F">
        <w:t xml:space="preserve">gadu SEG </w:t>
      </w:r>
      <w:r w:rsidR="00B3254D" w:rsidRPr="008F056F">
        <w:t>emisijas</w:t>
      </w:r>
      <w:r w:rsidR="00782AFA">
        <w:t xml:space="preserve"> no atkritumu sektora</w:t>
      </w:r>
      <w:r w:rsidR="00B3254D" w:rsidRPr="008F056F">
        <w:t xml:space="preserve"> ir </w:t>
      </w:r>
      <w:r w:rsidR="00EB5542" w:rsidRPr="008F056F">
        <w:t>samazinājušās</w:t>
      </w:r>
      <w:r w:rsidR="00B3254D" w:rsidRPr="008F056F">
        <w:t xml:space="preserve"> par </w:t>
      </w:r>
      <w:r w:rsidR="00EB5542" w:rsidRPr="008F056F">
        <w:t>19,2</w:t>
      </w:r>
      <w:r w:rsidR="008A037F">
        <w:t> </w:t>
      </w:r>
      <w:r w:rsidRPr="008F056F">
        <w:t xml:space="preserve">%. Sektorā ir vērojamas emisiju svārstības, kas izskaidrojamas ar ekonomiskās situācijas izmaiņām valstī. </w:t>
      </w:r>
    </w:p>
    <w:p w14:paraId="0C1F1C81" w14:textId="77777777" w:rsidR="00D73E1E" w:rsidRPr="005A0F66" w:rsidRDefault="003D3CB6" w:rsidP="00E008BC">
      <w:pPr>
        <w:spacing w:before="120" w:after="120"/>
        <w:rPr>
          <w:color w:val="000000" w:themeColor="text1"/>
        </w:rPr>
      </w:pPr>
      <w:r w:rsidRPr="008F056F">
        <w:rPr>
          <w:color w:val="000000" w:themeColor="text1"/>
        </w:rPr>
        <w:t>Prognozes liecina, ka līdz 2050.</w:t>
      </w:r>
      <w:r w:rsidR="008A037F">
        <w:rPr>
          <w:color w:val="000000" w:themeColor="text1"/>
        </w:rPr>
        <w:t> </w:t>
      </w:r>
      <w:r w:rsidRPr="008F056F">
        <w:rPr>
          <w:color w:val="000000" w:themeColor="text1"/>
        </w:rPr>
        <w:t xml:space="preserve">gadam SEG emisijas no atkritumu apsaimniekošanas sektora </w:t>
      </w:r>
      <w:r w:rsidR="00B3254D" w:rsidRPr="008F056F">
        <w:rPr>
          <w:color w:val="000000" w:themeColor="text1"/>
        </w:rPr>
        <w:t xml:space="preserve">sasniegs apmēram </w:t>
      </w:r>
      <w:r w:rsidR="00FC2E88" w:rsidRPr="008F056F">
        <w:rPr>
          <w:color w:val="000000" w:themeColor="text1"/>
        </w:rPr>
        <w:t>58</w:t>
      </w:r>
      <w:r w:rsidR="008A037F">
        <w:rPr>
          <w:color w:val="000000" w:themeColor="text1"/>
        </w:rPr>
        <w:t> </w:t>
      </w:r>
      <w:r w:rsidR="00FC2E88" w:rsidRPr="008F056F">
        <w:rPr>
          <w:color w:val="000000" w:themeColor="text1"/>
        </w:rPr>
        <w:t>% samazinājumu, ja salīdzina ar 2017.</w:t>
      </w:r>
      <w:r w:rsidR="008A037F">
        <w:rPr>
          <w:color w:val="000000" w:themeColor="text1"/>
        </w:rPr>
        <w:t> </w:t>
      </w:r>
      <w:r w:rsidR="00FC2E88" w:rsidRPr="008F056F">
        <w:rPr>
          <w:color w:val="000000" w:themeColor="text1"/>
        </w:rPr>
        <w:t>gadu</w:t>
      </w:r>
      <w:r w:rsidR="00FC2E88">
        <w:rPr>
          <w:color w:val="000000" w:themeColor="text1"/>
        </w:rPr>
        <w:t xml:space="preserve"> un</w:t>
      </w:r>
      <w:r w:rsidR="00FC2E88" w:rsidRPr="008F056F">
        <w:rPr>
          <w:color w:val="000000" w:themeColor="text1"/>
        </w:rPr>
        <w:t xml:space="preserve"> </w:t>
      </w:r>
      <w:r w:rsidR="00D8202C" w:rsidRPr="008F056F">
        <w:rPr>
          <w:color w:val="000000" w:themeColor="text1"/>
        </w:rPr>
        <w:t>66</w:t>
      </w:r>
      <w:r w:rsidR="008A037F">
        <w:rPr>
          <w:color w:val="000000" w:themeColor="text1"/>
        </w:rPr>
        <w:t> </w:t>
      </w:r>
      <w:r w:rsidRPr="008F056F">
        <w:rPr>
          <w:color w:val="000000" w:themeColor="text1"/>
        </w:rPr>
        <w:t>% samazinājumu</w:t>
      </w:r>
      <w:r w:rsidR="00E96BC1" w:rsidRPr="008F056F">
        <w:rPr>
          <w:color w:val="000000" w:themeColor="text1"/>
        </w:rPr>
        <w:t>,</w:t>
      </w:r>
      <w:r w:rsidR="00B3254D" w:rsidRPr="008F056F">
        <w:rPr>
          <w:color w:val="000000" w:themeColor="text1"/>
        </w:rPr>
        <w:t xml:space="preserve"> salīdzinot ar 1990.</w:t>
      </w:r>
      <w:r w:rsidR="004D4491">
        <w:rPr>
          <w:color w:val="000000" w:themeColor="text1"/>
        </w:rPr>
        <w:t> </w:t>
      </w:r>
      <w:r w:rsidR="00B3254D" w:rsidRPr="008F056F">
        <w:rPr>
          <w:color w:val="000000" w:themeColor="text1"/>
        </w:rPr>
        <w:t>gadu</w:t>
      </w:r>
      <w:r w:rsidRPr="008F056F">
        <w:rPr>
          <w:color w:val="000000" w:themeColor="text1"/>
        </w:rPr>
        <w:t>.</w:t>
      </w:r>
    </w:p>
    <w:p w14:paraId="2095455A" w14:textId="106F4B90" w:rsidR="00D74E07" w:rsidRPr="00A46CC4" w:rsidRDefault="00E349F3" w:rsidP="00D74E07">
      <w:pPr>
        <w:pStyle w:val="Heading2"/>
        <w:ind w:left="357"/>
      </w:pPr>
      <w:bookmarkStart w:id="24" w:name="_Toc463358273"/>
      <w:bookmarkStart w:id="25" w:name="_Toc25580327"/>
      <w:r>
        <w:t>4</w:t>
      </w:r>
      <w:r w:rsidR="00D74E07" w:rsidRPr="00A46CC4">
        <w:t>.2.</w:t>
      </w:r>
      <w:r w:rsidR="002E5E63">
        <w:t> </w:t>
      </w:r>
      <w:r w:rsidR="007137B0">
        <w:t xml:space="preserve">ZIZIMM </w:t>
      </w:r>
      <w:r w:rsidR="00E3068D">
        <w:t xml:space="preserve">sektora </w:t>
      </w:r>
      <w:r w:rsidR="007137B0">
        <w:t>neto emisijas</w:t>
      </w:r>
      <w:r w:rsidR="002E5E63">
        <w:t> </w:t>
      </w:r>
      <w:r w:rsidR="002E5E63" w:rsidRPr="00A832E6">
        <w:rPr>
          <w:color w:val="000000" w:themeColor="text1"/>
        </w:rPr>
        <w:t>–</w:t>
      </w:r>
      <w:r w:rsidR="002E5E63">
        <w:t> </w:t>
      </w:r>
      <w:r w:rsidR="00D74E07" w:rsidRPr="00A46CC4">
        <w:t>struktūra un dinamika</w:t>
      </w:r>
      <w:bookmarkEnd w:id="24"/>
      <w:bookmarkEnd w:id="25"/>
    </w:p>
    <w:p w14:paraId="199258EB" w14:textId="01CBE949" w:rsidR="007137B0" w:rsidRDefault="00185C9D" w:rsidP="00E008BC">
      <w:pPr>
        <w:spacing w:before="120" w:after="120"/>
      </w:pPr>
      <w:r w:rsidRPr="00A46CC4">
        <w:t>Atšķirībā no ci</w:t>
      </w:r>
      <w:r w:rsidR="00E701B8">
        <w:t xml:space="preserve">tiem sektoriem, ZIZIMM sektorā </w:t>
      </w:r>
      <w:r w:rsidRPr="00A46CC4">
        <w:t xml:space="preserve">rodas ne tikai SEG emisijas, bet veidojas </w:t>
      </w:r>
      <w:r w:rsidR="005D31BD" w:rsidRPr="00A46CC4">
        <w:t xml:space="preserve">arī </w:t>
      </w:r>
      <w:r w:rsidRPr="00A46CC4">
        <w:t>CO</w:t>
      </w:r>
      <w:r w:rsidRPr="00D45098">
        <w:rPr>
          <w:vertAlign w:val="subscript"/>
        </w:rPr>
        <w:t>2</w:t>
      </w:r>
      <w:r w:rsidRPr="00A46CC4">
        <w:t xml:space="preserve"> piesaiste </w:t>
      </w:r>
      <w:r w:rsidR="007137B0">
        <w:t>(</w:t>
      </w:r>
      <w:r w:rsidR="00CC1830">
        <w:t>fotosintēzes procesā dzīvajā koksnes biomasā piesaistītais  atmosfēras ogleklis</w:t>
      </w:r>
      <w:r w:rsidR="005D6931">
        <w:t>)</w:t>
      </w:r>
      <w:r w:rsidRPr="00A46CC4">
        <w:t xml:space="preserve">. ZIZIMM sektors ietver sešas zemes kategorijas: meža zeme, aramzeme, zālāji, </w:t>
      </w:r>
      <w:r w:rsidR="00CC1830">
        <w:t>apdzīvotas vietas</w:t>
      </w:r>
      <w:r w:rsidRPr="00A46CC4">
        <w:t xml:space="preserve">, mitrāji un citas zemes. </w:t>
      </w:r>
      <w:r w:rsidR="007137B0">
        <w:t>Stratēģijas tvērums attiecas uz visu</w:t>
      </w:r>
      <w:r w:rsidRPr="00A46CC4">
        <w:t xml:space="preserve"> </w:t>
      </w:r>
      <w:r w:rsidR="007137B0" w:rsidRPr="00A46CC4">
        <w:t xml:space="preserve">ZIZIMM </w:t>
      </w:r>
      <w:r w:rsidR="003C02DC">
        <w:t>sektoru, nevis tikai atsevišķām kategorijām.</w:t>
      </w:r>
    </w:p>
    <w:p w14:paraId="1E69E1B0" w14:textId="06C153DD" w:rsidR="00D74E07" w:rsidRDefault="00185C9D" w:rsidP="00E008BC">
      <w:pPr>
        <w:spacing w:before="120" w:after="120"/>
      </w:pPr>
      <w:r w:rsidRPr="00A46CC4">
        <w:t xml:space="preserve">Kopējo SEG bilanci veido </w:t>
      </w:r>
      <w:r w:rsidR="006D2047">
        <w:t xml:space="preserve">minēto </w:t>
      </w:r>
      <w:r w:rsidRPr="00A46CC4">
        <w:t xml:space="preserve">ZIZIMM sektora </w:t>
      </w:r>
      <w:r>
        <w:t xml:space="preserve">kategoriju SEG emisiju </w:t>
      </w:r>
      <w:r w:rsidRPr="00A46CC4">
        <w:t>summa.</w:t>
      </w:r>
      <w:r>
        <w:t xml:space="preserve"> </w:t>
      </w:r>
      <w:r w:rsidR="00D74E07" w:rsidRPr="00A46CC4">
        <w:t>Laika periodā no 1990. līdz 2013.</w:t>
      </w:r>
      <w:r w:rsidR="00F86E23">
        <w:t> </w:t>
      </w:r>
      <w:r w:rsidR="00D74E07" w:rsidRPr="00A46CC4">
        <w:t>gadam kopēj</w:t>
      </w:r>
      <w:r w:rsidR="005D31BD">
        <w:t>ā</w:t>
      </w:r>
      <w:r w:rsidR="00D74E07" w:rsidRPr="00A46CC4">
        <w:t xml:space="preserve">s SEG emisijas </w:t>
      </w:r>
      <w:r w:rsidR="003A1882" w:rsidRPr="00A46CC4">
        <w:t xml:space="preserve">ZIZIMM </w:t>
      </w:r>
      <w:r w:rsidR="00D74E07" w:rsidRPr="00A46CC4">
        <w:t>sektorā bija mazākas nekā CO</w:t>
      </w:r>
      <w:r w:rsidR="00D74E07" w:rsidRPr="00C9659E">
        <w:rPr>
          <w:vertAlign w:val="subscript"/>
        </w:rPr>
        <w:t>2</w:t>
      </w:r>
      <w:r w:rsidR="00D74E07" w:rsidRPr="00A46CC4">
        <w:t xml:space="preserve"> piesaiste. Tomēr sākot no 2010.</w:t>
      </w:r>
      <w:r w:rsidR="00F86E23">
        <w:t> </w:t>
      </w:r>
      <w:r w:rsidR="00D74E07" w:rsidRPr="00A46CC4">
        <w:t>gada vērojams SEG emisiju pieaugums</w:t>
      </w:r>
      <w:r w:rsidR="0069549D">
        <w:t xml:space="preserve"> ZIZIMM sektorā</w:t>
      </w:r>
      <w:r w:rsidR="00D74E07" w:rsidRPr="00A46CC4">
        <w:t>,</w:t>
      </w:r>
      <w:r w:rsidR="00D74E07" w:rsidRPr="001D47F8">
        <w:t xml:space="preserve"> </w:t>
      </w:r>
      <w:r w:rsidR="001D47F8" w:rsidRPr="001D47F8">
        <w:t>turklāt arī turpmāk (līdz 2050.</w:t>
      </w:r>
      <w:r w:rsidR="00F86E23">
        <w:t> </w:t>
      </w:r>
      <w:r w:rsidR="001D47F8" w:rsidRPr="001D47F8">
        <w:t>gadam) prognozēts, ka SEG emisijas ZIZIMM sektorā pārsniegs piesaisti</w:t>
      </w:r>
      <w:r w:rsidR="00D74E07" w:rsidRPr="001D47F8">
        <w:t xml:space="preserve">. </w:t>
      </w:r>
      <w:r w:rsidR="00D74E07" w:rsidRPr="00A46CC4">
        <w:t>Lielākās SEG emisiju un CO</w:t>
      </w:r>
      <w:r w:rsidR="00D74E07" w:rsidRPr="00C9659E">
        <w:rPr>
          <w:vertAlign w:val="subscript"/>
        </w:rPr>
        <w:t>2</w:t>
      </w:r>
      <w:r w:rsidR="00D74E07" w:rsidRPr="00A46CC4">
        <w:t xml:space="preserve"> piesaistes izmaiņas ir kategorijā „Meža zemes”</w:t>
      </w:r>
      <w:r w:rsidR="001D47F8">
        <w:t xml:space="preserve"> (skat.</w:t>
      </w:r>
      <w:r w:rsidR="007C085B">
        <w:t>4</w:t>
      </w:r>
      <w:r w:rsidR="00D74E07" w:rsidRPr="00A46CC4">
        <w:t>.</w:t>
      </w:r>
      <w:r w:rsidR="00F86E23">
        <w:t> </w:t>
      </w:r>
      <w:r w:rsidR="00D74E07" w:rsidRPr="00A46CC4">
        <w:t>attēlā</w:t>
      </w:r>
      <w:r w:rsidR="001D47F8">
        <w:t>)</w:t>
      </w:r>
      <w:r w:rsidR="00D74E07" w:rsidRPr="00A46CC4">
        <w:t>.</w:t>
      </w:r>
    </w:p>
    <w:p w14:paraId="758489A4" w14:textId="5F6D92B2" w:rsidR="00C4692E" w:rsidRDefault="00C4692E" w:rsidP="00C4692E">
      <w:pPr>
        <w:spacing w:before="120" w:after="120"/>
      </w:pPr>
      <w:r>
        <w:rPr>
          <w:szCs w:val="24"/>
        </w:rPr>
        <w:t>Galvenais cēlonis CO</w:t>
      </w:r>
      <w:r w:rsidRPr="00E379E7">
        <w:rPr>
          <w:szCs w:val="24"/>
          <w:vertAlign w:val="subscript"/>
        </w:rPr>
        <w:t>2</w:t>
      </w:r>
      <w:r>
        <w:rPr>
          <w:szCs w:val="24"/>
        </w:rPr>
        <w:t xml:space="preserve"> piesaistes kritumam un SEG emisiju pieaugumam ZIZIMM sektorā ir </w:t>
      </w:r>
      <w:r w:rsidRPr="007F41AB">
        <w:rPr>
          <w:szCs w:val="24"/>
        </w:rPr>
        <w:t xml:space="preserve">ciršanas vecumu sasniegušu un pārsniegušu audžu īpatsvara </w:t>
      </w:r>
      <w:r>
        <w:rPr>
          <w:szCs w:val="24"/>
        </w:rPr>
        <w:t xml:space="preserve">palielināšanās, kas veicinājusi mežizstrādes apjoma kāpumu un ar koku dabisko atmirumu saistīto emisiju palielināšanos. </w:t>
      </w:r>
      <w:r w:rsidRPr="00A46CC4">
        <w:t>Tāpat nozīmīg</w:t>
      </w:r>
      <w:r>
        <w:t>s</w:t>
      </w:r>
      <w:r w:rsidRPr="00A46CC4">
        <w:t xml:space="preserve"> faktor</w:t>
      </w:r>
      <w:r>
        <w:t>s</w:t>
      </w:r>
      <w:r w:rsidRPr="00A46CC4">
        <w:t xml:space="preserve"> ir atmežošana, būvējot jaunus infrastruktūras objektus. Mežaudžu vecumstruktūrā pēdējās desmitgadēs Latvijā visām galvenajām koku sugām, jo sevišķi lapkoku audzēs, ir palielinājies saimnieciskās izmantošanas vecumu sasniegušo un pāraugušo mežaudžu īpatsvars. Šādās mežaudzēs palēninās oglekļa uzkrāšanās dzīvajā biomasā </w:t>
      </w:r>
      <w:r w:rsidRPr="00A46CC4">
        <w:lastRenderedPageBreak/>
        <w:t>un pieaug CO</w:t>
      </w:r>
      <w:r w:rsidRPr="00A46CC4">
        <w:rPr>
          <w:vertAlign w:val="subscript"/>
        </w:rPr>
        <w:t>2</w:t>
      </w:r>
      <w:r w:rsidRPr="00A46CC4">
        <w:t xml:space="preserve"> emisijas, mineralizējoties nedzīvajā koksnē uzkrātajam ogleklim, kā rezultātā SEG emisijas var pārsniegt oglekļa piesaisti kokaugu biomasā. </w:t>
      </w:r>
    </w:p>
    <w:p w14:paraId="5F03E282" w14:textId="77777777" w:rsidR="00C704ED" w:rsidRDefault="00C704ED" w:rsidP="00D74E07">
      <w:pPr>
        <w:pStyle w:val="Title"/>
      </w:pPr>
      <w:r>
        <w:rPr>
          <w:noProof/>
        </w:rPr>
        <w:drawing>
          <wp:inline distT="0" distB="0" distL="0" distR="0" wp14:anchorId="7D17006F" wp14:editId="767897E2">
            <wp:extent cx="5538158" cy="4039259"/>
            <wp:effectExtent l="0" t="0" r="571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1574F3" w14:textId="77777777" w:rsidR="00D74E07" w:rsidRPr="00E701B8" w:rsidRDefault="007C085B" w:rsidP="00D74E07">
      <w:pPr>
        <w:pStyle w:val="Title"/>
        <w:rPr>
          <w:b/>
        </w:rPr>
      </w:pPr>
      <w:r w:rsidRPr="00E701B8">
        <w:rPr>
          <w:b/>
        </w:rPr>
        <w:t>4</w:t>
      </w:r>
      <w:r w:rsidR="00D74E07" w:rsidRPr="00E701B8">
        <w:rPr>
          <w:b/>
        </w:rPr>
        <w:t>.</w:t>
      </w:r>
      <w:r w:rsidR="00F86E23" w:rsidRPr="00E701B8">
        <w:rPr>
          <w:b/>
        </w:rPr>
        <w:t> </w:t>
      </w:r>
      <w:r w:rsidR="00D74E07" w:rsidRPr="00E701B8">
        <w:rPr>
          <w:b/>
        </w:rPr>
        <w:t>attēls. Latvijas ZIZIMM</w:t>
      </w:r>
      <w:r w:rsidR="00AB5CE9" w:rsidRPr="00E701B8">
        <w:rPr>
          <w:b/>
        </w:rPr>
        <w:t xml:space="preserve"> sektora</w:t>
      </w:r>
      <w:r w:rsidR="00D74E07" w:rsidRPr="00E701B8">
        <w:rPr>
          <w:b/>
        </w:rPr>
        <w:t xml:space="preserve"> SEG emisijas un piesaiste (kt CO</w:t>
      </w:r>
      <w:r w:rsidR="00D74E07" w:rsidRPr="00E701B8">
        <w:rPr>
          <w:b/>
          <w:vertAlign w:val="subscript"/>
        </w:rPr>
        <w:t>2</w:t>
      </w:r>
      <w:r w:rsidR="00D74E07" w:rsidRPr="00E701B8">
        <w:rPr>
          <w:b/>
        </w:rPr>
        <w:t xml:space="preserve"> ekv.)</w:t>
      </w:r>
      <w:r w:rsidR="00D74E07" w:rsidRPr="00E701B8">
        <w:rPr>
          <w:b/>
          <w:vertAlign w:val="superscript"/>
        </w:rPr>
        <w:footnoteReference w:id="46"/>
      </w:r>
    </w:p>
    <w:p w14:paraId="47ED56B4" w14:textId="241BCBFF" w:rsidR="00D74E07" w:rsidRPr="00A46CC4" w:rsidRDefault="00D74E07" w:rsidP="00465928">
      <w:pPr>
        <w:spacing w:before="120" w:after="120"/>
      </w:pPr>
      <w:r w:rsidRPr="00A46CC4">
        <w:t>SEG emisijas no aramzemēm un zālājiem kopš 1990.</w:t>
      </w:r>
      <w:r w:rsidR="00F86E23">
        <w:t> </w:t>
      </w:r>
      <w:r w:rsidRPr="00A46CC4">
        <w:t>gada samazinās. SEG emisiju samazinājums aramzemēs galvenokārt tiek saistīts ar organisko augšņu mineralizāciju</w:t>
      </w:r>
      <w:r w:rsidR="00465928">
        <w:t xml:space="preserve">, aramzemju </w:t>
      </w:r>
      <w:r w:rsidRPr="00A46CC4">
        <w:t xml:space="preserve"> transformā</w:t>
      </w:r>
      <w:r w:rsidR="003716B4">
        <w:t>ciju par zālājiem un apmežošanu</w:t>
      </w:r>
      <w:r w:rsidRPr="00A46CC4">
        <w:t>.</w:t>
      </w:r>
    </w:p>
    <w:p w14:paraId="772411E7" w14:textId="77777777" w:rsidR="00D74E07" w:rsidRPr="00A46CC4" w:rsidRDefault="00D74E07" w:rsidP="00E008BC">
      <w:pPr>
        <w:spacing w:before="120" w:after="120"/>
      </w:pPr>
      <w:r w:rsidRPr="00A46CC4">
        <w:t>Lielākais SEG emisiju apjoms zālājos veidojas organiskajās augsnēs. Organiskajās augsnēs aramzemēs un zālājos būtiskas CO</w:t>
      </w:r>
      <w:r w:rsidRPr="00A46CC4">
        <w:rPr>
          <w:vertAlign w:val="subscript"/>
        </w:rPr>
        <w:t xml:space="preserve">2 </w:t>
      </w:r>
      <w:r w:rsidRPr="00A46CC4">
        <w:t>un N</w:t>
      </w:r>
      <w:r w:rsidRPr="00A46CC4">
        <w:rPr>
          <w:vertAlign w:val="subscript"/>
        </w:rPr>
        <w:t>2</w:t>
      </w:r>
      <w:r w:rsidRPr="00A46CC4">
        <w:t>O emisijas veidojas, neatkarīgi no apsaimniekošanas paņēmiena, savukārt minerālaugsnēs, oglekļa uzkrājums pieaug vai samazinās zemes izmantošanas veida vai apsaimniekošanas paņēmiena</w:t>
      </w:r>
      <w:r w:rsidR="00F86E23">
        <w:t xml:space="preserve"> </w:t>
      </w:r>
      <w:r w:rsidRPr="00A46CC4">
        <w:t>maiņas rezultātā.</w:t>
      </w:r>
    </w:p>
    <w:p w14:paraId="3DCFB4F1" w14:textId="23B6FEF0" w:rsidR="00C373DC" w:rsidRDefault="00C373DC" w:rsidP="00C373DC">
      <w:pPr>
        <w:spacing w:before="120" w:after="120"/>
      </w:pPr>
      <w:r w:rsidRPr="00C851DF">
        <w:rPr>
          <w:szCs w:val="28"/>
        </w:rPr>
        <w:t xml:space="preserve">SEG emisijas, kas veidojas kūdras ieguves teritorijās un </w:t>
      </w:r>
      <w:r>
        <w:rPr>
          <w:szCs w:val="28"/>
        </w:rPr>
        <w:t xml:space="preserve">emisijas, kas rodas, </w:t>
      </w:r>
      <w:r w:rsidRPr="00C851DF">
        <w:rPr>
          <w:szCs w:val="28"/>
        </w:rPr>
        <w:t>izm</w:t>
      </w:r>
      <w:r>
        <w:rPr>
          <w:szCs w:val="28"/>
        </w:rPr>
        <w:t xml:space="preserve">antojot kūdru </w:t>
      </w:r>
      <w:r w:rsidRPr="00C851DF">
        <w:rPr>
          <w:szCs w:val="28"/>
        </w:rPr>
        <w:t>d</w:t>
      </w:r>
      <w:r>
        <w:rPr>
          <w:szCs w:val="28"/>
        </w:rPr>
        <w:t>ārzkopībā</w:t>
      </w:r>
      <w:r w:rsidR="00C4692E">
        <w:rPr>
          <w:szCs w:val="28"/>
        </w:rPr>
        <w:t>,</w:t>
      </w:r>
      <w:r>
        <w:rPr>
          <w:szCs w:val="28"/>
        </w:rPr>
        <w:t xml:space="preserve"> </w:t>
      </w:r>
      <w:r>
        <w:t>tiek novērtētas</w:t>
      </w:r>
      <w:r w:rsidRPr="008E23B4">
        <w:t xml:space="preserve"> </w:t>
      </w:r>
      <w:r>
        <w:t>Mitrzemju</w:t>
      </w:r>
      <w:r w:rsidR="00CC1830">
        <w:t xml:space="preserve"> kategorijā</w:t>
      </w:r>
      <w:r>
        <w:t>.</w:t>
      </w:r>
      <w:r w:rsidRPr="008C1DA0">
        <w:t xml:space="preserve"> </w:t>
      </w:r>
      <w:r>
        <w:t>Saskaņā ar 2019</w:t>
      </w:r>
      <w:r w:rsidRPr="008C1DA0">
        <w:t>. gada SEG inventarizāciju emisijas no mitrzemēm lai</w:t>
      </w:r>
      <w:r>
        <w:t>ka posmā no 1990. gada līdz 2017</w:t>
      </w:r>
      <w:r w:rsidRPr="008C1DA0">
        <w:t>. gadam ir pieaugušas un SEG prognozes liecina par SEG emisiju palielinājumu arī nākotnē, palielinoties kūdras ieguves apjomam un izstrādāto kūdras lauku platībai.</w:t>
      </w:r>
    </w:p>
    <w:p w14:paraId="6CAA5B72" w14:textId="77777777" w:rsidR="00310579" w:rsidRPr="00310579" w:rsidRDefault="0078529B" w:rsidP="00E008BC">
      <w:pPr>
        <w:pStyle w:val="Heading2"/>
        <w:spacing w:before="120"/>
        <w:ind w:left="357"/>
      </w:pPr>
      <w:bookmarkStart w:id="26" w:name="_Toc25580328"/>
      <w:r>
        <w:t>4</w:t>
      </w:r>
      <w:r w:rsidRPr="00A46CC4">
        <w:t>.</w:t>
      </w:r>
      <w:r>
        <w:t>3</w:t>
      </w:r>
      <w:r w:rsidRPr="00A46CC4">
        <w:t>.</w:t>
      </w:r>
      <w:r w:rsidR="00F86E23">
        <w:t> </w:t>
      </w:r>
      <w:r w:rsidR="00310579">
        <w:t xml:space="preserve">Latvijas </w:t>
      </w:r>
      <w:r w:rsidR="00C96E0F">
        <w:t xml:space="preserve">kopējā </w:t>
      </w:r>
      <w:r w:rsidR="00310579">
        <w:t>virzība uz klimat</w:t>
      </w:r>
      <w:r w:rsidR="00310579" w:rsidRPr="00310579">
        <w:t>neitralitāti</w:t>
      </w:r>
      <w:bookmarkEnd w:id="26"/>
      <w:r w:rsidR="00310579" w:rsidRPr="00310579">
        <w:t xml:space="preserve"> </w:t>
      </w:r>
    </w:p>
    <w:p w14:paraId="5E831913" w14:textId="77777777" w:rsidR="00E3068D" w:rsidRDefault="005A1A16" w:rsidP="00E008BC">
      <w:pPr>
        <w:spacing w:before="120" w:after="120"/>
        <w:ind w:firstLine="357"/>
      </w:pPr>
      <w:r>
        <w:t>I</w:t>
      </w:r>
      <w:r w:rsidR="00310579">
        <w:t>epriekšējās apakšnodaļās apskatīta esošā situācija attiecībā uz pirmajiem diviem Stratēģijas mērķiem, kas attiecas uz SEG emisij</w:t>
      </w:r>
      <w:r w:rsidR="00C36800">
        <w:t xml:space="preserve">u </w:t>
      </w:r>
      <w:r w:rsidR="00284E1F">
        <w:t>sa</w:t>
      </w:r>
      <w:r w:rsidR="00C36800">
        <w:t>mazināšanu</w:t>
      </w:r>
      <w:r w:rsidR="00310579">
        <w:t xml:space="preserve"> (</w:t>
      </w:r>
      <w:r w:rsidR="00C36800">
        <w:t>neiekļaujot</w:t>
      </w:r>
      <w:r w:rsidR="00310579">
        <w:t xml:space="preserve"> ZIZIMM </w:t>
      </w:r>
      <w:r w:rsidR="00C36800">
        <w:t>sektoru</w:t>
      </w:r>
      <w:r w:rsidR="00310579">
        <w:t xml:space="preserve">) un </w:t>
      </w:r>
      <w:r w:rsidR="00011F59">
        <w:t>neto emisijas</w:t>
      </w:r>
      <w:r w:rsidR="00310579">
        <w:t xml:space="preserve"> </w:t>
      </w:r>
      <w:r w:rsidR="00C36800">
        <w:t xml:space="preserve">tikai </w:t>
      </w:r>
      <w:r w:rsidR="00310579">
        <w:t>ZIZIMM sektorā</w:t>
      </w:r>
      <w:r>
        <w:t xml:space="preserve">. Tomēr </w:t>
      </w:r>
      <w:r w:rsidR="00310579">
        <w:t xml:space="preserve">tā kā klimatneitralitātes mērķis iekļauj sevī visu sektoru </w:t>
      </w:r>
      <w:r w:rsidR="00C36800">
        <w:lastRenderedPageBreak/>
        <w:t xml:space="preserve">kopējo </w:t>
      </w:r>
      <w:r w:rsidR="00310579">
        <w:t>sniegumu,</w:t>
      </w:r>
      <w:r w:rsidR="00FD7A4D">
        <w:t xml:space="preserve"> </w:t>
      </w:r>
      <w:r w:rsidR="00310579">
        <w:t xml:space="preserve">šajā apakšnodaļā </w:t>
      </w:r>
      <w:r w:rsidR="00C36800">
        <w:t xml:space="preserve">apkopota informācija par </w:t>
      </w:r>
      <w:r w:rsidR="00E3068D">
        <w:t xml:space="preserve">līdzšinējo </w:t>
      </w:r>
      <w:r w:rsidR="00FD7A4D">
        <w:t xml:space="preserve">ikgadējo </w:t>
      </w:r>
      <w:r w:rsidR="00C36800">
        <w:t xml:space="preserve">neto </w:t>
      </w:r>
      <w:r w:rsidR="00E3068D" w:rsidRPr="00160CEF">
        <w:t xml:space="preserve">SEG emisiju </w:t>
      </w:r>
      <w:r w:rsidR="00FD7A4D">
        <w:t xml:space="preserve">bilanci, </w:t>
      </w:r>
      <w:r w:rsidR="00E3068D">
        <w:t xml:space="preserve">kā arī prognozes, </w:t>
      </w:r>
      <w:r w:rsidR="00D63BA6">
        <w:t>ja tiks īstenoti tikai šobrīd paredzētie pasākumi</w:t>
      </w:r>
      <w:r w:rsidR="00C373DC">
        <w:t>, iekļaujot visus sektorus, tajā skaitā arī ZIZIMM</w:t>
      </w:r>
      <w:r w:rsidR="00D63BA6">
        <w:t xml:space="preserve">. </w:t>
      </w:r>
    </w:p>
    <w:p w14:paraId="6665E70F" w14:textId="42E6DB41" w:rsidR="00E701B8" w:rsidRDefault="00D06F34" w:rsidP="00E701B8">
      <w:r w:rsidRPr="0068263A">
        <w:t xml:space="preserve">Latvijas kopējās </w:t>
      </w:r>
      <w:r w:rsidR="002953FC">
        <w:t xml:space="preserve">SEG </w:t>
      </w:r>
      <w:r w:rsidRPr="0068263A">
        <w:t>emisijas (iekļaujot ZIZIMM sektoru)</w:t>
      </w:r>
      <w:r w:rsidR="00284E1F" w:rsidRPr="0068263A">
        <w:t xml:space="preserve"> 2017.</w:t>
      </w:r>
      <w:r w:rsidR="00F86E23">
        <w:t> </w:t>
      </w:r>
      <w:r w:rsidR="00284E1F" w:rsidRPr="0068263A">
        <w:t xml:space="preserve">gadā </w:t>
      </w:r>
      <w:r w:rsidRPr="0068263A">
        <w:t xml:space="preserve">ir </w:t>
      </w:r>
      <w:r w:rsidR="000A167D" w:rsidRPr="0068263A">
        <w:rPr>
          <w:color w:val="000000" w:themeColor="text1"/>
        </w:rPr>
        <w:t>9</w:t>
      </w:r>
      <w:r w:rsidR="00F86E23">
        <w:rPr>
          <w:color w:val="000000" w:themeColor="text1"/>
        </w:rPr>
        <w:t> </w:t>
      </w:r>
      <w:r w:rsidR="000A167D" w:rsidRPr="0068263A">
        <w:rPr>
          <w:color w:val="000000" w:themeColor="text1"/>
        </w:rPr>
        <w:t>618</w:t>
      </w:r>
      <w:r w:rsidR="0003286A" w:rsidRPr="0068263A">
        <w:rPr>
          <w:color w:val="000000" w:themeColor="text1"/>
        </w:rPr>
        <w:t xml:space="preserve"> </w:t>
      </w:r>
      <w:r w:rsidRPr="0068263A">
        <w:rPr>
          <w:color w:val="000000" w:themeColor="text1"/>
        </w:rPr>
        <w:t>kt</w:t>
      </w:r>
      <w:r w:rsidRPr="0068263A">
        <w:t>CO</w:t>
      </w:r>
      <w:r w:rsidRPr="0068263A">
        <w:rPr>
          <w:vertAlign w:val="subscript"/>
        </w:rPr>
        <w:t>2</w:t>
      </w:r>
      <w:r w:rsidR="0098469E" w:rsidRPr="0068263A">
        <w:t>ekv</w:t>
      </w:r>
      <w:r w:rsidRPr="0068263A">
        <w:rPr>
          <w:vertAlign w:val="superscript"/>
        </w:rPr>
        <w:footnoteReference w:id="47"/>
      </w:r>
      <w:r w:rsidR="00F16D18" w:rsidRPr="0068263A">
        <w:t>. P</w:t>
      </w:r>
      <w:r w:rsidRPr="0068263A">
        <w:t>eriodā no 1990. līdz 2017.</w:t>
      </w:r>
      <w:r w:rsidR="00F86E23">
        <w:t> </w:t>
      </w:r>
      <w:r w:rsidRPr="0068263A">
        <w:t>gadam, valsts kopējās SEG emisijas samazinājušās par</w:t>
      </w:r>
      <w:r w:rsidR="000E01EB" w:rsidRPr="0068263A">
        <w:t xml:space="preserve"> ~</w:t>
      </w:r>
      <w:r w:rsidR="00DA7200">
        <w:t xml:space="preserve"> </w:t>
      </w:r>
      <w:r w:rsidR="000E01EB" w:rsidRPr="0068263A">
        <w:t>42</w:t>
      </w:r>
      <w:r w:rsidR="00F86E23">
        <w:t> </w:t>
      </w:r>
      <w:r w:rsidR="000E01EB" w:rsidRPr="0068263A">
        <w:t>%</w:t>
      </w:r>
      <w:r w:rsidRPr="0068263A">
        <w:t>. 2050.</w:t>
      </w:r>
      <w:r w:rsidR="00F86E23">
        <w:t> </w:t>
      </w:r>
      <w:r w:rsidRPr="0068263A">
        <w:t xml:space="preserve">gadā, prognozētais (tikai </w:t>
      </w:r>
      <w:r w:rsidR="003975AA" w:rsidRPr="0068263A">
        <w:t>ar pašreizējo politiku</w:t>
      </w:r>
      <w:r w:rsidRPr="0068263A">
        <w:t xml:space="preserve"> un pasākumi</w:t>
      </w:r>
      <w:r w:rsidR="003975AA" w:rsidRPr="0068263A">
        <w:t>em</w:t>
      </w:r>
      <w:r w:rsidRPr="0068263A">
        <w:t xml:space="preserve"> SEG </w:t>
      </w:r>
      <w:r w:rsidR="003975AA" w:rsidRPr="0068263A">
        <w:t xml:space="preserve">emisiju </w:t>
      </w:r>
      <w:r w:rsidRPr="0068263A">
        <w:t xml:space="preserve">samazināšanai) SEG emisiju samazinājums </w:t>
      </w:r>
      <w:r w:rsidR="00BE321C" w:rsidRPr="0068263A">
        <w:t>~</w:t>
      </w:r>
      <w:r w:rsidR="000E01EB" w:rsidRPr="0068263A">
        <w:t>17</w:t>
      </w:r>
      <w:r w:rsidR="00BE321C" w:rsidRPr="0068263A">
        <w:t>%</w:t>
      </w:r>
      <w:r w:rsidRPr="0068263A">
        <w:rPr>
          <w:vertAlign w:val="superscript"/>
        </w:rPr>
        <w:footnoteReference w:id="48"/>
      </w:r>
      <w:r w:rsidRPr="0068263A">
        <w:t xml:space="preserve"> salīdzinot ar 1990.</w:t>
      </w:r>
      <w:r w:rsidR="00F86E23">
        <w:t> </w:t>
      </w:r>
      <w:r w:rsidRPr="0068263A">
        <w:t>gadu (</w:t>
      </w:r>
      <w:r w:rsidR="007C085B" w:rsidRPr="0068263A">
        <w:t>5</w:t>
      </w:r>
      <w:r w:rsidRPr="0068263A">
        <w:t>. attēls).</w:t>
      </w:r>
    </w:p>
    <w:p w14:paraId="6E5E1FA2" w14:textId="77777777" w:rsidR="00E701B8" w:rsidRDefault="00E701B8" w:rsidP="00E701B8"/>
    <w:p w14:paraId="2BF08D5A" w14:textId="5EA54356" w:rsidR="00D447D2" w:rsidRPr="00A46CC4" w:rsidRDefault="005F6BD2" w:rsidP="00D447D2">
      <w:pPr>
        <w:jc w:val="center"/>
      </w:pPr>
      <w:r>
        <w:rPr>
          <w:noProof/>
        </w:rPr>
        <mc:AlternateContent>
          <mc:Choice Requires="wps">
            <w:drawing>
              <wp:anchor distT="0" distB="0" distL="114300" distR="114300" simplePos="0" relativeHeight="251661824" behindDoc="0" locked="0" layoutInCell="1" allowOverlap="1" wp14:anchorId="0B67B928" wp14:editId="5BFEF260">
                <wp:simplePos x="0" y="0"/>
                <wp:positionH relativeFrom="column">
                  <wp:posOffset>3101340</wp:posOffset>
                </wp:positionH>
                <wp:positionV relativeFrom="paragraph">
                  <wp:posOffset>121920</wp:posOffset>
                </wp:positionV>
                <wp:extent cx="24130" cy="1979930"/>
                <wp:effectExtent l="0" t="0" r="3302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 cy="1979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2584B4"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9.6pt" to="246.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pxQEAAOUDAAAOAAAAZHJzL2Uyb0RvYy54bWysU8uu0zAQ3SPxD1b2NElBQKOmd9Er2FxB&#10;ReEDfJ1xY2F7LNs06d8zdh48JQRiY2U858zMOZ7s70aj2RV8UGjbot5UBQMrsFP20hafPr559rpg&#10;IXLbcY0W2uIGobg7PH2yH1wDW+xRd+AZFbGhGVxb9DG6piyD6MHwsEEHlpISveGRQn8pO88Hqm50&#10;ua2ql+WAvnMeBYRAt/dTsjjk+lKCiO+lDBCZbguaLebT5/MxneVhz5uL565XYh6D/8MUhitLTddS&#10;9zxy9sWrX0oZJTwGlHEj0JQopRKQNZCauvpJzbnnDrIWMie41abw/8qKd9eTZ6qjtyN7LDf0Rufo&#10;ubr0kR3RWnIQPaMkOTW40BDhaE8+aRWjPbsHFJ8D5cofkikIboKN0psEJ7FszM7fVudhjEzQ5fZF&#10;/Zz6C8rUu1e7HQWpJm8WsvMhvgU0LH20hVY2GcMbfn0IcYIukHmWqX0eJN40JLC2H0CSWGpYZ3Ze&#10;Mzhqz66cFoQLATbWc+uMTjSptF6J1Z+JMz5RIa/g35BXRu6MNq5koyz633WP4zKynPCLA5PuZMEj&#10;dreTX56JdimbO+99Wtbv40z/9ncevgIAAP//AwBQSwMEFAAGAAgAAAAhALqOgmXhAAAACgEAAA8A&#10;AABkcnMvZG93bnJldi54bWxMj8FKw0AQhu+C77CM4M1umgZJ02xKKYi1IMUq1OM2O02i2dmQ3Tbp&#10;2zue9DbD//HPN/lytK24YO8bRwqmkwgEUulMQ5WCj/enhxSED5qMbh2hgit6WBa3N7nOjBvoDS/7&#10;UAkuIZ9pBXUIXSalL2u02k9ch8TZyfVWB177SppeD1xuWxlH0aO0uiG+UOsO1zWW3/uzVfDabzbr&#10;1fb6RbtPOxzi7WH3Mj4rdX83rhYgAo7hD4ZffVaHgp2O7kzGi1ZBkqYJoxzMYxAMJPOYh6OC2Wwa&#10;gSxy+f+F4gcAAP//AwBQSwECLQAUAAYACAAAACEAtoM4kv4AAADhAQAAEwAAAAAAAAAAAAAAAAAA&#10;AAAAW0NvbnRlbnRfVHlwZXNdLnhtbFBLAQItABQABgAIAAAAIQA4/SH/1gAAAJQBAAALAAAAAAAA&#10;AAAAAAAAAC8BAABfcmVscy8ucmVsc1BLAQItABQABgAIAAAAIQBLgg/pxQEAAOUDAAAOAAAAAAAA&#10;AAAAAAAAAC4CAABkcnMvZTJvRG9jLnhtbFBLAQItABQABgAIAAAAIQC6joJl4QAAAAoBAAAPAAAA&#10;AAAAAAAAAAAAAB8EAABkcnMvZG93bnJldi54bWxQSwUGAAAAAAQABADzAAAALQUAAAAA&#10;" strokecolor="#5b9bd5 [3204]" strokeweight=".5pt">
                <v:stroke joinstyle="miter"/>
                <o:lock v:ext="edit" shapetype="f"/>
              </v:line>
            </w:pict>
          </mc:Fallback>
        </mc:AlternateContent>
      </w:r>
      <w:r w:rsidR="00D447D2" w:rsidRPr="00D447D2">
        <w:rPr>
          <w:noProof/>
        </w:rPr>
        <w:drawing>
          <wp:inline distT="0" distB="0" distL="0" distR="0" wp14:anchorId="2536F758" wp14:editId="633C1B38">
            <wp:extent cx="5325036" cy="3327187"/>
            <wp:effectExtent l="0" t="0" r="952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6B8724" w14:textId="7164CBAF" w:rsidR="00E3068D" w:rsidRPr="00F238A2" w:rsidRDefault="007C085B" w:rsidP="00E3068D">
      <w:pPr>
        <w:spacing w:before="240" w:after="120"/>
        <w:ind w:firstLine="0"/>
        <w:jc w:val="center"/>
        <w:rPr>
          <w:b/>
          <w:bCs/>
          <w:szCs w:val="24"/>
        </w:rPr>
      </w:pPr>
      <w:r w:rsidRPr="00F238A2">
        <w:rPr>
          <w:rStyle w:val="CommentReference"/>
          <w:b/>
          <w:sz w:val="24"/>
        </w:rPr>
        <w:t>5</w:t>
      </w:r>
      <w:r w:rsidR="00E3068D" w:rsidRPr="00F238A2">
        <w:rPr>
          <w:b/>
        </w:rPr>
        <w:t>.</w:t>
      </w:r>
      <w:r w:rsidR="00F86E23">
        <w:rPr>
          <w:b/>
        </w:rPr>
        <w:t> </w:t>
      </w:r>
      <w:r w:rsidR="00E3068D" w:rsidRPr="00F238A2">
        <w:rPr>
          <w:b/>
        </w:rPr>
        <w:t>attēls. Latvijas kopējais SEG emisiju apjoms (līdz 201</w:t>
      </w:r>
      <w:r w:rsidR="00F16D18">
        <w:rPr>
          <w:b/>
        </w:rPr>
        <w:t>7</w:t>
      </w:r>
      <w:r w:rsidR="00E3068D" w:rsidRPr="00F238A2">
        <w:rPr>
          <w:b/>
        </w:rPr>
        <w:t>.</w:t>
      </w:r>
      <w:r w:rsidR="00F86E23">
        <w:rPr>
          <w:b/>
        </w:rPr>
        <w:t> </w:t>
      </w:r>
      <w:r w:rsidR="00E3068D" w:rsidRPr="00F238A2">
        <w:rPr>
          <w:b/>
        </w:rPr>
        <w:t>gadam) un prognoze (201</w:t>
      </w:r>
      <w:r w:rsidR="00FD761D">
        <w:rPr>
          <w:b/>
        </w:rPr>
        <w:t>8</w:t>
      </w:r>
      <w:r w:rsidR="00E3068D" w:rsidRPr="00F238A2">
        <w:rPr>
          <w:b/>
        </w:rPr>
        <w:t>.-2050.</w:t>
      </w:r>
      <w:r w:rsidR="00F86E23">
        <w:rPr>
          <w:b/>
        </w:rPr>
        <w:t> </w:t>
      </w:r>
      <w:r w:rsidR="00E3068D" w:rsidRPr="00F238A2">
        <w:rPr>
          <w:b/>
        </w:rPr>
        <w:t>gadam) scenārijā “ar esošajiem pasākumiem” (1990.</w:t>
      </w:r>
      <w:r w:rsidR="00DA7200">
        <w:rPr>
          <w:b/>
        </w:rPr>
        <w:t xml:space="preserve"> </w:t>
      </w:r>
      <w:r w:rsidR="00E3068D" w:rsidRPr="00F238A2">
        <w:rPr>
          <w:b/>
        </w:rPr>
        <w:t>-</w:t>
      </w:r>
      <w:r w:rsidR="00DA7200">
        <w:rPr>
          <w:b/>
        </w:rPr>
        <w:t xml:space="preserve"> </w:t>
      </w:r>
      <w:r w:rsidR="00E3068D" w:rsidRPr="00F238A2">
        <w:rPr>
          <w:b/>
        </w:rPr>
        <w:t>2050.</w:t>
      </w:r>
      <w:r w:rsidR="00F86E23">
        <w:rPr>
          <w:b/>
        </w:rPr>
        <w:t> </w:t>
      </w:r>
      <w:r w:rsidR="00E3068D" w:rsidRPr="00F238A2">
        <w:rPr>
          <w:b/>
        </w:rPr>
        <w:t>gads)</w:t>
      </w:r>
      <w:r w:rsidR="00E3068D" w:rsidRPr="00F238A2">
        <w:rPr>
          <w:b/>
          <w:vertAlign w:val="superscript"/>
        </w:rPr>
        <w:footnoteReference w:id="49"/>
      </w:r>
    </w:p>
    <w:p w14:paraId="262C5AEE" w14:textId="77777777" w:rsidR="004371C2" w:rsidRDefault="007C085B" w:rsidP="0068263A">
      <w:r>
        <w:t>5</w:t>
      </w:r>
      <w:r w:rsidR="00D63BA6">
        <w:t>.</w:t>
      </w:r>
      <w:r w:rsidR="00F86E23">
        <w:t> </w:t>
      </w:r>
      <w:r w:rsidR="00D63BA6">
        <w:t>attēlā ar vertikālo līniju nodalīta informācija par esošo situ</w:t>
      </w:r>
      <w:r w:rsidR="00786C5D">
        <w:t xml:space="preserve">āciju no nākotnes prognozēm. </w:t>
      </w:r>
    </w:p>
    <w:p w14:paraId="37483F98" w14:textId="6EBD19F0" w:rsidR="0018605F" w:rsidRDefault="004371C2" w:rsidP="0068263A">
      <w:r>
        <w:t>Pēc sākotnējām indikatīvām prognozēm</w:t>
      </w:r>
      <w:r>
        <w:rPr>
          <w:rStyle w:val="FootnoteReference"/>
        </w:rPr>
        <w:footnoteReference w:id="50"/>
      </w:r>
      <w:r>
        <w:t xml:space="preserve"> </w:t>
      </w:r>
      <w:r w:rsidR="008365E7">
        <w:t>noteiktais SEG emisiju daudzums</w:t>
      </w:r>
      <w:r w:rsidR="008365E7" w:rsidRPr="008365E7">
        <w:t xml:space="preserve">, kas </w:t>
      </w:r>
      <w:r w:rsidR="008365E7">
        <w:t xml:space="preserve">2050.gadā </w:t>
      </w:r>
      <w:r w:rsidR="008365E7" w:rsidRPr="008365E7">
        <w:t>būs jākompensē ar piesaisti</w:t>
      </w:r>
      <w:r w:rsidR="008365E7">
        <w:t>, ir ~</w:t>
      </w:r>
      <w:r w:rsidR="006117D4" w:rsidRPr="006117D4">
        <w:rPr>
          <w:rFonts w:asciiTheme="minorHAnsi" w:eastAsiaTheme="minorEastAsia" w:hAnsi="Calibri" w:cstheme="minorBidi"/>
          <w:color w:val="000000" w:themeColor="dark1"/>
          <w:sz w:val="22"/>
        </w:rPr>
        <w:t xml:space="preserve"> </w:t>
      </w:r>
      <w:r w:rsidR="006117D4" w:rsidRPr="006117D4">
        <w:t>3,6</w:t>
      </w:r>
      <w:r w:rsidR="008365E7">
        <w:t xml:space="preserve"> milj.t</w:t>
      </w:r>
      <w:r w:rsidR="00593CE6">
        <w:t xml:space="preserve"> </w:t>
      </w:r>
      <w:r w:rsidR="00217978" w:rsidRPr="00593CE6">
        <w:t>CO</w:t>
      </w:r>
      <w:r w:rsidR="00217978" w:rsidRPr="008A5B10">
        <w:rPr>
          <w:sz w:val="20"/>
          <w:vertAlign w:val="subscript"/>
        </w:rPr>
        <w:t>2</w:t>
      </w:r>
      <w:r w:rsidR="00593CE6">
        <w:rPr>
          <w:sz w:val="20"/>
          <w:vertAlign w:val="subscript"/>
        </w:rPr>
        <w:t xml:space="preserve"> </w:t>
      </w:r>
      <w:r w:rsidR="00217978" w:rsidRPr="00593CE6">
        <w:t>ekv</w:t>
      </w:r>
      <w:r w:rsidR="008365E7" w:rsidRPr="00593CE6">
        <w:t>.</w:t>
      </w:r>
    </w:p>
    <w:p w14:paraId="0EA910B0" w14:textId="09A1ABA1" w:rsidR="0073065C" w:rsidRDefault="0073065C" w:rsidP="00C4692E">
      <w:pPr>
        <w:ind w:firstLine="0"/>
      </w:pPr>
      <w:r>
        <w:br w:type="page"/>
      </w:r>
    </w:p>
    <w:p w14:paraId="06F1FA92" w14:textId="77777777" w:rsidR="00F25B32" w:rsidRPr="00A46CC4" w:rsidRDefault="00342131" w:rsidP="00D533C2">
      <w:pPr>
        <w:pStyle w:val="Heading1"/>
      </w:pPr>
      <w:bookmarkStart w:id="27" w:name="_Toc25580329"/>
      <w:r w:rsidRPr="00A46CC4">
        <w:lastRenderedPageBreak/>
        <w:t xml:space="preserve">Latvijas </w:t>
      </w:r>
      <w:r w:rsidR="001F18C9">
        <w:t xml:space="preserve">SEG </w:t>
      </w:r>
      <w:r w:rsidR="00347B1C">
        <w:t>emisiju</w:t>
      </w:r>
      <w:r w:rsidRPr="00A46CC4">
        <w:t xml:space="preserve"> </w:t>
      </w:r>
      <w:r w:rsidR="006F6C8A">
        <w:t xml:space="preserve">rašanās </w:t>
      </w:r>
      <w:r w:rsidR="00FE1070">
        <w:t>apjoma</w:t>
      </w:r>
      <w:r w:rsidRPr="00A46CC4">
        <w:t xml:space="preserve"> būtiskākie ietekmējošie faktori</w:t>
      </w:r>
      <w:r w:rsidR="006F6C8A">
        <w:t xml:space="preserve"> dažādos tautsaimniecības sektoros</w:t>
      </w:r>
      <w:bookmarkEnd w:id="27"/>
      <w:r w:rsidR="006F6C8A">
        <w:t xml:space="preserve"> </w:t>
      </w:r>
    </w:p>
    <w:p w14:paraId="0C266339" w14:textId="77777777" w:rsidR="0081248A" w:rsidRDefault="007576AA" w:rsidP="00A74C79">
      <w:bookmarkStart w:id="28" w:name="_Toc390958631"/>
      <w:r>
        <w:t>Esoš</w:t>
      </w:r>
      <w:r w:rsidR="006F6C8A">
        <w:t>ai</w:t>
      </w:r>
      <w:r>
        <w:t xml:space="preserve"> Latvijas tautsaimniecības struktūra</w:t>
      </w:r>
      <w:r w:rsidR="00BE01F3">
        <w:t>i</w:t>
      </w:r>
      <w:r>
        <w:t xml:space="preserve"> </w:t>
      </w:r>
      <w:r w:rsidR="00BE01F3">
        <w:t>raksturīgs</w:t>
      </w:r>
      <w:r>
        <w:t xml:space="preserve">, ka Latvijas ne-ETS emisijas veido ļoti augstu īpatsvaru </w:t>
      </w:r>
      <w:r w:rsidR="004433F4">
        <w:t>(</w:t>
      </w:r>
      <w:r>
        <w:t>~80</w:t>
      </w:r>
      <w:r w:rsidR="00010169">
        <w:t> </w:t>
      </w:r>
      <w:r>
        <w:t>% no kopējām valsts emisijām</w:t>
      </w:r>
      <w:r w:rsidR="004433F4">
        <w:t>)</w:t>
      </w:r>
      <w:r w:rsidR="00AE13BD">
        <w:t xml:space="preserve">. </w:t>
      </w:r>
      <w:r w:rsidR="00F238A2">
        <w:t>Tā kā vidēji ES valstīs ne-ETS īpatsvars veido 60</w:t>
      </w:r>
      <w:r w:rsidR="00010169">
        <w:t> </w:t>
      </w:r>
      <w:r w:rsidR="00F238A2">
        <w:t>%,</w:t>
      </w:r>
      <w:r w:rsidR="00AE13BD">
        <w:t xml:space="preserve"> Latvijā ir</w:t>
      </w:r>
      <w:r>
        <w:t xml:space="preserve"> otrs augstākais </w:t>
      </w:r>
      <w:r w:rsidR="00AE13BD">
        <w:t>ne</w:t>
      </w:r>
      <w:r w:rsidR="003476AA">
        <w:t>-</w:t>
      </w:r>
      <w:r w:rsidR="00AE13BD">
        <w:t xml:space="preserve">ETS emisiju </w:t>
      </w:r>
      <w:r>
        <w:t>īpatsvars starp ES valstīm.</w:t>
      </w:r>
      <w:r w:rsidR="00C14552">
        <w:t xml:space="preserve"> Tas nozīmē, ka </w:t>
      </w:r>
      <w:r w:rsidR="006F6C8A">
        <w:t xml:space="preserve">Latvijā ir ievērojami augstāks to emisiju īpatsvars, kuru mazināšanai nepieciešama </w:t>
      </w:r>
      <w:r w:rsidR="00265D3C">
        <w:t xml:space="preserve">aktīvāka </w:t>
      </w:r>
      <w:r w:rsidR="006F6C8A">
        <w:t xml:space="preserve">valsts politika un iesaiste, jo tās netiek regulētas </w:t>
      </w:r>
      <w:r w:rsidR="00010169">
        <w:t xml:space="preserve">ar </w:t>
      </w:r>
      <w:r w:rsidR="006F6C8A">
        <w:t>ES ETS.</w:t>
      </w:r>
    </w:p>
    <w:p w14:paraId="37B92D51" w14:textId="77777777" w:rsidR="00F8354B" w:rsidRPr="00765FCB" w:rsidRDefault="00B842B4" w:rsidP="00F8354B">
      <w:pPr>
        <w:pStyle w:val="Heading2"/>
      </w:pPr>
      <w:bookmarkStart w:id="29" w:name="_Toc25580330"/>
      <w:r>
        <w:t xml:space="preserve">5.1. </w:t>
      </w:r>
      <w:r w:rsidR="00F86E23">
        <w:t> </w:t>
      </w:r>
      <w:r w:rsidR="00F8354B" w:rsidRPr="00765FCB">
        <w:t>Inovācij</w:t>
      </w:r>
      <w:r w:rsidR="006F6C8A">
        <w:t>u</w:t>
      </w:r>
      <w:r w:rsidR="00F8354B" w:rsidRPr="00765FCB">
        <w:t xml:space="preserve"> potenciāls</w:t>
      </w:r>
      <w:bookmarkEnd w:id="29"/>
    </w:p>
    <w:p w14:paraId="560C4B53" w14:textId="77777777" w:rsidR="00F8354B" w:rsidRDefault="00B47825" w:rsidP="00E008BC">
      <w:pPr>
        <w:spacing w:before="120" w:after="120"/>
      </w:pPr>
      <w:r>
        <w:t>I</w:t>
      </w:r>
      <w:r w:rsidR="00F8354B" w:rsidRPr="00765FCB">
        <w:t>novācij</w:t>
      </w:r>
      <w:r w:rsidR="00D705BE">
        <w:t>u</w:t>
      </w:r>
      <w:r w:rsidR="00F8354B" w:rsidRPr="00765FCB">
        <w:t xml:space="preserve"> attīstība ir viena no valsts ekonomikas prioritātēm, kas gan vidējā, gan ilgā</w:t>
      </w:r>
      <w:r w:rsidR="00F238A2">
        <w:t xml:space="preserve">kā termiņā nodrošinās straujāku </w:t>
      </w:r>
      <w:r w:rsidR="00F8354B" w:rsidRPr="00765FCB">
        <w:t>Latvijas tautsaimniecības izaugsmi un būs par pamatu produktivitātes un pievienotās vērtības produktu pieaugumam.</w:t>
      </w:r>
    </w:p>
    <w:p w14:paraId="30B29342" w14:textId="77777777" w:rsidR="00F8354B" w:rsidRDefault="00F8354B" w:rsidP="00E008BC">
      <w:pPr>
        <w:spacing w:before="120" w:after="120"/>
      </w:pPr>
      <w:r w:rsidRPr="00D37771">
        <w:t>Latvijā šobrīd ir zems inovāciju attīstības līmenis, tomēr vērojama izaugsme</w:t>
      </w:r>
      <w:r>
        <w:t>, ko radījušas Latvijas veiktās iniciatīv</w:t>
      </w:r>
      <w:r w:rsidR="00F238A2">
        <w:t xml:space="preserve">as inovācijas vides attīstībā, </w:t>
      </w:r>
      <w:r>
        <w:t xml:space="preserve">īpaši atbalstot uzņēmumus inovatīvu produktu un pakalpojumu ieviešanā, kā arī jaunas ražošanas infrastruktūras iegādē. </w:t>
      </w:r>
    </w:p>
    <w:p w14:paraId="4DC8183A" w14:textId="77777777" w:rsidR="00F8354B" w:rsidRDefault="00F8354B" w:rsidP="00E008BC">
      <w:pPr>
        <w:spacing w:before="120" w:after="120"/>
      </w:pPr>
      <w:r>
        <w:t>Latvija Eiropas inovācijas rezultātu un Reģionālās inovācijas rezultātu pārskatos ir iekļauta “vidējo inovatoru” valstu grupā, ierindota 24. vietā 28 valstu konkurencē, saglabājot nemainīgu pozīciju, salīdzinot ar 2017. un 2018.</w:t>
      </w:r>
      <w:r w:rsidR="00D705BE">
        <w:t> </w:t>
      </w:r>
      <w:r>
        <w:t>gada pārskata rezultātiem.</w:t>
      </w:r>
      <w:r w:rsidRPr="004C5877">
        <w:t xml:space="preserve"> </w:t>
      </w:r>
      <w:r>
        <w:t xml:space="preserve">Tomēr Latvijā vērojama trešā augstākā izaugsme </w:t>
      </w:r>
      <w:r w:rsidR="00F238A2">
        <w:t>ES</w:t>
      </w:r>
      <w:r>
        <w:t>, pieaugot sniegumam reitingā</w:t>
      </w:r>
      <w:r>
        <w:rPr>
          <w:rStyle w:val="FootnoteReference"/>
        </w:rPr>
        <w:footnoteReference w:id="51"/>
      </w:r>
      <w:r>
        <w:t xml:space="preserve"> par 17,7 procentpunktiem. Latvijai ir salīdzinoši zemas </w:t>
      </w:r>
      <w:r w:rsidR="00F238A2">
        <w:t xml:space="preserve">investīcijas </w:t>
      </w:r>
      <w:r>
        <w:t xml:space="preserve">privātā sektora pētniecības un attīstības aktivitātēm, kā </w:t>
      </w:r>
      <w:r w:rsidR="006F6C8A">
        <w:t xml:space="preserve">arī </w:t>
      </w:r>
      <w:r>
        <w:t xml:space="preserve">zems jaunu doktorantūras studiju beidzēju skaits. </w:t>
      </w:r>
    </w:p>
    <w:p w14:paraId="10564D54" w14:textId="77777777" w:rsidR="008B1304" w:rsidRDefault="00B842B4" w:rsidP="00E008BC">
      <w:pPr>
        <w:pStyle w:val="Heading2"/>
        <w:spacing w:before="120"/>
      </w:pPr>
      <w:bookmarkStart w:id="30" w:name="_Toc25580331"/>
      <w:r>
        <w:t>5.2.</w:t>
      </w:r>
      <w:r w:rsidR="00F86E23">
        <w:t> </w:t>
      </w:r>
      <w:r w:rsidR="008B1304" w:rsidRPr="008B1304">
        <w:t>Enerģētika</w:t>
      </w:r>
      <w:bookmarkEnd w:id="30"/>
    </w:p>
    <w:p w14:paraId="59E14457" w14:textId="77777777" w:rsidR="00DB3BAB" w:rsidRPr="00DB3BAB" w:rsidRDefault="00DB3BAB" w:rsidP="00E008BC">
      <w:pPr>
        <w:spacing w:before="120" w:after="120"/>
      </w:pPr>
      <w:r>
        <w:t xml:space="preserve">Būtiski SEG emisijas ietekmējoši faktori ir ēku energoefektivitātes rādītāji, enerģētiskā drošība vietējo energoresursu </w:t>
      </w:r>
      <w:r w:rsidR="00D705BE">
        <w:t xml:space="preserve">izmantošanas </w:t>
      </w:r>
      <w:r>
        <w:t>kontekstā</w:t>
      </w:r>
      <w:r w:rsidR="00FE5A78">
        <w:t xml:space="preserve">. Tāpat, īstenojot OMA enerģētikas sektorā, jāņem vērā tādi izaicinājumi kā gaisa kvalitātes nepasliktināšanās cietās biomasas izmantošanā lokālos siltumapgādes risinājumos, ne-emisiju AER </w:t>
      </w:r>
      <w:r w:rsidR="00D705BE">
        <w:t xml:space="preserve">tehnoloģiju </w:t>
      </w:r>
      <w:r w:rsidR="00FE5A78">
        <w:t>veidu izmantošanas potenciāls, kā arī jaunu tehnoloģiju attiecībā uz oglekļa uztveršanas un uzglabāšanas ieviešanas izvērtēšanu.</w:t>
      </w:r>
    </w:p>
    <w:p w14:paraId="3207999E" w14:textId="77777777" w:rsidR="00E05CAE" w:rsidRDefault="00E05CAE" w:rsidP="0031388F">
      <w:pPr>
        <w:pStyle w:val="ListParagraph"/>
        <w:numPr>
          <w:ilvl w:val="0"/>
          <w:numId w:val="2"/>
        </w:numPr>
        <w:spacing w:before="120" w:after="120"/>
        <w:ind w:left="714" w:hanging="357"/>
        <w:rPr>
          <w:b/>
        </w:rPr>
      </w:pPr>
      <w:r>
        <w:rPr>
          <w:b/>
        </w:rPr>
        <w:t xml:space="preserve">Energoefektivitāte </w:t>
      </w:r>
      <w:r w:rsidR="00A31E76">
        <w:rPr>
          <w:b/>
        </w:rPr>
        <w:t>ēkās</w:t>
      </w:r>
    </w:p>
    <w:p w14:paraId="689D1E55" w14:textId="77777777" w:rsidR="00CF574C" w:rsidRPr="00CF574C" w:rsidRDefault="00E0034E" w:rsidP="00CF574C">
      <w:pPr>
        <w:spacing w:before="120" w:after="120"/>
        <w:rPr>
          <w:rFonts w:cstheme="minorHAnsi"/>
          <w:szCs w:val="24"/>
        </w:rPr>
      </w:pPr>
      <w:r w:rsidRPr="003558DB">
        <w:rPr>
          <w:rFonts w:cstheme="minorHAnsi"/>
          <w:szCs w:val="24"/>
        </w:rPr>
        <w:t>Ēku fonds</w:t>
      </w:r>
      <w:r w:rsidRPr="003558DB">
        <w:rPr>
          <w:rFonts w:cstheme="minorHAnsi"/>
          <w:szCs w:val="24"/>
          <w:vertAlign w:val="superscript"/>
        </w:rPr>
        <w:footnoteReference w:id="52"/>
      </w:r>
      <w:r w:rsidR="00EF077E">
        <w:rPr>
          <w:rFonts w:cstheme="minorHAnsi"/>
          <w:szCs w:val="24"/>
        </w:rPr>
        <w:t xml:space="preserve"> Latvijā</w:t>
      </w:r>
      <w:r w:rsidRPr="003558DB">
        <w:rPr>
          <w:rFonts w:cstheme="minorHAnsi"/>
          <w:szCs w:val="24"/>
        </w:rPr>
        <w:t xml:space="preserve"> kop</w:t>
      </w:r>
      <w:r w:rsidR="00EF077E">
        <w:rPr>
          <w:rFonts w:cstheme="minorHAnsi"/>
          <w:szCs w:val="24"/>
        </w:rPr>
        <w:t>umā ietver</w:t>
      </w:r>
      <w:r w:rsidRPr="003558DB">
        <w:rPr>
          <w:rFonts w:cstheme="minorHAnsi"/>
          <w:szCs w:val="24"/>
        </w:rPr>
        <w:t xml:space="preserve"> 1</w:t>
      </w:r>
      <w:r w:rsidR="00D14170">
        <w:rPr>
          <w:rFonts w:cstheme="minorHAnsi"/>
          <w:szCs w:val="24"/>
        </w:rPr>
        <w:t>,</w:t>
      </w:r>
      <w:r w:rsidRPr="003558DB">
        <w:rPr>
          <w:rFonts w:cstheme="minorHAnsi"/>
          <w:szCs w:val="24"/>
        </w:rPr>
        <w:t>37 milj. ēk</w:t>
      </w:r>
      <w:r w:rsidR="00EF077E">
        <w:rPr>
          <w:rFonts w:cstheme="minorHAnsi"/>
          <w:szCs w:val="24"/>
        </w:rPr>
        <w:t>as</w:t>
      </w:r>
      <w:r w:rsidRPr="003558DB">
        <w:rPr>
          <w:rFonts w:cstheme="minorHAnsi"/>
          <w:szCs w:val="24"/>
        </w:rPr>
        <w:t xml:space="preserve"> ar kopējo platību 204,7 milj. m</w:t>
      </w:r>
      <w:r w:rsidRPr="003558DB">
        <w:rPr>
          <w:rFonts w:cstheme="minorHAnsi"/>
          <w:szCs w:val="24"/>
          <w:vertAlign w:val="superscript"/>
        </w:rPr>
        <w:t>2</w:t>
      </w:r>
      <w:r w:rsidR="00EF077E">
        <w:rPr>
          <w:rFonts w:cstheme="minorHAnsi"/>
          <w:szCs w:val="24"/>
        </w:rPr>
        <w:t xml:space="preserve"> - </w:t>
      </w:r>
      <w:r w:rsidRPr="003558DB">
        <w:rPr>
          <w:rFonts w:cstheme="minorHAnsi"/>
          <w:szCs w:val="24"/>
        </w:rPr>
        <w:t xml:space="preserve">dzīvojamās ēkās </w:t>
      </w:r>
      <w:r w:rsidR="00CF574C" w:rsidRPr="003558DB">
        <w:rPr>
          <w:rFonts w:cstheme="minorHAnsi"/>
          <w:szCs w:val="24"/>
        </w:rPr>
        <w:t xml:space="preserve">(pēc platības 45%) </w:t>
      </w:r>
      <w:r w:rsidRPr="003558DB">
        <w:rPr>
          <w:rFonts w:cstheme="minorHAnsi"/>
          <w:szCs w:val="24"/>
        </w:rPr>
        <w:t>un nedzīvojamās ēkās</w:t>
      </w:r>
      <w:r w:rsidR="00CF574C">
        <w:rPr>
          <w:rFonts w:cstheme="minorHAnsi"/>
          <w:szCs w:val="24"/>
        </w:rPr>
        <w:t>, t.sk. ražošanas ēkas</w:t>
      </w:r>
      <w:r w:rsidR="00CF574C" w:rsidRPr="003558DB">
        <w:rPr>
          <w:rFonts w:cstheme="minorHAnsi"/>
          <w:szCs w:val="24"/>
        </w:rPr>
        <w:t xml:space="preserve"> (pēc platības 55%)</w:t>
      </w:r>
      <w:r w:rsidRPr="003558DB">
        <w:rPr>
          <w:rFonts w:cstheme="minorHAnsi"/>
          <w:szCs w:val="24"/>
        </w:rPr>
        <w:t xml:space="preserve">. </w:t>
      </w:r>
    </w:p>
    <w:p w14:paraId="493F56B5" w14:textId="29F5B312" w:rsidR="00CF574C" w:rsidRPr="00C613F7" w:rsidRDefault="004C1770" w:rsidP="00C613F7">
      <w:pPr>
        <w:spacing w:before="120" w:after="120"/>
        <w:rPr>
          <w:szCs w:val="24"/>
        </w:rPr>
      </w:pPr>
      <w:r>
        <w:rPr>
          <w:szCs w:val="24"/>
        </w:rPr>
        <w:t>L</w:t>
      </w:r>
      <w:r w:rsidR="00E05CAE">
        <w:rPr>
          <w:szCs w:val="24"/>
        </w:rPr>
        <w:t>ielākā daļa no Latvijas dzīvojamā fonda pārsniedz 25 gadu vecumu</w:t>
      </w:r>
      <w:r w:rsidR="00CF574C" w:rsidRPr="00CF574C">
        <w:rPr>
          <w:rFonts w:cstheme="minorHAnsi"/>
          <w:szCs w:val="24"/>
          <w:shd w:val="clear" w:color="auto" w:fill="FFFFFF"/>
        </w:rPr>
        <w:t xml:space="preserve"> </w:t>
      </w:r>
      <w:r w:rsidR="00CF574C">
        <w:rPr>
          <w:rFonts w:cstheme="minorHAnsi"/>
          <w:szCs w:val="24"/>
          <w:shd w:val="clear" w:color="auto" w:fill="FFFFFF"/>
        </w:rPr>
        <w:t>(t</w:t>
      </w:r>
      <w:r w:rsidR="00CF574C" w:rsidRPr="00551B92">
        <w:rPr>
          <w:rFonts w:cstheme="minorHAnsi"/>
          <w:szCs w:val="24"/>
          <w:shd w:val="clear" w:color="auto" w:fill="FFFFFF"/>
        </w:rPr>
        <w:t>ikai 10-15</w:t>
      </w:r>
      <w:r w:rsidR="00CF574C">
        <w:rPr>
          <w:rFonts w:cstheme="minorHAnsi"/>
          <w:szCs w:val="24"/>
          <w:shd w:val="clear" w:color="auto" w:fill="FFFFFF"/>
        </w:rPr>
        <w:t>%</w:t>
      </w:r>
      <w:r w:rsidR="007B3859">
        <w:rPr>
          <w:rFonts w:cstheme="minorHAnsi"/>
          <w:szCs w:val="24"/>
          <w:shd w:val="clear" w:color="auto" w:fill="FFFFFF"/>
        </w:rPr>
        <w:t xml:space="preserve"> no visām dzīvojam</w:t>
      </w:r>
      <w:r w:rsidR="00CF574C" w:rsidRPr="00551B92">
        <w:rPr>
          <w:rFonts w:cstheme="minorHAnsi"/>
          <w:szCs w:val="24"/>
          <w:shd w:val="clear" w:color="auto" w:fill="FFFFFF"/>
        </w:rPr>
        <w:t>ām ēkām ir uzceltas pēdējo 10</w:t>
      </w:r>
      <w:r w:rsidR="00DA7200">
        <w:rPr>
          <w:rFonts w:cstheme="minorHAnsi"/>
          <w:szCs w:val="24"/>
          <w:shd w:val="clear" w:color="auto" w:fill="FFFFFF"/>
        </w:rPr>
        <w:t xml:space="preserve"> </w:t>
      </w:r>
      <w:r w:rsidR="00CF574C" w:rsidRPr="00551B92">
        <w:rPr>
          <w:rFonts w:cstheme="minorHAnsi"/>
          <w:szCs w:val="24"/>
          <w:shd w:val="clear" w:color="auto" w:fill="FFFFFF"/>
        </w:rPr>
        <w:t>-</w:t>
      </w:r>
      <w:r w:rsidR="00DA7200">
        <w:rPr>
          <w:rFonts w:cstheme="minorHAnsi"/>
          <w:szCs w:val="24"/>
          <w:shd w:val="clear" w:color="auto" w:fill="FFFFFF"/>
        </w:rPr>
        <w:t xml:space="preserve"> </w:t>
      </w:r>
      <w:r w:rsidR="00CF574C" w:rsidRPr="00551B92">
        <w:rPr>
          <w:rFonts w:cstheme="minorHAnsi"/>
          <w:szCs w:val="24"/>
          <w:shd w:val="clear" w:color="auto" w:fill="FFFFFF"/>
        </w:rPr>
        <w:t>15 gadu laikā</w:t>
      </w:r>
      <w:r w:rsidR="00CF574C">
        <w:rPr>
          <w:rFonts w:cstheme="minorHAnsi"/>
          <w:szCs w:val="24"/>
          <w:shd w:val="clear" w:color="auto" w:fill="FFFFFF"/>
        </w:rPr>
        <w:t>)</w:t>
      </w:r>
      <w:r w:rsidR="00E05CAE">
        <w:rPr>
          <w:szCs w:val="24"/>
        </w:rPr>
        <w:t xml:space="preserve">, </w:t>
      </w:r>
      <w:r>
        <w:rPr>
          <w:szCs w:val="24"/>
        </w:rPr>
        <w:t>turklāt</w:t>
      </w:r>
      <w:r w:rsidR="00E05CAE">
        <w:rPr>
          <w:szCs w:val="24"/>
        </w:rPr>
        <w:t xml:space="preserve"> lielākais iedzīvotāju īpatsvars dzīvo daudzdzīvokļu ēkās ar zemu energoefektivitāti</w:t>
      </w:r>
      <w:r w:rsidR="00CF574C">
        <w:rPr>
          <w:szCs w:val="24"/>
        </w:rPr>
        <w:t xml:space="preserve"> (</w:t>
      </w:r>
      <w:r w:rsidR="00CF574C">
        <w:rPr>
          <w:rFonts w:cstheme="minorHAnsi"/>
          <w:szCs w:val="24"/>
          <w:shd w:val="clear" w:color="auto" w:fill="FFFFFF"/>
        </w:rPr>
        <w:t>v</w:t>
      </w:r>
      <w:r w:rsidR="00CF574C" w:rsidRPr="00551B92">
        <w:rPr>
          <w:rFonts w:cstheme="minorHAnsi"/>
          <w:szCs w:val="24"/>
          <w:shd w:val="clear" w:color="auto" w:fill="FFFFFF"/>
        </w:rPr>
        <w:t xml:space="preserve">airums neatjaunoto ēku atbilstoši ēku klasifikācijas prasībām šobrīd </w:t>
      </w:r>
      <w:r w:rsidR="00394CE0">
        <w:rPr>
          <w:rFonts w:cstheme="minorHAnsi"/>
          <w:szCs w:val="24"/>
          <w:shd w:val="clear" w:color="auto" w:fill="FFFFFF"/>
        </w:rPr>
        <w:t>atbilst</w:t>
      </w:r>
      <w:r w:rsidR="00CF574C" w:rsidRPr="00551B92">
        <w:rPr>
          <w:rFonts w:cstheme="minorHAnsi"/>
          <w:szCs w:val="24"/>
          <w:shd w:val="clear" w:color="auto" w:fill="FFFFFF"/>
        </w:rPr>
        <w:t xml:space="preserve"> E un F klase</w:t>
      </w:r>
      <w:r w:rsidR="00394CE0">
        <w:rPr>
          <w:rFonts w:cstheme="minorHAnsi"/>
          <w:szCs w:val="24"/>
          <w:shd w:val="clear" w:color="auto" w:fill="FFFFFF"/>
        </w:rPr>
        <w:t>i</w:t>
      </w:r>
      <w:r w:rsidR="00CF574C">
        <w:rPr>
          <w:rFonts w:cstheme="minorHAnsi"/>
          <w:szCs w:val="24"/>
          <w:shd w:val="clear" w:color="auto" w:fill="FFFFFF"/>
        </w:rPr>
        <w:t>)</w:t>
      </w:r>
      <w:r w:rsidR="00CF574C" w:rsidRPr="00551B92">
        <w:rPr>
          <w:rFonts w:cstheme="minorHAnsi"/>
          <w:szCs w:val="24"/>
          <w:shd w:val="clear" w:color="auto" w:fill="FFFFFF"/>
        </w:rPr>
        <w:t xml:space="preserve">. </w:t>
      </w:r>
      <w:r w:rsidR="00EF077E">
        <w:rPr>
          <w:szCs w:val="24"/>
        </w:rPr>
        <w:t>Dzīvojamo ēku energoefektivitātes rādītāju uzlabošana samazinās arī nabadzības risku, piemēram, 2018. gadā 7,5 % no mājsaimniecībām nenodrošināja pilnvērtīgu siltumapgādi (rādītājs divtik augstāks nek</w:t>
      </w:r>
      <w:r w:rsidR="00C613F7">
        <w:rPr>
          <w:szCs w:val="24"/>
        </w:rPr>
        <w:t>ā citās Ziemeļeiropas valstīs).</w:t>
      </w:r>
    </w:p>
    <w:p w14:paraId="1DEE368C" w14:textId="77777777" w:rsidR="0098686A" w:rsidRDefault="0098686A" w:rsidP="0098686A">
      <w:pPr>
        <w:spacing w:before="120" w:after="120"/>
      </w:pPr>
      <w:r>
        <w:lastRenderedPageBreak/>
        <w:t>Valsts ēkās visbūtiskākais siltumenerģijas patēriņš vērojams drošības un sociālajā  sfērā, īpaši reģion</w:t>
      </w:r>
      <w:r w:rsidR="00D625B3">
        <w:t>os</w:t>
      </w:r>
      <w:r>
        <w:t>, kur salīdzinoši ar pārējiem reģioniem koncentrēti cietumi un sociālās iestādes.</w:t>
      </w:r>
    </w:p>
    <w:p w14:paraId="56AF55B3" w14:textId="77777777" w:rsidR="0098686A" w:rsidRDefault="0098686A" w:rsidP="0098686A">
      <w:pPr>
        <w:pStyle w:val="CommentText"/>
        <w:rPr>
          <w:sz w:val="24"/>
          <w:szCs w:val="24"/>
        </w:rPr>
      </w:pPr>
      <w:r>
        <w:rPr>
          <w:sz w:val="24"/>
          <w:szCs w:val="24"/>
        </w:rPr>
        <w:t>Ē</w:t>
      </w:r>
      <w:r w:rsidRPr="00F80709">
        <w:rPr>
          <w:sz w:val="24"/>
          <w:szCs w:val="24"/>
        </w:rPr>
        <w:t>kas, kas celtas pirms II pasaules kara</w:t>
      </w:r>
      <w:r w:rsidR="00140DE4">
        <w:rPr>
          <w:sz w:val="24"/>
          <w:szCs w:val="24"/>
        </w:rPr>
        <w:t>,</w:t>
      </w:r>
      <w:r w:rsidRPr="00F80709">
        <w:rPr>
          <w:sz w:val="24"/>
          <w:szCs w:val="24"/>
        </w:rPr>
        <w:t xml:space="preserve"> galvenokārt atrodas pilsētbūvniecības pieminekļu teritorijā</w:t>
      </w:r>
      <w:r w:rsidR="00D625B3">
        <w:rPr>
          <w:sz w:val="24"/>
          <w:szCs w:val="24"/>
        </w:rPr>
        <w:t xml:space="preserve"> vai arī </w:t>
      </w:r>
      <w:r>
        <w:rPr>
          <w:sz w:val="24"/>
          <w:szCs w:val="24"/>
        </w:rPr>
        <w:t>arhitektūras pieminekļu teritorij</w:t>
      </w:r>
      <w:r w:rsidR="00D625B3">
        <w:rPr>
          <w:sz w:val="24"/>
          <w:szCs w:val="24"/>
        </w:rPr>
        <w:t>ā, š</w:t>
      </w:r>
      <w:r>
        <w:rPr>
          <w:sz w:val="24"/>
          <w:szCs w:val="24"/>
        </w:rPr>
        <w:t>ādās ēkās e</w:t>
      </w:r>
      <w:r w:rsidRPr="00F80709">
        <w:rPr>
          <w:sz w:val="24"/>
          <w:szCs w:val="24"/>
        </w:rPr>
        <w:t>nergoefektivitātes pasākumu īstenošanā jārēķinās ar lielākiem finanšu ieguldījumiem</w:t>
      </w:r>
      <w:r w:rsidR="00D625B3">
        <w:rPr>
          <w:sz w:val="24"/>
          <w:szCs w:val="24"/>
        </w:rPr>
        <w:t xml:space="preserve">. </w:t>
      </w:r>
    </w:p>
    <w:p w14:paraId="1F77A0C0" w14:textId="77777777" w:rsidR="00E05CAE" w:rsidRDefault="00E05CAE" w:rsidP="0031388F">
      <w:pPr>
        <w:pStyle w:val="ListParagraph"/>
        <w:numPr>
          <w:ilvl w:val="0"/>
          <w:numId w:val="2"/>
        </w:numPr>
        <w:spacing w:before="120" w:after="120"/>
        <w:ind w:left="714" w:hanging="357"/>
        <w:rPr>
          <w:b/>
        </w:rPr>
      </w:pPr>
      <w:r w:rsidRPr="00951354">
        <w:rPr>
          <w:b/>
        </w:rPr>
        <w:t>Enerģētisk</w:t>
      </w:r>
      <w:r>
        <w:rPr>
          <w:b/>
        </w:rPr>
        <w:t>ā drošība</w:t>
      </w:r>
    </w:p>
    <w:p w14:paraId="4B5EAEBB" w14:textId="4D445EED" w:rsidR="00B266AF" w:rsidRDefault="00B266AF" w:rsidP="00E008BC">
      <w:pPr>
        <w:spacing w:before="120" w:after="120"/>
      </w:pPr>
      <w:r>
        <w:t>Latvijas energoatkarības rādītājs 1990.</w:t>
      </w:r>
      <w:r w:rsidR="00DA7200">
        <w:t xml:space="preserve"> </w:t>
      </w:r>
      <w:r>
        <w:t>gadā bija ~89%, bet 201</w:t>
      </w:r>
      <w:r w:rsidR="00924CEB">
        <w:t>7</w:t>
      </w:r>
      <w:r>
        <w:t>.</w:t>
      </w:r>
      <w:r w:rsidR="00DA7200">
        <w:t xml:space="preserve"> </w:t>
      </w:r>
      <w:r>
        <w:t xml:space="preserve">gadā tas bija jau ievērojami zemāks - </w:t>
      </w:r>
      <w:r w:rsidR="000B6F96">
        <w:t>43</w:t>
      </w:r>
      <w:r>
        <w:t>%.</w:t>
      </w:r>
    </w:p>
    <w:p w14:paraId="0A6212A1" w14:textId="77777777" w:rsidR="00E05CAE" w:rsidRDefault="00E05CAE" w:rsidP="00E008BC">
      <w:pPr>
        <w:spacing w:before="120" w:after="120"/>
      </w:pPr>
      <w:r w:rsidRPr="00A46CC4">
        <w:t xml:space="preserve">Latvijas primāro </w:t>
      </w:r>
      <w:r>
        <w:t>energoresursu patēriņu nodrošinošie</w:t>
      </w:r>
      <w:r w:rsidRPr="00A46CC4">
        <w:t xml:space="preserve"> vietējie </w:t>
      </w:r>
      <w:r>
        <w:t>energoresursi vienlaikus ir arī AER</w:t>
      </w:r>
      <w:r w:rsidR="00FD04E4">
        <w:t> </w:t>
      </w:r>
      <w:r>
        <w:t>-</w:t>
      </w:r>
      <w:r w:rsidR="00FD04E4">
        <w:t> </w:t>
      </w:r>
      <w:r w:rsidRPr="00A46CC4">
        <w:t xml:space="preserve"> </w:t>
      </w:r>
      <w:r>
        <w:t>biomasa</w:t>
      </w:r>
      <w:r w:rsidR="00FD04E4">
        <w:t xml:space="preserve"> (t.sk. koksne un</w:t>
      </w:r>
      <w:r>
        <w:t xml:space="preserve"> </w:t>
      </w:r>
      <w:r w:rsidRPr="00A46CC4">
        <w:t>salmi</w:t>
      </w:r>
      <w:r w:rsidR="00FD04E4">
        <w:t>)</w:t>
      </w:r>
      <w:r w:rsidRPr="00A46CC4">
        <w:t>,</w:t>
      </w:r>
      <w:r w:rsidR="00FD04E4">
        <w:t xml:space="preserve"> ūdens,</w:t>
      </w:r>
      <w:r w:rsidRPr="00A46CC4">
        <w:t xml:space="preserve"> vē</w:t>
      </w:r>
      <w:r>
        <w:t>jš, saule,</w:t>
      </w:r>
      <w:r w:rsidR="00FD04E4">
        <w:t xml:space="preserve"> </w:t>
      </w:r>
      <w:r w:rsidR="00FD04E4" w:rsidRPr="00944B60">
        <w:t>atkritumu poligonu un notekūdeņu attīrīšanas iekārtu gāzes, biogāze</w:t>
      </w:r>
      <w:r w:rsidR="00FD04E4">
        <w:t xml:space="preserve">, kā arī </w:t>
      </w:r>
      <w:r w:rsidR="00FD04E4" w:rsidRPr="00944B60">
        <w:t>ģeotermālā enerģija</w:t>
      </w:r>
      <w:r w:rsidR="00FD04E4">
        <w:t xml:space="preserve"> un </w:t>
      </w:r>
      <w:r w:rsidR="00FD04E4" w:rsidRPr="00944B60">
        <w:t>hidrotermālā enerģija</w:t>
      </w:r>
      <w:r w:rsidR="00FD04E4">
        <w:t>,</w:t>
      </w:r>
      <w:r>
        <w:t xml:space="preserve"> savukārt, importētie energoresursi</w:t>
      </w:r>
      <w:r w:rsidR="00FD04E4">
        <w:t> </w:t>
      </w:r>
      <w:r w:rsidR="004C1770">
        <w:t>-</w:t>
      </w:r>
      <w:r w:rsidR="00FD04E4">
        <w:t> </w:t>
      </w:r>
      <w:r w:rsidR="004C1770" w:rsidRPr="00A46CC4">
        <w:t>naftas produkti, dabasgāze, akmeņogles</w:t>
      </w:r>
      <w:r w:rsidR="00FD04E4">
        <w:t> </w:t>
      </w:r>
      <w:r w:rsidR="004C1770">
        <w:t>-</w:t>
      </w:r>
      <w:r w:rsidR="00FD04E4">
        <w:t> </w:t>
      </w:r>
      <w:r>
        <w:t>ir fosilie</w:t>
      </w:r>
      <w:r w:rsidR="00FD04E4">
        <w:t xml:space="preserve"> energoresursi</w:t>
      </w:r>
      <w:r>
        <w:t>.</w:t>
      </w:r>
      <w:r w:rsidR="00B44A62">
        <w:t xml:space="preserve"> Līdz ar to AER izmantošanas  veicināšana </w:t>
      </w:r>
      <w:r w:rsidR="00B266AF">
        <w:t xml:space="preserve">turpinās </w:t>
      </w:r>
      <w:r w:rsidR="00B44A62">
        <w:t>samazin</w:t>
      </w:r>
      <w:r w:rsidR="00B266AF">
        <w:t>āt</w:t>
      </w:r>
      <w:r w:rsidR="00B44A62">
        <w:t xml:space="preserve"> Latvijas atkarību no fosilo energoresursu importa, kā arī paaugstinās valsts enerģētisko drošību.</w:t>
      </w:r>
    </w:p>
    <w:p w14:paraId="6F716408" w14:textId="230963D7" w:rsidR="00E05CAE" w:rsidRDefault="00E05CAE" w:rsidP="0031388F">
      <w:pPr>
        <w:pStyle w:val="ListParagraph"/>
        <w:numPr>
          <w:ilvl w:val="0"/>
          <w:numId w:val="2"/>
        </w:numPr>
        <w:spacing w:before="120" w:after="120"/>
        <w:ind w:left="714" w:hanging="357"/>
        <w:rPr>
          <w:b/>
        </w:rPr>
      </w:pPr>
      <w:r w:rsidRPr="00562AF6">
        <w:rPr>
          <w:b/>
        </w:rPr>
        <w:t xml:space="preserve">Gaisa </w:t>
      </w:r>
      <w:r>
        <w:rPr>
          <w:b/>
        </w:rPr>
        <w:t>kvalitāte</w:t>
      </w:r>
      <w:r w:rsidR="006A379E">
        <w:rPr>
          <w:b/>
        </w:rPr>
        <w:t>s aspekts</w:t>
      </w:r>
    </w:p>
    <w:p w14:paraId="79A75D37" w14:textId="77777777" w:rsidR="00C1275E" w:rsidRDefault="00E05CAE" w:rsidP="00C1275E">
      <w:pPr>
        <w:spacing w:before="120" w:after="120"/>
      </w:pPr>
      <w:r w:rsidRPr="00C1275E">
        <w:t>Kopš</w:t>
      </w:r>
      <w:r>
        <w:t xml:space="preserve"> Latvijas iestāšanās ES</w:t>
      </w:r>
      <w:r w:rsidRPr="00A46CC4">
        <w:t xml:space="preserve">, ir būtiski </w:t>
      </w:r>
      <w:r w:rsidR="005B713A" w:rsidRPr="00A46CC4">
        <w:t>palielināj</w:t>
      </w:r>
      <w:r w:rsidR="005B713A">
        <w:t>usies</w:t>
      </w:r>
      <w:r w:rsidR="005B713A" w:rsidRPr="00A46CC4">
        <w:t xml:space="preserve"> </w:t>
      </w:r>
      <w:r w:rsidR="004D5F11">
        <w:t xml:space="preserve">cietās </w:t>
      </w:r>
      <w:r w:rsidRPr="00A46CC4">
        <w:t xml:space="preserve">biomasas izmantošana </w:t>
      </w:r>
      <w:r w:rsidRPr="00C1275E">
        <w:t>sadedzināšanas</w:t>
      </w:r>
      <w:r w:rsidRPr="00A46CC4">
        <w:t xml:space="preserve"> iekārtās</w:t>
      </w:r>
      <w:r>
        <w:t>.</w:t>
      </w:r>
      <w:r w:rsidRPr="00A46CC4">
        <w:t xml:space="preserve"> Sākot ar 2012.</w:t>
      </w:r>
      <w:r w:rsidR="004F5545">
        <w:t> </w:t>
      </w:r>
      <w:r w:rsidRPr="00A46CC4">
        <w:t xml:space="preserve">gadu, biomasas </w:t>
      </w:r>
      <w:r w:rsidR="007010C0" w:rsidRPr="00A46CC4">
        <w:t>izmanto</w:t>
      </w:r>
      <w:r w:rsidR="007010C0">
        <w:t>šanas</w:t>
      </w:r>
      <w:r w:rsidR="007010C0" w:rsidRPr="00A46CC4">
        <w:t xml:space="preserve"> </w:t>
      </w:r>
      <w:r w:rsidRPr="00A46CC4">
        <w:t>īpatsvars kopējā patēriņā pārsniedz dabasgāzes izmantošanu.</w:t>
      </w:r>
      <w:r>
        <w:t xml:space="preserve"> </w:t>
      </w:r>
      <w:r w:rsidRPr="00A46CC4">
        <w:t>Šobrīd viens no galvenajiem enerģētikas sektora OMA nodrošinātājiem ir biomasa</w:t>
      </w:r>
      <w:r w:rsidR="004F5545">
        <w:t> </w:t>
      </w:r>
      <w:r>
        <w:t>-</w:t>
      </w:r>
      <w:r w:rsidR="004F5545">
        <w:t> </w:t>
      </w:r>
      <w:r w:rsidRPr="00A46CC4">
        <w:t xml:space="preserve">malka, koksnes </w:t>
      </w:r>
      <w:r w:rsidR="00F81B44">
        <w:t>atlikumi</w:t>
      </w:r>
      <w:r w:rsidRPr="00A46CC4">
        <w:t>, koksnes briketes, šķelda, granulas</w:t>
      </w:r>
      <w:r w:rsidR="00176723" w:rsidRPr="00A46CC4">
        <w:t>, kā arī bioetanols, biodīzeļdegviela</w:t>
      </w:r>
      <w:r w:rsidR="004F5545">
        <w:t xml:space="preserve">, </w:t>
      </w:r>
      <w:r w:rsidR="004F5545" w:rsidRPr="00944B60">
        <w:t>atkritumu poligonu un notekūdeņu attīrīšanas iekārtu gāzes</w:t>
      </w:r>
      <w:r w:rsidR="00176723" w:rsidRPr="00A46CC4">
        <w:t xml:space="preserve"> un</w:t>
      </w:r>
      <w:r w:rsidR="00176723">
        <w:t xml:space="preserve"> biogāze</w:t>
      </w:r>
      <w:r>
        <w:t xml:space="preserve">. </w:t>
      </w:r>
    </w:p>
    <w:p w14:paraId="6C1773ED" w14:textId="24AFFAD2" w:rsidR="00E05CAE" w:rsidRPr="00E05CAE" w:rsidRDefault="00612111" w:rsidP="00A31E76">
      <w:pPr>
        <w:pStyle w:val="NormalWeb"/>
      </w:pPr>
      <w:r>
        <w:t>Tā kā atsevišķās zonās Rīgā jau šobrīd konstatēts paaugstināts gaisa piesārņojums, i</w:t>
      </w:r>
      <w:r w:rsidR="00E05CAE">
        <w:t>zaicinājums, it īpaši pilsētvidē</w:t>
      </w:r>
      <w:r w:rsidR="005B713A">
        <w:t>,</w:t>
      </w:r>
      <w:r w:rsidR="00E05CAE">
        <w:t xml:space="preserve"> ir tāda AER izmantošana lokālajos siltumapgādes risinājumos, kas ne</w:t>
      </w:r>
      <w:r w:rsidR="006A379E">
        <w:t>rada negatīvu ietekmi uz</w:t>
      </w:r>
      <w:r w:rsidR="00E05CAE">
        <w:t xml:space="preserve"> gaisa kvalitāti, piemēram, izmantojot </w:t>
      </w:r>
      <w:r w:rsidR="006A379E">
        <w:t xml:space="preserve">ne-emisiju tehnoloģijas vai arī </w:t>
      </w:r>
      <w:r w:rsidR="00E05CAE">
        <w:t>dūmgāzu attīrīšanas filtrus (īpaši attiecībā uz cieto izkliedēto daļiņu emisijām).</w:t>
      </w:r>
    </w:p>
    <w:p w14:paraId="5AC73006" w14:textId="77777777" w:rsidR="00D93C26" w:rsidRPr="00D93C26" w:rsidRDefault="00D93C26" w:rsidP="0031388F">
      <w:pPr>
        <w:pStyle w:val="ListParagraph"/>
        <w:numPr>
          <w:ilvl w:val="0"/>
          <w:numId w:val="2"/>
        </w:numPr>
        <w:spacing w:before="120" w:after="120"/>
        <w:ind w:left="714" w:hanging="357"/>
        <w:rPr>
          <w:b/>
        </w:rPr>
      </w:pPr>
      <w:r w:rsidRPr="00D93C26">
        <w:rPr>
          <w:b/>
        </w:rPr>
        <w:t xml:space="preserve">Ne-emisiju AER </w:t>
      </w:r>
      <w:r w:rsidR="004F5545">
        <w:rPr>
          <w:b/>
        </w:rPr>
        <w:t xml:space="preserve">tehnoloģiju </w:t>
      </w:r>
      <w:r w:rsidRPr="00D93C26">
        <w:rPr>
          <w:b/>
        </w:rPr>
        <w:t xml:space="preserve">veidu izmantošana </w:t>
      </w:r>
    </w:p>
    <w:p w14:paraId="268A49CC" w14:textId="77777777" w:rsidR="00D93C26" w:rsidRPr="00194C24" w:rsidRDefault="00D93C26" w:rsidP="00E008BC">
      <w:pPr>
        <w:spacing w:before="120" w:after="120"/>
      </w:pPr>
      <w:r>
        <w:t xml:space="preserve">Kā papildus risinājums šim izaicinājumam ir ne-emisiju AER </w:t>
      </w:r>
      <w:r w:rsidR="00DF4F79">
        <w:t xml:space="preserve">(saules, vēja, </w:t>
      </w:r>
      <w:r w:rsidR="004F5545">
        <w:t>ūdens</w:t>
      </w:r>
      <w:r w:rsidR="00DF4F79">
        <w:t xml:space="preserve">, </w:t>
      </w:r>
      <w:r w:rsidR="00F2061A">
        <w:t>ģeo</w:t>
      </w:r>
      <w:r w:rsidR="00DF4F79">
        <w:t>termālā enerģija</w:t>
      </w:r>
      <w:r w:rsidR="004F5545">
        <w:t xml:space="preserve"> un </w:t>
      </w:r>
      <w:r w:rsidR="004F5545" w:rsidRPr="00944B60">
        <w:t>hidrotermālā enerģija</w:t>
      </w:r>
      <w:r w:rsidR="00DF4F79">
        <w:t xml:space="preserve">) </w:t>
      </w:r>
      <w:r>
        <w:t>īpatsvara palielināša</w:t>
      </w:r>
      <w:r w:rsidR="00C14552">
        <w:t>na</w:t>
      </w:r>
      <w:r>
        <w:t>.</w:t>
      </w:r>
    </w:p>
    <w:p w14:paraId="223DD501" w14:textId="77777777" w:rsidR="00D93C26" w:rsidRDefault="00D93C26" w:rsidP="00E008BC">
      <w:pPr>
        <w:spacing w:before="120" w:after="120"/>
      </w:pPr>
      <w:r w:rsidRPr="000D6D81">
        <w:t xml:space="preserve">AER </w:t>
      </w:r>
      <w:r w:rsidR="004F5545">
        <w:t xml:space="preserve">ražošanas un izmantošanas </w:t>
      </w:r>
      <w:r w:rsidRPr="000D6D81">
        <w:t>īpatsvaram elektroenerģijā ir tendence palielināties 54,58</w:t>
      </w:r>
      <w:r w:rsidR="004F5545">
        <w:t> </w:t>
      </w:r>
      <w:r w:rsidRPr="000D6D81">
        <w:t>% (2017.</w:t>
      </w:r>
      <w:r w:rsidR="004F5545">
        <w:t> </w:t>
      </w:r>
      <w:r w:rsidRPr="000D6D81">
        <w:t>gadā)</w:t>
      </w:r>
      <w:r w:rsidR="00DF4F79">
        <w:t>, tomēr</w:t>
      </w:r>
      <w:r w:rsidRPr="000D6D81">
        <w:t xml:space="preserve"> </w:t>
      </w:r>
      <w:r w:rsidR="00DF4F79">
        <w:t>t</w:t>
      </w:r>
      <w:r w:rsidRPr="000D6D81">
        <w:t xml:space="preserve">ādi AER kā </w:t>
      </w:r>
      <w:r w:rsidR="004F5545">
        <w:t>ūdens</w:t>
      </w:r>
      <w:r w:rsidR="004F5545" w:rsidRPr="000D6D81">
        <w:t xml:space="preserve"> </w:t>
      </w:r>
      <w:r w:rsidRPr="000D6D81">
        <w:t>vai vēja enerģija 2017.</w:t>
      </w:r>
      <w:r w:rsidR="004F5545">
        <w:t> </w:t>
      </w:r>
      <w:r w:rsidRPr="000D6D81">
        <w:t>gadā bija tikai 8,5</w:t>
      </w:r>
      <w:r w:rsidR="004F5545">
        <w:t> </w:t>
      </w:r>
      <w:r w:rsidRPr="000D6D81">
        <w:t xml:space="preserve">% no kopējo primāro energoresursu patēriņa, </w:t>
      </w:r>
      <w:r w:rsidR="00DF4F79">
        <w:t>bet</w:t>
      </w:r>
      <w:r w:rsidRPr="000D6D81">
        <w:t xml:space="preserve"> šis īpatsvars ir palielinājies (salīdzinājumam 1990.</w:t>
      </w:r>
      <w:r w:rsidR="004F5545">
        <w:t> </w:t>
      </w:r>
      <w:r w:rsidRPr="000D6D81">
        <w:t>gadā</w:t>
      </w:r>
      <w:r w:rsidR="004F5545">
        <w:t> </w:t>
      </w:r>
      <w:r w:rsidRPr="000D6D81">
        <w:t>-</w:t>
      </w:r>
      <w:r w:rsidR="004F5545">
        <w:t> </w:t>
      </w:r>
      <w:r w:rsidRPr="000D6D81">
        <w:t>5,2</w:t>
      </w:r>
      <w:r w:rsidR="004F5545">
        <w:t> </w:t>
      </w:r>
      <w:r w:rsidRPr="000D6D81">
        <w:t>%).</w:t>
      </w:r>
    </w:p>
    <w:p w14:paraId="39213C30" w14:textId="77777777" w:rsidR="00D93C26" w:rsidRDefault="00D93C26" w:rsidP="00E008BC">
      <w:pPr>
        <w:spacing w:before="120" w:after="120"/>
      </w:pPr>
      <w:r w:rsidRPr="00A46CC4">
        <w:t xml:space="preserve">Latvijas vidējo un mazo upju </w:t>
      </w:r>
      <w:r w:rsidR="005B713A" w:rsidRPr="00A46CC4">
        <w:t>teorētisk</w:t>
      </w:r>
      <w:r w:rsidR="005B713A">
        <w:t>ā</w:t>
      </w:r>
      <w:r w:rsidR="005B713A" w:rsidRPr="00A46CC4">
        <w:t xml:space="preserve"> </w:t>
      </w:r>
      <w:r w:rsidRPr="00A46CC4">
        <w:t xml:space="preserve">hidroenerģijas resursu ieguve ir 900 GWh elektroenerģijas gadā. </w:t>
      </w:r>
      <w:r w:rsidR="00A31E76">
        <w:t>M</w:t>
      </w:r>
      <w:r w:rsidRPr="00A46CC4">
        <w:t xml:space="preserve">azo upju hidroenerģijas resursi </w:t>
      </w:r>
      <w:r w:rsidR="00A31E76">
        <w:t>l</w:t>
      </w:r>
      <w:r w:rsidRPr="00A46CC4">
        <w:t>īdz šim apgūti tikai 70 GWh, kas ir 23</w:t>
      </w:r>
      <w:r w:rsidR="004F5545">
        <w:t> </w:t>
      </w:r>
      <w:r w:rsidRPr="00A46CC4">
        <w:t>%</w:t>
      </w:r>
      <w:r w:rsidR="004F5545">
        <w:t> </w:t>
      </w:r>
      <w:r w:rsidRPr="00A46CC4">
        <w:t>–</w:t>
      </w:r>
      <w:r w:rsidR="004F5545">
        <w:t> </w:t>
      </w:r>
      <w:r w:rsidRPr="00A46CC4">
        <w:t>28</w:t>
      </w:r>
      <w:r w:rsidR="004F5545">
        <w:t> </w:t>
      </w:r>
      <w:r w:rsidRPr="00A46CC4">
        <w:t>% no agrāko ūdensdzirnavu un bijušo mazo HES potenciālās jaudas</w:t>
      </w:r>
      <w:r w:rsidR="00ED09B9">
        <w:t>.</w:t>
      </w:r>
      <w:r>
        <w:t xml:space="preserve"> </w:t>
      </w:r>
      <w:r w:rsidR="00ED09B9">
        <w:t>V</w:t>
      </w:r>
      <w:r>
        <w:t xml:space="preserve">ienlaikus gan jāņem vērā, ka </w:t>
      </w:r>
      <w:r w:rsidRPr="00F2231E">
        <w:t xml:space="preserve">potenciālo hidroenerģijas resursu apgūšana pieļaujama, </w:t>
      </w:r>
      <w:r w:rsidR="00ED09B9">
        <w:t xml:space="preserve">tikai ņemot vērā vides un dabas aizsardzības mērķus, </w:t>
      </w:r>
      <w:r>
        <w:t xml:space="preserve">izvērtējot </w:t>
      </w:r>
      <w:r w:rsidR="00ED09B9">
        <w:t xml:space="preserve">un novēršot vai mazinot </w:t>
      </w:r>
      <w:r>
        <w:t xml:space="preserve">iespējamo </w:t>
      </w:r>
      <w:r w:rsidRPr="00F2231E">
        <w:t>negatīv</w:t>
      </w:r>
      <w:r>
        <w:t>o</w:t>
      </w:r>
      <w:r w:rsidRPr="00F2231E">
        <w:t xml:space="preserve"> ietekmi uz </w:t>
      </w:r>
      <w:r>
        <w:t>dabiskajām ekosistēmām, migrējošajām zivīm</w:t>
      </w:r>
      <w:r w:rsidRPr="00F2231E">
        <w:t xml:space="preserve"> un bioloģisko daudzveidību</w:t>
      </w:r>
      <w:r>
        <w:t>)</w:t>
      </w:r>
      <w:r w:rsidRPr="00A46CC4">
        <w:t xml:space="preserve">. Elektroenerģijas izstrādes daudzums Latvijā ir </w:t>
      </w:r>
      <w:r w:rsidR="00176723" w:rsidRPr="00176723">
        <w:t xml:space="preserve">lielā mērā </w:t>
      </w:r>
      <w:r w:rsidRPr="00A46CC4">
        <w:t>atkarīgs no Daugavas caurteces</w:t>
      </w:r>
      <w:r w:rsidR="00F638F6">
        <w:t>, kas atkarīga no nokrišņu daudzuma attiecīgajā gadā</w:t>
      </w:r>
      <w:r w:rsidRPr="00A46CC4">
        <w:t>. Daugavas kaskāde – Rīgas HES, Ķeguma HES un Pļaviņu HES nodrošina vidēji 40</w:t>
      </w:r>
      <w:r w:rsidR="004F5545">
        <w:t> </w:t>
      </w:r>
      <w:r w:rsidRPr="00A46CC4">
        <w:t>% no Latvijā patērētās elektroenerģijas.</w:t>
      </w:r>
    </w:p>
    <w:p w14:paraId="4B0ED973" w14:textId="77777777" w:rsidR="00D93C26" w:rsidRDefault="00D93C26" w:rsidP="00E008BC">
      <w:pPr>
        <w:spacing w:before="120" w:after="120"/>
        <w:rPr>
          <w:color w:val="FF0000"/>
        </w:rPr>
      </w:pPr>
      <w:r w:rsidRPr="00A46CC4">
        <w:t>Vēja energoresursu sadalījums Latvijā ir izteikti nevienmērīgs. Latvijas teritorijas iekšienē labvēlīgi vēja enerģijai ir tie rajoni, kur vējš veidojas paaugstinājuma rezultātā. Latvijā vislielākais vēja ātrums ir Baltijas jūras piekrastē un Rīgas jūras līča rietumu piekrastē, tās ziemeļu</w:t>
      </w:r>
      <w:r w:rsidR="00F638F6">
        <w:t xml:space="preserve"> daļā</w:t>
      </w:r>
      <w:r w:rsidRPr="00A46CC4">
        <w:t xml:space="preserve">. </w:t>
      </w:r>
    </w:p>
    <w:p w14:paraId="13B8ECB8" w14:textId="77777777" w:rsidR="00EB68D2" w:rsidRDefault="00D93C26" w:rsidP="00696696">
      <w:pPr>
        <w:spacing w:before="120" w:after="120"/>
      </w:pPr>
      <w:r w:rsidRPr="004A7C32">
        <w:lastRenderedPageBreak/>
        <w:t>2017.</w:t>
      </w:r>
      <w:r w:rsidR="000B5EB9">
        <w:t> </w:t>
      </w:r>
      <w:r w:rsidRPr="004A7C32">
        <w:t xml:space="preserve">gadā no saules saražotā elektroenerģija ir </w:t>
      </w:r>
      <w:r w:rsidR="000B5EB9">
        <w:t xml:space="preserve">aptuveni </w:t>
      </w:r>
      <w:r w:rsidRPr="004A7C32">
        <w:t xml:space="preserve">330 MWh, kas ir nepilni 0,002% no kopējās </w:t>
      </w:r>
      <w:r w:rsidR="00BD4691">
        <w:t xml:space="preserve">galalietotājiem </w:t>
      </w:r>
      <w:r w:rsidR="005556D4">
        <w:t>piegādātās elektroenerģijas</w:t>
      </w:r>
      <w:r w:rsidRPr="004A7C32">
        <w:t>.</w:t>
      </w:r>
      <w:r w:rsidR="004D5F11">
        <w:t xml:space="preserve"> </w:t>
      </w:r>
    </w:p>
    <w:p w14:paraId="08D0FDDF" w14:textId="3E5F14DB" w:rsidR="003D1D36" w:rsidRPr="00C4692E" w:rsidRDefault="003D1D36" w:rsidP="00C4692E">
      <w:pPr>
        <w:spacing w:before="120" w:after="120"/>
      </w:pPr>
      <w:r>
        <w:t>Īpaši nozīmīg</w:t>
      </w:r>
      <w:r w:rsidR="00B478B7">
        <w:t>a</w:t>
      </w:r>
      <w:r>
        <w:t xml:space="preserve"> ir nacionāla līmeņa AER projektu</w:t>
      </w:r>
      <w:r w:rsidR="00B478B7">
        <w:t>,</w:t>
      </w:r>
      <w:r>
        <w:t xml:space="preserve"> tādu kā vēja parku būvniecība vai lielo pilsētu siltumenerģijas</w:t>
      </w:r>
      <w:r w:rsidR="00381728">
        <w:t xml:space="preserve"> apgādes uzņēmumu fosilo energoresursu</w:t>
      </w:r>
      <w:r>
        <w:t xml:space="preserve"> </w:t>
      </w:r>
      <w:r w:rsidR="00381728">
        <w:t xml:space="preserve">nomaiņas </w:t>
      </w:r>
      <w:r w:rsidR="00B478B7">
        <w:t>uz AER,</w:t>
      </w:r>
      <w:r w:rsidR="00381728">
        <w:t xml:space="preserve"> </w:t>
      </w:r>
      <w:r>
        <w:t>īstenošana.</w:t>
      </w:r>
    </w:p>
    <w:p w14:paraId="6C6C82A8" w14:textId="77777777" w:rsidR="00EE39EA" w:rsidRDefault="00B842B4" w:rsidP="00E008BC">
      <w:pPr>
        <w:pStyle w:val="Heading2"/>
        <w:spacing w:before="120"/>
      </w:pPr>
      <w:bookmarkStart w:id="31" w:name="_Toc25580332"/>
      <w:r>
        <w:t>5.3.</w:t>
      </w:r>
      <w:r w:rsidR="00EF0079">
        <w:t> </w:t>
      </w:r>
      <w:r w:rsidR="009B614B" w:rsidRPr="009B614B">
        <w:t>Transports</w:t>
      </w:r>
      <w:bookmarkEnd w:id="31"/>
      <w:r w:rsidR="00EE39EA">
        <w:t xml:space="preserve"> </w:t>
      </w:r>
    </w:p>
    <w:p w14:paraId="19DD5601" w14:textId="77777777" w:rsidR="00806E3D" w:rsidRPr="00806E3D" w:rsidRDefault="00806E3D" w:rsidP="00E008BC">
      <w:pPr>
        <w:spacing w:before="120" w:after="120"/>
      </w:pPr>
      <w:r>
        <w:t xml:space="preserve">Attiecībā uz </w:t>
      </w:r>
      <w:r w:rsidR="00162162">
        <w:t xml:space="preserve">SEG </w:t>
      </w:r>
      <w:r>
        <w:t>emisijām transporta sektor</w:t>
      </w:r>
      <w:r w:rsidR="00162162">
        <w:t>ā Latvijai raksturīgi faktori ir autoparka struktūra</w:t>
      </w:r>
      <w:r w:rsidR="005B713A">
        <w:t>,</w:t>
      </w:r>
      <w:r w:rsidR="00162162">
        <w:t xml:space="preserve"> automašīnu izvēle un lietošanas paradumi.</w:t>
      </w:r>
    </w:p>
    <w:p w14:paraId="5B39184A" w14:textId="77777777" w:rsidR="00EE39EA" w:rsidRDefault="00EE39EA" w:rsidP="0031388F">
      <w:pPr>
        <w:pStyle w:val="ListParagraph"/>
        <w:numPr>
          <w:ilvl w:val="0"/>
          <w:numId w:val="2"/>
        </w:numPr>
        <w:spacing w:before="120" w:after="120"/>
        <w:ind w:left="714" w:hanging="357"/>
        <w:rPr>
          <w:b/>
          <w:color w:val="000000"/>
          <w:szCs w:val="24"/>
        </w:rPr>
      </w:pPr>
      <w:r>
        <w:rPr>
          <w:b/>
        </w:rPr>
        <w:t>Esošā a</w:t>
      </w:r>
      <w:r w:rsidRPr="00D93C26">
        <w:rPr>
          <w:b/>
        </w:rPr>
        <w:t>utoparka</w:t>
      </w:r>
      <w:r>
        <w:rPr>
          <w:b/>
          <w:color w:val="000000"/>
          <w:szCs w:val="24"/>
        </w:rPr>
        <w:t xml:space="preserve"> struktūra</w:t>
      </w:r>
    </w:p>
    <w:p w14:paraId="3865A401" w14:textId="77777777" w:rsidR="00A31E76" w:rsidRDefault="00255AD3" w:rsidP="009A12B8">
      <w:pPr>
        <w:spacing w:before="120" w:after="120"/>
      </w:pPr>
      <w:r w:rsidRPr="00951354">
        <w:t>Latvijā gandrīz 80</w:t>
      </w:r>
      <w:r w:rsidR="00AC00F7">
        <w:t> </w:t>
      </w:r>
      <w:r w:rsidRPr="00951354">
        <w:t>% no transportlīdzekļiem ir vecāk</w:t>
      </w:r>
      <w:r w:rsidR="000456E4">
        <w:t>i</w:t>
      </w:r>
      <w:r w:rsidRPr="00951354">
        <w:t xml:space="preserve"> par desmit gadiem. </w:t>
      </w:r>
    </w:p>
    <w:p w14:paraId="2E517B07" w14:textId="77777777" w:rsidR="00B7223A" w:rsidRPr="00A31E76" w:rsidRDefault="00255AD3" w:rsidP="009A12B8">
      <w:pPr>
        <w:spacing w:before="120" w:after="120"/>
      </w:pPr>
      <w:r w:rsidRPr="00951354">
        <w:t>Dīzeļdegvielas automašīnu skaits no 2010. līdz 2017.</w:t>
      </w:r>
      <w:r w:rsidR="00AC00F7">
        <w:t> </w:t>
      </w:r>
      <w:r w:rsidRPr="00951354">
        <w:t xml:space="preserve">gadam pieaudzis no vienas trešdaļas līdz vairāk nekā pusei no visiem transportlīdzekļiem. </w:t>
      </w:r>
      <w:r w:rsidR="009A12B8">
        <w:t xml:space="preserve">Intensīva autosatiksme, kurā kā degviela dominē fosilie energoresursi, rada ne tikai SEG emisijas, bet arī negatīvi ietekmē arī gaisa kvalitāti, it īpaši pilsētvidē, </w:t>
      </w:r>
      <w:r w:rsidR="009A12B8">
        <w:rPr>
          <w:color w:val="333333"/>
        </w:rPr>
        <w:t>kur</w:t>
      </w:r>
      <w:r w:rsidR="002F14DE">
        <w:rPr>
          <w:color w:val="333333"/>
        </w:rPr>
        <w:t xml:space="preserve"> </w:t>
      </w:r>
      <w:r w:rsidR="009A12B8">
        <w:rPr>
          <w:color w:val="333333"/>
        </w:rPr>
        <w:t xml:space="preserve">paaugstināta </w:t>
      </w:r>
      <w:r w:rsidR="002F14DE">
        <w:rPr>
          <w:color w:val="333333"/>
        </w:rPr>
        <w:t>NO</w:t>
      </w:r>
      <w:r w:rsidR="002F14DE" w:rsidRPr="00A31E76">
        <w:rPr>
          <w:color w:val="333333"/>
          <w:vertAlign w:val="subscript"/>
        </w:rPr>
        <w:t>2</w:t>
      </w:r>
      <w:r w:rsidR="002F14DE">
        <w:rPr>
          <w:color w:val="333333"/>
        </w:rPr>
        <w:t xml:space="preserve"> koncentrācija ir indikators, kas liecina par transportlīdzekļu radīto piesārņojumu. </w:t>
      </w:r>
      <w:r w:rsidRPr="00951354">
        <w:t>Kaut arī jaunās Latvijā reģistrētās automašīnas rada</w:t>
      </w:r>
      <w:r w:rsidR="00C27B8C">
        <w:t xml:space="preserve"> mazākas emisijas, tomēr Latvija</w:t>
      </w:r>
      <w:r w:rsidRPr="00951354">
        <w:t xml:space="preserve"> joprojām ir otrajā vietā ES pēc oglekļa in</w:t>
      </w:r>
      <w:r w:rsidR="00951354">
        <w:t>tensīvāko automašīnu lietošanas.</w:t>
      </w:r>
    </w:p>
    <w:p w14:paraId="06E98C05" w14:textId="77777777" w:rsidR="00954966" w:rsidRDefault="000B4335" w:rsidP="00E008BC">
      <w:pPr>
        <w:spacing w:before="120" w:after="120"/>
      </w:pPr>
      <w:r>
        <w:t>P</w:t>
      </w:r>
      <w:r w:rsidR="00954966" w:rsidRPr="00954966">
        <w:t xml:space="preserve">ēdējos gados </w:t>
      </w:r>
      <w:r>
        <w:t xml:space="preserve">ir vērojama tendence, ka </w:t>
      </w:r>
      <w:r w:rsidR="00954966" w:rsidRPr="000B4335">
        <w:t>samazinājušies pasažieru pārvadājumi sabiedriskajā transportā</w:t>
      </w:r>
      <w:r>
        <w:t>, cilvēkiem tā vietā izvēloties personīgos transportlīdzekļus</w:t>
      </w:r>
      <w:r w:rsidR="00954966" w:rsidRPr="000B4335">
        <w:t>.</w:t>
      </w:r>
    </w:p>
    <w:p w14:paraId="48AD5270" w14:textId="77777777" w:rsidR="00A31E76" w:rsidRPr="00696696" w:rsidRDefault="00A31E76" w:rsidP="0031388F">
      <w:pPr>
        <w:pStyle w:val="ListParagraph"/>
        <w:numPr>
          <w:ilvl w:val="0"/>
          <w:numId w:val="2"/>
        </w:numPr>
        <w:spacing w:before="120" w:after="120"/>
        <w:ind w:left="714" w:hanging="357"/>
        <w:rPr>
          <w:b/>
        </w:rPr>
      </w:pPr>
      <w:r>
        <w:rPr>
          <w:b/>
        </w:rPr>
        <w:t>A</w:t>
      </w:r>
      <w:r w:rsidRPr="00696696">
        <w:rPr>
          <w:b/>
        </w:rPr>
        <w:t xml:space="preserve">lternatīvo transportlīdzekļu </w:t>
      </w:r>
      <w:r w:rsidR="005D75D7">
        <w:rPr>
          <w:b/>
        </w:rPr>
        <w:t xml:space="preserve">uzpildes </w:t>
      </w:r>
      <w:r w:rsidRPr="00696696">
        <w:rPr>
          <w:b/>
        </w:rPr>
        <w:t>infrastruktūra</w:t>
      </w:r>
      <w:r>
        <w:rPr>
          <w:b/>
        </w:rPr>
        <w:t>s pieejamība</w:t>
      </w:r>
    </w:p>
    <w:p w14:paraId="3C407C7D" w14:textId="688C9D36" w:rsidR="00CB7217" w:rsidRPr="0057194D" w:rsidRDefault="00CB7217" w:rsidP="00696696">
      <w:pPr>
        <w:ind w:firstLine="357"/>
        <w:rPr>
          <w:color w:val="000000" w:themeColor="text1"/>
        </w:rPr>
      </w:pPr>
      <w:r w:rsidRPr="0057194D">
        <w:rPr>
          <w:color w:val="000000" w:themeColor="text1"/>
        </w:rPr>
        <w:t>Latvij</w:t>
      </w:r>
      <w:r w:rsidR="00A03EEF">
        <w:rPr>
          <w:color w:val="000000" w:themeColor="text1"/>
        </w:rPr>
        <w:t>ā</w:t>
      </w:r>
      <w:r w:rsidRPr="0057194D">
        <w:rPr>
          <w:color w:val="000000" w:themeColor="text1"/>
        </w:rPr>
        <w:t xml:space="preserve"> valsts mēroga publiskā ātrās uzlādes tīkla pirmā kārta </w:t>
      </w:r>
      <w:r w:rsidR="00A03EEF">
        <w:rPr>
          <w:color w:val="000000" w:themeColor="text1"/>
        </w:rPr>
        <w:t>noslēdzās</w:t>
      </w:r>
      <w:r w:rsidRPr="0057194D">
        <w:rPr>
          <w:color w:val="000000" w:themeColor="text1"/>
        </w:rPr>
        <w:t xml:space="preserve"> 2018.</w:t>
      </w:r>
      <w:r w:rsidR="00A03EEF">
        <w:rPr>
          <w:color w:val="000000" w:themeColor="text1"/>
        </w:rPr>
        <w:t> </w:t>
      </w:r>
      <w:r w:rsidRPr="0057194D">
        <w:rPr>
          <w:color w:val="000000" w:themeColor="text1"/>
        </w:rPr>
        <w:t xml:space="preserve">gadā un otrā kārta </w:t>
      </w:r>
      <w:r w:rsidR="00A03EEF">
        <w:rPr>
          <w:color w:val="000000" w:themeColor="text1"/>
        </w:rPr>
        <w:t>plānota</w:t>
      </w:r>
      <w:r w:rsidR="00A03EEF" w:rsidRPr="0057194D">
        <w:rPr>
          <w:color w:val="000000" w:themeColor="text1"/>
        </w:rPr>
        <w:t xml:space="preserve"> </w:t>
      </w:r>
      <w:r w:rsidRPr="0057194D">
        <w:rPr>
          <w:color w:val="000000" w:themeColor="text1"/>
        </w:rPr>
        <w:t>2020. gadā. Kopumā līdz 2021.</w:t>
      </w:r>
      <w:r w:rsidR="00DA7200">
        <w:rPr>
          <w:color w:val="000000" w:themeColor="text1"/>
        </w:rPr>
        <w:t xml:space="preserve"> </w:t>
      </w:r>
      <w:r w:rsidRPr="0057194D">
        <w:rPr>
          <w:color w:val="000000" w:themeColor="text1"/>
        </w:rPr>
        <w:t>gada beigām plānots</w:t>
      </w:r>
      <w:r w:rsidRPr="0057194D">
        <w:rPr>
          <w:rStyle w:val="FootnoteReference"/>
          <w:color w:val="000000" w:themeColor="text1"/>
        </w:rPr>
        <w:footnoteReference w:id="53"/>
      </w:r>
      <w:r w:rsidRPr="0057194D">
        <w:rPr>
          <w:color w:val="000000" w:themeColor="text1"/>
        </w:rPr>
        <w:t xml:space="preserve"> uzstādīt 150 elektroautomobiļu ātrās uzlādes stacijas, uzstādot tās uz TEN-T ceļus savienojošiem reģionālajiem ceļiem un apdzīvotās vietās ar iedzīvotāju skaitu virs 5000. </w:t>
      </w:r>
    </w:p>
    <w:p w14:paraId="10F48D2C" w14:textId="757814C1" w:rsidR="00A31E76" w:rsidRPr="0057194D" w:rsidRDefault="00A31E76" w:rsidP="00696696">
      <w:pPr>
        <w:ind w:firstLine="357"/>
        <w:rPr>
          <w:color w:val="000000" w:themeColor="text1"/>
        </w:rPr>
      </w:pPr>
      <w:r w:rsidRPr="0057194D">
        <w:rPr>
          <w:color w:val="000000" w:themeColor="text1"/>
        </w:rPr>
        <w:t>Latvijā (uz 2019.</w:t>
      </w:r>
      <w:r w:rsidR="00DA7200">
        <w:rPr>
          <w:color w:val="000000" w:themeColor="text1"/>
        </w:rPr>
        <w:t xml:space="preserve"> </w:t>
      </w:r>
      <w:r w:rsidRPr="0057194D">
        <w:rPr>
          <w:color w:val="000000" w:themeColor="text1"/>
        </w:rPr>
        <w:t xml:space="preserve">gadu) </w:t>
      </w:r>
      <w:r w:rsidR="005D75D7" w:rsidRPr="0057194D">
        <w:rPr>
          <w:color w:val="000000" w:themeColor="text1"/>
        </w:rPr>
        <w:t xml:space="preserve">nebija reģistrēts neviens ūdeņradi kā degvielu izmantojošs </w:t>
      </w:r>
      <w:r w:rsidRPr="0057194D">
        <w:rPr>
          <w:color w:val="000000" w:themeColor="text1"/>
        </w:rPr>
        <w:t xml:space="preserve">vieglais transportlīdzeklis, </w:t>
      </w:r>
      <w:r w:rsidR="00A03EEF">
        <w:rPr>
          <w:color w:val="000000" w:themeColor="text1"/>
        </w:rPr>
        <w:t xml:space="preserve">kā arī </w:t>
      </w:r>
      <w:r w:rsidR="005D75D7" w:rsidRPr="0057194D">
        <w:rPr>
          <w:color w:val="000000" w:themeColor="text1"/>
        </w:rPr>
        <w:t xml:space="preserve">Latvijā </w:t>
      </w:r>
      <w:r w:rsidRPr="0057194D">
        <w:rPr>
          <w:color w:val="000000" w:themeColor="text1"/>
        </w:rPr>
        <w:t>nav pieejama</w:t>
      </w:r>
      <w:r w:rsidR="003038E1">
        <w:rPr>
          <w:color w:val="000000" w:themeColor="text1"/>
        </w:rPr>
        <w:t>s</w:t>
      </w:r>
      <w:r w:rsidR="005D75D7" w:rsidRPr="0057194D">
        <w:rPr>
          <w:color w:val="000000" w:themeColor="text1"/>
        </w:rPr>
        <w:t xml:space="preserve"> publiskas </w:t>
      </w:r>
      <w:r w:rsidR="00A03EEF">
        <w:rPr>
          <w:color w:val="000000" w:themeColor="text1"/>
        </w:rPr>
        <w:t xml:space="preserve">ūdeņraža </w:t>
      </w:r>
      <w:r w:rsidR="005D75D7" w:rsidRPr="0057194D">
        <w:rPr>
          <w:color w:val="000000" w:themeColor="text1"/>
        </w:rPr>
        <w:t>uzpildes vietas</w:t>
      </w:r>
      <w:r w:rsidRPr="0057194D">
        <w:rPr>
          <w:color w:val="000000" w:themeColor="text1"/>
        </w:rPr>
        <w:t>.</w:t>
      </w:r>
    </w:p>
    <w:p w14:paraId="10D88896" w14:textId="1AC11EC9" w:rsidR="00AA2CE0" w:rsidRPr="0057194D" w:rsidRDefault="00A31E76" w:rsidP="00696696">
      <w:pPr>
        <w:ind w:firstLine="357"/>
        <w:rPr>
          <w:color w:val="000000" w:themeColor="text1"/>
        </w:rPr>
      </w:pPr>
      <w:r w:rsidRPr="0057194D">
        <w:rPr>
          <w:color w:val="000000" w:themeColor="text1"/>
        </w:rPr>
        <w:t xml:space="preserve">Latvijā </w:t>
      </w:r>
      <w:r w:rsidR="005D75D7" w:rsidRPr="0057194D">
        <w:rPr>
          <w:color w:val="000000" w:themeColor="text1"/>
        </w:rPr>
        <w:t>(</w:t>
      </w:r>
      <w:r w:rsidRPr="0057194D">
        <w:rPr>
          <w:color w:val="000000" w:themeColor="text1"/>
        </w:rPr>
        <w:t>2019.</w:t>
      </w:r>
      <w:r w:rsidR="00DA7200">
        <w:rPr>
          <w:color w:val="000000" w:themeColor="text1"/>
        </w:rPr>
        <w:t xml:space="preserve"> </w:t>
      </w:r>
      <w:r w:rsidRPr="0057194D">
        <w:rPr>
          <w:color w:val="000000" w:themeColor="text1"/>
        </w:rPr>
        <w:t>gadā</w:t>
      </w:r>
      <w:r w:rsidR="005D75D7" w:rsidRPr="0057194D">
        <w:rPr>
          <w:color w:val="000000" w:themeColor="text1"/>
        </w:rPr>
        <w:t>)</w:t>
      </w:r>
      <w:r w:rsidRPr="0057194D">
        <w:rPr>
          <w:color w:val="000000" w:themeColor="text1"/>
        </w:rPr>
        <w:t xml:space="preserve"> atklāta viena publiski pieejama CNG uzpildes stacija (Jēkabpilī)</w:t>
      </w:r>
      <w:r w:rsidR="005D75D7" w:rsidRPr="0057194D">
        <w:rPr>
          <w:color w:val="000000" w:themeColor="text1"/>
        </w:rPr>
        <w:t>, un plānots atvērt vēl divas</w:t>
      </w:r>
      <w:r w:rsidRPr="0057194D">
        <w:rPr>
          <w:color w:val="000000" w:themeColor="text1"/>
        </w:rPr>
        <w:t xml:space="preserve"> Rīgā. </w:t>
      </w:r>
      <w:r w:rsidR="00DA2D2F">
        <w:rPr>
          <w:color w:val="000000" w:themeColor="text1"/>
        </w:rPr>
        <w:t>CNG infrastruktūrā dabasgāzes vietā var tikt ievadīts biometāns.</w:t>
      </w:r>
    </w:p>
    <w:p w14:paraId="5DFC8D6D" w14:textId="77777777" w:rsidR="00EE39EA" w:rsidRPr="00172A57" w:rsidRDefault="00E8668C" w:rsidP="0031388F">
      <w:pPr>
        <w:pStyle w:val="ListParagraph"/>
        <w:numPr>
          <w:ilvl w:val="0"/>
          <w:numId w:val="2"/>
        </w:numPr>
        <w:spacing w:before="120" w:after="120"/>
        <w:ind w:left="714" w:hanging="357"/>
        <w:rPr>
          <w:b/>
        </w:rPr>
      </w:pPr>
      <w:r>
        <w:rPr>
          <w:b/>
        </w:rPr>
        <w:t>Automašīn</w:t>
      </w:r>
      <w:r w:rsidR="005E2BD2">
        <w:rPr>
          <w:b/>
        </w:rPr>
        <w:t>u</w:t>
      </w:r>
      <w:r>
        <w:rPr>
          <w:b/>
        </w:rPr>
        <w:t xml:space="preserve"> izvēle un lietošanas paradumi</w:t>
      </w:r>
    </w:p>
    <w:p w14:paraId="3CCA6B82" w14:textId="77777777" w:rsidR="000E0630" w:rsidRDefault="00E8668C" w:rsidP="00E008BC">
      <w:pPr>
        <w:spacing w:before="120" w:after="120"/>
      </w:pPr>
      <w:r>
        <w:t>S</w:t>
      </w:r>
      <w:r w:rsidR="00C27B8C">
        <w:t xml:space="preserve">EG emisijas var mazināt arī </w:t>
      </w:r>
      <w:r>
        <w:t>izvēl</w:t>
      </w:r>
      <w:r w:rsidR="00C27B8C">
        <w:t>oties</w:t>
      </w:r>
      <w:r>
        <w:t xml:space="preserve"> automašīn</w:t>
      </w:r>
      <w:r w:rsidR="00C27B8C">
        <w:t>u veidu</w:t>
      </w:r>
      <w:r>
        <w:t>, kas piem</w:t>
      </w:r>
      <w:r w:rsidR="00D93C26">
        <w:t>ērotas plānotajam izmanto</w:t>
      </w:r>
      <w:r w:rsidR="00C27B8C">
        <w:t>šanas veidam, piemēram, neizvēlo</w:t>
      </w:r>
      <w:r w:rsidR="00D93C26">
        <w:t xml:space="preserve">ties </w:t>
      </w:r>
      <w:r w:rsidR="005556D4">
        <w:t>automašīnas ar lielu motora tilpumu (</w:t>
      </w:r>
      <w:r w:rsidR="00D93C26">
        <w:t>apvidus automašīnas</w:t>
      </w:r>
      <w:r w:rsidR="005556D4">
        <w:t>)</w:t>
      </w:r>
      <w:r w:rsidR="00D93C26">
        <w:t xml:space="preserve"> braukšanai pilsētvidē.</w:t>
      </w:r>
      <w:r w:rsidR="005B713A">
        <w:t xml:space="preserve"> </w:t>
      </w:r>
      <w:r w:rsidR="000E0630">
        <w:t>Papildus SEG un piesārņojošo vielu emisijas</w:t>
      </w:r>
      <w:r w:rsidR="00426E98">
        <w:t xml:space="preserve"> gaisā</w:t>
      </w:r>
      <w:r w:rsidR="000E0630">
        <w:t xml:space="preserve"> rodas</w:t>
      </w:r>
      <w:r w:rsidR="000E0630" w:rsidRPr="000E0630">
        <w:t xml:space="preserve"> autovadītāju izvēlētā braukšanas stila un</w:t>
      </w:r>
      <w:r w:rsidR="00C27B8C">
        <w:t xml:space="preserve"> </w:t>
      </w:r>
      <w:r w:rsidR="000E0630" w:rsidRPr="000E0630">
        <w:t xml:space="preserve">arī nepilnīgas automobiļu tehniskās apkopes dēļ </w:t>
      </w:r>
      <w:r w:rsidR="000E0630">
        <w:t>(piemēram,</w:t>
      </w:r>
      <w:r w:rsidR="000E0630" w:rsidRPr="000E0630">
        <w:t xml:space="preserve"> </w:t>
      </w:r>
      <w:r w:rsidR="00C27B8C">
        <w:t>vai</w:t>
      </w:r>
      <w:r w:rsidR="000E0630" w:rsidRPr="000E0630">
        <w:t xml:space="preserve"> izpūtējs aprīkots ar kvēpu filtru un vai tas tiek pareizi apkopts un ekspluatēts</w:t>
      </w:r>
      <w:r w:rsidR="000E0630">
        <w:t>).</w:t>
      </w:r>
    </w:p>
    <w:p w14:paraId="3C8B3D0F" w14:textId="77777777" w:rsidR="001A166C" w:rsidRPr="00D06F34" w:rsidRDefault="001A166C" w:rsidP="00E008BC">
      <w:pPr>
        <w:pStyle w:val="Heading2"/>
        <w:spacing w:before="120"/>
        <w:jc w:val="both"/>
      </w:pPr>
      <w:bookmarkStart w:id="32" w:name="_Toc25580333"/>
      <w:r>
        <w:t>5.4.</w:t>
      </w:r>
      <w:r w:rsidR="00B47825">
        <w:t> </w:t>
      </w:r>
      <w:r w:rsidRPr="00D06F34">
        <w:t xml:space="preserve">Lauksaimniecība un </w:t>
      </w:r>
      <w:r>
        <w:t>zemes izmantošana</w:t>
      </w:r>
      <w:bookmarkEnd w:id="32"/>
      <w:r>
        <w:t xml:space="preserve"> </w:t>
      </w:r>
    </w:p>
    <w:p w14:paraId="44B23254" w14:textId="77777777" w:rsidR="001A166C" w:rsidRDefault="003A32FB" w:rsidP="00E008BC">
      <w:pPr>
        <w:spacing w:before="120" w:after="120"/>
      </w:pPr>
      <w:r>
        <w:t>Lauksaimniecības un zemes izmantošanas</w:t>
      </w:r>
      <w:r w:rsidR="007F21E7">
        <w:t>, zemes izmantošanas maiņas un mežsaimniecības</w:t>
      </w:r>
      <w:r>
        <w:t xml:space="preserve"> sektorā </w:t>
      </w:r>
      <w:r w:rsidR="003B6A63">
        <w:t xml:space="preserve">saistībā ar SEG emisijām </w:t>
      </w:r>
      <w:r w:rsidR="007F21E7">
        <w:t>un CO</w:t>
      </w:r>
      <w:r w:rsidR="00217978" w:rsidRPr="008A5B10">
        <w:rPr>
          <w:vertAlign w:val="subscript"/>
        </w:rPr>
        <w:t>2</w:t>
      </w:r>
      <w:r w:rsidR="007F21E7">
        <w:t xml:space="preserve"> piesaisti </w:t>
      </w:r>
      <w:r>
        <w:t>nozīmīgi faktori ir</w:t>
      </w:r>
      <w:r w:rsidR="003B6A63">
        <w:t xml:space="preserve"> </w:t>
      </w:r>
      <w:r>
        <w:t>minerālmēslu lietošana,</w:t>
      </w:r>
      <w:r w:rsidR="00104539">
        <w:t xml:space="preserve"> liels</w:t>
      </w:r>
      <w:r>
        <w:t xml:space="preserve"> organisko augšņu </w:t>
      </w:r>
      <w:r w:rsidR="00104539">
        <w:t>īpatsvars</w:t>
      </w:r>
      <w:r>
        <w:t xml:space="preserve"> Latvijas teritorijā, kā arī mežainums.</w:t>
      </w:r>
    </w:p>
    <w:p w14:paraId="03419E1B" w14:textId="77777777" w:rsidR="001A166C" w:rsidRPr="005F2265" w:rsidRDefault="003B6A63" w:rsidP="0031388F">
      <w:pPr>
        <w:pStyle w:val="ListParagraph"/>
        <w:numPr>
          <w:ilvl w:val="0"/>
          <w:numId w:val="2"/>
        </w:numPr>
        <w:spacing w:before="120" w:after="120"/>
        <w:ind w:left="714" w:hanging="357"/>
        <w:rPr>
          <w:b/>
        </w:rPr>
      </w:pPr>
      <w:r>
        <w:rPr>
          <w:b/>
        </w:rPr>
        <w:t xml:space="preserve">Slāpekļa </w:t>
      </w:r>
      <w:r w:rsidR="001A166C" w:rsidRPr="005F2265">
        <w:rPr>
          <w:b/>
        </w:rPr>
        <w:t>minerālmēslu izmantošana lauksaimniecības zemju apstrādē</w:t>
      </w:r>
    </w:p>
    <w:p w14:paraId="075B2045" w14:textId="77777777" w:rsidR="001A166C" w:rsidRDefault="001A166C" w:rsidP="00E008BC">
      <w:pPr>
        <w:spacing w:before="120" w:after="120"/>
      </w:pPr>
      <w:r w:rsidRPr="00D06F34">
        <w:t xml:space="preserve">Kopējā ar minerālmēsliem apstrādātā lauksaimniecības kultūru sējumu platība pieaug </w:t>
      </w:r>
      <w:r w:rsidR="003A32FB">
        <w:t>(</w:t>
      </w:r>
      <w:r w:rsidRPr="00CC0B90">
        <w:t>2008.</w:t>
      </w:r>
      <w:r w:rsidR="00B47825">
        <w:t> </w:t>
      </w:r>
      <w:r w:rsidRPr="00CC0B90">
        <w:t>gad</w:t>
      </w:r>
      <w:r w:rsidRPr="00CC0B90">
        <w:rPr>
          <w:rFonts w:hint="eastAsia"/>
        </w:rPr>
        <w:t>ā</w:t>
      </w:r>
      <w:r w:rsidR="00B47825">
        <w:t> </w:t>
      </w:r>
      <w:r w:rsidRPr="00CC0B90">
        <w:t>-</w:t>
      </w:r>
      <w:r w:rsidR="00B47825">
        <w:t> </w:t>
      </w:r>
      <w:r w:rsidRPr="00CC0B90">
        <w:t>51</w:t>
      </w:r>
      <w:r w:rsidR="00B47825">
        <w:t> </w:t>
      </w:r>
      <w:r w:rsidRPr="00CC0B90">
        <w:t>%, 2010.</w:t>
      </w:r>
      <w:r w:rsidR="00B47825">
        <w:t> </w:t>
      </w:r>
      <w:r w:rsidRPr="00CC0B90">
        <w:t>gad</w:t>
      </w:r>
      <w:r w:rsidRPr="00CC0B90">
        <w:rPr>
          <w:rFonts w:hint="eastAsia"/>
        </w:rPr>
        <w:t>ā</w:t>
      </w:r>
      <w:r w:rsidR="00B47825">
        <w:t> </w:t>
      </w:r>
      <w:r w:rsidRPr="00CC0B90">
        <w:t>-</w:t>
      </w:r>
      <w:r w:rsidR="00B47825">
        <w:t> </w:t>
      </w:r>
      <w:r w:rsidRPr="00CC0B90">
        <w:t>55%, bet</w:t>
      </w:r>
      <w:r w:rsidRPr="00D06F34">
        <w:t xml:space="preserve"> 2017.</w:t>
      </w:r>
      <w:r w:rsidR="00B47825">
        <w:t> </w:t>
      </w:r>
      <w:r w:rsidRPr="00D06F34">
        <w:t>gadā tika mēslots 60</w:t>
      </w:r>
      <w:r w:rsidR="00B47825">
        <w:t> </w:t>
      </w:r>
      <w:r>
        <w:t>% visu sējumu platību</w:t>
      </w:r>
      <w:r w:rsidR="003A32FB">
        <w:t>)</w:t>
      </w:r>
      <w:r>
        <w:t xml:space="preserve">. </w:t>
      </w:r>
      <w:r w:rsidRPr="00D06F34">
        <w:t>Pēdējā desmitgadē minerālmēslojums uz 1 ha sējumu kopplatības visām lauksaimniecības kultūrām (pārrēķinot 100</w:t>
      </w:r>
      <w:r w:rsidR="00B47825">
        <w:t> </w:t>
      </w:r>
      <w:r w:rsidRPr="00D06F34">
        <w:t xml:space="preserve">% augu barības vielās) ir pieaugusi no 74 kg/ha uz 110 kg/ha. </w:t>
      </w:r>
      <w:r w:rsidRPr="00D06F34">
        <w:lastRenderedPageBreak/>
        <w:t>Joprojām plaši tiek izmantoti vienkāršie slāpekļa minerālmēsli, jo to cenas ir ievērojami zemākas nekā kompleksajiem minerālmēsliem. Vislielākais minerālmēslu daudzums uz vienu sējuma ha izlietots tehnisko kultūru un graudaugu sējumiem, bet ievērojami mazāk</w:t>
      </w:r>
      <w:r w:rsidR="00B47825">
        <w:t> </w:t>
      </w:r>
      <w:r w:rsidRPr="00D06F34">
        <w:t>–</w:t>
      </w:r>
      <w:r w:rsidR="00B47825">
        <w:t> </w:t>
      </w:r>
      <w:r w:rsidRPr="00D06F34">
        <w:t>atklāta lauka dārzeņu un kartupeļu audzēšanā.</w:t>
      </w:r>
    </w:p>
    <w:p w14:paraId="4DF19BDC" w14:textId="77777777" w:rsidR="003A32FB" w:rsidRPr="0055357F" w:rsidRDefault="003A32FB" w:rsidP="0031388F">
      <w:pPr>
        <w:pStyle w:val="ListParagraph"/>
        <w:numPr>
          <w:ilvl w:val="0"/>
          <w:numId w:val="2"/>
        </w:numPr>
        <w:spacing w:before="120" w:after="120"/>
        <w:ind w:left="714" w:hanging="357"/>
        <w:rPr>
          <w:b/>
        </w:rPr>
      </w:pPr>
      <w:r w:rsidRPr="0055357F">
        <w:rPr>
          <w:b/>
        </w:rPr>
        <w:t>Augsnes struktūra/sastāvs</w:t>
      </w:r>
      <w:r w:rsidR="00B47825">
        <w:rPr>
          <w:b/>
        </w:rPr>
        <w:t> </w:t>
      </w:r>
      <w:r w:rsidRPr="0055357F">
        <w:rPr>
          <w:b/>
        </w:rPr>
        <w:t>–</w:t>
      </w:r>
      <w:r w:rsidR="00B47825">
        <w:rPr>
          <w:b/>
        </w:rPr>
        <w:t> </w:t>
      </w:r>
      <w:r w:rsidRPr="0055357F">
        <w:rPr>
          <w:b/>
        </w:rPr>
        <w:t>organiskās augsnes</w:t>
      </w:r>
    </w:p>
    <w:p w14:paraId="48F51882" w14:textId="28507EDA" w:rsidR="003A32FB" w:rsidRPr="007576AA" w:rsidRDefault="003A32FB" w:rsidP="00E008BC">
      <w:pPr>
        <w:spacing w:before="120" w:after="120"/>
        <w:rPr>
          <w:szCs w:val="24"/>
        </w:rPr>
      </w:pPr>
      <w:r w:rsidRPr="00175C75">
        <w:rPr>
          <w:bCs/>
          <w:szCs w:val="24"/>
        </w:rPr>
        <w:t>O</w:t>
      </w:r>
      <w:r w:rsidRPr="007576AA">
        <w:rPr>
          <w:szCs w:val="24"/>
        </w:rPr>
        <w:t xml:space="preserve">rganiskās </w:t>
      </w:r>
      <w:r w:rsidRPr="007576AA">
        <w:t>augsnes</w:t>
      </w:r>
      <w:r>
        <w:rPr>
          <w:szCs w:val="24"/>
        </w:rPr>
        <w:t xml:space="preserve"> </w:t>
      </w:r>
      <w:r w:rsidRPr="005054C6">
        <w:t>Latvijā</w:t>
      </w:r>
      <w:r w:rsidRPr="007576AA">
        <w:rPr>
          <w:szCs w:val="24"/>
        </w:rPr>
        <w:t xml:space="preserve"> ir veidojušās galvenokārt augsnēs ar augstu mitr</w:t>
      </w:r>
      <w:r>
        <w:rPr>
          <w:szCs w:val="24"/>
        </w:rPr>
        <w:t>uma līmeni. Pārvēršot mitrzemes</w:t>
      </w:r>
      <w:r w:rsidRPr="007576AA">
        <w:rPr>
          <w:szCs w:val="24"/>
        </w:rPr>
        <w:t>, kas satur biezu organiskās vielas slāni, par lauksaimniecībā izmantojamu zemi, paaugstinātas augsnes mineralizācijas ietekmē palielinās dislāpekļa oksīda (N</w:t>
      </w:r>
      <w:r w:rsidRPr="007576AA">
        <w:rPr>
          <w:szCs w:val="24"/>
          <w:vertAlign w:val="subscript"/>
        </w:rPr>
        <w:t>2</w:t>
      </w:r>
      <w:r w:rsidRPr="007576AA">
        <w:rPr>
          <w:szCs w:val="24"/>
        </w:rPr>
        <w:t>O) emisijas</w:t>
      </w:r>
      <w:r>
        <w:rPr>
          <w:szCs w:val="24"/>
        </w:rPr>
        <w:t>.</w:t>
      </w:r>
    </w:p>
    <w:p w14:paraId="7DBA1CB9" w14:textId="77777777" w:rsidR="003A32FB" w:rsidRDefault="003A32FB" w:rsidP="00E008BC">
      <w:pPr>
        <w:spacing w:before="120" w:after="120"/>
        <w:rPr>
          <w:szCs w:val="24"/>
        </w:rPr>
      </w:pPr>
      <w:r w:rsidRPr="007576AA">
        <w:rPr>
          <w:szCs w:val="24"/>
        </w:rPr>
        <w:t xml:space="preserve">Nelielās </w:t>
      </w:r>
      <w:r w:rsidRPr="007576AA">
        <w:t>platībās</w:t>
      </w:r>
      <w:r w:rsidRPr="007576AA">
        <w:rPr>
          <w:szCs w:val="24"/>
        </w:rPr>
        <w:t xml:space="preserve"> </w:t>
      </w:r>
      <w:r w:rsidRPr="007576AA">
        <w:t>šādas</w:t>
      </w:r>
      <w:r w:rsidRPr="007576AA">
        <w:rPr>
          <w:szCs w:val="24"/>
        </w:rPr>
        <w:t xml:space="preserve"> augsnes ir visā Latvijas teritorijā un lielākā vai mazākā mērā skar 48</w:t>
      </w:r>
      <w:r w:rsidR="0081310E">
        <w:rPr>
          <w:szCs w:val="24"/>
        </w:rPr>
        <w:t> </w:t>
      </w:r>
      <w:r w:rsidRPr="007576AA">
        <w:rPr>
          <w:szCs w:val="24"/>
        </w:rPr>
        <w:t>% saimniecību.</w:t>
      </w:r>
      <w:r>
        <w:rPr>
          <w:b/>
          <w:bCs/>
          <w:szCs w:val="24"/>
        </w:rPr>
        <w:t xml:space="preserve"> </w:t>
      </w:r>
      <w:r w:rsidRPr="00805B41">
        <w:rPr>
          <w:bCs/>
          <w:szCs w:val="24"/>
        </w:rPr>
        <w:t>K</w:t>
      </w:r>
      <w:r w:rsidRPr="007576AA">
        <w:rPr>
          <w:szCs w:val="24"/>
        </w:rPr>
        <w:t xml:space="preserve">opumā organisko augšņu kvalitatīvais vērtējums ballēs ir zemāks nekā vidēji valstī, kas ietekmē ražības rādītājus. </w:t>
      </w:r>
      <w:r>
        <w:rPr>
          <w:szCs w:val="24"/>
        </w:rPr>
        <w:t>N</w:t>
      </w:r>
      <w:r w:rsidRPr="007576AA">
        <w:rPr>
          <w:szCs w:val="24"/>
        </w:rPr>
        <w:t xml:space="preserve">eizmantotās </w:t>
      </w:r>
      <w:r w:rsidRPr="007576AA">
        <w:t>lauksaimniecībā</w:t>
      </w:r>
      <w:r w:rsidRPr="007576AA">
        <w:rPr>
          <w:szCs w:val="24"/>
        </w:rPr>
        <w:t xml:space="preserve"> izmantojamās organiskās augsnes 1 </w:t>
      </w:r>
      <w:r w:rsidR="0081310E">
        <w:rPr>
          <w:szCs w:val="24"/>
        </w:rPr>
        <w:t>ha</w:t>
      </w:r>
      <w:r w:rsidR="0081310E" w:rsidRPr="007576AA">
        <w:rPr>
          <w:szCs w:val="24"/>
        </w:rPr>
        <w:t xml:space="preserve"> </w:t>
      </w:r>
      <w:r w:rsidRPr="007576AA">
        <w:rPr>
          <w:szCs w:val="24"/>
        </w:rPr>
        <w:t xml:space="preserve">rada tikpat daudz </w:t>
      </w:r>
      <w:r>
        <w:rPr>
          <w:szCs w:val="24"/>
        </w:rPr>
        <w:t xml:space="preserve">SEG </w:t>
      </w:r>
      <w:r w:rsidRPr="007576AA">
        <w:rPr>
          <w:szCs w:val="24"/>
        </w:rPr>
        <w:t>emisiju</w:t>
      </w:r>
      <w:r w:rsidRPr="007576AA">
        <w:t>,</w:t>
      </w:r>
      <w:r w:rsidRPr="007576AA">
        <w:rPr>
          <w:szCs w:val="24"/>
        </w:rPr>
        <w:t xml:space="preserve"> cik šobrīd vidēji 10 lauksaimniecības produkciju ražojošie minerālaugsnes </w:t>
      </w:r>
      <w:r w:rsidR="0081310E" w:rsidRPr="007576AA">
        <w:rPr>
          <w:szCs w:val="24"/>
        </w:rPr>
        <w:t>h</w:t>
      </w:r>
      <w:r w:rsidR="0081310E">
        <w:rPr>
          <w:szCs w:val="24"/>
        </w:rPr>
        <w:t>a</w:t>
      </w:r>
      <w:r>
        <w:rPr>
          <w:rStyle w:val="FootnoteReference"/>
          <w:szCs w:val="24"/>
        </w:rPr>
        <w:footnoteReference w:id="54"/>
      </w:r>
      <w:r w:rsidRPr="007576AA">
        <w:rPr>
          <w:szCs w:val="24"/>
        </w:rPr>
        <w:t>.</w:t>
      </w:r>
    </w:p>
    <w:p w14:paraId="67ECDBD1" w14:textId="77777777" w:rsidR="001A166C" w:rsidRPr="005F2265" w:rsidRDefault="00CA5A6C" w:rsidP="0031388F">
      <w:pPr>
        <w:pStyle w:val="ListParagraph"/>
        <w:numPr>
          <w:ilvl w:val="0"/>
          <w:numId w:val="2"/>
        </w:numPr>
        <w:spacing w:before="120" w:after="120"/>
        <w:ind w:left="714" w:hanging="357"/>
        <w:rPr>
          <w:b/>
        </w:rPr>
      </w:pPr>
      <w:r w:rsidRPr="005F2265">
        <w:rPr>
          <w:b/>
        </w:rPr>
        <w:t>M</w:t>
      </w:r>
      <w:r>
        <w:rPr>
          <w:b/>
        </w:rPr>
        <w:t>ežu platība</w:t>
      </w:r>
    </w:p>
    <w:p w14:paraId="04B9CF73" w14:textId="28DA68C5" w:rsidR="001A166C" w:rsidRPr="005A0F66" w:rsidRDefault="001A166C" w:rsidP="00E008BC">
      <w:pPr>
        <w:spacing w:before="120" w:after="120"/>
      </w:pPr>
      <w:r w:rsidRPr="005A0F66">
        <w:t xml:space="preserve">Salīdzinot ar </w:t>
      </w:r>
      <w:r w:rsidR="003B6A63">
        <w:t>20.</w:t>
      </w:r>
      <w:r w:rsidR="002B042E">
        <w:t> </w:t>
      </w:r>
      <w:r w:rsidR="003B6A63">
        <w:t>gs. pirmo pusi</w:t>
      </w:r>
      <w:r w:rsidRPr="005A0F66">
        <w:t>,</w:t>
      </w:r>
      <w:r w:rsidR="003B6A63">
        <w:t xml:space="preserve"> kad mežainums Latvijā bija 23</w:t>
      </w:r>
      <w:r w:rsidR="002B042E">
        <w:t> </w:t>
      </w:r>
      <w:r w:rsidR="003B6A63">
        <w:t>%</w:t>
      </w:r>
      <w:r w:rsidR="002B042E">
        <w:t>,</w:t>
      </w:r>
      <w:r w:rsidR="003B6A63">
        <w:t xml:space="preserve"> </w:t>
      </w:r>
      <w:r w:rsidRPr="005A0F66">
        <w:t>laika gaitā līdz mūsdienām</w:t>
      </w:r>
      <w:r w:rsidR="003B6A63" w:rsidRPr="005A0F66">
        <w:rPr>
          <w:rStyle w:val="FootnoteReference"/>
        </w:rPr>
        <w:footnoteReference w:id="55"/>
      </w:r>
      <w:r w:rsidRPr="005A0F66">
        <w:t xml:space="preserve"> tas ir dubultojies un sasniedzis gandrīz 5</w:t>
      </w:r>
      <w:r w:rsidR="00924CEB">
        <w:t>3</w:t>
      </w:r>
      <w:r w:rsidR="005518C1">
        <w:t> </w:t>
      </w:r>
      <w:r w:rsidRPr="005A0F66">
        <w:t>% (aizņem 92 % no kopējās meža zemes</w:t>
      </w:r>
      <w:r w:rsidRPr="005A0F66">
        <w:rPr>
          <w:rStyle w:val="FootnoteReference"/>
        </w:rPr>
        <w:footnoteReference w:id="56"/>
      </w:r>
      <w:r w:rsidRPr="005A0F66">
        <w:t>, 3</w:t>
      </w:r>
      <w:r w:rsidR="005518C1">
        <w:t> </w:t>
      </w:r>
      <w:r w:rsidRPr="005A0F66">
        <w:t>575 tūkstoši ha</w:t>
      </w:r>
      <w:r w:rsidR="003B6A63">
        <w:t>, no kuriem</w:t>
      </w:r>
      <w:r w:rsidR="003B6A63" w:rsidRPr="003B6A63">
        <w:t xml:space="preserve"> </w:t>
      </w:r>
      <w:r w:rsidR="003B6A63">
        <w:t>meža platība</w:t>
      </w:r>
      <w:r w:rsidR="003B6A63" w:rsidRPr="00D1570F">
        <w:t xml:space="preserve"> bez saimnieciskās darbības ierobežojumiem</w:t>
      </w:r>
      <w:r w:rsidR="005518C1">
        <w:t> </w:t>
      </w:r>
      <w:r w:rsidR="003B6A63">
        <w:t>-</w:t>
      </w:r>
      <w:r w:rsidR="005518C1">
        <w:t> </w:t>
      </w:r>
      <w:r w:rsidR="003B6A63" w:rsidRPr="00D1570F">
        <w:t>2</w:t>
      </w:r>
      <w:r w:rsidR="005518C1">
        <w:t> </w:t>
      </w:r>
      <w:r w:rsidR="003B6A63" w:rsidRPr="00D1570F">
        <w:t>193 tūkst</w:t>
      </w:r>
      <w:r w:rsidR="003B6A63">
        <w:t>.</w:t>
      </w:r>
      <w:r w:rsidR="005518C1">
        <w:t xml:space="preserve"> </w:t>
      </w:r>
      <w:r w:rsidR="003B6A63" w:rsidRPr="00D1570F">
        <w:t>h</w:t>
      </w:r>
      <w:r w:rsidR="003B6A63">
        <w:t>a</w:t>
      </w:r>
      <w:r w:rsidRPr="005A0F66">
        <w:t xml:space="preserve">). Meža platību pieaugums prognozējams arī turpmāk, jo turpinās lauksaimniecībā neizmantoto zemju dabiska aizaugšana, kā arī to apmežošana. </w:t>
      </w:r>
      <w:r w:rsidR="00624EA3">
        <w:t>Ikgadējais kopējais</w:t>
      </w:r>
      <w:r w:rsidRPr="005A0F66">
        <w:t xml:space="preserve"> koksnes</w:t>
      </w:r>
      <w:r w:rsidR="00624EA3">
        <w:t xml:space="preserve"> krājas</w:t>
      </w:r>
      <w:r w:rsidRPr="005A0F66">
        <w:t xml:space="preserve"> pieaugums pēc pašreizējiem aprēķiniem ir ~</w:t>
      </w:r>
      <w:r w:rsidR="00ED1DFA">
        <w:t xml:space="preserve"> </w:t>
      </w:r>
      <w:r w:rsidR="00624EA3" w:rsidRPr="005A0F66">
        <w:t>2</w:t>
      </w:r>
      <w:r w:rsidR="00624EA3">
        <w:t>6</w:t>
      </w:r>
      <w:r w:rsidR="00624EA3" w:rsidRPr="005A0F66">
        <w:t xml:space="preserve"> </w:t>
      </w:r>
      <w:r w:rsidRPr="005A0F66">
        <w:t>milj. m</w:t>
      </w:r>
      <w:r w:rsidRPr="005A0F66">
        <w:rPr>
          <w:vertAlign w:val="superscript"/>
        </w:rPr>
        <w:t>3</w:t>
      </w:r>
      <w:r w:rsidRPr="005A0F66">
        <w:t xml:space="preserve"> gadā. Izcirstā platība pēdējā desmitgadē</w:t>
      </w:r>
      <w:r w:rsidR="005518C1">
        <w:t> </w:t>
      </w:r>
      <w:r w:rsidRPr="005A0F66">
        <w:t>–</w:t>
      </w:r>
      <w:r w:rsidR="005518C1">
        <w:t> </w:t>
      </w:r>
      <w:r w:rsidRPr="005A0F66">
        <w:t>2007.</w:t>
      </w:r>
      <w:r w:rsidR="00DA7200">
        <w:t xml:space="preserve"> </w:t>
      </w:r>
      <w:r w:rsidRPr="005A0F66">
        <w:t>-</w:t>
      </w:r>
      <w:r w:rsidR="00DA7200">
        <w:t xml:space="preserve"> </w:t>
      </w:r>
      <w:r w:rsidRPr="005A0F66">
        <w:t>2017.</w:t>
      </w:r>
      <w:r w:rsidR="005518C1">
        <w:t> </w:t>
      </w:r>
      <w:r w:rsidRPr="005A0F66">
        <w:t>gadā ir samazinājusies no 138 tūkst. ha līdz 94 tūkst.ha.</w:t>
      </w:r>
    </w:p>
    <w:p w14:paraId="67581F2E" w14:textId="2E0BAC56" w:rsidR="001A166C" w:rsidRDefault="001A166C" w:rsidP="00E008BC">
      <w:pPr>
        <w:spacing w:before="120" w:after="120"/>
      </w:pPr>
      <w:r w:rsidRPr="005A0F66">
        <w:t xml:space="preserve">Koksnes resursi Latvijā tiek iegūti, lai ražotu un eksportētu dažādus koksnes produktus (koksne un tās izstrādājumi, koka mēbeles, koka būvkonstrukcijas, papīra un kartona izstrādājumi), bet koksnes blakusprodukti no koksnes pārstrādes un mežsaimniecības procesiem tiek izmantoti kā energoresurss. </w:t>
      </w:r>
    </w:p>
    <w:p w14:paraId="3AB10E97" w14:textId="77777777" w:rsidR="003D0B8E" w:rsidRDefault="001A166C" w:rsidP="00E008BC">
      <w:pPr>
        <w:pStyle w:val="Heading2"/>
        <w:spacing w:before="120"/>
      </w:pPr>
      <w:bookmarkStart w:id="33" w:name="_Toc25580334"/>
      <w:r>
        <w:t>5.5</w:t>
      </w:r>
      <w:r w:rsidR="00B842B4">
        <w:t>.</w:t>
      </w:r>
      <w:r w:rsidR="002103AA">
        <w:t> </w:t>
      </w:r>
      <w:r w:rsidR="003D0B8E">
        <w:t>Resursu izmantošana</w:t>
      </w:r>
      <w:bookmarkEnd w:id="33"/>
    </w:p>
    <w:p w14:paraId="35897965" w14:textId="77777777" w:rsidR="003A32FB" w:rsidRPr="003A32FB" w:rsidRDefault="003A32FB" w:rsidP="00E008BC">
      <w:pPr>
        <w:spacing w:before="120" w:after="120"/>
      </w:pPr>
      <w:r>
        <w:t>Attiecībā uz resursu izmantošanu būtiski faktori ir bioekonomikas potenciāls, resursu izmantošanas efektivitāte, mājsaimniecību patēriņa paradumi, rūpniecisko ražošanas izejvielu izmantošana, kā arī atkritumu apsaimniekošana.</w:t>
      </w:r>
    </w:p>
    <w:p w14:paraId="7602D68E" w14:textId="77777777" w:rsidR="0055357F" w:rsidRPr="0055357F" w:rsidRDefault="003D0B8E" w:rsidP="0031388F">
      <w:pPr>
        <w:pStyle w:val="ListParagraph"/>
        <w:numPr>
          <w:ilvl w:val="0"/>
          <w:numId w:val="2"/>
        </w:numPr>
        <w:spacing w:before="120" w:after="120"/>
        <w:ind w:left="714" w:hanging="357"/>
      </w:pPr>
      <w:r w:rsidRPr="00227245">
        <w:rPr>
          <w:b/>
        </w:rPr>
        <w:t>Bioek</w:t>
      </w:r>
      <w:r w:rsidR="0055357F">
        <w:rPr>
          <w:b/>
        </w:rPr>
        <w:t>onomikas potenciāla attīstīšana</w:t>
      </w:r>
    </w:p>
    <w:p w14:paraId="65EDEEA2" w14:textId="77777777" w:rsidR="00BA08D1" w:rsidRDefault="00BA08D1" w:rsidP="00DA2D2F">
      <w:pPr>
        <w:spacing w:before="120" w:after="120"/>
      </w:pPr>
      <w:r w:rsidRPr="00BA08D1">
        <w:t>Bioekonomika nodrošina integrētu pieeju uz zināšanām balstītas ekonomiskās izaugsmes, sociālās labklājības un vides aizsardzības iekļaušanai lauksaimniecībā, mežsaimniecībā un zivsaimniecībā, ievērojot aprites ekonomikas pamatprincipus</w:t>
      </w:r>
      <w:r>
        <w:t>,</w:t>
      </w:r>
      <w:r w:rsidRPr="00BA08D1">
        <w:t xml:space="preserve"> </w:t>
      </w:r>
      <w:r>
        <w:t>efektīvāku dabas resursu izmantošanu</w:t>
      </w:r>
      <w:r w:rsidRPr="00BA08D1">
        <w:t xml:space="preserve">. Daži no iespējamajiem bioekonomikas attīstības virzieniem ir atkritumu apjoma samazināšana pārstrādē un fosilo resursu aizstāšana ar bioresursiem, tostarp bioloģiski noārdāmo materiālu izmantošana. Latvijas ekonomika lielā mērā ir atkarīga no neatjaunojamiem fosilajiem resursiem, un tas skar ne tikai ekonomisko, bet arī vides un valsts drošības aspektu. </w:t>
      </w:r>
    </w:p>
    <w:p w14:paraId="73E8B02A" w14:textId="77777777" w:rsidR="00BA08D1" w:rsidRDefault="00BA08D1" w:rsidP="00DA2D2F">
      <w:pPr>
        <w:spacing w:before="120" w:after="120"/>
      </w:pPr>
      <w:r w:rsidRPr="00BA08D1">
        <w:t xml:space="preserve">Viens no principiem bioekonomikas nozaru attīstībā ir ražošanas un SEG emisiju atsaiste ilgtermiņā (samazinās SEG emisijas uz vienu saražotās produkcijas vienību). Meža </w:t>
      </w:r>
      <w:r w:rsidRPr="00BA08D1">
        <w:lastRenderedPageBreak/>
        <w:t>apsaimniekošanā ir būtiska ilgtermiņa rīcība SEG emisiju un CO</w:t>
      </w:r>
      <w:r w:rsidRPr="008A5B10">
        <w:rPr>
          <w:vertAlign w:val="subscript"/>
        </w:rPr>
        <w:t>2</w:t>
      </w:r>
      <w:r w:rsidRPr="00BA08D1">
        <w:t xml:space="preserve"> piesaistes optimizēšanai nākotnē.</w:t>
      </w:r>
    </w:p>
    <w:p w14:paraId="40BB2A01" w14:textId="10DF314B" w:rsidR="003D0B8E" w:rsidRPr="00666199" w:rsidRDefault="003D0B8E" w:rsidP="00DA2D2F">
      <w:pPr>
        <w:spacing w:before="120" w:after="120"/>
      </w:pPr>
      <w:r w:rsidRPr="00227245">
        <w:t>Latvija ir bagāta ar koksnes resursiem</w:t>
      </w:r>
      <w:r w:rsidR="002103AA">
        <w:t>.</w:t>
      </w:r>
      <w:r w:rsidRPr="00227245">
        <w:t xml:space="preserve"> </w:t>
      </w:r>
      <w:r w:rsidR="002103AA">
        <w:t>K</w:t>
      </w:r>
      <w:r w:rsidRPr="00227245">
        <w:t xml:space="preserve">oksnes produkcija ir viena no ZIZIMM sektora kategorijām, kas piesaista </w:t>
      </w:r>
      <w:r w:rsidR="00624EA3">
        <w:t>CO</w:t>
      </w:r>
      <w:r w:rsidR="00624EA3" w:rsidRPr="008A5B10">
        <w:rPr>
          <w:vertAlign w:val="subscript"/>
        </w:rPr>
        <w:t>2</w:t>
      </w:r>
      <w:r w:rsidR="00624EA3" w:rsidRPr="00227245">
        <w:t xml:space="preserve"> </w:t>
      </w:r>
      <w:r w:rsidRPr="00227245">
        <w:t>emisijas</w:t>
      </w:r>
      <w:r w:rsidR="002103AA">
        <w:t>.</w:t>
      </w:r>
      <w:r w:rsidRPr="00227245">
        <w:t xml:space="preserve"> </w:t>
      </w:r>
      <w:r w:rsidR="00612111">
        <w:t>V</w:t>
      </w:r>
      <w:r w:rsidR="00612111" w:rsidRPr="00227245">
        <w:t>ienlaikus ar t</w:t>
      </w:r>
      <w:r w:rsidR="00612111">
        <w:t>iekšanos uz klimatneitralitāti iespējams veicināt un sasniegt</w:t>
      </w:r>
      <w:r w:rsidR="00612111" w:rsidRPr="00227245">
        <w:t xml:space="preserve"> arī</w:t>
      </w:r>
      <w:r w:rsidR="00612111">
        <w:t xml:space="preserve"> bioekonomikas mērķu izpildi, piemēram, attīstot k</w:t>
      </w:r>
      <w:r w:rsidRPr="00227245">
        <w:t xml:space="preserve">oksnes resursu </w:t>
      </w:r>
      <w:r w:rsidR="00290B91" w:rsidRPr="00227245">
        <w:t>izmantošan</w:t>
      </w:r>
      <w:r w:rsidR="00290B91">
        <w:t>u</w:t>
      </w:r>
      <w:r w:rsidRPr="00227245">
        <w:t>produktu ar augstu pievienoto vērtību</w:t>
      </w:r>
      <w:r w:rsidR="00290B91">
        <w:t xml:space="preserve"> ražošanai</w:t>
      </w:r>
      <w:r w:rsidRPr="00227245">
        <w:t>, t.sk., arī eksporta vajadzībām</w:t>
      </w:r>
      <w:r w:rsidR="00612111">
        <w:t>.</w:t>
      </w:r>
    </w:p>
    <w:p w14:paraId="52BF72C9" w14:textId="77777777" w:rsidR="00CC0B90" w:rsidRPr="004433F4" w:rsidRDefault="00CC0B90" w:rsidP="0031388F">
      <w:pPr>
        <w:pStyle w:val="ListParagraph"/>
        <w:numPr>
          <w:ilvl w:val="0"/>
          <w:numId w:val="2"/>
        </w:numPr>
        <w:spacing w:before="120" w:after="120"/>
        <w:ind w:left="714" w:hanging="357"/>
        <w:rPr>
          <w:b/>
        </w:rPr>
      </w:pPr>
      <w:r w:rsidRPr="005F2265">
        <w:rPr>
          <w:b/>
        </w:rPr>
        <w:t>Mājsaimniecību</w:t>
      </w:r>
      <w:r w:rsidRPr="004433F4">
        <w:rPr>
          <w:b/>
        </w:rPr>
        <w:t xml:space="preserve"> patēriņa paradumi</w:t>
      </w:r>
    </w:p>
    <w:p w14:paraId="368A9550" w14:textId="37199F5B" w:rsidR="003E5BB8" w:rsidRDefault="00CD7524" w:rsidP="00CD7524">
      <w:pPr>
        <w:spacing w:before="120" w:after="120"/>
      </w:pPr>
      <w:r>
        <w:rPr>
          <w:noProof/>
        </w:rPr>
        <w:drawing>
          <wp:anchor distT="0" distB="0" distL="114300" distR="114300" simplePos="0" relativeHeight="251664896" behindDoc="1" locked="0" layoutInCell="1" allowOverlap="1" wp14:anchorId="5C82A392" wp14:editId="7BE263BF">
            <wp:simplePos x="0" y="0"/>
            <wp:positionH relativeFrom="margin">
              <wp:align>left</wp:align>
            </wp:positionH>
            <wp:positionV relativeFrom="paragraph">
              <wp:posOffset>1129030</wp:posOffset>
            </wp:positionV>
            <wp:extent cx="5762625" cy="2162175"/>
            <wp:effectExtent l="0" t="0" r="9525" b="9525"/>
            <wp:wrapTight wrapText="bothSides">
              <wp:wrapPolygon edited="0">
                <wp:start x="0" y="0"/>
                <wp:lineTo x="0" y="21505"/>
                <wp:lineTo x="21564" y="21505"/>
                <wp:lineTo x="215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BB2" w:rsidRPr="00A46CC4">
        <w:t>Mājsaimniecīb</w:t>
      </w:r>
      <w:r w:rsidR="00A20BB2">
        <w:t>u</w:t>
      </w:r>
      <w:r w:rsidR="00A20BB2" w:rsidRPr="00A46CC4">
        <w:t xml:space="preserve"> </w:t>
      </w:r>
      <w:r w:rsidR="00CC0B90" w:rsidRPr="00A46CC4">
        <w:t>patēriņa paradumi lielā mērā veicina SEG emisiju palielināšanos, jo</w:t>
      </w:r>
      <w:r w:rsidR="00A20BB2">
        <w:t>,</w:t>
      </w:r>
      <w:r w:rsidR="00CC0B90" w:rsidRPr="00A46CC4">
        <w:t xml:space="preserve"> </w:t>
      </w:r>
      <w:r w:rsidR="00CC0B90">
        <w:t xml:space="preserve">uzlabojoties ekonomiskajai </w:t>
      </w:r>
      <w:r w:rsidR="00CC0B90" w:rsidRPr="00A46CC4">
        <w:t>labklājība</w:t>
      </w:r>
      <w:r w:rsidR="00CC0B90">
        <w:t>i,</w:t>
      </w:r>
      <w:r w:rsidR="00CC0B90" w:rsidRPr="00A46CC4">
        <w:t xml:space="preserve"> </w:t>
      </w:r>
      <w:r w:rsidR="00CC0B90">
        <w:t>iedzīvotāju prasības pēc</w:t>
      </w:r>
      <w:r w:rsidR="00CC0B90" w:rsidRPr="00A46CC4">
        <w:t xml:space="preserve"> komforta </w:t>
      </w:r>
      <w:r w:rsidR="00CC0B90">
        <w:t>paaugstinās</w:t>
      </w:r>
      <w:r w:rsidR="00CC0B90" w:rsidRPr="00A46CC4">
        <w:t xml:space="preserve">. </w:t>
      </w:r>
      <w:r w:rsidR="00C51C67">
        <w:t xml:space="preserve">Turpinot īstenot konvencionālu ekonomisko attīstību (t.i., neievērojot OMA principus un netiecoties uz klimatneitralitāti, līdz ar iedzīvotāju ekonomiskās labklājības paaugstināšanos, </w:t>
      </w:r>
      <w:r w:rsidR="00CC0B90" w:rsidRPr="00A46CC4">
        <w:t>palielin</w:t>
      </w:r>
      <w:r w:rsidR="00C51C67">
        <w:t>ās</w:t>
      </w:r>
      <w:r w:rsidR="00090527">
        <w:t>ies</w:t>
      </w:r>
      <w:r w:rsidR="00CC0B90" w:rsidRPr="00A46CC4">
        <w:t xml:space="preserve"> </w:t>
      </w:r>
      <w:r w:rsidR="008334CA">
        <w:t xml:space="preserve">arī </w:t>
      </w:r>
      <w:r w:rsidR="00CC0B90" w:rsidRPr="00A46CC4">
        <w:t>energoresursu patēriņ</w:t>
      </w:r>
      <w:r w:rsidR="008334CA">
        <w:t xml:space="preserve">š, </w:t>
      </w:r>
      <w:r w:rsidR="00CC0B90" w:rsidRPr="00A46CC4">
        <w:t>fluorēto gāzu</w:t>
      </w:r>
      <w:r w:rsidR="008334CA">
        <w:t>,</w:t>
      </w:r>
      <w:r w:rsidR="00CC0B90" w:rsidRPr="00A46CC4">
        <w:t xml:space="preserve"> </w:t>
      </w:r>
      <w:r w:rsidR="008334CA" w:rsidRPr="00A46CC4">
        <w:t>kas tiek izmantot</w:t>
      </w:r>
      <w:r w:rsidR="008334CA">
        <w:t>a</w:t>
      </w:r>
      <w:r w:rsidR="008334CA" w:rsidRPr="00A46CC4">
        <w:t>s, kā aukstumaģents saldēšanas un gaisa kondicionēšanas iekārtās, apjom</w:t>
      </w:r>
      <w:r w:rsidR="008334CA">
        <w:t>s</w:t>
      </w:r>
      <w:r w:rsidR="00CC0B90" w:rsidRPr="00A46CC4">
        <w:t xml:space="preserve">, kā arī radīto atkritumu </w:t>
      </w:r>
      <w:r w:rsidR="008334CA" w:rsidRPr="00A46CC4">
        <w:t>apjom</w:t>
      </w:r>
      <w:r w:rsidR="008334CA">
        <w:t>s</w:t>
      </w:r>
      <w:r w:rsidR="00CC0B90" w:rsidRPr="00A46CC4">
        <w:t>.</w:t>
      </w:r>
    </w:p>
    <w:p w14:paraId="0EB6B984" w14:textId="77777777" w:rsidR="005D7784" w:rsidRPr="00A46CC4" w:rsidRDefault="005D7784" w:rsidP="005D7784">
      <w:r w:rsidRPr="00E50EA1">
        <w:rPr>
          <w:b/>
        </w:rPr>
        <w:t>6.</w:t>
      </w:r>
      <w:r>
        <w:rPr>
          <w:b/>
        </w:rPr>
        <w:t> </w:t>
      </w:r>
      <w:r w:rsidRPr="00E50EA1">
        <w:rPr>
          <w:b/>
        </w:rPr>
        <w:t>attēls. Iekšzemes</w:t>
      </w:r>
      <w:r w:rsidRPr="003D2991">
        <w:rPr>
          <w:b/>
        </w:rPr>
        <w:t xml:space="preserve"> resursu</w:t>
      </w:r>
      <w:r>
        <w:rPr>
          <w:rStyle w:val="FootnoteReference"/>
          <w:b/>
        </w:rPr>
        <w:footnoteReference w:id="57"/>
      </w:r>
      <w:r w:rsidRPr="003D2991">
        <w:rPr>
          <w:b/>
        </w:rPr>
        <w:t xml:space="preserve"> patēriņš (pavisam) Latvijā</w:t>
      </w:r>
      <w:r w:rsidRPr="003D2991">
        <w:rPr>
          <w:rStyle w:val="FootnoteReference"/>
          <w:b/>
        </w:rPr>
        <w:footnoteReference w:id="58"/>
      </w:r>
      <w:r w:rsidRPr="003D2991">
        <w:rPr>
          <w:b/>
        </w:rPr>
        <w:t>, tūkst. t.</w:t>
      </w:r>
    </w:p>
    <w:p w14:paraId="61C51888" w14:textId="77777777" w:rsidR="00F41238" w:rsidRDefault="00F41238" w:rsidP="00C613F7">
      <w:pPr>
        <w:jc w:val="left"/>
      </w:pPr>
    </w:p>
    <w:p w14:paraId="2CAB3158" w14:textId="4C6E816F" w:rsidR="00C4692E" w:rsidRDefault="001C7B26" w:rsidP="003D2991">
      <w:r>
        <w:t>M</w:t>
      </w:r>
      <w:r w:rsidRPr="00A46CC4">
        <w:t xml:space="preserve">ājsaimniecību </w:t>
      </w:r>
      <w:r w:rsidR="003D2991" w:rsidRPr="00A46CC4">
        <w:t>patēriņa līmenis visstraujāk pieauga pēc pievienošanās ES 2004.</w:t>
      </w:r>
      <w:r w:rsidR="002929CB">
        <w:t> </w:t>
      </w:r>
      <w:r w:rsidR="003D2991" w:rsidRPr="00A46CC4">
        <w:t>gadā, augstāko līmeni sasniedzot 2008. gadā. Patēriņa izdevumu pieaugumu pārtrauca ekonomiskā krīze, kad 2009. un 2010. gadā mājsaimniecību ekonomiskie resursi strauji samazinājās. Ar 2011. gadu patēriņa izdevumi</w:t>
      </w:r>
      <w:r w:rsidR="003D2991">
        <w:t xml:space="preserve"> atkal pakāpeniski palielinā</w:t>
      </w:r>
      <w:r w:rsidR="00090527">
        <w:t>jā</w:t>
      </w:r>
      <w:r w:rsidR="003D2991">
        <w:t>s</w:t>
      </w:r>
      <w:r w:rsidR="003D2991" w:rsidRPr="000F63EB">
        <w:t>,</w:t>
      </w:r>
      <w:r w:rsidR="003D2991" w:rsidRPr="00A34A41">
        <w:rPr>
          <w:color w:val="FF0000"/>
        </w:rPr>
        <w:t xml:space="preserve"> </w:t>
      </w:r>
      <w:r w:rsidR="003D2991" w:rsidRPr="00A46CC4">
        <w:t>kas saistīts gan ar iedzīvotāju ienākumu līmeņa pieaugumu, gan ar strauju patēriņa cenu līmeņa kāpumu.</w:t>
      </w:r>
    </w:p>
    <w:p w14:paraId="31091C71" w14:textId="3E90C221" w:rsidR="003D2991" w:rsidRDefault="003D2991" w:rsidP="003D2991">
      <w:r w:rsidRPr="00A46CC4">
        <w:t xml:space="preserve"> Pieaug ne tikai patēriņa izdevumu apjoms, bet </w:t>
      </w:r>
      <w:r>
        <w:t xml:space="preserve">arī </w:t>
      </w:r>
      <w:r w:rsidRPr="00A46CC4">
        <w:t>mainās to struktūra, pamazām tuvojoties tādai, kāda tā ir valstīs ar augstāku dzīves līmeni. To lielā mērā veicināj</w:t>
      </w:r>
      <w:r>
        <w:t>is</w:t>
      </w:r>
      <w:r w:rsidRPr="00A46CC4">
        <w:t xml:space="preserve"> gan algu pieaugums, gan plašais līzinga preču un kredītresursu piedāvājums, kā rezultātā daļa mājsaimniecību uzņēm</w:t>
      </w:r>
      <w:r>
        <w:t>ā</w:t>
      </w:r>
      <w:r w:rsidRPr="00A46CC4">
        <w:t>s kredītsaistības patēriņa preču un pakalpojumu iegādei.</w:t>
      </w:r>
    </w:p>
    <w:p w14:paraId="66DE9698" w14:textId="77777777" w:rsidR="005D7784" w:rsidRPr="003D0B8E" w:rsidRDefault="005D7784" w:rsidP="005D7784">
      <w:pPr>
        <w:pStyle w:val="ListParagraph"/>
        <w:numPr>
          <w:ilvl w:val="0"/>
          <w:numId w:val="2"/>
        </w:numPr>
        <w:spacing w:before="120" w:after="120"/>
        <w:ind w:left="714" w:hanging="357"/>
        <w:rPr>
          <w:b/>
        </w:rPr>
      </w:pPr>
      <w:r w:rsidRPr="003D0B8E">
        <w:rPr>
          <w:b/>
        </w:rPr>
        <w:t>Re</w:t>
      </w:r>
      <w:r>
        <w:rPr>
          <w:b/>
        </w:rPr>
        <w:t>sursu izmantošanas efektivitāte</w:t>
      </w:r>
      <w:r w:rsidRPr="003D0B8E">
        <w:rPr>
          <w:b/>
        </w:rPr>
        <w:t xml:space="preserve"> </w:t>
      </w:r>
    </w:p>
    <w:p w14:paraId="044442CD" w14:textId="77777777" w:rsidR="005D7784" w:rsidRPr="00A46CC4" w:rsidRDefault="005D7784" w:rsidP="005D7784">
      <w:pPr>
        <w:spacing w:before="120" w:after="120"/>
      </w:pPr>
      <w:r w:rsidRPr="00A46CC4">
        <w:t>Kopš 2009.</w:t>
      </w:r>
      <w:r>
        <w:t> </w:t>
      </w:r>
      <w:r w:rsidRPr="00A46CC4">
        <w:t xml:space="preserve">gada otrās puses ražošanas apjomi apstrādes rūpniecībā ir auguši. Atjaunojoties ekonomikas izaugsmei, apstrādes rūpniecības pieauguma tempi ir straujāki nekā </w:t>
      </w:r>
      <w:r w:rsidRPr="00A46CC4">
        <w:lastRenderedPageBreak/>
        <w:t>kopējā tautsaimniecības izaugsme un pašreiz tas ir galvenais tautsaimniecības izaugsmes virzītājs.</w:t>
      </w:r>
    </w:p>
    <w:p w14:paraId="49C3766F" w14:textId="77777777" w:rsidR="005D7784" w:rsidRPr="00A46CC4" w:rsidRDefault="005D7784" w:rsidP="005D7784">
      <w:pPr>
        <w:spacing w:before="120" w:after="120"/>
      </w:pPr>
      <w:r w:rsidRPr="00A46CC4">
        <w:t>Pieaugošais materiālu patēriņš ietekmē klimata pārmaiņas, galvenokārt caur pieaugošu enerģijas patēriņu, kas nepieciešams šo materiālu ieguvei, izmantošanai, transportēšanai un noglabāšanai</w:t>
      </w:r>
      <w:r>
        <w:t xml:space="preserve">. </w:t>
      </w:r>
      <w:r w:rsidRPr="00A46CC4">
        <w:t xml:space="preserve">Vienlaikus pieejamo materiālo resursu un izejvielu apjomi sarūk un kļūst arvien dārgāki. Savukārt ražošanā un sadzīvē tiek radīti arvien vairāk atkritumi, kuru  apsaimniekošana prasa arvien lielākus ieguldījumus. </w:t>
      </w:r>
    </w:p>
    <w:p w14:paraId="164EC4BF" w14:textId="2F81FDF5" w:rsidR="005D7784" w:rsidRPr="00A46CC4" w:rsidRDefault="005D7784" w:rsidP="005D7784">
      <w:pPr>
        <w:spacing w:before="120" w:after="120"/>
      </w:pPr>
      <w:r w:rsidRPr="00A46CC4">
        <w:t>Materiālu patēriņa pieauguma tendences ir vērojamas arī Latvijā</w:t>
      </w:r>
      <w:r>
        <w:t xml:space="preserve"> un tās ir cieši saistītas ar ekonomiskās labklājības rādītājiem</w:t>
      </w:r>
      <w:r w:rsidRPr="00A46CC4">
        <w:t xml:space="preserve">. Palielinājusies </w:t>
      </w:r>
      <w:r>
        <w:t>arī</w:t>
      </w:r>
      <w:r w:rsidRPr="00A46CC4">
        <w:t xml:space="preserve"> kopējā tautsaimniecībā ieejošo resursu plūsma</w:t>
      </w:r>
      <w:r>
        <w:t> </w:t>
      </w:r>
      <w:r w:rsidRPr="00A46CC4">
        <w:t>–</w:t>
      </w:r>
      <w:r>
        <w:t> </w:t>
      </w:r>
      <w:r w:rsidRPr="00A46CC4">
        <w:t>iekšzemes patēriņš</w:t>
      </w:r>
      <w:r>
        <w:t xml:space="preserve"> (</w:t>
      </w:r>
      <w:r w:rsidRPr="00E4114E">
        <w:t>skat.</w:t>
      </w:r>
      <w:r>
        <w:t> </w:t>
      </w:r>
      <w:r w:rsidRPr="00E4114E">
        <w:t>6.</w:t>
      </w:r>
      <w:r>
        <w:t> </w:t>
      </w:r>
      <w:r w:rsidRPr="00E4114E">
        <w:t>attēlu</w:t>
      </w:r>
      <w:r>
        <w:t>)</w:t>
      </w:r>
      <w:r w:rsidRPr="00A46CC4">
        <w:t xml:space="preserve">, ko veido ne tikai iekšzemē iegūtie resursi (atņemot eksportu), bet arī importētie resursi (to apjoms </w:t>
      </w:r>
      <w:r>
        <w:t>svārstās ap 10 % kopējā plūsmā).</w:t>
      </w:r>
    </w:p>
    <w:p w14:paraId="4594E455" w14:textId="77777777" w:rsidR="003E5BB8" w:rsidRPr="00E84C39" w:rsidRDefault="003E5BB8" w:rsidP="0031388F">
      <w:pPr>
        <w:pStyle w:val="ListParagraph"/>
        <w:numPr>
          <w:ilvl w:val="0"/>
          <w:numId w:val="2"/>
        </w:numPr>
        <w:spacing w:before="240" w:after="120"/>
        <w:ind w:left="714" w:hanging="357"/>
        <w:rPr>
          <w:b/>
        </w:rPr>
      </w:pPr>
      <w:r w:rsidRPr="00E84C39">
        <w:rPr>
          <w:b/>
        </w:rPr>
        <w:t>Rūpnieciskās ražošanas izejvielu izmantošana</w:t>
      </w:r>
    </w:p>
    <w:p w14:paraId="7C085D14" w14:textId="77777777" w:rsidR="003A6A75" w:rsidRDefault="003E5BB8" w:rsidP="00E008BC">
      <w:pPr>
        <w:spacing w:before="120" w:after="120"/>
      </w:pPr>
      <w:r w:rsidRPr="00A46CC4">
        <w:t>Latvijā ir salīdzinoši maz liel</w:t>
      </w:r>
      <w:r>
        <w:t>o</w:t>
      </w:r>
      <w:r w:rsidRPr="00A46CC4">
        <w:t xml:space="preserve"> rūpnieciskās ražošanas uzņēmum</w:t>
      </w:r>
      <w:r>
        <w:t>u.</w:t>
      </w:r>
    </w:p>
    <w:p w14:paraId="67E7BE0D" w14:textId="77777777" w:rsidR="003E5BB8" w:rsidRPr="00A46CC4" w:rsidRDefault="003E5BB8" w:rsidP="00E008BC">
      <w:pPr>
        <w:spacing w:before="120" w:after="120"/>
      </w:pPr>
      <w:r w:rsidRPr="00A46CC4">
        <w:t xml:space="preserve">Latvijas SEG </w:t>
      </w:r>
      <w:r w:rsidR="004433F4">
        <w:t xml:space="preserve">emisiju </w:t>
      </w:r>
      <w:r w:rsidRPr="00A46CC4">
        <w:t xml:space="preserve">bilancē lielu </w:t>
      </w:r>
      <w:r>
        <w:t>daļu veido</w:t>
      </w:r>
      <w:r w:rsidRPr="00A46CC4">
        <w:t xml:space="preserve"> oglekļa bagātu izejvielu (karbonāti) apdedzināšana vai kausēšana cementa, kaļķa, ķieģeļu, dzelzs un stikla izstrādājumu ražošanā. Šo izstrādājumu ražošanā tiek izmantotas tādas vietējās izejvielas, kā dolomīts, kaļķakmens vai māls, no kura apdedzināšanas iegūst nepieciešamo rūpniecisko produkciju. Dzelzs izstrādājumu ražošanā gala produkcijas bagātināšanai ar oglekli izmanto arī metāllūžņus un karburizatorus (karbonātu izcelsmes izejvielas metālizstrādājumu kvalitātes uzlabošanai).</w:t>
      </w:r>
    </w:p>
    <w:p w14:paraId="4072E73E" w14:textId="77777777" w:rsidR="003A6A75" w:rsidRDefault="003E5BB8" w:rsidP="00E008BC">
      <w:pPr>
        <w:spacing w:before="120" w:after="120"/>
      </w:pPr>
      <w:r w:rsidRPr="00A46CC4">
        <w:t xml:space="preserve">Daļa no Latvijas uzņēmumiem, kuri savā ražošanā izmanto karbonātus, ir veikuši tehnoloģiju un izmantoto izejvielu nomaiņu uz enerģiju un emisiju efektīvākām tehnoloģijām, tādējādi sniedzot savu ieguldījumu virzībai uz </w:t>
      </w:r>
      <w:r>
        <w:t>klimatneitralitāti</w:t>
      </w:r>
      <w:r w:rsidRPr="00A46CC4">
        <w:t>.</w:t>
      </w:r>
    </w:p>
    <w:p w14:paraId="131E0C4B" w14:textId="77777777" w:rsidR="003E5BB8" w:rsidRPr="00A46CC4" w:rsidRDefault="003A6A75" w:rsidP="00E008BC">
      <w:pPr>
        <w:spacing w:before="120" w:after="120"/>
      </w:pPr>
      <w:r>
        <w:t>Latvija ir vienā no pēdējām vietām visā ES ekonomikas telpā pēc ražošanas efektivitātes rādītājiem gan primārajā lauksaimniecības un zivju ražošanā, gan tālākajā pārstrādes ķēdē līdz produkta nonākšanai pie gala patērētāja.</w:t>
      </w:r>
    </w:p>
    <w:p w14:paraId="02CA59C3" w14:textId="77777777" w:rsidR="003E5BB8" w:rsidRDefault="003E5BB8" w:rsidP="00E008BC">
      <w:pPr>
        <w:spacing w:before="120" w:after="120"/>
      </w:pPr>
      <w:r>
        <w:t>R</w:t>
      </w:r>
      <w:r w:rsidRPr="00D97985">
        <w:t xml:space="preserve">esursu, kuru izmantošana </w:t>
      </w:r>
      <w:r w:rsidRPr="00A46CC4">
        <w:t xml:space="preserve">rada SEG emisijas, izmantojuma samazinājums </w:t>
      </w:r>
      <w:r>
        <w:t xml:space="preserve">pēdējās desmitgadēs </w:t>
      </w:r>
      <w:r w:rsidRPr="00A46CC4">
        <w:t>noticis tieši rūpnieciskās ražošanas pārtraukšanas dēļ.</w:t>
      </w:r>
    </w:p>
    <w:p w14:paraId="27E25061" w14:textId="77777777" w:rsidR="002D39B4" w:rsidRDefault="002D39B4" w:rsidP="0031388F">
      <w:pPr>
        <w:pStyle w:val="ListParagraph"/>
        <w:numPr>
          <w:ilvl w:val="0"/>
          <w:numId w:val="2"/>
        </w:numPr>
        <w:spacing w:before="120" w:after="120"/>
      </w:pPr>
      <w:r w:rsidRPr="00EB68D2">
        <w:rPr>
          <w:b/>
        </w:rPr>
        <w:t>CO</w:t>
      </w:r>
      <w:r w:rsidRPr="00EB68D2">
        <w:rPr>
          <w:b/>
          <w:vertAlign w:val="subscript"/>
        </w:rPr>
        <w:t>2</w:t>
      </w:r>
      <w:r w:rsidRPr="00EB68D2">
        <w:rPr>
          <w:b/>
        </w:rPr>
        <w:t xml:space="preserve"> emisiju uzglabāšanas un izmantošanas tehnoloģiju ieviešana </w:t>
      </w:r>
    </w:p>
    <w:p w14:paraId="3032581B" w14:textId="77777777" w:rsidR="002D39B4" w:rsidRDefault="00E35F62" w:rsidP="002D39B4">
      <w:pPr>
        <w:spacing w:before="120" w:after="120"/>
        <w:rPr>
          <w:b/>
        </w:rPr>
      </w:pPr>
      <w:r>
        <w:t>Virzībā</w:t>
      </w:r>
      <w:r w:rsidRPr="00A73595">
        <w:t xml:space="preserve"> uz pilnīgu dekarbonizāciju </w:t>
      </w:r>
      <w:r>
        <w:t xml:space="preserve">papildus dabiskām oglekļa piesaistītājsistēm un uzkrājsistēmām, </w:t>
      </w:r>
      <w:r w:rsidR="002D39B4">
        <w:t xml:space="preserve">rūpniecības </w:t>
      </w:r>
      <w:r w:rsidR="002D39B4" w:rsidRPr="00A73595">
        <w:t>sektorā</w:t>
      </w:r>
      <w:r w:rsidR="002D39B4">
        <w:t xml:space="preserve"> (īpaši, cementa un ķīmisko vielu ražošanas nozarēs, kur </w:t>
      </w:r>
      <w:r>
        <w:t xml:space="preserve">nav pieejamas tiešas emisiju samazināšanas metodes vai </w:t>
      </w:r>
      <w:r w:rsidR="002D39B4">
        <w:t>tehnoloģisku īpatnību dēļ nav iespējams aizstāt fosilos energoresursus)</w:t>
      </w:r>
      <w:r w:rsidR="002D39B4" w:rsidRPr="00A73595">
        <w:t xml:space="preserve"> </w:t>
      </w:r>
      <w:r w:rsidR="002D39B4">
        <w:t>nākotnē</w:t>
      </w:r>
      <w:r w:rsidR="002D39B4" w:rsidRPr="00A73595">
        <w:t xml:space="preserve"> iespēj</w:t>
      </w:r>
      <w:r w:rsidR="002D39B4">
        <w:t>a</w:t>
      </w:r>
      <w:r w:rsidR="002D39B4" w:rsidRPr="00A73595">
        <w:t>m</w:t>
      </w:r>
      <w:r w:rsidR="002D39B4">
        <w:t>s attīstīt arī oglekļa uztveršanas un uzglabāšanas (CCS), kā arī oglekļa uztveršanas un izmantošanas (CCU) tehnoloģijas</w:t>
      </w:r>
      <w:r w:rsidR="002D39B4" w:rsidRPr="00634FEE">
        <w:t>.</w:t>
      </w:r>
      <w:r w:rsidR="002D39B4" w:rsidRPr="00A73595">
        <w:rPr>
          <w:b/>
        </w:rPr>
        <w:t xml:space="preserve"> </w:t>
      </w:r>
    </w:p>
    <w:p w14:paraId="166ADD80" w14:textId="77777777" w:rsidR="002D39B4" w:rsidRDefault="002D39B4" w:rsidP="002D39B4">
      <w:pPr>
        <w:spacing w:before="120" w:after="120"/>
      </w:pPr>
      <w:r w:rsidRPr="00C27B8C">
        <w:t>Līdz šim</w:t>
      </w:r>
      <w:r>
        <w:t>,</w:t>
      </w:r>
      <w:r w:rsidRPr="00C27B8C">
        <w:t xml:space="preserve"> </w:t>
      </w:r>
      <w:r>
        <w:t>n</w:t>
      </w:r>
      <w:r w:rsidRPr="00A73595">
        <w:t>osakot potenciālās ģeoloģiskās uzglabāšanas vietas Latvijā</w:t>
      </w:r>
      <w:r>
        <w:t>,</w:t>
      </w:r>
      <w:r w:rsidRPr="00A73595">
        <w:t xml:space="preserve"> un veicot izmaksu modelēšanu, tika secināts, ka CO</w:t>
      </w:r>
      <w:r w:rsidRPr="00A73595">
        <w:rPr>
          <w:vertAlign w:val="subscript"/>
        </w:rPr>
        <w:t>2</w:t>
      </w:r>
      <w:r w:rsidRPr="00A73595">
        <w:t xml:space="preserve"> uzglabāšanas </w:t>
      </w:r>
      <w:r>
        <w:t xml:space="preserve">(CCS) </w:t>
      </w:r>
      <w:r w:rsidRPr="00A73595">
        <w:t xml:space="preserve">vietu izveides efektivitāte ir pārāk zema un šāds risinājums </w:t>
      </w:r>
      <w:r>
        <w:t xml:space="preserve">šobrīd </w:t>
      </w:r>
      <w:r w:rsidRPr="00A73595">
        <w:t xml:space="preserve">nebūtu ekonomiski pamatots. </w:t>
      </w:r>
      <w:r>
        <w:t>Tomēr nepieciešams turpināt izpēti par CCS tehnoloģiju piemērotību un ekonomisko pamatotību dažādos rūpnieciskos procesos.</w:t>
      </w:r>
    </w:p>
    <w:p w14:paraId="1CC03B3D" w14:textId="77777777" w:rsidR="002D39B4" w:rsidRPr="00A46CC4" w:rsidRDefault="002D39B4" w:rsidP="002D39B4">
      <w:pPr>
        <w:spacing w:before="120" w:after="120"/>
      </w:pPr>
      <w:r>
        <w:t xml:space="preserve">Savukārt, CCU tehnoloģijas paredz uztvertā oglekļa pārstrādi turpmākai izmantošanai, piemēram, plastmasas, betona vai degvielas ražošanā. </w:t>
      </w:r>
      <w:r w:rsidRPr="0065006F">
        <w:t xml:space="preserve">CCU </w:t>
      </w:r>
      <w:r>
        <w:t>oglekļa</w:t>
      </w:r>
      <w:r w:rsidRPr="0065006F">
        <w:t xml:space="preserve"> mazināšanas potenciāls i</w:t>
      </w:r>
      <w:r>
        <w:t xml:space="preserve">r jānovērtē visā dzīves ciklā. </w:t>
      </w:r>
    </w:p>
    <w:p w14:paraId="15AD4E6E" w14:textId="77777777" w:rsidR="003E5BB8" w:rsidRPr="00054CC4" w:rsidRDefault="003E5BB8" w:rsidP="0031388F">
      <w:pPr>
        <w:pStyle w:val="ListParagraph"/>
        <w:numPr>
          <w:ilvl w:val="0"/>
          <w:numId w:val="2"/>
        </w:numPr>
        <w:spacing w:before="120" w:after="120"/>
        <w:ind w:left="714" w:hanging="357"/>
        <w:rPr>
          <w:b/>
        </w:rPr>
      </w:pPr>
      <w:r w:rsidRPr="00054CC4">
        <w:rPr>
          <w:b/>
        </w:rPr>
        <w:t>Ķīmisko vielu un saldēšanas aģentu patēriņš</w:t>
      </w:r>
    </w:p>
    <w:p w14:paraId="34A69F70" w14:textId="77777777" w:rsidR="004433F4" w:rsidRDefault="003E5BB8" w:rsidP="00E008BC">
      <w:pPr>
        <w:spacing w:before="120" w:after="120"/>
      </w:pPr>
      <w:r w:rsidRPr="00A46CC4">
        <w:t xml:space="preserve">Lai gan saldēšanas aģentu (fluorēto gāzu) daudzums valstī un </w:t>
      </w:r>
      <w:r w:rsidR="003A6A75">
        <w:t xml:space="preserve">SEG </w:t>
      </w:r>
      <w:r w:rsidRPr="00A46CC4">
        <w:t>emisiju apjomi nav lieli</w:t>
      </w:r>
      <w:r w:rsidRPr="004A7C32">
        <w:t xml:space="preserve">, </w:t>
      </w:r>
      <w:r w:rsidRPr="00A46CC4">
        <w:t xml:space="preserve">taču </w:t>
      </w:r>
      <w:r w:rsidR="004433F4">
        <w:t>šīm gāzēm ir ļoti augsts</w:t>
      </w:r>
      <w:r w:rsidRPr="00A46CC4">
        <w:t xml:space="preserve"> globālā</w:t>
      </w:r>
      <w:r w:rsidR="00A20BB2">
        <w:t>s</w:t>
      </w:r>
      <w:r w:rsidRPr="00A46CC4">
        <w:t xml:space="preserve"> sasilšanas potenciāl</w:t>
      </w:r>
      <w:r w:rsidR="004433F4">
        <w:t>s</w:t>
      </w:r>
      <w:r w:rsidRPr="00A46CC4">
        <w:t xml:space="preserve">. </w:t>
      </w:r>
    </w:p>
    <w:p w14:paraId="773F5E7B" w14:textId="77777777" w:rsidR="003E5BB8" w:rsidRDefault="003E5BB8" w:rsidP="00E008BC">
      <w:pPr>
        <w:spacing w:before="120" w:after="120"/>
      </w:pPr>
      <w:r w:rsidRPr="00A46CC4">
        <w:lastRenderedPageBreak/>
        <w:t xml:space="preserve">Pieaugot iedzīvotāju dzīves līmenim un labklājībai, kā arī palielinoties pakalpojumu sektora nozīmīgumam valsts ekonomikā (īpaši vairumtirdzniecībai un mazumtirdzniecībai), </w:t>
      </w:r>
      <w:r w:rsidR="00C61970">
        <w:t xml:space="preserve">paredzams, ka </w:t>
      </w:r>
      <w:r w:rsidRPr="00A46CC4">
        <w:t>arī saldēšanas aģentu patēriņš pieaugs</w:t>
      </w:r>
      <w:r w:rsidR="00C61970">
        <w:t xml:space="preserve"> (mājsaimniecību patēriņa tendences rāda, ka mājsaimniecībās stabili pieaug ledusskapju, gaisa kondicionieru, kā arī privāto automašīnu skaits)</w:t>
      </w:r>
      <w:r w:rsidRPr="00A46CC4">
        <w:t>.</w:t>
      </w:r>
    </w:p>
    <w:p w14:paraId="551889DF" w14:textId="77777777" w:rsidR="006E5C39" w:rsidRPr="00054CC4" w:rsidRDefault="006E5C39" w:rsidP="0031388F">
      <w:pPr>
        <w:pStyle w:val="ListParagraph"/>
        <w:numPr>
          <w:ilvl w:val="0"/>
          <w:numId w:val="2"/>
        </w:numPr>
        <w:spacing w:before="120" w:after="120"/>
        <w:ind w:left="714" w:hanging="357"/>
        <w:rPr>
          <w:b/>
        </w:rPr>
      </w:pPr>
      <w:r w:rsidRPr="00054CC4">
        <w:rPr>
          <w:b/>
        </w:rPr>
        <w:t xml:space="preserve">Atkritumu </w:t>
      </w:r>
      <w:r>
        <w:rPr>
          <w:b/>
        </w:rPr>
        <w:t xml:space="preserve">apsaimniekošana </w:t>
      </w:r>
    </w:p>
    <w:p w14:paraId="296E0D26" w14:textId="77777777" w:rsidR="006E5C39" w:rsidRDefault="006E5C39" w:rsidP="00E008BC">
      <w:pPr>
        <w:spacing w:before="120" w:after="120"/>
      </w:pPr>
      <w:r>
        <w:t>Atkritumu radīšana ir cieši saistīta ar patēriņa apmēriem</w:t>
      </w:r>
      <w:r w:rsidRPr="005C78BF">
        <w:t xml:space="preserve">. </w:t>
      </w:r>
      <w:r>
        <w:t xml:space="preserve">Atkritumu </w:t>
      </w:r>
      <w:r w:rsidR="003A6A75">
        <w:t xml:space="preserve">apsaimniekošanas </w:t>
      </w:r>
      <w:r>
        <w:t>politika jāskata tikai resursefektivitātes un aprites ekonomikas kontekstā, jo materiālu novēršana no kļūšanas par atkritumiem (nokļūšanas atkritumu statusā) novērsīs arī nepieciešamību patērēt jaunus resursus. Līdz ar to a</w:t>
      </w:r>
      <w:r w:rsidRPr="005C78BF">
        <w:t>tkritumi nav tikai vides problēma, bet arī zaudējums ekonomikai</w:t>
      </w:r>
      <w:r>
        <w:t xml:space="preserve">. </w:t>
      </w:r>
    </w:p>
    <w:p w14:paraId="7DFB3C2C" w14:textId="0C5C89BC" w:rsidR="003E5BB8" w:rsidRPr="00CF4E4E" w:rsidRDefault="006E5C39" w:rsidP="00E008BC">
      <w:pPr>
        <w:spacing w:before="120" w:after="120"/>
        <w:rPr>
          <w:color w:val="000000" w:themeColor="text1"/>
        </w:rPr>
      </w:pPr>
      <w:r w:rsidRPr="007F61E2">
        <w:rPr>
          <w:color w:val="000000" w:themeColor="text1"/>
        </w:rPr>
        <w:t>Katrs Latvijas iedzīvotājs 2017. gadā radīj</w:t>
      </w:r>
      <w:r w:rsidR="003A6A75">
        <w:rPr>
          <w:color w:val="000000" w:themeColor="text1"/>
        </w:rPr>
        <w:t>a</w:t>
      </w:r>
      <w:r w:rsidRPr="007F61E2">
        <w:rPr>
          <w:color w:val="000000" w:themeColor="text1"/>
        </w:rPr>
        <w:t xml:space="preserve"> vidēji 438 kg sadzīves atkritumu, kas ir par 49 kilogramiem mazāk, nekā vidēji gadā saražo ES</w:t>
      </w:r>
      <w:r w:rsidR="00DA7200">
        <w:rPr>
          <w:color w:val="000000" w:themeColor="text1"/>
        </w:rPr>
        <w:t xml:space="preserve"> </w:t>
      </w:r>
      <w:r w:rsidRPr="007F61E2">
        <w:rPr>
          <w:color w:val="000000" w:themeColor="text1"/>
        </w:rPr>
        <w:t>-</w:t>
      </w:r>
      <w:r w:rsidR="00DA7200">
        <w:rPr>
          <w:color w:val="000000" w:themeColor="text1"/>
        </w:rPr>
        <w:t xml:space="preserve"> </w:t>
      </w:r>
      <w:r w:rsidRPr="007F61E2">
        <w:rPr>
          <w:color w:val="000000" w:themeColor="text1"/>
        </w:rPr>
        <w:t xml:space="preserve">28 iedzīvotājs. </w:t>
      </w:r>
      <w:r>
        <w:rPr>
          <w:color w:val="000000" w:themeColor="text1"/>
        </w:rPr>
        <w:t>Tomēr salīdzinoši ar 1995.</w:t>
      </w:r>
      <w:r w:rsidR="003A6A75">
        <w:rPr>
          <w:color w:val="000000" w:themeColor="text1"/>
        </w:rPr>
        <w:t> </w:t>
      </w:r>
      <w:r>
        <w:rPr>
          <w:color w:val="000000" w:themeColor="text1"/>
        </w:rPr>
        <w:t>gadu radītais vidējais sadzīves atkritumu daudzums uz vienu iedzīvotāju Latvijā ir palielinājies par 65,7 %, kas ir lielākais pieaugums ES šajā laika periodā.</w:t>
      </w:r>
      <w:r w:rsidR="00A20BB2">
        <w:rPr>
          <w:color w:val="000000" w:themeColor="text1"/>
        </w:rPr>
        <w:t xml:space="preserve"> </w:t>
      </w:r>
      <w:r w:rsidRPr="007F61E2">
        <w:rPr>
          <w:color w:val="000000" w:themeColor="text1"/>
        </w:rPr>
        <w:t>Apglabāto sadzīves atkritumu daudzumam ir stabila tendence samazināties, jo pieaug p</w:t>
      </w:r>
      <w:r w:rsidR="00CF4E4E">
        <w:rPr>
          <w:color w:val="000000" w:themeColor="text1"/>
        </w:rPr>
        <w:t xml:space="preserve">ārstrādāto atkritumu daudzums. </w:t>
      </w:r>
    </w:p>
    <w:p w14:paraId="2A406E3B" w14:textId="77777777" w:rsidR="00BA0A83" w:rsidRPr="00A46CC4" w:rsidRDefault="00026A16" w:rsidP="00E008BC">
      <w:pPr>
        <w:pStyle w:val="Heading2"/>
        <w:spacing w:before="120"/>
      </w:pPr>
      <w:bookmarkStart w:id="34" w:name="_Toc25580335"/>
      <w:r>
        <w:t>5</w:t>
      </w:r>
      <w:r w:rsidR="00BA0A83" w:rsidRPr="00A46CC4">
        <w:t>.</w:t>
      </w:r>
      <w:r>
        <w:t>6</w:t>
      </w:r>
      <w:r w:rsidR="00BA0A83" w:rsidRPr="00A46CC4">
        <w:t>.</w:t>
      </w:r>
      <w:r w:rsidR="003A6A75">
        <w:t> </w:t>
      </w:r>
      <w:r w:rsidR="000C3297" w:rsidRPr="00C363D1">
        <w:t>Pašvaldību loma un p</w:t>
      </w:r>
      <w:r w:rsidR="00762634" w:rsidRPr="00C363D1">
        <w:t>ilsētvide</w:t>
      </w:r>
      <w:bookmarkEnd w:id="34"/>
      <w:r w:rsidR="00762634" w:rsidRPr="00C363D1">
        <w:t xml:space="preserve"> </w:t>
      </w:r>
    </w:p>
    <w:p w14:paraId="04D185DC" w14:textId="77777777" w:rsidR="00762634" w:rsidRPr="00BF6E61" w:rsidRDefault="00F54AE1" w:rsidP="00DD4FCF">
      <w:pPr>
        <w:spacing w:before="120" w:after="120"/>
      </w:pPr>
      <w:r>
        <w:t>Pašvaldībām, veicot esošos normatīvajos aktos noteiktos</w:t>
      </w:r>
      <w:r w:rsidRPr="003A32FB">
        <w:t xml:space="preserve"> </w:t>
      </w:r>
      <w:r>
        <w:t xml:space="preserve">pienākumus, ir izšķiroša loma valsts virzībā uz klimatneitralitāti. </w:t>
      </w:r>
      <w:r w:rsidR="00762634" w:rsidRPr="00BF6E61">
        <w:rPr>
          <w:bCs/>
        </w:rPr>
        <w:t>Vairums</w:t>
      </w:r>
      <w:r w:rsidR="00115ACF">
        <w:rPr>
          <w:bCs/>
        </w:rPr>
        <w:t xml:space="preserve"> (</w:t>
      </w:r>
      <w:r w:rsidR="00115ACF" w:rsidRPr="00BF6E61">
        <w:t>2018.</w:t>
      </w:r>
      <w:r w:rsidR="00115ACF">
        <w:t> </w:t>
      </w:r>
      <w:r w:rsidR="00115ACF" w:rsidRPr="00BF6E61">
        <w:t>gadā</w:t>
      </w:r>
      <w:r w:rsidR="00115ACF">
        <w:t xml:space="preserve"> -  </w:t>
      </w:r>
      <w:r w:rsidR="00115ACF" w:rsidRPr="00BF6E61">
        <w:rPr>
          <w:bCs/>
        </w:rPr>
        <w:t>68%</w:t>
      </w:r>
      <w:r w:rsidR="00115ACF">
        <w:rPr>
          <w:bCs/>
        </w:rPr>
        <w:t>)</w:t>
      </w:r>
      <w:r w:rsidR="00762634" w:rsidRPr="00BF6E61">
        <w:rPr>
          <w:bCs/>
        </w:rPr>
        <w:t xml:space="preserve"> </w:t>
      </w:r>
      <w:r w:rsidR="00762634" w:rsidRPr="00955B07">
        <w:t>iedzīvotāju</w:t>
      </w:r>
      <w:r w:rsidR="00762634" w:rsidRPr="00BF6E61">
        <w:rPr>
          <w:bCs/>
        </w:rPr>
        <w:t xml:space="preserve"> </w:t>
      </w:r>
      <w:r w:rsidR="00955B07">
        <w:t>Latvijā</w:t>
      </w:r>
      <w:r w:rsidR="00762634" w:rsidRPr="00BF6E61">
        <w:t xml:space="preserve"> dzīvo</w:t>
      </w:r>
      <w:r w:rsidR="0051723C">
        <w:t xml:space="preserve"> pilsētās</w:t>
      </w:r>
      <w:r w:rsidR="00762634" w:rsidRPr="00BF6E61">
        <w:t>, bet vēl lielāks īpatsvars strādā pilsētās</w:t>
      </w:r>
      <w:r w:rsidR="00955B07">
        <w:t>.</w:t>
      </w:r>
      <w:r w:rsidR="00762634" w:rsidRPr="00BF6E61">
        <w:t xml:space="preserve">  </w:t>
      </w:r>
    </w:p>
    <w:p w14:paraId="7508F3C7" w14:textId="77777777" w:rsidR="00487BE9" w:rsidRPr="00487BE9" w:rsidRDefault="00511B8D" w:rsidP="0031388F">
      <w:pPr>
        <w:pStyle w:val="ListParagraph"/>
        <w:numPr>
          <w:ilvl w:val="0"/>
          <w:numId w:val="2"/>
        </w:numPr>
        <w:spacing w:before="120" w:after="120"/>
        <w:ind w:left="714" w:hanging="357"/>
        <w:rPr>
          <w:b/>
          <w:bCs/>
        </w:rPr>
      </w:pPr>
      <w:r w:rsidRPr="00487BE9">
        <w:rPr>
          <w:b/>
          <w:bCs/>
        </w:rPr>
        <w:t xml:space="preserve">Pilsēta </w:t>
      </w:r>
      <w:r w:rsidRPr="00CC0B90">
        <w:rPr>
          <w:b/>
        </w:rPr>
        <w:t>kā</w:t>
      </w:r>
      <w:r w:rsidRPr="00487BE9">
        <w:rPr>
          <w:b/>
          <w:bCs/>
        </w:rPr>
        <w:t xml:space="preserve"> </w:t>
      </w:r>
      <w:r w:rsidR="00771B6A" w:rsidRPr="00487BE9">
        <w:rPr>
          <w:b/>
          <w:bCs/>
        </w:rPr>
        <w:t>“</w:t>
      </w:r>
      <w:r w:rsidRPr="00487BE9">
        <w:rPr>
          <w:b/>
          <w:bCs/>
        </w:rPr>
        <w:t>superpatērētājs</w:t>
      </w:r>
      <w:r w:rsidR="00771B6A" w:rsidRPr="00487BE9">
        <w:rPr>
          <w:b/>
          <w:bCs/>
        </w:rPr>
        <w:t>”</w:t>
      </w:r>
    </w:p>
    <w:p w14:paraId="737D1599" w14:textId="77777777" w:rsidR="00762634" w:rsidRPr="00511B8D" w:rsidRDefault="002D75B1" w:rsidP="00E008BC">
      <w:pPr>
        <w:spacing w:before="120" w:after="120"/>
        <w:rPr>
          <w:bCs/>
        </w:rPr>
      </w:pPr>
      <w:r>
        <w:rPr>
          <w:bCs/>
        </w:rPr>
        <w:t xml:space="preserve">Tā kā pilsētām raksturīgs lielāks iedzīvotāju blīvums un augstāka ekonomiskā aktivitāte, </w:t>
      </w:r>
      <w:r w:rsidR="00F33B9D">
        <w:rPr>
          <w:bCs/>
        </w:rPr>
        <w:t>pilsētu iedzīvotāji</w:t>
      </w:r>
      <w:r>
        <w:rPr>
          <w:bCs/>
        </w:rPr>
        <w:t xml:space="preserve"> ir arī lielāki</w:t>
      </w:r>
      <w:r w:rsidR="00F33B9D">
        <w:rPr>
          <w:bCs/>
        </w:rPr>
        <w:t>e</w:t>
      </w:r>
      <w:r>
        <w:rPr>
          <w:bCs/>
        </w:rPr>
        <w:t xml:space="preserve"> patērētāji - v</w:t>
      </w:r>
      <w:r w:rsidRPr="00BF6E61">
        <w:rPr>
          <w:bCs/>
        </w:rPr>
        <w:t xml:space="preserve">airums </w:t>
      </w:r>
      <w:r w:rsidR="00762634" w:rsidRPr="00887225">
        <w:t>transporta</w:t>
      </w:r>
      <w:r w:rsidR="00762634" w:rsidRPr="00BF6E61">
        <w:rPr>
          <w:bCs/>
        </w:rPr>
        <w:t xml:space="preserve"> </w:t>
      </w:r>
      <w:r w:rsidR="00762634" w:rsidRPr="00BF6E61">
        <w:t xml:space="preserve">tiek izmantots pilsētās, </w:t>
      </w:r>
      <w:r w:rsidR="00762634" w:rsidRPr="00BF6E61">
        <w:rPr>
          <w:bCs/>
        </w:rPr>
        <w:t xml:space="preserve">vairums enerģijas </w:t>
      </w:r>
      <w:r w:rsidR="00762634" w:rsidRPr="00BF6E61">
        <w:t>tiek patērēts pilsētās, v</w:t>
      </w:r>
      <w:r w:rsidR="00762634" w:rsidRPr="00BF6E61">
        <w:rPr>
          <w:bCs/>
        </w:rPr>
        <w:t xml:space="preserve">airums produktu un pakalpojumu </w:t>
      </w:r>
      <w:r w:rsidR="00762634" w:rsidRPr="00BF6E61">
        <w:t xml:space="preserve">tiek iegādāti un/vai patērēti pilsētās, </w:t>
      </w:r>
      <w:r w:rsidR="00F33B9D">
        <w:t xml:space="preserve">arī </w:t>
      </w:r>
      <w:r w:rsidR="00762634" w:rsidRPr="00BF6E61">
        <w:t>v</w:t>
      </w:r>
      <w:r w:rsidR="00762634" w:rsidRPr="00BF6E61">
        <w:rPr>
          <w:bCs/>
        </w:rPr>
        <w:t xml:space="preserve">airums atkritumu </w:t>
      </w:r>
      <w:r w:rsidR="00762634" w:rsidRPr="00BF6E61">
        <w:t xml:space="preserve">tiek </w:t>
      </w:r>
      <w:r w:rsidR="00A20BB2" w:rsidRPr="00BF6E61">
        <w:t>radīt</w:t>
      </w:r>
      <w:r w:rsidR="00A20BB2">
        <w:t>i</w:t>
      </w:r>
      <w:r w:rsidR="00A20BB2" w:rsidRPr="00BF6E61">
        <w:t xml:space="preserve"> </w:t>
      </w:r>
      <w:r w:rsidR="00762634" w:rsidRPr="00BF6E61">
        <w:t>pilsētās.</w:t>
      </w:r>
    </w:p>
    <w:p w14:paraId="20B2759C" w14:textId="77777777" w:rsidR="00487BE9" w:rsidRDefault="00511B8D" w:rsidP="0031388F">
      <w:pPr>
        <w:pStyle w:val="ListParagraph"/>
        <w:numPr>
          <w:ilvl w:val="0"/>
          <w:numId w:val="2"/>
        </w:numPr>
        <w:spacing w:before="120" w:after="120"/>
        <w:ind w:left="714" w:hanging="357"/>
        <w:rPr>
          <w:b/>
        </w:rPr>
      </w:pPr>
      <w:r w:rsidRPr="003B1C1A">
        <w:rPr>
          <w:b/>
        </w:rPr>
        <w:t xml:space="preserve">Pašvaldības aptver visus iedzīvotājus un esošās pašvaldību funkcijas </w:t>
      </w:r>
      <w:r w:rsidR="003B1C1A" w:rsidRPr="003B1C1A">
        <w:rPr>
          <w:b/>
        </w:rPr>
        <w:t>ietver būtisku potenciālu klimatneitralitātes sasniegšanai</w:t>
      </w:r>
    </w:p>
    <w:p w14:paraId="7956B237" w14:textId="77777777" w:rsidR="00706BAE" w:rsidRDefault="00492292" w:rsidP="00E008BC">
      <w:pPr>
        <w:spacing w:before="120" w:after="120"/>
      </w:pPr>
      <w:r>
        <w:t>P</w:t>
      </w:r>
      <w:r w:rsidR="00C51C67">
        <w:t xml:space="preserve">ašvaldībām ir </w:t>
      </w:r>
      <w:r w:rsidR="00392E8A">
        <w:t xml:space="preserve">liels potenciāls ietekmēt </w:t>
      </w:r>
      <w:r>
        <w:t>enerģētikas un transporta</w:t>
      </w:r>
      <w:r w:rsidR="00392E8A">
        <w:t xml:space="preserve"> sektoru </w:t>
      </w:r>
      <w:r>
        <w:t xml:space="preserve">ieguldījumu </w:t>
      </w:r>
      <w:r w:rsidR="00392E8A">
        <w:t>klimata pārmaiņu mazināšanā, jo p</w:t>
      </w:r>
      <w:r w:rsidR="00EE0094">
        <w:t>ašvaldībām noteiktās autonomās funkci</w:t>
      </w:r>
      <w:r w:rsidR="00392E8A">
        <w:t>jas jau ietver tādus pienākumus kā</w:t>
      </w:r>
      <w:r w:rsidR="00EE0094">
        <w:t xml:space="preserve"> </w:t>
      </w:r>
      <w:r w:rsidR="00392E8A" w:rsidRPr="0021260E">
        <w:t>siltumapgādes</w:t>
      </w:r>
      <w:r w:rsidR="00392E8A">
        <w:t>,</w:t>
      </w:r>
      <w:r w:rsidR="00392E8A" w:rsidRPr="0021260E">
        <w:t xml:space="preserve"> </w:t>
      </w:r>
      <w:r w:rsidR="00EE0094" w:rsidRPr="0021260E">
        <w:t>ūdensapgādes</w:t>
      </w:r>
      <w:r w:rsidR="00392E8A">
        <w:t>,</w:t>
      </w:r>
      <w:r w:rsidR="00EE0094" w:rsidRPr="0021260E">
        <w:t xml:space="preserve"> kanalizācijas, un sadzīves atkritumu apsaimniekošanu, </w:t>
      </w:r>
      <w:r w:rsidR="00392E8A" w:rsidRPr="0021260E">
        <w:t>sabiedriskā transporta organizēšanu</w:t>
      </w:r>
      <w:r w:rsidR="00392E8A">
        <w:t>,</w:t>
      </w:r>
      <w:r w:rsidR="00392E8A" w:rsidRPr="0021260E">
        <w:t xml:space="preserve"> </w:t>
      </w:r>
      <w:r w:rsidR="00EE0094" w:rsidRPr="0021260E">
        <w:t xml:space="preserve">teritorijas </w:t>
      </w:r>
      <w:r w:rsidR="00265595">
        <w:t xml:space="preserve">attīstības </w:t>
      </w:r>
      <w:r w:rsidR="00EE0094" w:rsidRPr="0021260E">
        <w:t>plāno</w:t>
      </w:r>
      <w:r w:rsidR="00265595">
        <w:t>šanu</w:t>
      </w:r>
      <w:r w:rsidR="00EE0094" w:rsidRPr="0021260E">
        <w:t xml:space="preserve"> un zemes izmantošanas un apbūves kārtības noteikšanu</w:t>
      </w:r>
      <w:r w:rsidR="00EE0094">
        <w:t xml:space="preserve">, kā arī </w:t>
      </w:r>
      <w:r w:rsidR="00EE0094" w:rsidRPr="0021260E">
        <w:t>publiskai lietošanai paredzēto teritoriju apgaismošanu, zaļ</w:t>
      </w:r>
      <w:r w:rsidR="00392E8A">
        <w:t>o zonu ierīkošanu un uzturēšanu</w:t>
      </w:r>
      <w:r w:rsidR="00EE0094" w:rsidRPr="0021260E">
        <w:t xml:space="preserve">. </w:t>
      </w:r>
    </w:p>
    <w:p w14:paraId="0DFFF24D" w14:textId="44CE5C78" w:rsidR="00771B6A" w:rsidRDefault="00A20BB2" w:rsidP="00E008BC">
      <w:pPr>
        <w:spacing w:before="120" w:after="120"/>
      </w:pPr>
      <w:r>
        <w:t xml:space="preserve">Pašvaldību </w:t>
      </w:r>
      <w:r w:rsidR="00771B6A">
        <w:t xml:space="preserve">kā enerģijas </w:t>
      </w:r>
      <w:r>
        <w:t xml:space="preserve">patērētāju </w:t>
      </w:r>
      <w:r w:rsidR="00771B6A">
        <w:t xml:space="preserve">loma ir saistīta ar pašvaldības ēku apsaimniekošanu, komunālo pakalpojumu (ielu apgaisme, ūdens padeve, kanalizācija u.tml.) nodrošināšanu. Attiecībā uz </w:t>
      </w:r>
      <w:r w:rsidR="00771B6A" w:rsidRPr="00DE2D18">
        <w:t>transporta sektoru pašvaldība</w:t>
      </w:r>
      <w:r>
        <w:t>s</w:t>
      </w:r>
      <w:r w:rsidR="00771B6A" w:rsidRPr="00DE2D18">
        <w:t xml:space="preserve"> veic sabiedriskā transporta, dienesta automašīnu, sabiedrisko pakalpojumu koordinēšanu un nodrošināšanu.</w:t>
      </w:r>
      <w:r w:rsidR="00771B6A">
        <w:t xml:space="preserve"> Pašvaldība</w:t>
      </w:r>
      <w:r>
        <w:t>s</w:t>
      </w:r>
      <w:r w:rsidR="00771B6A">
        <w:t xml:space="preserve"> izstrādā </w:t>
      </w:r>
      <w:r w:rsidR="00265595">
        <w:t xml:space="preserve">teritorijas </w:t>
      </w:r>
      <w:r w:rsidR="00771B6A" w:rsidRPr="00D23ABC">
        <w:t>a</w:t>
      </w:r>
      <w:r w:rsidR="00771B6A" w:rsidRPr="00696696">
        <w:t xml:space="preserve">ttīstības </w:t>
      </w:r>
      <w:r w:rsidR="00265595" w:rsidRPr="00696696">
        <w:t>plān</w:t>
      </w:r>
      <w:r w:rsidR="00265595">
        <w:t>ošanas dokumentus</w:t>
      </w:r>
      <w:r w:rsidR="00771B6A" w:rsidRPr="00696696">
        <w:t xml:space="preserve">, t.sk. </w:t>
      </w:r>
      <w:r w:rsidR="00265595">
        <w:t>ilgtspējīgas attīstības stratēģiju,</w:t>
      </w:r>
      <w:r w:rsidR="00FA587A" w:rsidRPr="00696696">
        <w:t>teritorijas plānojumu</w:t>
      </w:r>
      <w:r w:rsidR="00265595">
        <w:t xml:space="preserve">, attīstības programmu. </w:t>
      </w:r>
      <w:r w:rsidR="00265595" w:rsidRPr="00265595">
        <w:t>Teritorijas plānošanas ietvaros pašvaldība plāno gan apbūves teritorijas, gan publisko ārtelpu, gan transporta infrastruktūru, t.sk. ielu un ceļu tīklu, ietves un gājēju celiņus, veloceliņus.</w:t>
      </w:r>
      <w:r w:rsidR="009E11B5">
        <w:t xml:space="preserve"> </w:t>
      </w:r>
      <w:r w:rsidR="00771B6A">
        <w:t xml:space="preserve">Motivējošu ietekmi radošās aktivitātes ir iedzīvotāju izpratnes līmeņa paaugstināšanu veicinoši pasākumi, kā arī sabiedrības iesaistīšana enerģijas </w:t>
      </w:r>
      <w:r w:rsidR="009D220A">
        <w:t xml:space="preserve">un klimata </w:t>
      </w:r>
      <w:r w:rsidR="00771B6A">
        <w:t xml:space="preserve">politikas izstrādē un pastāvīga iedzīvotāju informēšana par </w:t>
      </w:r>
      <w:r w:rsidR="009D220A">
        <w:t xml:space="preserve">sasniedzamajiem </w:t>
      </w:r>
      <w:r w:rsidR="00771B6A">
        <w:t>mērķiem un panākto virzību to sasniegšanā.</w:t>
      </w:r>
    </w:p>
    <w:p w14:paraId="2EFF3370" w14:textId="77777777" w:rsidR="00487BE9" w:rsidRDefault="00A20BB2" w:rsidP="0031388F">
      <w:pPr>
        <w:pStyle w:val="ListParagraph"/>
        <w:numPr>
          <w:ilvl w:val="0"/>
          <w:numId w:val="2"/>
        </w:numPr>
        <w:spacing w:before="120" w:after="120"/>
      </w:pPr>
      <w:r w:rsidRPr="00EB7843">
        <w:rPr>
          <w:b/>
        </w:rPr>
        <w:lastRenderedPageBreak/>
        <w:t xml:space="preserve">Pašvaldību </w:t>
      </w:r>
      <w:r w:rsidR="00EE0094" w:rsidRPr="00EB7843">
        <w:rPr>
          <w:b/>
        </w:rPr>
        <w:t>līmenis</w:t>
      </w:r>
      <w:r w:rsidR="00D25C47" w:rsidRPr="00EB7843">
        <w:rPr>
          <w:b/>
        </w:rPr>
        <w:t> </w:t>
      </w:r>
      <w:r w:rsidR="003B1C1A" w:rsidRPr="00EB7843">
        <w:rPr>
          <w:b/>
        </w:rPr>
        <w:t>-</w:t>
      </w:r>
      <w:r w:rsidR="00D25C47" w:rsidRPr="00EB7843">
        <w:rPr>
          <w:b/>
        </w:rPr>
        <w:t> </w:t>
      </w:r>
      <w:r w:rsidR="000F0313">
        <w:rPr>
          <w:b/>
        </w:rPr>
        <w:t>nozīmīgs</w:t>
      </w:r>
      <w:r w:rsidR="000F0313" w:rsidRPr="00EB7843">
        <w:rPr>
          <w:b/>
        </w:rPr>
        <w:t xml:space="preserve"> </w:t>
      </w:r>
      <w:r w:rsidR="00EE0094" w:rsidRPr="00EB7843">
        <w:rPr>
          <w:b/>
        </w:rPr>
        <w:t>atjaunojamo energoresursu veicināšanas pasākumiem</w:t>
      </w:r>
    </w:p>
    <w:p w14:paraId="0F6523C3" w14:textId="77777777" w:rsidR="00EE0094" w:rsidRDefault="000F3999" w:rsidP="00E008BC">
      <w:pPr>
        <w:spacing w:before="120" w:after="120"/>
      </w:pPr>
      <w:r>
        <w:t>P</w:t>
      </w:r>
      <w:r w:rsidR="00487BE9">
        <w:t xml:space="preserve">ašvaldību </w:t>
      </w:r>
      <w:r w:rsidR="00521F4A">
        <w:t xml:space="preserve">līmeņa lēmumi </w:t>
      </w:r>
      <w:r w:rsidR="00EE0094">
        <w:t>spēj ietekmēt visus enerģijas gala patēriņa sektorus</w:t>
      </w:r>
      <w:r w:rsidR="00487BE9">
        <w:t>, t.sk.</w:t>
      </w:r>
      <w:r w:rsidR="00EE0094">
        <w:t xml:space="preserve"> </w:t>
      </w:r>
      <w:r w:rsidR="00A20BB2">
        <w:t xml:space="preserve">nodrošināt </w:t>
      </w:r>
      <w:r w:rsidR="00EE0094">
        <w:t>vistiešāko saikni ar individuālajām mājsaimniecībām</w:t>
      </w:r>
      <w:r w:rsidR="00487BE9">
        <w:t xml:space="preserve">, </w:t>
      </w:r>
      <w:r w:rsidR="00EE0094">
        <w:t>kas ir viena no lielākajām un prioritārākajām mērķgrupām energoefektivitātes</w:t>
      </w:r>
      <w:r>
        <w:t xml:space="preserve"> un klimata</w:t>
      </w:r>
      <w:r w:rsidR="00EE0094">
        <w:t xml:space="preserve"> mērķu sasniegšanā. </w:t>
      </w:r>
      <w:r w:rsidR="00C363D1">
        <w:t>I</w:t>
      </w:r>
      <w:r w:rsidR="00EE0094">
        <w:t xml:space="preserve">kvienā mājsaimniecībā tiek risināti aktuāli siltumapgādes un elektroapgādes jautājumi. </w:t>
      </w:r>
      <w:r w:rsidR="00771B6A">
        <w:t xml:space="preserve">Tieši </w:t>
      </w:r>
      <w:r w:rsidR="007B0FC4">
        <w:t>pašvaldību</w:t>
      </w:r>
      <w:r>
        <w:t xml:space="preserve"> </w:t>
      </w:r>
      <w:r w:rsidR="00771B6A">
        <w:t xml:space="preserve">līmenis ir tas, kurā vislabāk iespējams ņemt vērā vietējo problemātiku un specifiku, piemēram, sabiedrības noskaņojumu, un izvēlēties piemērotākos veidus un stratēģiju problēmu risināšanai un integrētā veidā veicināt SEG emisiju samazināšanu. </w:t>
      </w:r>
    </w:p>
    <w:p w14:paraId="36199BAD" w14:textId="77777777" w:rsidR="00487BE9" w:rsidRDefault="00487BE9" w:rsidP="0031388F">
      <w:pPr>
        <w:pStyle w:val="ListParagraph"/>
        <w:numPr>
          <w:ilvl w:val="0"/>
          <w:numId w:val="2"/>
        </w:numPr>
        <w:spacing w:before="120" w:after="120"/>
        <w:ind w:left="714" w:hanging="357"/>
        <w:rPr>
          <w:b/>
          <w:bCs/>
        </w:rPr>
      </w:pPr>
      <w:r w:rsidRPr="00CC0B90">
        <w:rPr>
          <w:b/>
        </w:rPr>
        <w:t>Pilsētvide</w:t>
      </w:r>
      <w:r w:rsidR="0036211F">
        <w:rPr>
          <w:b/>
          <w:bCs/>
        </w:rPr>
        <w:t> </w:t>
      </w:r>
      <w:r>
        <w:rPr>
          <w:b/>
          <w:bCs/>
        </w:rPr>
        <w:t>-</w:t>
      </w:r>
      <w:r w:rsidR="0036211F">
        <w:rPr>
          <w:b/>
          <w:bCs/>
        </w:rPr>
        <w:t> </w:t>
      </w:r>
      <w:r w:rsidRPr="005F2265">
        <w:rPr>
          <w:b/>
        </w:rPr>
        <w:t>vairāk</w:t>
      </w:r>
      <w:r w:rsidRPr="00771B6A">
        <w:rPr>
          <w:b/>
          <w:bCs/>
        </w:rPr>
        <w:t xml:space="preserve"> pakļauta klimata pārmaiņu riskiem</w:t>
      </w:r>
    </w:p>
    <w:p w14:paraId="60AFDCF7" w14:textId="7979FF96" w:rsidR="00C4692E" w:rsidRDefault="001A1CB9" w:rsidP="00C613F7">
      <w:pPr>
        <w:spacing w:before="120" w:after="120"/>
      </w:pPr>
      <w:r w:rsidRPr="005F2265">
        <w:rPr>
          <w:bCs/>
        </w:rPr>
        <w:t xml:space="preserve">Pilsētvide ir </w:t>
      </w:r>
      <w:r w:rsidRPr="005F2265">
        <w:t>vairāk</w:t>
      </w:r>
      <w:r w:rsidRPr="005F2265">
        <w:rPr>
          <w:bCs/>
        </w:rPr>
        <w:t xml:space="preserve"> pakļauta klimata pārmaiņu riskiem</w:t>
      </w:r>
      <w:r w:rsidRPr="00487BE9">
        <w:t xml:space="preserve"> </w:t>
      </w:r>
      <w:r w:rsidRPr="00D23ABC">
        <w:t xml:space="preserve">nekā </w:t>
      </w:r>
      <w:r w:rsidRPr="00696696">
        <w:t>lauku apgabali</w:t>
      </w:r>
      <w:r w:rsidRPr="00D23ABC">
        <w:t xml:space="preserve">. </w:t>
      </w:r>
      <w:r w:rsidR="00390AE3">
        <w:t>P</w:t>
      </w:r>
      <w:r w:rsidR="00A64EBD" w:rsidRPr="00696696">
        <w:t>ilsētas</w:t>
      </w:r>
      <w:r w:rsidR="00A64EBD" w:rsidRPr="00A64EBD">
        <w:t xml:space="preserve"> biežāk pakļautas tādiem </w:t>
      </w:r>
      <w:r w:rsidR="00A64EBD">
        <w:t>klimata pārmaiņu riskiem</w:t>
      </w:r>
      <w:r w:rsidR="00A64EBD" w:rsidRPr="00A64EBD">
        <w:t xml:space="preserve"> kā plūdi, jūras līmeņa celšanās, karstuma viļņi, dzeramā ūdens nepietiekamība, sausums, ekstrēmi nokrišņi un vētras</w:t>
      </w:r>
      <w:r>
        <w:rPr>
          <w:rStyle w:val="FootnoteReference"/>
        </w:rPr>
        <w:footnoteReference w:id="59"/>
      </w:r>
      <w:r w:rsidR="0036211F">
        <w:t>.</w:t>
      </w:r>
    </w:p>
    <w:p w14:paraId="3BE963A0" w14:textId="77777777" w:rsidR="00487BE9" w:rsidRDefault="00487BE9" w:rsidP="0031388F">
      <w:pPr>
        <w:pStyle w:val="ListParagraph"/>
        <w:numPr>
          <w:ilvl w:val="0"/>
          <w:numId w:val="2"/>
        </w:numPr>
        <w:spacing w:before="120" w:after="120"/>
        <w:ind w:left="714" w:hanging="357"/>
        <w:rPr>
          <w:b/>
        </w:rPr>
      </w:pPr>
      <w:r>
        <w:rPr>
          <w:b/>
        </w:rPr>
        <w:t xml:space="preserve">Pašvaldību </w:t>
      </w:r>
      <w:r w:rsidRPr="005F2265">
        <w:rPr>
          <w:b/>
        </w:rPr>
        <w:t>savstarpēja</w:t>
      </w:r>
      <w:r>
        <w:rPr>
          <w:b/>
        </w:rPr>
        <w:t xml:space="preserve"> sadarbība</w:t>
      </w:r>
    </w:p>
    <w:p w14:paraId="039FBF81" w14:textId="77777777" w:rsidR="008C1AAF" w:rsidRPr="006D7512" w:rsidRDefault="008C1AAF" w:rsidP="00E008BC">
      <w:pPr>
        <w:spacing w:before="120" w:after="120"/>
      </w:pPr>
      <w:r w:rsidRPr="00487BE9">
        <w:t xml:space="preserve">Būtiska ir arī </w:t>
      </w:r>
      <w:r w:rsidR="006D675F">
        <w:t xml:space="preserve">pašvaldību </w:t>
      </w:r>
      <w:r w:rsidRPr="00487BE9">
        <w:t>savstarpējā sadarbība</w:t>
      </w:r>
      <w:r w:rsidRPr="006D7512">
        <w:t xml:space="preserve">, </w:t>
      </w:r>
      <w:r w:rsidRPr="00696696">
        <w:t xml:space="preserve">kādu </w:t>
      </w:r>
      <w:r w:rsidR="00F33B9D" w:rsidRPr="00696696">
        <w:t>piedāvā</w:t>
      </w:r>
      <w:r w:rsidR="00FA587A" w:rsidRPr="00696696">
        <w:t xml:space="preserve"> </w:t>
      </w:r>
      <w:r w:rsidRPr="00696696">
        <w:t xml:space="preserve">dažādas </w:t>
      </w:r>
      <w:r w:rsidR="00F607A8" w:rsidRPr="00696696">
        <w:t xml:space="preserve">vietējās (nacionālās) un starptautiskās </w:t>
      </w:r>
      <w:r w:rsidRPr="00696696">
        <w:t>iniciatīvas</w:t>
      </w:r>
      <w:r w:rsidRPr="00FA587A">
        <w:t>,</w:t>
      </w:r>
      <w:r w:rsidRPr="006D7512">
        <w:t xml:space="preserve"> kas balstās uz konceptu “pašvaldības mācās no pašvaldībām”, piemēram, “Pilsētas mēru pakts enerģētikas un klimata jomā”</w:t>
      </w:r>
      <w:r w:rsidR="006D7512" w:rsidRPr="006D7512">
        <w:t>. Šī iniciatīva tika</w:t>
      </w:r>
      <w:r w:rsidRPr="006D7512">
        <w:t xml:space="preserve"> aizsākta pirms 10 gadiem, </w:t>
      </w:r>
      <w:r w:rsidR="006D7512" w:rsidRPr="006D7512">
        <w:t xml:space="preserve">un </w:t>
      </w:r>
      <w:r w:rsidRPr="006D7512">
        <w:t>izrādījusies veiksmīga</w:t>
      </w:r>
      <w:r w:rsidR="00A52F09">
        <w:t>.</w:t>
      </w:r>
      <w:r w:rsidRPr="006D7512">
        <w:t xml:space="preserve"> </w:t>
      </w:r>
      <w:r w:rsidR="00A52F09">
        <w:t>T</w:t>
      </w:r>
      <w:r w:rsidR="006D7512" w:rsidRPr="006D7512">
        <w:t>ā</w:t>
      </w:r>
      <w:r w:rsidRPr="006D7512">
        <w:t xml:space="preserve"> strauji paplašinās gan ģeogrāfiski (tā vairs nav tikai ES ietvaros), gan arī tematiski (sākotnēji orientējās uz pašvaldību ener</w:t>
      </w:r>
      <w:r w:rsidR="007C1452">
        <w:t xml:space="preserve">ģētikas </w:t>
      </w:r>
      <w:r w:rsidRPr="006D7512">
        <w:t xml:space="preserve">stratēģiju izstrādi, bet laika gaitā pievienojies arī </w:t>
      </w:r>
      <w:r w:rsidR="007C1452">
        <w:t>pielāgošanās</w:t>
      </w:r>
      <w:r w:rsidR="007C1452" w:rsidRPr="006D7512">
        <w:t xml:space="preserve"> </w:t>
      </w:r>
      <w:r w:rsidRPr="006D7512">
        <w:t xml:space="preserve">klimata pārmaiņām koncepts, kā arī kompaktas pilsētas koncepts). </w:t>
      </w:r>
    </w:p>
    <w:p w14:paraId="22826B31" w14:textId="77777777" w:rsidR="00BE20F3" w:rsidRDefault="00BE20F3">
      <w:pPr>
        <w:ind w:firstLine="0"/>
        <w:jc w:val="left"/>
      </w:pPr>
      <w:r>
        <w:br w:type="page"/>
      </w:r>
    </w:p>
    <w:p w14:paraId="0056FA8A" w14:textId="77777777" w:rsidR="006717E2" w:rsidRPr="00A46CC4" w:rsidRDefault="00D648CD" w:rsidP="00D533C2">
      <w:pPr>
        <w:pStyle w:val="Heading1"/>
      </w:pPr>
      <w:bookmarkStart w:id="35" w:name="_Toc460423734"/>
      <w:bookmarkStart w:id="36" w:name="_Toc460423735"/>
      <w:bookmarkStart w:id="37" w:name="_Toc460423736"/>
      <w:bookmarkStart w:id="38" w:name="_Toc460423737"/>
      <w:bookmarkStart w:id="39" w:name="_Toc460423739"/>
      <w:bookmarkStart w:id="40" w:name="_Toc25580336"/>
      <w:bookmarkEnd w:id="28"/>
      <w:bookmarkEnd w:id="35"/>
      <w:bookmarkEnd w:id="36"/>
      <w:bookmarkEnd w:id="37"/>
      <w:bookmarkEnd w:id="38"/>
      <w:bookmarkEnd w:id="39"/>
      <w:r>
        <w:lastRenderedPageBreak/>
        <w:t>Iespējamie r</w:t>
      </w:r>
      <w:r w:rsidR="00772F6C" w:rsidRPr="00A46CC4">
        <w:t xml:space="preserve">isinājumi </w:t>
      </w:r>
      <w:r w:rsidR="00342131" w:rsidRPr="00A46CC4">
        <w:t>oglekļa mazietilpīgas attīstības nodrošināšanai</w:t>
      </w:r>
      <w:bookmarkEnd w:id="40"/>
    </w:p>
    <w:p w14:paraId="23D63B67" w14:textId="77777777" w:rsidR="00912D3E" w:rsidRDefault="004869B7" w:rsidP="00FB2605">
      <w:pPr>
        <w:ind w:firstLine="720"/>
      </w:pPr>
      <w:r>
        <w:t>Turpmāk</w:t>
      </w:r>
      <w:r w:rsidRPr="00A46CC4">
        <w:t xml:space="preserve"> </w:t>
      </w:r>
      <w:r w:rsidR="005108FF">
        <w:t>sniegta</w:t>
      </w:r>
      <w:r w:rsidR="00A47D06" w:rsidRPr="00A46CC4">
        <w:t xml:space="preserve"> v</w:t>
      </w:r>
      <w:r w:rsidR="005108FF">
        <w:t>īzija</w:t>
      </w:r>
      <w:r w:rsidR="0023725C" w:rsidRPr="00A46CC4">
        <w:t xml:space="preserve">, kā Latvija </w:t>
      </w:r>
      <w:r w:rsidR="00B263D4">
        <w:t>2050.</w:t>
      </w:r>
      <w:r w:rsidR="003D3E96">
        <w:t> </w:t>
      </w:r>
      <w:r w:rsidR="00B263D4">
        <w:t>gadā</w:t>
      </w:r>
      <w:r w:rsidR="00B263D4" w:rsidRPr="00A46CC4">
        <w:t xml:space="preserve"> </w:t>
      </w:r>
      <w:r w:rsidR="0023725C" w:rsidRPr="00A46CC4">
        <w:t xml:space="preserve">ir attīstījusies katrā no </w:t>
      </w:r>
      <w:r w:rsidR="00A63552">
        <w:t>sektoriem</w:t>
      </w:r>
      <w:r w:rsidR="0023725C" w:rsidRPr="00A46CC4">
        <w:t xml:space="preserve">. </w:t>
      </w:r>
      <w:r w:rsidR="00D075EB">
        <w:t>Lai aptvertu jomas, sektorus</w:t>
      </w:r>
      <w:r w:rsidR="00D075EB" w:rsidRPr="00A46CC4">
        <w:t xml:space="preserve">, kuros potenciāli var veikt izmaiņas un būtiskus uzlabojumus ar mērķi sasniegt </w:t>
      </w:r>
      <w:r w:rsidR="00D075EB">
        <w:t>klimat</w:t>
      </w:r>
      <w:r w:rsidR="00D075EB" w:rsidRPr="00A46CC4">
        <w:t xml:space="preserve">neitralitāti </w:t>
      </w:r>
      <w:r w:rsidR="00D075EB">
        <w:t xml:space="preserve">un ilgtspējīgu nozaru attīstību, </w:t>
      </w:r>
      <w:r w:rsidR="00A63552">
        <w:t>S</w:t>
      </w:r>
      <w:r w:rsidR="003F22D5" w:rsidRPr="00A46CC4">
        <w:t>tratēģija paredz</w:t>
      </w:r>
      <w:r w:rsidR="0023725C" w:rsidRPr="00A46CC4">
        <w:t xml:space="preserve"> šād</w:t>
      </w:r>
      <w:r w:rsidR="003F22D5" w:rsidRPr="00A46CC4">
        <w:t>u</w:t>
      </w:r>
      <w:r w:rsidR="0023725C" w:rsidRPr="00A46CC4">
        <w:t xml:space="preserve"> iedalījum</w:t>
      </w:r>
      <w:r w:rsidR="003F22D5" w:rsidRPr="00A46CC4">
        <w:t>u</w:t>
      </w:r>
      <w:r w:rsidR="003D3E96">
        <w:t> </w:t>
      </w:r>
      <w:r w:rsidR="00A63552">
        <w:t>–</w:t>
      </w:r>
      <w:r w:rsidR="003D3E96">
        <w:t> </w:t>
      </w:r>
      <w:r w:rsidR="0023725C" w:rsidRPr="00D1740C">
        <w:t xml:space="preserve">enerģētika, transports, zemes apsaimniekošana, </w:t>
      </w:r>
      <w:r w:rsidR="00D1740C" w:rsidRPr="00D1740C">
        <w:t>p</w:t>
      </w:r>
      <w:r w:rsidR="00130022">
        <w:t xml:space="preserve">atēriņš un ražošana. Savukārt, </w:t>
      </w:r>
      <w:r w:rsidR="00130022" w:rsidRPr="00D1740C">
        <w:t>pētniecība un inovācijas</w:t>
      </w:r>
      <w:r w:rsidR="00130022">
        <w:t>, visaptveroša energoefektivitāte un risinājumi</w:t>
      </w:r>
      <w:r w:rsidR="00130022" w:rsidRPr="00D1740C">
        <w:t xml:space="preserve"> </w:t>
      </w:r>
      <w:r w:rsidR="00E273F0">
        <w:t xml:space="preserve">pašvaldībām un </w:t>
      </w:r>
      <w:r w:rsidR="00130022">
        <w:t xml:space="preserve">pilsētvidei </w:t>
      </w:r>
      <w:r w:rsidR="00B22D38">
        <w:t xml:space="preserve">ir vispārīgi un paredz horizontālu iekļaušanu </w:t>
      </w:r>
      <w:r w:rsidR="003F4AB9">
        <w:t>visos tautsaimniecības sektoros</w:t>
      </w:r>
      <w:r w:rsidR="00130022">
        <w:t>.</w:t>
      </w:r>
      <w:r w:rsidR="00D1740C" w:rsidRPr="00D1740C">
        <w:t xml:space="preserve"> </w:t>
      </w:r>
    </w:p>
    <w:p w14:paraId="6CB1ABE5" w14:textId="77777777" w:rsidR="00130022" w:rsidRPr="00A46CC4" w:rsidRDefault="00130022" w:rsidP="00130022">
      <w:pPr>
        <w:pStyle w:val="Heading2"/>
      </w:pPr>
      <w:bookmarkStart w:id="41" w:name="_Toc25580337"/>
      <w:r>
        <w:t>6</w:t>
      </w:r>
      <w:r w:rsidRPr="00A46CC4">
        <w:t>.</w:t>
      </w:r>
      <w:r w:rsidR="00CA3872">
        <w:t>1</w:t>
      </w:r>
      <w:r w:rsidRPr="00A46CC4">
        <w:t>.</w:t>
      </w:r>
      <w:r w:rsidR="003D3E96">
        <w:t> </w:t>
      </w:r>
      <w:r w:rsidRPr="00A46CC4">
        <w:t>Pētniecība un inovācijas oglekļa mazietilpīgās tehnoloģijās</w:t>
      </w:r>
      <w:bookmarkEnd w:id="41"/>
    </w:p>
    <w:p w14:paraId="771C515F" w14:textId="77777777" w:rsidR="00130022" w:rsidRDefault="00130022" w:rsidP="00E008BC">
      <w:pPr>
        <w:spacing w:before="120" w:after="120"/>
      </w:pPr>
      <w:bookmarkStart w:id="42" w:name="_Toc460423764"/>
      <w:bookmarkStart w:id="43" w:name="_Toc460423767"/>
      <w:bookmarkEnd w:id="42"/>
      <w:bookmarkEnd w:id="43"/>
      <w:r w:rsidRPr="00A46CC4">
        <w:t xml:space="preserve">Pētniecības un inovāciju attīstība ir sniegusi būtisku ieguldījumu </w:t>
      </w:r>
      <w:r>
        <w:t>Stratēģijas īstenošanā</w:t>
      </w:r>
      <w:r w:rsidRPr="00A46CC4">
        <w:t xml:space="preserve">. Ir mobilizētas </w:t>
      </w:r>
      <w:r>
        <w:t xml:space="preserve">nepieciešamās </w:t>
      </w:r>
      <w:r w:rsidRPr="00A46CC4">
        <w:t xml:space="preserve">finanses, </w:t>
      </w:r>
      <w:r>
        <w:t>izveidots stabils, globāli konkurētspējīgs pētniecībā nodarbināto cilvēkkapitāls</w:t>
      </w:r>
      <w:r w:rsidR="007B0FC4">
        <w:t xml:space="preserve">, </w:t>
      </w:r>
      <w:r w:rsidR="00D37771">
        <w:t xml:space="preserve">t.sk. </w:t>
      </w:r>
      <w:r>
        <w:t xml:space="preserve">attīstīta sistēma zināšanu un tehnoloģiju pārnesei uz </w:t>
      </w:r>
      <w:r w:rsidRPr="00A46CC4">
        <w:t xml:space="preserve">visām tautsaimniecības nozarēm. OMA principi tiek integrēti visos pētījumos, īpaši </w:t>
      </w:r>
      <w:r>
        <w:t>saistībā ar jaunu tehnoloģiju izstrādi.</w:t>
      </w:r>
    </w:p>
    <w:p w14:paraId="146A99FB" w14:textId="77777777" w:rsidR="00AB0241" w:rsidRDefault="00AB0241" w:rsidP="00E008BC">
      <w:pPr>
        <w:spacing w:before="120" w:after="120"/>
      </w:pPr>
      <w:r w:rsidRPr="00AB0241">
        <w:t>Inovāciju veicināšanā ir izvirzīti ambiciozi mērķi un notiek plaša starpnozaru sadarbība, vienā sektorā pastāvoši risinājumi spēj kalpot cita sektora attīstībai.</w:t>
      </w:r>
    </w:p>
    <w:p w14:paraId="58A1FE62" w14:textId="77777777" w:rsidR="00D37771" w:rsidRPr="00A46CC4" w:rsidRDefault="00D37771" w:rsidP="00E008BC">
      <w:pPr>
        <w:spacing w:before="120" w:after="120"/>
      </w:pPr>
      <w:r>
        <w:t xml:space="preserve">Pētniecības un </w:t>
      </w:r>
      <w:r w:rsidR="003D3E96">
        <w:t>OMA</w:t>
      </w:r>
      <w:r>
        <w:t xml:space="preserve"> iniciatīvas spēj piesaistīt lielas privātā sektora investīcijas.</w:t>
      </w:r>
    </w:p>
    <w:p w14:paraId="59A8EB63" w14:textId="77777777" w:rsidR="00130022" w:rsidRPr="005F2265" w:rsidRDefault="00130022" w:rsidP="0031388F">
      <w:pPr>
        <w:pStyle w:val="ListParagraph"/>
        <w:numPr>
          <w:ilvl w:val="0"/>
          <w:numId w:val="2"/>
        </w:numPr>
        <w:spacing w:before="240" w:after="120"/>
        <w:ind w:left="714" w:hanging="357"/>
        <w:rPr>
          <w:b/>
        </w:rPr>
      </w:pPr>
      <w:r w:rsidRPr="005F2265">
        <w:rPr>
          <w:b/>
        </w:rPr>
        <w:t xml:space="preserve">Oglekļa mazietilpīgas attīstības principi ir integrēti visos </w:t>
      </w:r>
      <w:r w:rsidR="00EB639E">
        <w:rPr>
          <w:b/>
        </w:rPr>
        <w:t xml:space="preserve">valsts finansētajos </w:t>
      </w:r>
      <w:r w:rsidRPr="005F2265">
        <w:rPr>
          <w:b/>
        </w:rPr>
        <w:t>pētījumos</w:t>
      </w:r>
    </w:p>
    <w:p w14:paraId="405B237C" w14:textId="77777777" w:rsidR="00090527" w:rsidRDefault="00130022" w:rsidP="00E379E7">
      <w:r>
        <w:t xml:space="preserve">Klimatneitralitātes </w:t>
      </w:r>
      <w:r w:rsidRPr="00A46CC4">
        <w:t xml:space="preserve">sasniegšanai Latvijā </w:t>
      </w:r>
      <w:r>
        <w:t xml:space="preserve">tiek nodrošināts stabils </w:t>
      </w:r>
      <w:r w:rsidRPr="00A46CC4">
        <w:t>finansējums pētījumiem</w:t>
      </w:r>
      <w:r>
        <w:t>,</w:t>
      </w:r>
      <w:r w:rsidRPr="00A46CC4">
        <w:t xml:space="preserve"> oglekļa mazietilpīg</w:t>
      </w:r>
      <w:r>
        <w:t>u</w:t>
      </w:r>
      <w:r w:rsidRPr="00A46CC4">
        <w:t xml:space="preserve"> tehnoloģi</w:t>
      </w:r>
      <w:r>
        <w:t>sku risinājumu meklēšanai</w:t>
      </w:r>
      <w:r w:rsidR="007B0C8F">
        <w:t xml:space="preserve"> un komercializēšanai</w:t>
      </w:r>
      <w:r>
        <w:t>.</w:t>
      </w:r>
      <w:r w:rsidR="005108FF">
        <w:t xml:space="preserve"> Īstenojot pētījumus,</w:t>
      </w:r>
      <w:r>
        <w:t xml:space="preserve"> tiek bagātināta Latvijas kopējā zināšanu bāze, radīti zināšanu</w:t>
      </w:r>
      <w:r w:rsidR="003E5531">
        <w:t xml:space="preserve"> </w:t>
      </w:r>
      <w:r>
        <w:t xml:space="preserve">ietilpīgi, inovatīvi produkti un pakalpojumi ar augstu pievienoto vērtību un eksporta potenciālu. </w:t>
      </w:r>
      <w:r w:rsidRPr="00A46CC4">
        <w:t xml:space="preserve">Visas tautsaimniecības nozares </w:t>
      </w:r>
      <w:r>
        <w:t>pro</w:t>
      </w:r>
      <w:r w:rsidRPr="00A46CC4">
        <w:t xml:space="preserve">aktīvi iesaistās </w:t>
      </w:r>
      <w:r>
        <w:t>un sniedz ieguldījumu efektīvāko</w:t>
      </w:r>
      <w:r w:rsidRPr="00A46CC4">
        <w:t xml:space="preserve"> risinājumu meklēšanā SEG emisij</w:t>
      </w:r>
      <w:r>
        <w:t xml:space="preserve">u un </w:t>
      </w:r>
      <w:r w:rsidRPr="00A46CC4">
        <w:t>enerģijas patēriņ</w:t>
      </w:r>
      <w:r>
        <w:t>a samazināšanai, kā arī efektivitātes palielināšanai</w:t>
      </w:r>
      <w:r w:rsidRPr="00A46CC4">
        <w:t xml:space="preserve">. </w:t>
      </w:r>
      <w:r w:rsidR="005108FF" w:rsidRPr="00996FB9">
        <w:t xml:space="preserve">Valsts </w:t>
      </w:r>
      <w:r w:rsidR="003E5531">
        <w:t>atbalsta</w:t>
      </w:r>
      <w:r w:rsidR="003E5531" w:rsidRPr="00996FB9">
        <w:t xml:space="preserve"> </w:t>
      </w:r>
      <w:r w:rsidR="005108FF" w:rsidRPr="00996FB9">
        <w:t>programmas</w:t>
      </w:r>
      <w:r w:rsidR="003E5531">
        <w:t xml:space="preserve"> pētniecībā</w:t>
      </w:r>
      <w:r w:rsidRPr="00996FB9">
        <w:t xml:space="preserve"> </w:t>
      </w:r>
      <w:r w:rsidRPr="00A46CC4">
        <w:t xml:space="preserve">paredz definēt pētījuma attīstības virzību, prioritārās nozares, kurās ir potenciālais ieguvums attiecībā </w:t>
      </w:r>
      <w:r>
        <w:t>uz</w:t>
      </w:r>
      <w:r w:rsidR="005108FF">
        <w:t xml:space="preserve"> </w:t>
      </w:r>
      <w:r>
        <w:t>klimatneitralitātes sasniegšanu</w:t>
      </w:r>
      <w:r w:rsidRPr="00A46CC4">
        <w:t xml:space="preserve">. </w:t>
      </w:r>
      <w:r>
        <w:t>Tiek attīstītas i</w:t>
      </w:r>
      <w:r w:rsidRPr="00A46CC4">
        <w:t>novatīvas idejas resursu patēriņ</w:t>
      </w:r>
      <w:r>
        <w:t xml:space="preserve">a </w:t>
      </w:r>
      <w:r w:rsidRPr="00A46CC4">
        <w:t>jaunu</w:t>
      </w:r>
      <w:r>
        <w:t>,</w:t>
      </w:r>
      <w:r w:rsidRPr="00A46CC4">
        <w:t xml:space="preserve"> alternatīvu materiālu</w:t>
      </w:r>
      <w:r>
        <w:t xml:space="preserve"> un tehnoloģiju</w:t>
      </w:r>
      <w:r w:rsidRPr="00A46CC4">
        <w:t xml:space="preserve"> izmantošana</w:t>
      </w:r>
      <w:r>
        <w:t>s iespēju palielināšanai</w:t>
      </w:r>
      <w:r w:rsidRPr="00A46CC4">
        <w:t>, rad</w:t>
      </w:r>
      <w:r>
        <w:t>ītas</w:t>
      </w:r>
      <w:r w:rsidRPr="00A46CC4">
        <w:t xml:space="preserve"> darba vietas</w:t>
      </w:r>
      <w:r>
        <w:t>, radīti</w:t>
      </w:r>
      <w:r w:rsidRPr="00A46CC4">
        <w:t xml:space="preserve"> produkt</w:t>
      </w:r>
      <w:r>
        <w:t>i</w:t>
      </w:r>
      <w:r w:rsidRPr="00A46CC4">
        <w:t xml:space="preserve"> un pakalpojum</w:t>
      </w:r>
      <w:r>
        <w:t>i ar augstāku gan ekonomisko, gan ekoloģisko, gan sociālo pievienoto</w:t>
      </w:r>
      <w:r w:rsidRPr="00A46CC4">
        <w:t xml:space="preserve"> vērtību, </w:t>
      </w:r>
      <w:r>
        <w:t>nodrošinot Stratēģijas mērķu sasniegšanu</w:t>
      </w:r>
      <w:r w:rsidRPr="00A46CC4">
        <w:t xml:space="preserve"> pēc iespējas ātrāk. </w:t>
      </w:r>
    </w:p>
    <w:p w14:paraId="036D22D1" w14:textId="77777777" w:rsidR="00090527" w:rsidRDefault="00090527" w:rsidP="00732168"/>
    <w:p w14:paraId="0CDD6C71" w14:textId="77777777" w:rsidR="00130022" w:rsidRPr="00E379E7" w:rsidRDefault="00130022" w:rsidP="0031388F">
      <w:pPr>
        <w:pStyle w:val="ListParagraph"/>
        <w:numPr>
          <w:ilvl w:val="0"/>
          <w:numId w:val="2"/>
        </w:numPr>
        <w:rPr>
          <w:b/>
        </w:rPr>
      </w:pPr>
      <w:r w:rsidRPr="00E379E7">
        <w:rPr>
          <w:b/>
        </w:rPr>
        <w:t>Pētniecības un inovācijas attīstībai, jaunu un uzlabotu tehnoloģiju un procesu izstrādei tiek sekmīgi piesaistītas investīcijas</w:t>
      </w:r>
    </w:p>
    <w:p w14:paraId="2595ED97" w14:textId="77777777" w:rsidR="00130022" w:rsidRPr="00E50EA1" w:rsidRDefault="00130022" w:rsidP="00E008BC">
      <w:pPr>
        <w:spacing w:before="120" w:after="120"/>
      </w:pPr>
      <w:r w:rsidRPr="00A46CC4">
        <w:t>Ir nodrošināts pietiekams finansējums ne tikai no valsts</w:t>
      </w:r>
      <w:r>
        <w:t xml:space="preserve"> budžeta</w:t>
      </w:r>
      <w:r w:rsidRPr="00A46CC4">
        <w:t xml:space="preserve">, bet </w:t>
      </w:r>
      <w:r>
        <w:t xml:space="preserve">tiek regulāri </w:t>
      </w:r>
      <w:r w:rsidRPr="00A46CC4">
        <w:t xml:space="preserve">piesaistīts </w:t>
      </w:r>
      <w:r>
        <w:t xml:space="preserve">un efektīvi izlietots </w:t>
      </w:r>
      <w:r w:rsidRPr="00A46CC4">
        <w:t>arī ES un cits starptautiska mēroga ārējais finansējums pētījumiem un zinātnes attīstībai</w:t>
      </w:r>
      <w:r w:rsidR="00484B44">
        <w:t>, kā arī privātais finansējums</w:t>
      </w:r>
      <w:r w:rsidR="000614C2">
        <w:t xml:space="preserve">. </w:t>
      </w:r>
      <w:r>
        <w:t>D</w:t>
      </w:r>
      <w:r w:rsidRPr="00A46CC4">
        <w:t xml:space="preserve">ažādu nozaru </w:t>
      </w:r>
      <w:r>
        <w:t>rīcīb</w:t>
      </w:r>
      <w:r w:rsidRPr="00A46CC4">
        <w:t xml:space="preserve">politiku </w:t>
      </w:r>
      <w:r>
        <w:t xml:space="preserve">pasākumi pētniecības un inovācijas attīstībai ir savstarpēji integrēti. </w:t>
      </w:r>
      <w:r w:rsidRPr="00A46CC4">
        <w:t xml:space="preserve">Latvijas </w:t>
      </w:r>
      <w:r>
        <w:t xml:space="preserve">pārstāvji ir </w:t>
      </w:r>
      <w:r w:rsidR="00484B44" w:rsidRPr="00E50EA1">
        <w:t xml:space="preserve">aktīvi un uzticami </w:t>
      </w:r>
      <w:r w:rsidRPr="00E50EA1">
        <w:t>sadarbības partneri starptautiskos konsorcijos un regulāri, ar izcilām sekmēm piedalās dažādu starptautisko pētījumu programmu īstenošanā.</w:t>
      </w:r>
    </w:p>
    <w:p w14:paraId="03C878B9" w14:textId="77777777" w:rsidR="00130022" w:rsidRPr="00E50EA1" w:rsidRDefault="00130022" w:rsidP="00E008BC">
      <w:pPr>
        <w:spacing w:before="120" w:after="120"/>
      </w:pPr>
      <w:r w:rsidRPr="00E50EA1">
        <w:t>Latvijā ir augsts pētniecības rezultātu komercializācijas potenciāls un mehānismi</w:t>
      </w:r>
      <w:r w:rsidR="00156998">
        <w:t> </w:t>
      </w:r>
      <w:r w:rsidRPr="00E50EA1">
        <w:t>-</w:t>
      </w:r>
      <w:r w:rsidR="00156998">
        <w:t> </w:t>
      </w:r>
      <w:r w:rsidRPr="00E50EA1">
        <w:t xml:space="preserve">novatoriskas idejas, metodes un tehnoloģijas, kas sekmē Stratēģijas mērķu īstenošanu, tiek testētas un ieviestas praksē jau agrīnā to attīstības stadijā, sekmējot eksportējamu ilgtspējīgu produktu un tehnoloģiju ražošanu, attīstot starptautiski konkurētspējīgus pakalpojumus. </w:t>
      </w:r>
    </w:p>
    <w:p w14:paraId="3CCC13E5" w14:textId="77777777" w:rsidR="00130022" w:rsidRPr="00E50EA1" w:rsidRDefault="00130022" w:rsidP="0031388F">
      <w:pPr>
        <w:pStyle w:val="ListParagraph"/>
        <w:numPr>
          <w:ilvl w:val="0"/>
          <w:numId w:val="2"/>
        </w:numPr>
        <w:spacing w:before="240" w:after="120"/>
        <w:ind w:left="714" w:hanging="357"/>
        <w:rPr>
          <w:b/>
        </w:rPr>
      </w:pPr>
      <w:r w:rsidRPr="00E50EA1">
        <w:rPr>
          <w:b/>
        </w:rPr>
        <w:lastRenderedPageBreak/>
        <w:t xml:space="preserve">Sasniegts augsts pētniecības rezultātu komercializācijas </w:t>
      </w:r>
      <w:r w:rsidR="00A27E35" w:rsidRPr="00E50EA1">
        <w:rPr>
          <w:b/>
        </w:rPr>
        <w:t xml:space="preserve">un konkurētspējas </w:t>
      </w:r>
      <w:r w:rsidRPr="00E50EA1">
        <w:rPr>
          <w:b/>
        </w:rPr>
        <w:t>līmenis</w:t>
      </w:r>
      <w:r w:rsidR="00A27E35" w:rsidRPr="00E50EA1">
        <w:rPr>
          <w:b/>
        </w:rPr>
        <w:t xml:space="preserve"> </w:t>
      </w:r>
    </w:p>
    <w:p w14:paraId="7C2404FD" w14:textId="77777777" w:rsidR="00130022" w:rsidRPr="00E50EA1" w:rsidRDefault="00AB0241" w:rsidP="00130022">
      <w:r w:rsidRPr="00E50EA1">
        <w:t>Pēc tehnoloģiju tirgus izpētes un tirgus perspektīvu izvērtējuma p</w:t>
      </w:r>
      <w:r w:rsidR="00130022" w:rsidRPr="00E50EA1">
        <w:t>ētniecība un inovācij</w:t>
      </w:r>
      <w:r w:rsidRPr="00E50EA1">
        <w:t>as tiek attīstītas perspektīvās nišās un</w:t>
      </w:r>
      <w:r w:rsidR="00130022" w:rsidRPr="00E50EA1">
        <w:t xml:space="preserve"> rezultāti tiek plaši komercializēti un nonāk līdz tirgum, stimulējot produktivitātes celšanos visās tautsaimniecības nozarēs, tajā pašā laikā sniedzot ieguldījumu</w:t>
      </w:r>
      <w:r w:rsidR="00130022" w:rsidRPr="00E50EA1" w:rsidDel="00373A02">
        <w:t xml:space="preserve"> </w:t>
      </w:r>
      <w:r w:rsidR="00130022" w:rsidRPr="00E50EA1">
        <w:t>SEG emisiju apjoma samazināšanā. Īpaši tiek atbalstīti biznesa inkubatori, kas veicina Stratēģijas mērķu sasniegšanu.</w:t>
      </w:r>
    </w:p>
    <w:p w14:paraId="0CE06516" w14:textId="77777777" w:rsidR="00130022" w:rsidRPr="00E50EA1" w:rsidRDefault="00130022" w:rsidP="00E008BC">
      <w:pPr>
        <w:spacing w:before="120" w:after="120"/>
        <w:ind w:firstLine="720"/>
      </w:pPr>
      <w:r w:rsidRPr="00E50EA1">
        <w:t xml:space="preserve">Latvijas uzņēmumi ir pielāgojušies pasaules tirgus tendencēm un sekmīgi </w:t>
      </w:r>
      <w:r w:rsidR="00090527" w:rsidRPr="00E50EA1">
        <w:t>darboj</w:t>
      </w:r>
      <w:r w:rsidR="00090527">
        <w:t>a</w:t>
      </w:r>
      <w:r w:rsidR="00090527" w:rsidRPr="00E50EA1">
        <w:t xml:space="preserve">s </w:t>
      </w:r>
      <w:r w:rsidRPr="00E50EA1">
        <w:t xml:space="preserve">tehnoloģiju attīstības un ražošanas nišās, nodrošinot stabilu eksporta apjoma pieaugumu. </w:t>
      </w:r>
    </w:p>
    <w:p w14:paraId="1792A42F" w14:textId="77777777" w:rsidR="00130022" w:rsidRPr="000614C2" w:rsidRDefault="00130022" w:rsidP="0031388F">
      <w:pPr>
        <w:pStyle w:val="ListParagraph"/>
        <w:numPr>
          <w:ilvl w:val="0"/>
          <w:numId w:val="2"/>
        </w:numPr>
        <w:spacing w:before="240" w:after="120"/>
        <w:ind w:left="714" w:hanging="357"/>
        <w:rPr>
          <w:b/>
        </w:rPr>
      </w:pPr>
      <w:r w:rsidRPr="000614C2">
        <w:rPr>
          <w:b/>
        </w:rPr>
        <w:t>Uzlabojumi resursu efektivitātē sniedz iespēju izaugsmei caur eko-inovācijām un „zaļajām” darbavietām</w:t>
      </w:r>
    </w:p>
    <w:p w14:paraId="6FB15279" w14:textId="77777777" w:rsidR="00130022" w:rsidRPr="00A46CC4" w:rsidRDefault="00130022" w:rsidP="00E008BC">
      <w:pPr>
        <w:spacing w:before="120" w:after="120"/>
        <w:ind w:firstLine="720"/>
      </w:pPr>
      <w:r w:rsidRPr="00A46CC4">
        <w:t xml:space="preserve">Efektīvāka resursu </w:t>
      </w:r>
      <w:r w:rsidR="0015384D">
        <w:t>izmantošana</w:t>
      </w:r>
      <w:r w:rsidR="0015384D" w:rsidRPr="00A46CC4">
        <w:t xml:space="preserve"> </w:t>
      </w:r>
      <w:r w:rsidRPr="00A46CC4">
        <w:t xml:space="preserve">un piesārņojuma </w:t>
      </w:r>
      <w:r>
        <w:t xml:space="preserve">mazināšana </w:t>
      </w:r>
      <w:r w:rsidRPr="00A46CC4">
        <w:t xml:space="preserve">ir nozīmīgs ekonomiskās izaugsmes dzinējspēks. </w:t>
      </w:r>
    </w:p>
    <w:p w14:paraId="00B5DD07" w14:textId="77777777" w:rsidR="00130022" w:rsidRDefault="0015384D" w:rsidP="00E008BC">
      <w:pPr>
        <w:spacing w:before="120" w:after="120"/>
        <w:ind w:firstLine="720"/>
      </w:pPr>
      <w:r>
        <w:t>OMA</w:t>
      </w:r>
      <w:r w:rsidR="00130022" w:rsidRPr="00A46CC4">
        <w:t xml:space="preserve"> paver iespēju arī </w:t>
      </w:r>
      <w:r w:rsidR="00DB5C15" w:rsidRPr="00A46CC4">
        <w:t>jaun</w:t>
      </w:r>
      <w:r w:rsidR="00DB5C15">
        <w:t>iem</w:t>
      </w:r>
      <w:r w:rsidR="00DB5C15" w:rsidRPr="00A46CC4">
        <w:t xml:space="preserve"> </w:t>
      </w:r>
      <w:r w:rsidR="00130022" w:rsidRPr="00A46CC4">
        <w:t xml:space="preserve">ekonomikas </w:t>
      </w:r>
      <w:r w:rsidR="00DB5C15">
        <w:t>attīstības virzieniem</w:t>
      </w:r>
      <w:r w:rsidR="00130022" w:rsidRPr="00A46CC4">
        <w:t xml:space="preserve">, jo </w:t>
      </w:r>
      <w:r w:rsidR="00D94D54" w:rsidRPr="00A46CC4">
        <w:t xml:space="preserve">potenciāli </w:t>
      </w:r>
      <w:r w:rsidR="00130022" w:rsidRPr="00A46CC4">
        <w:t>ļauj radīt jaunus nodarbinātības sektorus, kas nodarbojas ar videi draudzīgo tehnoloģiju ieviešanu un apkalpošanu (</w:t>
      </w:r>
      <w:r w:rsidR="00130022">
        <w:t>t.s. “</w:t>
      </w:r>
      <w:r w:rsidR="00130022" w:rsidRPr="00A46CC4">
        <w:t>zaļās</w:t>
      </w:r>
      <w:r w:rsidR="00130022">
        <w:t>”</w:t>
      </w:r>
      <w:r w:rsidR="00130022" w:rsidRPr="00A46CC4">
        <w:t xml:space="preserve"> darbavietas).</w:t>
      </w:r>
    </w:p>
    <w:p w14:paraId="5BED0CC4" w14:textId="77777777" w:rsidR="00130022" w:rsidRDefault="00DE6849" w:rsidP="00E008BC">
      <w:pPr>
        <w:spacing w:before="120" w:after="120"/>
        <w:ind w:firstLine="720"/>
      </w:pPr>
      <w:r>
        <w:t xml:space="preserve">“Zaļo” tehnoloģiju un inovāciju </w:t>
      </w:r>
      <w:r w:rsidR="00130022" w:rsidRPr="00A46CC4">
        <w:t xml:space="preserve">tirgū Latvijas uzņēmumi sekmīgi izmanto </w:t>
      </w:r>
      <w:r w:rsidR="00130022">
        <w:t xml:space="preserve">globalizācijas sniegtās </w:t>
      </w:r>
      <w:r w:rsidR="00130022" w:rsidRPr="00A46CC4">
        <w:t>iespējas</w:t>
      </w:r>
      <w:r w:rsidR="00EB639E">
        <w:t>.</w:t>
      </w:r>
    </w:p>
    <w:p w14:paraId="300F9006" w14:textId="77777777" w:rsidR="00130022" w:rsidRPr="000614C2" w:rsidRDefault="00130022" w:rsidP="0031388F">
      <w:pPr>
        <w:pStyle w:val="ListParagraph"/>
        <w:numPr>
          <w:ilvl w:val="0"/>
          <w:numId w:val="2"/>
        </w:numPr>
        <w:spacing w:before="240" w:after="120"/>
        <w:ind w:left="714" w:hanging="357"/>
        <w:rPr>
          <w:b/>
        </w:rPr>
      </w:pPr>
      <w:r w:rsidRPr="000614C2">
        <w:rPr>
          <w:b/>
        </w:rPr>
        <w:t>Labi attīstīts pētniecības cilvēkkapitāls, infrastruktūras koplietošanas un sadarbības kultūra</w:t>
      </w:r>
    </w:p>
    <w:p w14:paraId="60150CCC" w14:textId="77777777" w:rsidR="00130022" w:rsidRPr="00A46CC4" w:rsidRDefault="00130022" w:rsidP="00E008BC">
      <w:pPr>
        <w:spacing w:before="120" w:after="120"/>
      </w:pPr>
      <w:r>
        <w:t xml:space="preserve">Ir izveidots stabils, globāli konkurētspējīgs pētniecības cilvēkkapitāls ar pietiekamu kapacitāti un </w:t>
      </w:r>
      <w:r w:rsidRPr="00A46CC4">
        <w:t>konkurētspējīgu atalgojumu</w:t>
      </w:r>
      <w:r>
        <w:t>. I</w:t>
      </w:r>
      <w:r w:rsidRPr="00A46CC4">
        <w:t>r labi attīstīta pētniecības</w:t>
      </w:r>
      <w:r>
        <w:t xml:space="preserve"> un inovāciju </w:t>
      </w:r>
      <w:r w:rsidRPr="00A46CC4">
        <w:t xml:space="preserve">infrastruktūra, </w:t>
      </w:r>
      <w:r>
        <w:t>t.sk.</w:t>
      </w:r>
      <w:r w:rsidRPr="00A46CC4">
        <w:t xml:space="preserve"> moderni aprīkotu laboratoriju tīkls tehnoloģiskas ievirzes projektu īstenošanai</w:t>
      </w:r>
      <w:r>
        <w:t xml:space="preserve">, un mehānismi tās koplietošanai nacionālā un starptautiskā mērogā. </w:t>
      </w:r>
      <w:r w:rsidRPr="009A3E01">
        <w:t>Zinātniskās institūcijas</w:t>
      </w:r>
      <w:r w:rsidRPr="000F2B02">
        <w:t xml:space="preserve"> </w:t>
      </w:r>
      <w:r>
        <w:t xml:space="preserve">(augstskolas un zinātniskie institūti) </w:t>
      </w:r>
      <w:r w:rsidRPr="000E6B45">
        <w:t>darbojas</w:t>
      </w:r>
      <w:r w:rsidRPr="000F2B02">
        <w:t xml:space="preserve"> kā </w:t>
      </w:r>
      <w:r>
        <w:t xml:space="preserve">jaunu ideju un zināšanu radīšanas centri un </w:t>
      </w:r>
      <w:r w:rsidRPr="000F2B02">
        <w:t xml:space="preserve">zināšanu, prasmju un kompetenču </w:t>
      </w:r>
      <w:r>
        <w:t xml:space="preserve">pārneses </w:t>
      </w:r>
      <w:r w:rsidRPr="000F2B02">
        <w:t>centri</w:t>
      </w:r>
      <w:r>
        <w:t xml:space="preserve">. </w:t>
      </w:r>
      <w:r w:rsidRPr="000F2B02">
        <w:t xml:space="preserve">Vienlaikus </w:t>
      </w:r>
      <w:r>
        <w:t>zinātniskās institūcijas</w:t>
      </w:r>
      <w:r w:rsidRPr="000F2B02">
        <w:t xml:space="preserve"> piedāvā pētniecības un inovāciju infrastruktūras pieejamību dažādu pētniecisku, tehnisku vai konsultatīvu pakalpojumu veidā</w:t>
      </w:r>
      <w:r w:rsidRPr="00A46CC4">
        <w:t xml:space="preserve">. </w:t>
      </w:r>
    </w:p>
    <w:p w14:paraId="2298C70D" w14:textId="77777777" w:rsidR="00130022" w:rsidRDefault="00130022" w:rsidP="00E008BC">
      <w:pPr>
        <w:spacing w:before="120" w:after="120"/>
      </w:pPr>
      <w:r w:rsidRPr="00A46CC4">
        <w:t>Zināt</w:t>
      </w:r>
      <w:r w:rsidR="00653D8D">
        <w:t>n</w:t>
      </w:r>
      <w:r>
        <w:t>isko institūciju</w:t>
      </w:r>
      <w:r w:rsidRPr="00A46CC4">
        <w:t xml:space="preserve">, valsts </w:t>
      </w:r>
      <w:r>
        <w:t xml:space="preserve">pārvaldes un pašvaldību institūciju </w:t>
      </w:r>
      <w:r w:rsidRPr="00A46CC4">
        <w:t xml:space="preserve">un uzņēmējdarbības </w:t>
      </w:r>
      <w:r>
        <w:t xml:space="preserve">sektora </w:t>
      </w:r>
      <w:r w:rsidRPr="00A46CC4">
        <w:t xml:space="preserve">pētnieciskie mērķi ir </w:t>
      </w:r>
      <w:r>
        <w:t>savstarpēji koordinēti</w:t>
      </w:r>
      <w:r w:rsidRPr="00A46CC4">
        <w:t xml:space="preserve"> </w:t>
      </w:r>
      <w:r>
        <w:t xml:space="preserve">un tiek īstenoti cieši </w:t>
      </w:r>
      <w:r w:rsidRPr="00A46CC4">
        <w:t>un sadarbojoties visām pusēm</w:t>
      </w:r>
      <w:r>
        <w:t>, tajā skaitā iesaistot sabiedrību.</w:t>
      </w:r>
      <w:r w:rsidRPr="00111E65">
        <w:t xml:space="preserve"> </w:t>
      </w:r>
      <w:r>
        <w:t>S</w:t>
      </w:r>
      <w:r w:rsidRPr="00A46CC4">
        <w:t>adarbība</w:t>
      </w:r>
      <w:r>
        <w:t xml:space="preserve"> pētniecībā un inovācijā ir attīstīta gan Latvijas,</w:t>
      </w:r>
      <w:r w:rsidRPr="00A46CC4">
        <w:t xml:space="preserve"> </w:t>
      </w:r>
      <w:r>
        <w:t xml:space="preserve">gan </w:t>
      </w:r>
      <w:r w:rsidRPr="00A46CC4">
        <w:t>Baltijas valst</w:t>
      </w:r>
      <w:r>
        <w:t>u, gan Baltijas jūras reģiona valstu mērogā</w:t>
      </w:r>
      <w:r w:rsidRPr="00A46CC4">
        <w:t xml:space="preserve">. </w:t>
      </w:r>
    </w:p>
    <w:p w14:paraId="5A190880" w14:textId="77777777" w:rsidR="00130022" w:rsidRPr="00A46CC4" w:rsidRDefault="00130022" w:rsidP="00E008BC">
      <w:pPr>
        <w:spacing w:before="120" w:after="120"/>
      </w:pPr>
      <w:r w:rsidRPr="00A46CC4">
        <w:t>Pēt</w:t>
      </w:r>
      <w:r>
        <w:t>niecības</w:t>
      </w:r>
      <w:r w:rsidRPr="00A46CC4">
        <w:t xml:space="preserve"> un inovācij</w:t>
      </w:r>
      <w:r>
        <w:t>as</w:t>
      </w:r>
      <w:r w:rsidRPr="00A46CC4">
        <w:t xml:space="preserve"> </w:t>
      </w:r>
      <w:r>
        <w:t>pienesums rīcīb</w:t>
      </w:r>
      <w:r w:rsidRPr="00A46CC4">
        <w:t>politiku, sabiedrīb</w:t>
      </w:r>
      <w:r>
        <w:t xml:space="preserve">as </w:t>
      </w:r>
      <w:r w:rsidRPr="00A46CC4">
        <w:t xml:space="preserve"> un kopēj</w:t>
      </w:r>
      <w:r>
        <w:t>o</w:t>
      </w:r>
      <w:r w:rsidRPr="00A46CC4">
        <w:t xml:space="preserve"> Latvijas </w:t>
      </w:r>
      <w:r>
        <w:t xml:space="preserve">valsts attīstības </w:t>
      </w:r>
      <w:r w:rsidRPr="00A46CC4">
        <w:t>mērķ</w:t>
      </w:r>
      <w:r>
        <w:t>u sasniegšanā</w:t>
      </w:r>
      <w:r w:rsidRPr="00A46CC4">
        <w:t xml:space="preserve"> visās tautsaimniecības nozarēs ir </w:t>
      </w:r>
      <w:r>
        <w:t>savstarpēji integrēts un</w:t>
      </w:r>
      <w:r w:rsidRPr="00A46CC4">
        <w:t xml:space="preserve"> papildinoš</w:t>
      </w:r>
      <w:r>
        <w:t>s</w:t>
      </w:r>
      <w:r w:rsidRPr="00A46CC4">
        <w:t xml:space="preserve">. Pētniecībā un attīstībā </w:t>
      </w:r>
      <w:r>
        <w:t>veidojas</w:t>
      </w:r>
      <w:r w:rsidRPr="00A46CC4">
        <w:t xml:space="preserve"> spēcīg</w:t>
      </w:r>
      <w:r>
        <w:t>i tehnoloģiju pārneses centri</w:t>
      </w:r>
      <w:r w:rsidRPr="00A46CC4">
        <w:t xml:space="preserve">, kas veicina komunikāciju, stimulējot kopējos un privātā sektora ieguldījumus pētniecībā un attīstībā. </w:t>
      </w:r>
      <w:r>
        <w:t>Ir labi attīstīta zināšanu un tehnoloģiju pārneses sistēma, kas sekmē gan publiskas, gan privātas pētniecības rezultātu komercializāciju.</w:t>
      </w:r>
    </w:p>
    <w:p w14:paraId="0D67FAFB" w14:textId="77777777" w:rsidR="00130022" w:rsidRDefault="00130022" w:rsidP="00E008BC">
      <w:pPr>
        <w:spacing w:before="120" w:after="120"/>
      </w:pPr>
      <w:r w:rsidRPr="00A46CC4">
        <w:t xml:space="preserve">Valsts sniedz būtisku ieguldījumu iedzīvotāju prasmju </w:t>
      </w:r>
      <w:r>
        <w:t>un kompetenču</w:t>
      </w:r>
      <w:r w:rsidRPr="00A46CC4" w:rsidDel="00F446F3">
        <w:t xml:space="preserve"> </w:t>
      </w:r>
      <w:r w:rsidRPr="00A46CC4">
        <w:t xml:space="preserve">attīstībā darbam ar inovatīvām tehnoloģijām un spējai pielāgoties </w:t>
      </w:r>
      <w:r>
        <w:t xml:space="preserve">darba </w:t>
      </w:r>
      <w:r w:rsidRPr="00A46CC4">
        <w:t xml:space="preserve">tirgus </w:t>
      </w:r>
      <w:r>
        <w:t xml:space="preserve">un sociālās vides </w:t>
      </w:r>
      <w:r w:rsidRPr="00A46CC4">
        <w:t xml:space="preserve">prasībām. Jaunu tehnoloģiju ieviešana un atbalsts tiek savienots ar mācību materiālu satura atjaunināšanu un pielāgošanu </w:t>
      </w:r>
      <w:r>
        <w:t>aktuālajai situācijai</w:t>
      </w:r>
      <w:r w:rsidRPr="00A46CC4">
        <w:t xml:space="preserve">. </w:t>
      </w:r>
    </w:p>
    <w:p w14:paraId="691438E9" w14:textId="77777777" w:rsidR="00130022" w:rsidRPr="00A46CC4" w:rsidRDefault="00130022" w:rsidP="00E008BC">
      <w:pPr>
        <w:spacing w:before="120" w:after="120"/>
      </w:pPr>
      <w:r>
        <w:rPr>
          <w:szCs w:val="24"/>
        </w:rPr>
        <w:t>Zinātniskās organizācijas strādā ciešā sadarbībā ar industriju, industrijas pieprasījums pētījumiem pēc zinātnisko organizāciju pakalpojumiem ir augsts.</w:t>
      </w:r>
      <w:r>
        <w:t xml:space="preserve"> Tiek pētītas savstarpējās sadarbības iespējas veidojot klasterus, kā arī industriālās simbiozes iespējas ražošanas uzņēmumu vidū.</w:t>
      </w:r>
    </w:p>
    <w:p w14:paraId="47D838A8" w14:textId="77777777" w:rsidR="00130022" w:rsidRPr="005F2265" w:rsidRDefault="00130022" w:rsidP="0031388F">
      <w:pPr>
        <w:pStyle w:val="ListParagraph"/>
        <w:numPr>
          <w:ilvl w:val="0"/>
          <w:numId w:val="2"/>
        </w:numPr>
        <w:spacing w:before="240" w:after="120"/>
        <w:ind w:left="714" w:hanging="357"/>
        <w:rPr>
          <w:b/>
        </w:rPr>
      </w:pPr>
      <w:r w:rsidRPr="005F2265">
        <w:rPr>
          <w:b/>
        </w:rPr>
        <w:lastRenderedPageBreak/>
        <w:t>Radīta plaša, ērti pieejama un praktiski izmantojamu zināšanu bāze,</w:t>
      </w:r>
      <w:r w:rsidR="00460E87">
        <w:rPr>
          <w:b/>
        </w:rPr>
        <w:t xml:space="preserve"> </w:t>
      </w:r>
      <w:r w:rsidRPr="005F2265">
        <w:rPr>
          <w:b/>
        </w:rPr>
        <w:t xml:space="preserve">kas sekmē </w:t>
      </w:r>
      <w:r w:rsidR="00653D8D">
        <w:rPr>
          <w:b/>
        </w:rPr>
        <w:t>SEG emisiju</w:t>
      </w:r>
      <w:r w:rsidR="00460E87">
        <w:rPr>
          <w:b/>
        </w:rPr>
        <w:t xml:space="preserve"> </w:t>
      </w:r>
      <w:r w:rsidR="00653D8D">
        <w:rPr>
          <w:b/>
        </w:rPr>
        <w:t>sa</w:t>
      </w:r>
      <w:r w:rsidR="00460E87">
        <w:rPr>
          <w:b/>
        </w:rPr>
        <w:t>mazināšanu</w:t>
      </w:r>
      <w:r w:rsidRPr="005F2265">
        <w:rPr>
          <w:b/>
        </w:rPr>
        <w:t xml:space="preserve"> un CO</w:t>
      </w:r>
      <w:r w:rsidRPr="00460E87">
        <w:rPr>
          <w:b/>
          <w:vertAlign w:val="subscript"/>
        </w:rPr>
        <w:t>2</w:t>
      </w:r>
      <w:r w:rsidRPr="005F2265">
        <w:rPr>
          <w:b/>
        </w:rPr>
        <w:t xml:space="preserve"> emisiju piesaistes nodrošināšan</w:t>
      </w:r>
      <w:r w:rsidR="00460E87">
        <w:rPr>
          <w:b/>
        </w:rPr>
        <w:t>u</w:t>
      </w:r>
    </w:p>
    <w:p w14:paraId="4D026217" w14:textId="77777777" w:rsidR="00130022" w:rsidRDefault="00130022" w:rsidP="00130022">
      <w:r>
        <w:t xml:space="preserve">Ir izveidotas un efektīvi darbojas atvērtās zinātnes platformas, kas nodrošina atvērto pieeju gan pētījumu datiem, gan rezultātiem, kas izmantojami </w:t>
      </w:r>
      <w:r w:rsidRPr="00A46CC4">
        <w:t xml:space="preserve">pētījumu un inovāciju </w:t>
      </w:r>
      <w:r>
        <w:t>veicināšanai, attīstībai un sekmības monitoringam,</w:t>
      </w:r>
      <w:r w:rsidRPr="00A46CC4">
        <w:t xml:space="preserve"> </w:t>
      </w:r>
      <w:r>
        <w:t xml:space="preserve">kā arī rīcībpolitiku izstrādei un politisko lēmumu pieņemšanas procesā. </w:t>
      </w:r>
      <w:r w:rsidRPr="00A46CC4">
        <w:t xml:space="preserve">Informācija un dati ir </w:t>
      </w:r>
      <w:r>
        <w:t xml:space="preserve">viegli atrodami, pārskatāmi, </w:t>
      </w:r>
      <w:r>
        <w:rPr>
          <w:color w:val="000000"/>
        </w:rPr>
        <w:t>savstarpēji savietojami un</w:t>
      </w:r>
      <w:r w:rsidRPr="00A46CC4">
        <w:t xml:space="preserve"> izmantojami</w:t>
      </w:r>
      <w:r w:rsidR="00460E87">
        <w:t>.</w:t>
      </w:r>
      <w:r w:rsidRPr="00A46CC4">
        <w:t xml:space="preserve"> </w:t>
      </w:r>
      <w:r>
        <w:t>Ir izveidota ērti lietojama datu bāze vai vairākas savstarpēji koordinētas datubāzes ar regulāru informācijas sinhronizēšanu, atjaunošanu un apmaiņu,</w:t>
      </w:r>
      <w:r w:rsidRPr="00A46CC4">
        <w:t xml:space="preserve"> kur </w:t>
      </w:r>
      <w:r>
        <w:t xml:space="preserve">tiek </w:t>
      </w:r>
      <w:r w:rsidRPr="00A46CC4">
        <w:t>apkopota informācija par labo praksi tehnoloģiju ieviešan</w:t>
      </w:r>
      <w:r>
        <w:t>ā</w:t>
      </w:r>
      <w:r w:rsidRPr="00A46CC4">
        <w:t>, pētījumiem, metodēm un citu noderīgu pieredzi. Iegūtās zināšanas un prasmes tiek veiksmīgi pārnestas uz tautsaimniecības nozarēm. Pētniecības un inovācij</w:t>
      </w:r>
      <w:r>
        <w:t>as</w:t>
      </w:r>
      <w:r w:rsidRPr="00A46CC4">
        <w:t xml:space="preserve"> rezultāti (produkti, pakalpojumi</w:t>
      </w:r>
      <w:r>
        <w:t>, procesu jauninājumi</w:t>
      </w:r>
      <w:r w:rsidRPr="00A46CC4">
        <w:t xml:space="preserve"> un metodes) tiek ātri un efektīvi popularizēti</w:t>
      </w:r>
      <w:r>
        <w:t xml:space="preserve"> sabiedrībā un </w:t>
      </w:r>
      <w:r w:rsidRPr="00A46CC4">
        <w:t xml:space="preserve">tiek veicināta </w:t>
      </w:r>
      <w:r>
        <w:t>jauno</w:t>
      </w:r>
      <w:r w:rsidR="00460E87">
        <w:t xml:space="preserve"> </w:t>
      </w:r>
      <w:r w:rsidRPr="00A46CC4">
        <w:t xml:space="preserve">zināšanu un </w:t>
      </w:r>
      <w:r>
        <w:t>tehnoloģiju absorbcija.</w:t>
      </w:r>
    </w:p>
    <w:p w14:paraId="6F79FD1F" w14:textId="3A48E4D7" w:rsidR="00057656" w:rsidRPr="00A46CC4" w:rsidRDefault="003F4AB9" w:rsidP="00057656">
      <w:pPr>
        <w:pStyle w:val="Heading2"/>
        <w:rPr>
          <w:b w:val="0"/>
          <w:bCs w:val="0"/>
        </w:rPr>
      </w:pPr>
      <w:bookmarkStart w:id="44" w:name="_Toc25580338"/>
      <w:r>
        <w:t>6.</w:t>
      </w:r>
      <w:r w:rsidR="00CA3872">
        <w:t>2</w:t>
      </w:r>
      <w:r w:rsidR="00026A16">
        <w:t>.</w:t>
      </w:r>
      <w:r w:rsidR="00B27A45">
        <w:t> </w:t>
      </w:r>
      <w:r w:rsidR="00057656" w:rsidRPr="00A46CC4">
        <w:t>Visaptveroša energoefektivitāte</w:t>
      </w:r>
      <w:bookmarkEnd w:id="44"/>
    </w:p>
    <w:p w14:paraId="35F07643" w14:textId="16F486EE" w:rsidR="00057656" w:rsidRDefault="00057656" w:rsidP="00E008BC">
      <w:pPr>
        <w:spacing w:before="120" w:after="120"/>
      </w:pPr>
      <w:r>
        <w:t>E</w:t>
      </w:r>
      <w:r w:rsidRPr="00A46CC4">
        <w:t>nergoefektivitātes pa</w:t>
      </w:r>
      <w:r w:rsidR="00F8038F">
        <w:t>augstināšana</w:t>
      </w:r>
      <w:r w:rsidRPr="00A46CC4">
        <w:t xml:space="preserve"> </w:t>
      </w:r>
      <w:r w:rsidR="004767E0">
        <w:t>un horizontālā principa „</w:t>
      </w:r>
      <w:r w:rsidR="00BA5012" w:rsidRPr="00B339A8">
        <w:rPr>
          <w:rFonts w:cstheme="minorHAnsi"/>
          <w:bCs/>
          <w:szCs w:val="24"/>
        </w:rPr>
        <w:t>energoefektivitāte pirmajā vietā</w:t>
      </w:r>
      <w:r w:rsidR="004767E0" w:rsidRPr="002002D6">
        <w:t>”</w:t>
      </w:r>
      <w:r w:rsidR="004767E0">
        <w:t xml:space="preserve"> īstenošana </w:t>
      </w:r>
      <w:r w:rsidRPr="00A46CC4">
        <w:t>ir viens no Latvijas ilgtspējīgas enerģ</w:t>
      </w:r>
      <w:r w:rsidR="005E2BD2">
        <w:t>ētikas</w:t>
      </w:r>
      <w:r w:rsidRPr="00A46CC4">
        <w:t xml:space="preserve"> galvenajiem faktoriem</w:t>
      </w:r>
      <w:r>
        <w:t xml:space="preserve">, jo tas samazina pieprasījumu pēc enerģijas ražošanas </w:t>
      </w:r>
      <w:r w:rsidRPr="00A46CC4">
        <w:t xml:space="preserve">dažādās tautsaimniecības nozarēs, </w:t>
      </w:r>
      <w:r w:rsidR="00F72E2F">
        <w:t xml:space="preserve">kā arī </w:t>
      </w:r>
      <w:r w:rsidR="00F72E2F" w:rsidRPr="00A46CC4">
        <w:t>mājsaimniecībā</w:t>
      </w:r>
      <w:r w:rsidR="00F72E2F">
        <w:t>s</w:t>
      </w:r>
      <w:r w:rsidRPr="00A46CC4">
        <w:t>.</w:t>
      </w:r>
    </w:p>
    <w:p w14:paraId="64F5C6AC" w14:textId="4D681D8C" w:rsidR="00057656" w:rsidRPr="00A46CC4" w:rsidRDefault="00AB1051" w:rsidP="00E008BC">
      <w:pPr>
        <w:spacing w:before="120" w:after="120"/>
      </w:pPr>
      <w:r>
        <w:t xml:space="preserve">Ņemot vērā to, ka </w:t>
      </w:r>
      <w:r w:rsidR="00637846">
        <w:t xml:space="preserve">viens no lielākajiem </w:t>
      </w:r>
      <w:r w:rsidR="00057656" w:rsidRPr="00A46CC4">
        <w:t>enerģijas gala patērētāji</w:t>
      </w:r>
      <w:r w:rsidR="00637846">
        <w:t>em</w:t>
      </w:r>
      <w:r w:rsidR="00057656" w:rsidRPr="00A46CC4">
        <w:t xml:space="preserve"> Latvijā ir mājsaimniecības</w:t>
      </w:r>
      <w:r w:rsidR="005E2BD2">
        <w:t>,</w:t>
      </w:r>
      <w:r w:rsidR="00637846">
        <w:t xml:space="preserve"> šajā sektorā</w:t>
      </w:r>
      <w:r w:rsidR="005E2BD2">
        <w:t xml:space="preserve"> </w:t>
      </w:r>
      <w:r w:rsidR="002B116B">
        <w:t xml:space="preserve">arī </w:t>
      </w:r>
      <w:r w:rsidR="00637846">
        <w:t>iespējams panākt ievērojamāko</w:t>
      </w:r>
      <w:r w:rsidR="00637846" w:rsidRPr="00A46CC4">
        <w:t xml:space="preserve"> </w:t>
      </w:r>
      <w:r w:rsidR="00057656" w:rsidRPr="00A46CC4">
        <w:t xml:space="preserve">enerģijas </w:t>
      </w:r>
      <w:r w:rsidR="00637846" w:rsidRPr="00A46CC4">
        <w:t>ietaupījum</w:t>
      </w:r>
      <w:r w:rsidR="00637846">
        <w:t>u</w:t>
      </w:r>
      <w:r w:rsidR="00057656" w:rsidRPr="00A46CC4">
        <w:t>, uzlabo</w:t>
      </w:r>
      <w:r w:rsidR="00637846">
        <w:t>jot</w:t>
      </w:r>
      <w:r w:rsidR="00057656" w:rsidRPr="00A46CC4">
        <w:t xml:space="preserve"> esošo ēku energoefektivitāt</w:t>
      </w:r>
      <w:r w:rsidR="00637846">
        <w:t>i</w:t>
      </w:r>
      <w:r w:rsidR="00057656" w:rsidRPr="00A46CC4">
        <w:t xml:space="preserve">, </w:t>
      </w:r>
      <w:r w:rsidR="00637846" w:rsidRPr="00A46CC4">
        <w:t>ievie</w:t>
      </w:r>
      <w:r w:rsidR="00637846">
        <w:t>šot</w:t>
      </w:r>
      <w:r w:rsidR="00637846" w:rsidRPr="00A46CC4">
        <w:t xml:space="preserve"> </w:t>
      </w:r>
      <w:r w:rsidR="00057656" w:rsidRPr="00A46CC4">
        <w:t xml:space="preserve">jaunas, stingrākas tehniskās prasības jaunu ēku būvniecībai un </w:t>
      </w:r>
      <w:r w:rsidR="00637846" w:rsidRPr="00A46CC4">
        <w:t>izmanto</w:t>
      </w:r>
      <w:r w:rsidR="00637846">
        <w:t>jot</w:t>
      </w:r>
      <w:r w:rsidR="00637846" w:rsidRPr="00A46CC4">
        <w:t xml:space="preserve"> </w:t>
      </w:r>
      <w:r w:rsidR="00057656" w:rsidRPr="00A46CC4">
        <w:t>energoefektīvas iekārtas.</w:t>
      </w:r>
    </w:p>
    <w:p w14:paraId="43D3A8A0" w14:textId="77777777" w:rsidR="00057656" w:rsidRDefault="00057656" w:rsidP="00E008BC">
      <w:pPr>
        <w:spacing w:before="120" w:after="120"/>
        <w:ind w:firstLine="720"/>
      </w:pPr>
      <w:r w:rsidRPr="00A46CC4">
        <w:t>Viens no pielietotajiem risinājumiem ir energomarķējums (vizuāla metode sabiedrības informēšanai) un ekodizains (preču un pakalpojumu izstrāde, ņemot vērā to ilgtspēju un ietekmes uz vidi samazināšanu). Energomarķējuma un ekodizaina nosacījumi ierobežo energoneefektīvu produktu un iekārtu ražošanu un laišanu tirgū.</w:t>
      </w:r>
    </w:p>
    <w:p w14:paraId="5D5AB73D" w14:textId="29E985F4" w:rsidR="00BA5012" w:rsidRPr="00B339A8" w:rsidRDefault="00BA5012" w:rsidP="00D92601">
      <w:pPr>
        <w:pStyle w:val="ListParagraph"/>
        <w:numPr>
          <w:ilvl w:val="0"/>
          <w:numId w:val="2"/>
        </w:numPr>
        <w:spacing w:before="120" w:after="120"/>
        <w:rPr>
          <w:rFonts w:cstheme="minorHAnsi"/>
          <w:b/>
          <w:szCs w:val="24"/>
        </w:rPr>
      </w:pPr>
      <w:r w:rsidRPr="00B339A8">
        <w:rPr>
          <w:rFonts w:cstheme="minorHAnsi"/>
          <w:b/>
          <w:bCs/>
          <w:szCs w:val="24"/>
        </w:rPr>
        <w:t>Princips</w:t>
      </w:r>
      <w:r w:rsidRPr="00B339A8">
        <w:rPr>
          <w:rFonts w:cstheme="minorHAnsi"/>
          <w:b/>
          <w:szCs w:val="24"/>
        </w:rPr>
        <w:t xml:space="preserve"> </w:t>
      </w:r>
      <w:r w:rsidRPr="00B339A8">
        <w:rPr>
          <w:rFonts w:cstheme="minorHAnsi"/>
          <w:b/>
          <w:bCs/>
          <w:szCs w:val="24"/>
        </w:rPr>
        <w:t>“energoefektivitāte pirmajā vietā”</w:t>
      </w:r>
      <w:r w:rsidRPr="00B339A8">
        <w:rPr>
          <w:rFonts w:cstheme="minorHAnsi"/>
          <w:b/>
          <w:szCs w:val="24"/>
        </w:rPr>
        <w:t xml:space="preserve"> tiek </w:t>
      </w:r>
      <w:r w:rsidRPr="00B339A8">
        <w:rPr>
          <w:rFonts w:cstheme="minorHAnsi"/>
          <w:b/>
          <w:bCs/>
          <w:szCs w:val="24"/>
        </w:rPr>
        <w:t>ieviests un īstenots v</w:t>
      </w:r>
      <w:r w:rsidRPr="00B339A8">
        <w:rPr>
          <w:rFonts w:cstheme="minorHAnsi"/>
          <w:b/>
          <w:szCs w:val="24"/>
        </w:rPr>
        <w:t xml:space="preserve">isaptveroši </w:t>
      </w:r>
    </w:p>
    <w:p w14:paraId="2B2C9A45" w14:textId="69270708" w:rsidR="009E11B5" w:rsidRDefault="00BA5012" w:rsidP="009E11B5">
      <w:pPr>
        <w:spacing w:before="120" w:after="120"/>
        <w:rPr>
          <w:rFonts w:cstheme="minorHAnsi"/>
          <w:szCs w:val="24"/>
        </w:rPr>
      </w:pPr>
      <w:r>
        <w:rPr>
          <w:rFonts w:cstheme="minorHAnsi"/>
          <w:szCs w:val="24"/>
        </w:rPr>
        <w:t>P</w:t>
      </w:r>
      <w:r w:rsidRPr="00317AE5">
        <w:rPr>
          <w:rFonts w:cstheme="minorHAnsi"/>
          <w:szCs w:val="24"/>
        </w:rPr>
        <w:t xml:space="preserve">irms </w:t>
      </w:r>
      <w:r>
        <w:rPr>
          <w:rFonts w:cstheme="minorHAnsi"/>
          <w:szCs w:val="24"/>
        </w:rPr>
        <w:t xml:space="preserve">tautsaimniecības </w:t>
      </w:r>
      <w:r w:rsidRPr="00317AE5">
        <w:rPr>
          <w:rFonts w:cstheme="minorHAnsi"/>
          <w:szCs w:val="24"/>
        </w:rPr>
        <w:t>nozar</w:t>
      </w:r>
      <w:r>
        <w:rPr>
          <w:rFonts w:cstheme="minorHAnsi"/>
          <w:szCs w:val="24"/>
        </w:rPr>
        <w:t>u</w:t>
      </w:r>
      <w:r w:rsidRPr="00317AE5">
        <w:rPr>
          <w:rFonts w:cstheme="minorHAnsi"/>
          <w:szCs w:val="24"/>
        </w:rPr>
        <w:t xml:space="preserve"> attīstības plānošanas, politiku noteikšanas un investīciju lēmumu apstiprināšanas </w:t>
      </w:r>
      <w:r>
        <w:rPr>
          <w:rFonts w:cstheme="minorHAnsi"/>
          <w:szCs w:val="24"/>
        </w:rPr>
        <w:t>tiek</w:t>
      </w:r>
      <w:r w:rsidRPr="00317AE5">
        <w:rPr>
          <w:rFonts w:cstheme="minorHAnsi"/>
          <w:szCs w:val="24"/>
        </w:rPr>
        <w:t xml:space="preserve"> </w:t>
      </w:r>
      <w:r>
        <w:rPr>
          <w:rFonts w:cstheme="minorHAnsi"/>
          <w:szCs w:val="24"/>
        </w:rPr>
        <w:t>i</w:t>
      </w:r>
      <w:r w:rsidRPr="00317AE5">
        <w:rPr>
          <w:rFonts w:cstheme="minorHAnsi"/>
          <w:szCs w:val="24"/>
        </w:rPr>
        <w:t>zvērtē</w:t>
      </w:r>
      <w:r>
        <w:rPr>
          <w:rFonts w:cstheme="minorHAnsi"/>
          <w:szCs w:val="24"/>
        </w:rPr>
        <w:t>ts</w:t>
      </w:r>
      <w:r w:rsidRPr="00317AE5">
        <w:rPr>
          <w:rFonts w:cstheme="minorHAnsi"/>
          <w:szCs w:val="24"/>
        </w:rPr>
        <w:t xml:space="preserve">, vai </w:t>
      </w:r>
      <w:r>
        <w:rPr>
          <w:rFonts w:cstheme="minorHAnsi"/>
          <w:szCs w:val="24"/>
        </w:rPr>
        <w:t>izvēlēta</w:t>
      </w:r>
      <w:r w:rsidRPr="00317AE5">
        <w:rPr>
          <w:rFonts w:cstheme="minorHAnsi"/>
          <w:szCs w:val="24"/>
        </w:rPr>
        <w:t xml:space="preserve"> efektīv</w:t>
      </w:r>
      <w:r>
        <w:rPr>
          <w:rFonts w:cstheme="minorHAnsi"/>
          <w:szCs w:val="24"/>
        </w:rPr>
        <w:t>ākā,</w:t>
      </w:r>
      <w:r w:rsidRPr="00317AE5">
        <w:rPr>
          <w:rFonts w:cstheme="minorHAnsi"/>
          <w:szCs w:val="24"/>
        </w:rPr>
        <w:t xml:space="preserve"> </w:t>
      </w:r>
      <w:r>
        <w:rPr>
          <w:rFonts w:cstheme="minorHAnsi"/>
          <w:szCs w:val="24"/>
        </w:rPr>
        <w:t xml:space="preserve">ilgtermiņā lielāko </w:t>
      </w:r>
      <w:r w:rsidRPr="00317AE5">
        <w:rPr>
          <w:rFonts w:cstheme="minorHAnsi"/>
          <w:szCs w:val="24"/>
        </w:rPr>
        <w:t>en</w:t>
      </w:r>
      <w:r>
        <w:rPr>
          <w:rFonts w:cstheme="minorHAnsi"/>
          <w:szCs w:val="24"/>
        </w:rPr>
        <w:t xml:space="preserve">erģijas galapatēriņa ietaupījumu nesošā </w:t>
      </w:r>
      <w:r w:rsidR="008A7507">
        <w:rPr>
          <w:rFonts w:cstheme="minorHAnsi"/>
          <w:szCs w:val="24"/>
        </w:rPr>
        <w:t>konkrētās politikas īstenošanas alternatīva</w:t>
      </w:r>
      <w:r>
        <w:rPr>
          <w:rFonts w:cstheme="minorHAnsi"/>
          <w:szCs w:val="24"/>
        </w:rPr>
        <w:t xml:space="preserve">. </w:t>
      </w:r>
    </w:p>
    <w:p w14:paraId="4E102B52" w14:textId="369242D1" w:rsidR="00BA5012" w:rsidRPr="008A7507" w:rsidRDefault="008A7507" w:rsidP="00D92601">
      <w:pPr>
        <w:spacing w:before="120" w:after="120"/>
        <w:rPr>
          <w:rFonts w:cstheme="minorHAnsi"/>
          <w:szCs w:val="24"/>
        </w:rPr>
      </w:pPr>
      <w:r>
        <w:rPr>
          <w:rFonts w:cstheme="minorHAnsi"/>
          <w:szCs w:val="24"/>
        </w:rPr>
        <w:t>Princips “e</w:t>
      </w:r>
      <w:r w:rsidRPr="008A7507">
        <w:rPr>
          <w:rFonts w:cstheme="minorHAnsi"/>
          <w:szCs w:val="24"/>
        </w:rPr>
        <w:t>n</w:t>
      </w:r>
      <w:r>
        <w:rPr>
          <w:rFonts w:cstheme="minorHAnsi"/>
          <w:szCs w:val="24"/>
        </w:rPr>
        <w:t>ergoefektivitāte pirmajā vietā”</w:t>
      </w:r>
      <w:r w:rsidR="00BA5012">
        <w:rPr>
          <w:rFonts w:cstheme="minorHAnsi"/>
          <w:szCs w:val="24"/>
        </w:rPr>
        <w:t xml:space="preserve"> </w:t>
      </w:r>
      <w:r w:rsidR="00190F97">
        <w:rPr>
          <w:rFonts w:cstheme="minorHAnsi"/>
          <w:szCs w:val="24"/>
        </w:rPr>
        <w:t>tiek piemērots</w:t>
      </w:r>
      <w:r w:rsidR="00BA5012">
        <w:rPr>
          <w:rFonts w:cstheme="minorHAnsi"/>
          <w:szCs w:val="24"/>
        </w:rPr>
        <w:t xml:space="preserve"> arī </w:t>
      </w:r>
      <w:r w:rsidR="00BA5012" w:rsidRPr="00317AE5">
        <w:rPr>
          <w:rFonts w:cstheme="minorHAnsi"/>
          <w:szCs w:val="24"/>
        </w:rPr>
        <w:t>ES un publisko fondu finansējuma apguves nosacījumos</w:t>
      </w:r>
      <w:r>
        <w:rPr>
          <w:rFonts w:cstheme="minorHAnsi"/>
          <w:szCs w:val="24"/>
        </w:rPr>
        <w:t>.</w:t>
      </w:r>
    </w:p>
    <w:p w14:paraId="29F8CA6F" w14:textId="2E42571B" w:rsidR="00057656" w:rsidRPr="005F2265" w:rsidRDefault="00F8038F" w:rsidP="0031388F">
      <w:pPr>
        <w:pStyle w:val="ListParagraph"/>
        <w:numPr>
          <w:ilvl w:val="0"/>
          <w:numId w:val="2"/>
        </w:numPr>
        <w:spacing w:before="240" w:after="120"/>
        <w:ind w:left="714" w:hanging="357"/>
        <w:rPr>
          <w:b/>
        </w:rPr>
      </w:pPr>
      <w:bookmarkStart w:id="45" w:name="_Toc456603834"/>
      <w:r w:rsidRPr="005F2265">
        <w:rPr>
          <w:b/>
        </w:rPr>
        <w:t xml:space="preserve">Visu jaunu </w:t>
      </w:r>
      <w:r w:rsidR="00057656" w:rsidRPr="005F2265">
        <w:rPr>
          <w:b/>
        </w:rPr>
        <w:t xml:space="preserve">ēku </w:t>
      </w:r>
      <w:bookmarkEnd w:id="45"/>
      <w:r w:rsidR="00057656" w:rsidRPr="005F2265">
        <w:rPr>
          <w:b/>
        </w:rPr>
        <w:t>būvniecība</w:t>
      </w:r>
      <w:r w:rsidRPr="005F2265">
        <w:rPr>
          <w:b/>
        </w:rPr>
        <w:t xml:space="preserve"> </w:t>
      </w:r>
      <w:r w:rsidR="00057656" w:rsidRPr="005F2265">
        <w:rPr>
          <w:b/>
        </w:rPr>
        <w:t>atbilst nulles</w:t>
      </w:r>
      <w:r w:rsidR="00476CF8">
        <w:rPr>
          <w:rStyle w:val="FootnoteReference"/>
          <w:b/>
        </w:rPr>
        <w:footnoteReference w:id="60"/>
      </w:r>
      <w:r w:rsidR="00057656" w:rsidRPr="005F2265">
        <w:rPr>
          <w:b/>
        </w:rPr>
        <w:t xml:space="preserve"> enerģijas patēriņa ēku prasībām</w:t>
      </w:r>
    </w:p>
    <w:p w14:paraId="487AC2AA" w14:textId="1C1E5F17" w:rsidR="00AB1051" w:rsidRDefault="00AB1051" w:rsidP="009E11B5">
      <w:pPr>
        <w:spacing w:before="120" w:after="120"/>
      </w:pPr>
      <w:r w:rsidRPr="00AB1051">
        <w:t xml:space="preserve">Ir radīta </w:t>
      </w:r>
      <w:r>
        <w:t xml:space="preserve">iedzīvotāju </w:t>
      </w:r>
      <w:r w:rsidRPr="00AB1051">
        <w:t>izpratne par nulles enerģijas patēriņa ēku priekšrocībām gan enerģijas taupīšanas, gan labvēlīga iekštelpu mikroklimata nodrošināšanā.</w:t>
      </w:r>
    </w:p>
    <w:p w14:paraId="288AD265" w14:textId="2675DF0A" w:rsidR="00057656" w:rsidRPr="00A46CC4" w:rsidRDefault="00F8038F" w:rsidP="00E008BC">
      <w:pPr>
        <w:spacing w:before="120" w:after="120"/>
      </w:pPr>
      <w:r w:rsidRPr="00A46CC4">
        <w:t>Jaunu ēku būvniecībā tiek piemērotas stingras energoefektivitātes prasības.</w:t>
      </w:r>
      <w:r>
        <w:t xml:space="preserve"> </w:t>
      </w:r>
      <w:r w:rsidR="00057656" w:rsidRPr="00A46CC4">
        <w:t xml:space="preserve">Līdz 2050. gadam ir nodrošināts, ka visas </w:t>
      </w:r>
      <w:r w:rsidR="00BA7937">
        <w:t xml:space="preserve">jaunās </w:t>
      </w:r>
      <w:r w:rsidR="00057656" w:rsidRPr="00A46CC4">
        <w:t xml:space="preserve">ēkas </w:t>
      </w:r>
      <w:r w:rsidR="00BA7937">
        <w:t xml:space="preserve">tiek būvētas kā </w:t>
      </w:r>
      <w:r w:rsidR="00057656" w:rsidRPr="00A46CC4">
        <w:t xml:space="preserve">nulles enerģijas patēriņa ēkas. </w:t>
      </w:r>
    </w:p>
    <w:p w14:paraId="2C8E7F4E" w14:textId="5B50B67D" w:rsidR="00190F97" w:rsidRPr="00A46CC4" w:rsidRDefault="00BA7937" w:rsidP="00190F97">
      <w:pPr>
        <w:spacing w:before="120" w:after="120"/>
      </w:pPr>
      <w:r>
        <w:t>N</w:t>
      </w:r>
      <w:r w:rsidR="00057656" w:rsidRPr="00A46CC4">
        <w:t xml:space="preserve">ulles enerģijas patēriņa ēku būvniecībā uzmanība ir pievērsta </w:t>
      </w:r>
      <w:r w:rsidR="00AB1051">
        <w:t xml:space="preserve">arī </w:t>
      </w:r>
      <w:r w:rsidR="00057656" w:rsidRPr="00A46CC4">
        <w:t>plānošanai</w:t>
      </w:r>
      <w:r w:rsidR="00AB1051">
        <w:t xml:space="preserve"> attiecībā uz</w:t>
      </w:r>
      <w:r w:rsidR="00057656" w:rsidRPr="00A46CC4">
        <w:t xml:space="preserve"> ēku </w:t>
      </w:r>
      <w:r w:rsidR="00F72E2F">
        <w:t xml:space="preserve">novietojumu, </w:t>
      </w:r>
      <w:r w:rsidR="00057656" w:rsidRPr="00A46CC4">
        <w:t>izmantotajiem materiāliem un ēkas iekšējiem inženiertīkliem.</w:t>
      </w:r>
    </w:p>
    <w:p w14:paraId="185B6802" w14:textId="77777777" w:rsidR="00057656" w:rsidRPr="005F2265" w:rsidRDefault="00057656" w:rsidP="0031388F">
      <w:pPr>
        <w:pStyle w:val="ListParagraph"/>
        <w:numPr>
          <w:ilvl w:val="0"/>
          <w:numId w:val="2"/>
        </w:numPr>
        <w:spacing w:before="240" w:after="120"/>
        <w:ind w:left="714" w:hanging="357"/>
        <w:rPr>
          <w:b/>
        </w:rPr>
      </w:pPr>
      <w:r w:rsidRPr="005F2265">
        <w:rPr>
          <w:b/>
        </w:rPr>
        <w:lastRenderedPageBreak/>
        <w:t xml:space="preserve">Visu ēku atjaunošana un pārbūve atbilst nulles enerģijas patēriņa vai </w:t>
      </w:r>
      <w:r w:rsidR="00A71CE6">
        <w:rPr>
          <w:b/>
        </w:rPr>
        <w:t xml:space="preserve">gandrīz </w:t>
      </w:r>
      <w:r w:rsidR="005340F0">
        <w:rPr>
          <w:b/>
        </w:rPr>
        <w:t xml:space="preserve"> nulles </w:t>
      </w:r>
      <w:r w:rsidRPr="005F2265">
        <w:rPr>
          <w:b/>
        </w:rPr>
        <w:t>enerģijas patēriņa ēku prasībām</w:t>
      </w:r>
    </w:p>
    <w:p w14:paraId="05B1D4A5" w14:textId="77777777" w:rsidR="00057656" w:rsidRPr="00A46CC4" w:rsidRDefault="00057656" w:rsidP="00C337DD">
      <w:r w:rsidRPr="00A46CC4">
        <w:t>Emisiju samazināšana nav iedomājama bez uzlabojumiem esošo ēku energoefektivitāt</w:t>
      </w:r>
      <w:r w:rsidR="00653D8D">
        <w:t>ē</w:t>
      </w:r>
      <w:r w:rsidRPr="00A46CC4">
        <w:t xml:space="preserve">, reizē arī saglabājot vēsturiskās vērtības. Ēku atjaunošana un pārbūve tiek veikta kvalitatīvi, izmantojot ilgtspējīgus materiālus un efektīvas tehnoloģijas un metodes. </w:t>
      </w:r>
      <w:r w:rsidR="00F8038F">
        <w:t>Visas esošās</w:t>
      </w:r>
      <w:r w:rsidRPr="00A46CC4">
        <w:t xml:space="preserve"> ēk</w:t>
      </w:r>
      <w:r w:rsidR="00F8038F">
        <w:t>as</w:t>
      </w:r>
      <w:r w:rsidRPr="00A46CC4">
        <w:t xml:space="preserve"> ir atjaunotas vai pārbūvētas</w:t>
      </w:r>
      <w:r w:rsidR="00F8038F">
        <w:t xml:space="preserve"> atbilstoši energoe</w:t>
      </w:r>
      <w:r w:rsidR="00C337DD">
        <w:t>fe</w:t>
      </w:r>
      <w:r w:rsidR="00F8038F">
        <w:t>ktivitātes standartiem</w:t>
      </w:r>
      <w:r w:rsidRPr="00A46CC4">
        <w:t xml:space="preserve">. </w:t>
      </w:r>
      <w:r w:rsidR="00C337DD">
        <w:t>Tā kā v</w:t>
      </w:r>
      <w:r w:rsidRPr="00A46CC4">
        <w:t xml:space="preserve">iens no </w:t>
      </w:r>
      <w:r w:rsidR="00C337DD">
        <w:t>lielākajiem līdzšinējiem</w:t>
      </w:r>
      <w:r w:rsidRPr="00A46CC4">
        <w:t xml:space="preserve"> izaicinājumiem visaptverošai ēku atjaunošanai</w:t>
      </w:r>
      <w:r w:rsidR="00C337DD">
        <w:t>,</w:t>
      </w:r>
      <w:r w:rsidRPr="00A46CC4">
        <w:t xml:space="preserve"> ir finansējuma </w:t>
      </w:r>
      <w:r w:rsidR="00C337DD">
        <w:t>ierobežotība</w:t>
      </w:r>
      <w:r w:rsidRPr="00A46CC4">
        <w:t xml:space="preserve">, </w:t>
      </w:r>
      <w:r w:rsidR="00D75128">
        <w:t xml:space="preserve">ir </w:t>
      </w:r>
      <w:r w:rsidRPr="00A46CC4">
        <w:t xml:space="preserve">rasti </w:t>
      </w:r>
      <w:r w:rsidR="00C337DD">
        <w:t xml:space="preserve">papildus </w:t>
      </w:r>
      <w:r w:rsidRPr="00A46CC4">
        <w:t>finanšu instrumenti</w:t>
      </w:r>
      <w:r w:rsidR="00AB1051">
        <w:t xml:space="preserve"> (</w:t>
      </w:r>
      <w:r w:rsidR="00C337DD">
        <w:t xml:space="preserve">piemēram, </w:t>
      </w:r>
      <w:r w:rsidR="00AB1051">
        <w:t>skat.</w:t>
      </w:r>
      <w:r w:rsidR="00D75128">
        <w:t> </w:t>
      </w:r>
      <w:r w:rsidR="00C337DD">
        <w:t>7.2.</w:t>
      </w:r>
      <w:r w:rsidR="00D75128">
        <w:t> </w:t>
      </w:r>
      <w:r w:rsidR="00AB1051">
        <w:t>nodaļu)</w:t>
      </w:r>
      <w:r w:rsidRPr="00A46CC4">
        <w:t>.</w:t>
      </w:r>
    </w:p>
    <w:p w14:paraId="12376F19" w14:textId="77777777" w:rsidR="00057656" w:rsidRPr="005F2265" w:rsidRDefault="00057656" w:rsidP="0031388F">
      <w:pPr>
        <w:pStyle w:val="ListParagraph"/>
        <w:numPr>
          <w:ilvl w:val="0"/>
          <w:numId w:val="2"/>
        </w:numPr>
        <w:spacing w:before="240" w:after="120"/>
        <w:ind w:left="714" w:hanging="357"/>
        <w:rPr>
          <w:b/>
        </w:rPr>
      </w:pPr>
      <w:r w:rsidRPr="005F2265">
        <w:rPr>
          <w:b/>
        </w:rPr>
        <w:t>Ražošanas proces</w:t>
      </w:r>
      <w:r w:rsidR="00597C00" w:rsidRPr="005F2265">
        <w:rPr>
          <w:b/>
        </w:rPr>
        <w:t>i</w:t>
      </w:r>
      <w:r w:rsidRPr="005F2265">
        <w:rPr>
          <w:b/>
        </w:rPr>
        <w:t xml:space="preserve"> ir energoefekt</w:t>
      </w:r>
      <w:r w:rsidR="00597C00" w:rsidRPr="005F2265">
        <w:rPr>
          <w:b/>
        </w:rPr>
        <w:t>īvi</w:t>
      </w:r>
      <w:r w:rsidRPr="005F2265">
        <w:rPr>
          <w:b/>
        </w:rPr>
        <w:t xml:space="preserve"> </w:t>
      </w:r>
    </w:p>
    <w:p w14:paraId="73ADCB8D" w14:textId="6C8D571B" w:rsidR="00057656" w:rsidRPr="00A46CC4" w:rsidRDefault="00057656" w:rsidP="00057656">
      <w:pPr>
        <w:rPr>
          <w:color w:val="000000"/>
        </w:rPr>
      </w:pPr>
      <w:r w:rsidRPr="00A46CC4">
        <w:t xml:space="preserve">Energoefektīvi </w:t>
      </w:r>
      <w:r w:rsidR="00546380">
        <w:t xml:space="preserve">un resursefektīvi </w:t>
      </w:r>
      <w:r w:rsidRPr="00A46CC4">
        <w:t>ražošanas procesi nodrošina Latvijas konkurētspēju pasaulē, piedāvājot preces un pakalpojumus par konkurētspējīgām cenām, vienlaicīgi radot papildu darbavietas un veicinot izaugsmi.</w:t>
      </w:r>
    </w:p>
    <w:p w14:paraId="6D66C646" w14:textId="7471B8E3" w:rsidR="00057656" w:rsidRPr="005F2265" w:rsidRDefault="00057656" w:rsidP="0031388F">
      <w:pPr>
        <w:pStyle w:val="ListParagraph"/>
        <w:numPr>
          <w:ilvl w:val="0"/>
          <w:numId w:val="2"/>
        </w:numPr>
        <w:spacing w:before="240" w:after="120"/>
        <w:ind w:left="714" w:hanging="357"/>
        <w:rPr>
          <w:b/>
        </w:rPr>
      </w:pPr>
      <w:bookmarkStart w:id="46" w:name="_Toc456603835"/>
      <w:r w:rsidRPr="005F2265">
        <w:rPr>
          <w:b/>
        </w:rPr>
        <w:t xml:space="preserve">Sabiedrībai pieejami tikai energoefektīvi </w:t>
      </w:r>
      <w:r w:rsidR="00546380">
        <w:rPr>
          <w:b/>
        </w:rPr>
        <w:t xml:space="preserve">un resursefektīvi </w:t>
      </w:r>
      <w:r w:rsidRPr="005F2265">
        <w:rPr>
          <w:b/>
        </w:rPr>
        <w:t>produkti un iekārtas</w:t>
      </w:r>
      <w:bookmarkEnd w:id="46"/>
    </w:p>
    <w:p w14:paraId="1AD1548F" w14:textId="77777777" w:rsidR="00057656" w:rsidRPr="00A46CC4" w:rsidRDefault="00057656" w:rsidP="00E008BC">
      <w:pPr>
        <w:spacing w:before="120" w:after="120"/>
      </w:pPr>
      <w:r w:rsidRPr="00A46CC4">
        <w:t>Projektējot produktus un iekārtas tiek domāts, lai produktu un iekārtu ražošanā tiktu izmantots maksimāli maz enerģijas</w:t>
      </w:r>
      <w:r w:rsidR="00597C00">
        <w:t>, kā</w:t>
      </w:r>
      <w:r w:rsidRPr="00A46CC4">
        <w:t xml:space="preserve"> arī tiktu iegūta cita veida enerģija no ražošanas procesa. Ek</w:t>
      </w:r>
      <w:r w:rsidR="00597C00">
        <w:t>odizains</w:t>
      </w:r>
      <w:r w:rsidRPr="00A46CC4">
        <w:t xml:space="preserve"> tiek </w:t>
      </w:r>
      <w:r w:rsidR="00597C00">
        <w:t xml:space="preserve">plaši </w:t>
      </w:r>
      <w:r w:rsidR="00821068">
        <w:t>ievērots un attīstīts, ta</w:t>
      </w:r>
      <w:r w:rsidRPr="00A46CC4">
        <w:t>s veicina inovatīvu un ilgtspējīgu risinājumu ieviešanu.</w:t>
      </w:r>
    </w:p>
    <w:p w14:paraId="6BA59F6E" w14:textId="77777777" w:rsidR="00821068" w:rsidRPr="00A46CC4" w:rsidRDefault="00D75128" w:rsidP="00E008BC">
      <w:pPr>
        <w:spacing w:before="120" w:after="120"/>
      </w:pPr>
      <w:r>
        <w:t>P</w:t>
      </w:r>
      <w:r w:rsidR="00821068" w:rsidRPr="00A46CC4">
        <w:t xml:space="preserve">rodukti </w:t>
      </w:r>
      <w:r>
        <w:t>atbilstoši e</w:t>
      </w:r>
      <w:r w:rsidRPr="00A46CC4">
        <w:t xml:space="preserve">kodizaina </w:t>
      </w:r>
      <w:r>
        <w:t xml:space="preserve">prasībām </w:t>
      </w:r>
      <w:r w:rsidR="00821068" w:rsidRPr="00A46CC4">
        <w:t>paredz to ērtu un efektīvu utilizāciju, kas ir visiem pieejama. Sistēma ir ilgtspējīga un atbils</w:t>
      </w:r>
      <w:r w:rsidR="00C337DD">
        <w:t>t aprites ekonomikas principiem.</w:t>
      </w:r>
    </w:p>
    <w:p w14:paraId="4BE2229D" w14:textId="77777777" w:rsidR="00057656" w:rsidRPr="00A46CC4" w:rsidRDefault="00057656" w:rsidP="00E008BC">
      <w:pPr>
        <w:spacing w:before="120" w:after="120"/>
      </w:pPr>
      <w:r w:rsidRPr="00A46CC4">
        <w:t>Energoefektīva apgaismojuma jomā dominē jaunas paaudzes sistēmas un risinājumi, kuri ir attālināti vadāmi, ar ilgstošu kalpošanas laiku un augstu efektivitāti resursu patēriņā – gan produkta izstrādes, gan tā lietošanas laikā.</w:t>
      </w:r>
    </w:p>
    <w:p w14:paraId="3D56D15A" w14:textId="77777777" w:rsidR="00057656" w:rsidRPr="00A46CC4" w:rsidRDefault="00057656" w:rsidP="00E008BC">
      <w:pPr>
        <w:spacing w:before="120" w:after="120"/>
      </w:pPr>
      <w:r w:rsidRPr="00A46CC4">
        <w:t>Enerģijas patēriņa kontrole un pielāgošana konkrētām vajadzībām ir visiem pieejams pakalpojums un tas notiek attālināti, izmantojot informācijas komunikāciju tehnoloģijas.</w:t>
      </w:r>
    </w:p>
    <w:p w14:paraId="46AA4E40" w14:textId="77777777" w:rsidR="00AB2FDA" w:rsidRPr="00A46CC4" w:rsidRDefault="003F4AB9" w:rsidP="00D533C2">
      <w:pPr>
        <w:pStyle w:val="Heading2"/>
      </w:pPr>
      <w:bookmarkStart w:id="47" w:name="_Toc456603830"/>
      <w:bookmarkStart w:id="48" w:name="_Toc25580339"/>
      <w:r>
        <w:t>6.</w:t>
      </w:r>
      <w:r w:rsidR="00CA3872">
        <w:t>3</w:t>
      </w:r>
      <w:r w:rsidR="00026A16">
        <w:t>.</w:t>
      </w:r>
      <w:r w:rsidR="00D75128">
        <w:t> </w:t>
      </w:r>
      <w:r w:rsidR="00AB2FDA" w:rsidRPr="00A46CC4">
        <w:t>Ilgtspējīga enerģētika</w:t>
      </w:r>
      <w:bookmarkEnd w:id="47"/>
      <w:bookmarkEnd w:id="48"/>
    </w:p>
    <w:p w14:paraId="6881248A" w14:textId="77777777" w:rsidR="00D9200C" w:rsidRPr="00E927DA" w:rsidRDefault="00D9200C" w:rsidP="00D9200C">
      <w:pPr>
        <w:spacing w:before="120" w:after="120"/>
        <w:rPr>
          <w:szCs w:val="24"/>
        </w:rPr>
      </w:pPr>
      <w:r w:rsidRPr="00D9200C">
        <w:rPr>
          <w:szCs w:val="24"/>
        </w:rPr>
        <w:t>Pēc sākotnējām indikatīvām prognozēm</w:t>
      </w:r>
      <w:r w:rsidRPr="00D9200C">
        <w:rPr>
          <w:szCs w:val="24"/>
          <w:vertAlign w:val="superscript"/>
        </w:rPr>
        <w:footnoteReference w:id="61"/>
      </w:r>
      <w:r w:rsidRPr="00D9200C">
        <w:rPr>
          <w:szCs w:val="24"/>
        </w:rPr>
        <w:t xml:space="preserve"> primārās enerģijas kopējais patēriņš Latvijā 2050. gadā būs ~118 PJ.</w:t>
      </w:r>
    </w:p>
    <w:p w14:paraId="29CF6246" w14:textId="3CFBBC05" w:rsidR="00B1776D" w:rsidRPr="00A46CC4" w:rsidRDefault="00F6442D" w:rsidP="00E008BC">
      <w:pPr>
        <w:spacing w:before="120" w:after="120"/>
      </w:pPr>
      <w:r w:rsidRPr="00A46CC4">
        <w:t>AER integrācija un energoefektivitāte ir galvenās jomas izvirzīto mērķu sasniegšanai un netraucētai iekšējā tirgus darbībai.</w:t>
      </w:r>
      <w:r>
        <w:t xml:space="preserve"> </w:t>
      </w:r>
      <w:r w:rsidRPr="00A46CC4">
        <w:t xml:space="preserve">Atbilstošas infrastruktūras izveide nodrošina konkurētspēju, ilgtspēju un energoapgādes drošību. </w:t>
      </w:r>
      <w:r>
        <w:t>F</w:t>
      </w:r>
      <w:r w:rsidR="00B1776D" w:rsidRPr="00A46CC4">
        <w:t>osil</w:t>
      </w:r>
      <w:r>
        <w:t>ie energoresursi</w:t>
      </w:r>
      <w:r w:rsidR="00B1776D" w:rsidRPr="00A46CC4">
        <w:t xml:space="preserve"> </w:t>
      </w:r>
      <w:r>
        <w:t>ir aizstāti ar atjaunojamiem energoresursiem</w:t>
      </w:r>
      <w:r w:rsidR="00B1776D" w:rsidRPr="00A46CC4">
        <w:t>. Lai mazinātu emisijas no enerģētikas sektora</w:t>
      </w:r>
      <w:r w:rsidR="00912D3E" w:rsidRPr="00A46CC4">
        <w:t>,</w:t>
      </w:r>
      <w:r w:rsidR="00B1776D" w:rsidRPr="00A46CC4">
        <w:t xml:space="preserve"> ir ieviesta politika, kas veicina ilgtspējīgu un oglekļa mazietilpīgu tehnoloģiju, t</w:t>
      </w:r>
      <w:r w:rsidR="00912D3E" w:rsidRPr="00A46CC4">
        <w:t>.</w:t>
      </w:r>
      <w:r w:rsidR="00B1776D" w:rsidRPr="00A46CC4">
        <w:t xml:space="preserve"> sk</w:t>
      </w:r>
      <w:r w:rsidR="00912D3E" w:rsidRPr="00A46CC4">
        <w:t>.</w:t>
      </w:r>
      <w:r w:rsidR="00B1776D" w:rsidRPr="00A46CC4">
        <w:t xml:space="preserve"> AER, izmantošanu un ievieš visefektīvākās tirgū pieejamās tehnoloģijas. O</w:t>
      </w:r>
      <w:r w:rsidR="00912D3E" w:rsidRPr="00A46CC4">
        <w:t>MA</w:t>
      </w:r>
      <w:r w:rsidR="00B1776D" w:rsidRPr="00A46CC4">
        <w:t xml:space="preserve"> ir aktuāla ne tikai klimata pārmaiņu mazināšanā un vides saglabāšanā, bet arī enerģijas avotu dažādošanā un enerģijas drošības veicināšanā. Oglekļa mazietilpīgas tehnoloģijas mazina naftas un gāzes produktu cenu svārstību negatīvo ietekmi uz ekonomiku un ļauj attīstīt “zaļo” nodarbinātību.</w:t>
      </w:r>
    </w:p>
    <w:p w14:paraId="13F9DE51" w14:textId="77777777" w:rsidR="00B1776D" w:rsidRPr="005F2265" w:rsidRDefault="003F612F" w:rsidP="0031388F">
      <w:pPr>
        <w:pStyle w:val="ListParagraph"/>
        <w:numPr>
          <w:ilvl w:val="0"/>
          <w:numId w:val="2"/>
        </w:numPr>
        <w:spacing w:before="240" w:after="120"/>
        <w:ind w:left="714" w:hanging="357"/>
        <w:rPr>
          <w:b/>
        </w:rPr>
      </w:pPr>
      <w:r w:rsidRPr="005F2265">
        <w:rPr>
          <w:b/>
        </w:rPr>
        <w:t>Atjaunojamo energoresursu izmantošana enerģētikā</w:t>
      </w:r>
    </w:p>
    <w:p w14:paraId="73D27674" w14:textId="77777777" w:rsidR="00B1776D" w:rsidRPr="00A46CC4" w:rsidRDefault="00B1776D" w:rsidP="00E008BC">
      <w:pPr>
        <w:spacing w:before="120" w:after="120"/>
      </w:pPr>
      <w:r w:rsidRPr="00A46CC4">
        <w:t>Fosilo energoresursu īpatsvars ir samazinājies</w:t>
      </w:r>
      <w:r w:rsidR="003F612F">
        <w:t xml:space="preserve"> </w:t>
      </w:r>
      <w:r w:rsidR="003F612F" w:rsidRPr="00E4114E">
        <w:t>līdz minimumam</w:t>
      </w:r>
      <w:r w:rsidR="0015572F" w:rsidRPr="00E4114E">
        <w:t xml:space="preserve"> (cik vien tehnoloģiski iespējams)</w:t>
      </w:r>
      <w:r w:rsidRPr="00E4114E">
        <w:t xml:space="preserve"> un arvien strau</w:t>
      </w:r>
      <w:r w:rsidR="003F612F" w:rsidRPr="00E4114E">
        <w:t xml:space="preserve">jāk attīstījusies atjaunojamo </w:t>
      </w:r>
      <w:r w:rsidRPr="00E4114E">
        <w:t>un</w:t>
      </w:r>
      <w:r w:rsidRPr="00A46CC4">
        <w:t xml:space="preserve"> inovatīvo energoresursu tehnoloģiju izmantošana. </w:t>
      </w:r>
    </w:p>
    <w:p w14:paraId="6C1746B6" w14:textId="52A736BA" w:rsidR="00B1776D" w:rsidRPr="00A46CC4" w:rsidRDefault="00952B91" w:rsidP="00E008BC">
      <w:pPr>
        <w:spacing w:before="120" w:after="120"/>
      </w:pPr>
      <w:r>
        <w:lastRenderedPageBreak/>
        <w:t xml:space="preserve">AER izmantošana enerģētikā ir veicināta ar atbalstu saules un vēja enerģijas iegūšanai. </w:t>
      </w:r>
      <w:r w:rsidR="003F612F">
        <w:t>Nozīmīgākie</w:t>
      </w:r>
      <w:r w:rsidR="00B1776D" w:rsidRPr="00A46CC4">
        <w:t xml:space="preserve"> AER</w:t>
      </w:r>
      <w:r w:rsidR="00C67285" w:rsidRPr="00A46CC4">
        <w:t xml:space="preserve"> </w:t>
      </w:r>
      <w:r w:rsidR="003F612F">
        <w:t xml:space="preserve">veidi Latvijā </w:t>
      </w:r>
      <w:r w:rsidR="00B1776D" w:rsidRPr="00A46CC4">
        <w:t xml:space="preserve">ir </w:t>
      </w:r>
      <w:r w:rsidR="00673A9F">
        <w:t>saules enerģija</w:t>
      </w:r>
      <w:r w:rsidR="00D75128">
        <w:t>,</w:t>
      </w:r>
      <w:r w:rsidR="003F612F" w:rsidRPr="00A46CC4">
        <w:t xml:space="preserve"> </w:t>
      </w:r>
      <w:r w:rsidR="003F612F">
        <w:t>hidroenerģija</w:t>
      </w:r>
      <w:r w:rsidR="00673A9F">
        <w:t>, vēja enerģija</w:t>
      </w:r>
      <w:r w:rsidR="00D75128">
        <w:t xml:space="preserve"> un </w:t>
      </w:r>
      <w:r w:rsidR="00673A9F">
        <w:t>biomasa</w:t>
      </w:r>
      <w:r w:rsidR="000E6C5F" w:rsidRPr="00A46CC4">
        <w:t xml:space="preserve">, taču ievērojamu apjomu enerģijas iegūst arī no </w:t>
      </w:r>
      <w:r w:rsidR="00D75128">
        <w:t>ģeotermālās/hidrotermālās enerģijas</w:t>
      </w:r>
      <w:r w:rsidR="00B1776D" w:rsidRPr="00A46CC4">
        <w:t>.</w:t>
      </w:r>
      <w:r w:rsidR="00DC541B" w:rsidRPr="00A46CC4">
        <w:t xml:space="preserve"> </w:t>
      </w:r>
      <w:r w:rsidR="00B1776D" w:rsidRPr="00A46CC4">
        <w:t>Palielinoties investīcijām inovatīvajos energoresursos, kas samazina SEG emisijas un slodzi uz vidi kopumā, ir paredzams, ka enerģētikā AER izmantošana palielināsies un līdz 2050.</w:t>
      </w:r>
      <w:r w:rsidR="00D75128">
        <w:t> </w:t>
      </w:r>
      <w:r w:rsidR="00B1776D" w:rsidRPr="00A46CC4">
        <w:t xml:space="preserve">gadam </w:t>
      </w:r>
      <w:r w:rsidR="0015572F">
        <w:t>tie</w:t>
      </w:r>
      <w:r w:rsidR="00B1776D" w:rsidRPr="00A46CC4">
        <w:t xml:space="preserve"> aizvietos fosilos energoresursus.</w:t>
      </w:r>
    </w:p>
    <w:p w14:paraId="540096A6" w14:textId="77777777" w:rsidR="00B1776D" w:rsidRPr="00A46CC4" w:rsidRDefault="00B1776D" w:rsidP="00E008BC">
      <w:pPr>
        <w:spacing w:before="120" w:after="120"/>
      </w:pPr>
      <w:r w:rsidRPr="00A46CC4">
        <w:rPr>
          <w:shd w:val="clear" w:color="auto" w:fill="FFFFFF"/>
        </w:rPr>
        <w:t>Ir nodrošināta pietiekami plaša bioloģisko šķidro kurināmo izmantošana enerģijas ražošanā un bioeļļu izmantošana iekārtās lauksaimniecības un mežsaimniecības sektoros.</w:t>
      </w:r>
      <w:r w:rsidR="00A17896">
        <w:rPr>
          <w:shd w:val="clear" w:color="auto" w:fill="FFFFFF"/>
        </w:rPr>
        <w:t xml:space="preserve"> Šo energoresursu ražošanai tiek izmantotas tādas izejvielas kā cirsmu atliekas, koksnes atlikumi un salmi, bet ne speciāli audzētas enerģētiskās kultūras, netiek ražota pirmās paaudzes biodegviela.</w:t>
      </w:r>
    </w:p>
    <w:p w14:paraId="35A032C0" w14:textId="26B6069F" w:rsidR="00B1776D" w:rsidRPr="00A46CC4" w:rsidRDefault="00AC1AD2" w:rsidP="00E008BC">
      <w:pPr>
        <w:spacing w:before="120" w:after="120"/>
      </w:pPr>
      <w:r w:rsidRPr="00A46CC4">
        <w:t xml:space="preserve">Būtiska loma ir </w:t>
      </w:r>
      <w:r w:rsidR="00B1776D" w:rsidRPr="00A46CC4">
        <w:t>vairāku AER tehnoloģiju vienlaicīgas izmantošanas risinājumi</w:t>
      </w:r>
      <w:r w:rsidRPr="00A46CC4">
        <w:t>em</w:t>
      </w:r>
      <w:r w:rsidR="00B1776D" w:rsidRPr="00A46CC4">
        <w:t xml:space="preserve">, kur, piemēram, no AER saražotā elektroenerģija tiek izmantota AER tehnoloģiju siltumenerģijas </w:t>
      </w:r>
      <w:r w:rsidR="003B1E91" w:rsidRPr="00A46CC4">
        <w:t>ražošana</w:t>
      </w:r>
      <w:r w:rsidR="003B1E91">
        <w:t>s</w:t>
      </w:r>
      <w:r w:rsidR="003B1E91" w:rsidRPr="00A46CC4">
        <w:t xml:space="preserve"> </w:t>
      </w:r>
      <w:r w:rsidRPr="00A46CC4">
        <w:t>nodrošināšanai</w:t>
      </w:r>
      <w:r w:rsidR="00B1776D" w:rsidRPr="00A46CC4">
        <w:t>.</w:t>
      </w:r>
    </w:p>
    <w:p w14:paraId="5DC7BE6C" w14:textId="61DF5BB1" w:rsidR="00DA2D2F" w:rsidRDefault="00B1776D" w:rsidP="00DA2D2F">
      <w:pPr>
        <w:spacing w:before="120" w:after="120"/>
      </w:pPr>
      <w:r w:rsidRPr="00A46CC4">
        <w:t>Arvien būtiskāk</w:t>
      </w:r>
      <w:r w:rsidR="007D2A69">
        <w:t>u lomu ieņem ūdeņradis</w:t>
      </w:r>
      <w:r w:rsidR="00D75128">
        <w:t xml:space="preserve"> </w:t>
      </w:r>
      <w:r w:rsidR="007D2A69">
        <w:t>kā energonesējs,</w:t>
      </w:r>
      <w:r w:rsidR="00C3429C">
        <w:t xml:space="preserve"> kas ražots izmantojot elektroenerģiju, kas iegūta no </w:t>
      </w:r>
      <w:r w:rsidR="0051265E">
        <w:t xml:space="preserve">dažādiem </w:t>
      </w:r>
      <w:r w:rsidR="00C3429C">
        <w:t>AER</w:t>
      </w:r>
      <w:r w:rsidR="0051265E">
        <w:t xml:space="preserve"> veidiem, dažādiem</w:t>
      </w:r>
      <w:r w:rsidR="0051265E" w:rsidRPr="0051265E">
        <w:t xml:space="preserve"> </w:t>
      </w:r>
      <w:r w:rsidR="0051265E">
        <w:t xml:space="preserve">ūdeņraža </w:t>
      </w:r>
      <w:r w:rsidR="0051265E" w:rsidRPr="00A46CC4">
        <w:t>uzglabāšana</w:t>
      </w:r>
      <w:r w:rsidR="0051265E">
        <w:t>s risinājumiem.</w:t>
      </w:r>
    </w:p>
    <w:p w14:paraId="58E498EE" w14:textId="77777777" w:rsidR="003D17AC" w:rsidRDefault="00B1776D" w:rsidP="003D17AC">
      <w:pPr>
        <w:spacing w:before="120" w:after="120"/>
      </w:pPr>
      <w:r w:rsidRPr="00A46CC4">
        <w:t xml:space="preserve">Centralizētajā un lokālajā siltumapgādes sistēmā ir ieviestas jaunas siltumapgādes sistēmu </w:t>
      </w:r>
      <w:r w:rsidR="007A7113" w:rsidRPr="00A46CC4">
        <w:t>tehnoloģijas un metodes</w:t>
      </w:r>
      <w:r w:rsidRPr="00A46CC4">
        <w:t>, kas nodrošina inovatīvu tehnoloģiju un risinājumu izmantošanu efektīvai siltumapgādes sistēmas darbībai.</w:t>
      </w:r>
      <w:r w:rsidR="007F4BAD">
        <w:t xml:space="preserve"> </w:t>
      </w:r>
      <w:r w:rsidR="00DA2D2F">
        <w:t>Privātmājas</w:t>
      </w:r>
      <w:r w:rsidR="00F7687F">
        <w:t xml:space="preserve"> ir galvenokārt enerģētiski pašpietiekamas, jo tiek izmantoti decentralizēti </w:t>
      </w:r>
      <w:r w:rsidR="005A7E24">
        <w:t xml:space="preserve">nulles emisiju siltumapgādes un elektroapgādes </w:t>
      </w:r>
      <w:r w:rsidR="00DA2D2F">
        <w:t>risinājumi</w:t>
      </w:r>
      <w:r w:rsidR="00F7687F">
        <w:t>.</w:t>
      </w:r>
      <w:r w:rsidR="00000650" w:rsidRPr="00000650">
        <w:t xml:space="preserve"> </w:t>
      </w:r>
    </w:p>
    <w:p w14:paraId="2333ADBA" w14:textId="54CBB9C0" w:rsidR="00B1776D" w:rsidRPr="00DA2D2F" w:rsidRDefault="004E1FB6" w:rsidP="003D17AC">
      <w:pPr>
        <w:pStyle w:val="ListParagraph"/>
        <w:numPr>
          <w:ilvl w:val="0"/>
          <w:numId w:val="2"/>
        </w:numPr>
        <w:spacing w:before="240" w:after="120"/>
        <w:ind w:left="714" w:hanging="357"/>
        <w:rPr>
          <w:b/>
        </w:rPr>
      </w:pPr>
      <w:r w:rsidRPr="00DA2D2F">
        <w:rPr>
          <w:b/>
        </w:rPr>
        <w:t>P</w:t>
      </w:r>
      <w:r w:rsidR="00B1776D" w:rsidRPr="00DA2D2F">
        <w:rPr>
          <w:b/>
        </w:rPr>
        <w:t xml:space="preserve">ilnībā savienots </w:t>
      </w:r>
      <w:r w:rsidRPr="00DA2D2F">
        <w:rPr>
          <w:b/>
        </w:rPr>
        <w:t xml:space="preserve">un ikvienam brīvi pieejams </w:t>
      </w:r>
      <w:r w:rsidR="00B1776D" w:rsidRPr="00DA2D2F">
        <w:rPr>
          <w:b/>
        </w:rPr>
        <w:t>energotirgus</w:t>
      </w:r>
    </w:p>
    <w:p w14:paraId="109C7557" w14:textId="77777777" w:rsidR="00B1776D" w:rsidRPr="00A46CC4" w:rsidRDefault="00B1776D" w:rsidP="00E008BC">
      <w:pPr>
        <w:spacing w:before="120" w:after="120"/>
      </w:pPr>
      <w:r w:rsidRPr="00A46CC4">
        <w:t>ES</w:t>
      </w:r>
      <w:r w:rsidR="006023A3">
        <w:t>,</w:t>
      </w:r>
      <w:r w:rsidRPr="00A46CC4">
        <w:t xml:space="preserve"> virzoties uz Enerģijas Savienību (</w:t>
      </w:r>
      <w:r w:rsidRPr="00A46CC4">
        <w:rPr>
          <w:i/>
        </w:rPr>
        <w:t>Energy Union</w:t>
      </w:r>
      <w:r w:rsidR="00E550A4">
        <w:t>), ir pievērsusi</w:t>
      </w:r>
      <w:r w:rsidRPr="00A46CC4">
        <w:t xml:space="preserve"> lielāku </w:t>
      </w:r>
      <w:r w:rsidR="00E550A4">
        <w:t>uzmanību</w:t>
      </w:r>
      <w:r w:rsidRPr="00A46CC4">
        <w:t xml:space="preserve"> valst</w:t>
      </w:r>
      <w:r w:rsidR="00E550A4">
        <w:t>u</w:t>
      </w:r>
      <w:r w:rsidRPr="00A46CC4">
        <w:t xml:space="preserve"> integrēšanai kopējā enerģijas tīklā, kas ļauj optimizēt enerģijas ražošanu, piegādi un izmantošanu, kā arī palielina enerģijas piegādes drošību un stabilitāti.</w:t>
      </w:r>
    </w:p>
    <w:p w14:paraId="5D4E49FE" w14:textId="77777777" w:rsidR="00B1776D" w:rsidRPr="00A46CC4" w:rsidRDefault="00B1776D" w:rsidP="00E008BC">
      <w:pPr>
        <w:spacing w:before="120" w:after="120"/>
      </w:pPr>
      <w:r w:rsidRPr="00A46CC4">
        <w:t xml:space="preserve">Nodrošināta droša, elastīga, efektīva un integrēta pieeja enerģijas tīkliem, </w:t>
      </w:r>
      <w:r w:rsidR="00611D6A">
        <w:t>sniedzot</w:t>
      </w:r>
      <w:r w:rsidRPr="00A46CC4">
        <w:t xml:space="preserve"> </w:t>
      </w:r>
      <w:r w:rsidR="0065112F" w:rsidRPr="00A46CC4">
        <w:t xml:space="preserve">lietotājiem </w:t>
      </w:r>
      <w:r w:rsidRPr="00A46CC4">
        <w:t>brīvu piekļuvi no AER saražotai enerģijai.</w:t>
      </w:r>
    </w:p>
    <w:p w14:paraId="1F7988BE" w14:textId="77777777" w:rsidR="00B1776D" w:rsidRPr="00A46CC4" w:rsidRDefault="00B1776D" w:rsidP="00E008BC">
      <w:pPr>
        <w:spacing w:before="120" w:after="120"/>
      </w:pPr>
      <w:r w:rsidRPr="00A46CC4">
        <w:t xml:space="preserve">Biomasa un </w:t>
      </w:r>
      <w:r w:rsidR="00AD7375" w:rsidRPr="00A46CC4">
        <w:t xml:space="preserve">pārējie AER t.sk. </w:t>
      </w:r>
      <w:r w:rsidRPr="00A46CC4">
        <w:t>ģeotermālā enerģija nodrošina stabilitāti enerģijas tirgū un energodrošību, ņemot vērā, ka</w:t>
      </w:r>
      <w:r w:rsidR="00EB0C11">
        <w:t xml:space="preserve"> bū</w:t>
      </w:r>
      <w:r w:rsidR="004E1FB6" w:rsidRPr="00A46CC4">
        <w:t>s</w:t>
      </w:r>
      <w:r w:rsidRPr="00A46CC4">
        <w:t xml:space="preserve"> būtiski palielinājies saražotās enerģijas apjoms no nepastāvīgajiem AER un</w:t>
      </w:r>
      <w:r w:rsidR="00366B19" w:rsidRPr="00A46CC4">
        <w:t xml:space="preserve"> ir potenciāla</w:t>
      </w:r>
      <w:r w:rsidRPr="00A46CC4">
        <w:t xml:space="preserve"> nepieciešamība pēc rezerves jaudas.</w:t>
      </w:r>
    </w:p>
    <w:p w14:paraId="147F90FB" w14:textId="77777777" w:rsidR="00B1776D" w:rsidRPr="00A46CC4" w:rsidRDefault="00B1776D" w:rsidP="00E008BC">
      <w:pPr>
        <w:spacing w:before="120" w:after="120"/>
      </w:pPr>
      <w:r w:rsidRPr="00A46CC4">
        <w:t xml:space="preserve">Elektroenerģijas patēriņš ir palielinājies, kas galvenokārt </w:t>
      </w:r>
      <w:r w:rsidR="00366B19" w:rsidRPr="00A46CC4">
        <w:t xml:space="preserve">saistīts </w:t>
      </w:r>
      <w:r w:rsidRPr="00A46CC4">
        <w:t>ar transporta sistēmas elektrifikāciju, elektroenerģijas izmantošanu siltumapgādē un iedzīvotāju dzīves komforta paaugstināšanos</w:t>
      </w:r>
      <w:r w:rsidR="00366B19" w:rsidRPr="00A46CC4">
        <w:t>, t.i., palielināts elektroierīču skaits</w:t>
      </w:r>
      <w:r w:rsidRPr="00A46CC4">
        <w:t xml:space="preserve">. Ņemot vērā uzstādītās lielas jaudas nepastāvīgo AER (saules un vēja enerģija) tehnoloģijas, ir </w:t>
      </w:r>
      <w:r w:rsidR="00FF0D03" w:rsidRPr="00A46CC4">
        <w:t xml:space="preserve">komerciāli attīstītas </w:t>
      </w:r>
      <w:r w:rsidR="00FF0D03">
        <w:t xml:space="preserve">un </w:t>
      </w:r>
      <w:r w:rsidRPr="00A46CC4">
        <w:t>ieviestas elektroenerģijas uzkrāšanas tehnoloģijas.</w:t>
      </w:r>
    </w:p>
    <w:p w14:paraId="7CE9AA3F" w14:textId="77777777" w:rsidR="00F32799" w:rsidRPr="00A46CC4" w:rsidRDefault="00FE79C2">
      <w:pPr>
        <w:pStyle w:val="Heading2"/>
      </w:pPr>
      <w:bookmarkStart w:id="49" w:name="_Toc25580340"/>
      <w:r>
        <w:t>6</w:t>
      </w:r>
      <w:r w:rsidR="003F4AB9">
        <w:t>.</w:t>
      </w:r>
      <w:r w:rsidR="00CA3872">
        <w:t>4</w:t>
      </w:r>
      <w:r w:rsidR="00BE2C2F" w:rsidRPr="00A46CC4">
        <w:t>.</w:t>
      </w:r>
      <w:r w:rsidR="0077196D">
        <w:t> </w:t>
      </w:r>
      <w:r w:rsidR="00CA7704" w:rsidRPr="00A46CC4">
        <w:t>R</w:t>
      </w:r>
      <w:r w:rsidR="00341705" w:rsidRPr="00A46CC4">
        <w:t>esurse</w:t>
      </w:r>
      <w:r w:rsidR="00235B00" w:rsidRPr="00A46CC4">
        <w:t>fektīv</w:t>
      </w:r>
      <w:r w:rsidR="003427D8" w:rsidRPr="00A46CC4">
        <w:t>s un videi draudzīg</w:t>
      </w:r>
      <w:r w:rsidR="00231813" w:rsidRPr="00A46CC4">
        <w:t>s transports</w:t>
      </w:r>
      <w:bookmarkEnd w:id="49"/>
    </w:p>
    <w:p w14:paraId="2B353484" w14:textId="77777777" w:rsidR="00CA5EE0" w:rsidRPr="00A46CC4" w:rsidRDefault="00CA5EE0" w:rsidP="00CA5EE0">
      <w:r w:rsidRPr="00A46CC4">
        <w:t>2050.</w:t>
      </w:r>
      <w:r w:rsidR="00300CC0">
        <w:t> </w:t>
      </w:r>
      <w:r w:rsidRPr="00A46CC4">
        <w:t>gadā transporta sektor</w:t>
      </w:r>
      <w:r w:rsidR="00C80C52">
        <w:t>s</w:t>
      </w:r>
      <w:r w:rsidRPr="00A46CC4">
        <w:t xml:space="preserve"> ir </w:t>
      </w:r>
      <w:r w:rsidR="00C80C52">
        <w:t>dekarbonizēts</w:t>
      </w:r>
      <w:r w:rsidRPr="00A46CC4">
        <w:t>, kas galvenokārt ir panākts, pateicoties dažādām iniciatīvām un inovācijām transporta infrastruktūrā un transportlīdzekļu tehnoloģijās, kā arī izmaiņām sabiedrības ikdienas paradumos.</w:t>
      </w:r>
    </w:p>
    <w:p w14:paraId="332C68B9" w14:textId="77777777" w:rsidR="00CA5EE0" w:rsidRPr="005F2265" w:rsidRDefault="00077108" w:rsidP="0031388F">
      <w:pPr>
        <w:pStyle w:val="ListParagraph"/>
        <w:numPr>
          <w:ilvl w:val="0"/>
          <w:numId w:val="2"/>
        </w:numPr>
        <w:spacing w:before="240" w:after="120"/>
        <w:ind w:left="714" w:hanging="357"/>
        <w:rPr>
          <w:b/>
        </w:rPr>
      </w:pPr>
      <w:r w:rsidRPr="005F2265">
        <w:rPr>
          <w:b/>
        </w:rPr>
        <w:t>Autotransport</w:t>
      </w:r>
      <w:r w:rsidR="00CA5EE0" w:rsidRPr="005F2265">
        <w:rPr>
          <w:b/>
        </w:rPr>
        <w:t xml:space="preserve">s </w:t>
      </w:r>
      <w:r w:rsidR="00C80C52" w:rsidRPr="005F2265">
        <w:rPr>
          <w:b/>
        </w:rPr>
        <w:t xml:space="preserve">ir </w:t>
      </w:r>
      <w:r w:rsidR="00976BC2">
        <w:rPr>
          <w:b/>
        </w:rPr>
        <w:t>galvenokārt</w:t>
      </w:r>
      <w:r w:rsidR="00976BC2" w:rsidRPr="005F2265">
        <w:rPr>
          <w:b/>
        </w:rPr>
        <w:t xml:space="preserve"> </w:t>
      </w:r>
      <w:r w:rsidR="00CA5EE0" w:rsidRPr="005F2265">
        <w:rPr>
          <w:b/>
        </w:rPr>
        <w:t>elektrificēts un uzlādes i</w:t>
      </w:r>
      <w:r w:rsidR="005F2265">
        <w:rPr>
          <w:b/>
        </w:rPr>
        <w:t>nfrastruktūra ir plaši pieejama</w:t>
      </w:r>
    </w:p>
    <w:p w14:paraId="49BA4099" w14:textId="77777777" w:rsidR="00077108" w:rsidRDefault="00C80C52" w:rsidP="00077108">
      <w:r>
        <w:t>Sabiedrībai ir pieejami ērti, ātri</w:t>
      </w:r>
      <w:r w:rsidR="00077108">
        <w:t xml:space="preserve">, </w:t>
      </w:r>
      <w:r w:rsidR="00E60909">
        <w:t>ekonomiski izdevīgi,</w:t>
      </w:r>
      <w:r>
        <w:t xml:space="preserve"> videi draudzīgi transportlīdzekļi, kā arī droši transporta savienojumi</w:t>
      </w:r>
      <w:r w:rsidR="00077108">
        <w:t xml:space="preserve"> starp valstīm un to iekšienē. </w:t>
      </w:r>
      <w:r w:rsidR="002852A6">
        <w:t xml:space="preserve">Ne-fosilo degvielu </w:t>
      </w:r>
      <w:r w:rsidR="002852A6">
        <w:lastRenderedPageBreak/>
        <w:t xml:space="preserve">izmantošanas veicināšana ir viens no galvenajiem pasākumiem transporta sektora negatīvās ietekmes uz vidi mazināšanai. </w:t>
      </w:r>
      <w:r>
        <w:t xml:space="preserve">Lai </w:t>
      </w:r>
      <w:r w:rsidR="00077108">
        <w:t xml:space="preserve">mazinātu </w:t>
      </w:r>
      <w:r>
        <w:t xml:space="preserve">transporta sektora ietekmi uz klimata pārmaiņām, kā arī mazinātu </w:t>
      </w:r>
      <w:r w:rsidR="00077108">
        <w:t xml:space="preserve">vides piesārņojumu un fosilo energoresursu patēriņu, </w:t>
      </w:r>
      <w:r w:rsidR="00E60909">
        <w:t xml:space="preserve">ir notikusi </w:t>
      </w:r>
      <w:r w:rsidR="00077108">
        <w:t xml:space="preserve">privātā autotransporta pāreja uz ar elektrisko piedziņu, </w:t>
      </w:r>
      <w:r w:rsidR="00976BC2">
        <w:t xml:space="preserve">sintētiskās degvielas, </w:t>
      </w:r>
      <w:r w:rsidR="00077108">
        <w:t xml:space="preserve">biodegvielu </w:t>
      </w:r>
      <w:r>
        <w:t>(ne pirmās paaudzes biodegvielu)</w:t>
      </w:r>
      <w:r w:rsidR="00976BC2">
        <w:t>, biometāna</w:t>
      </w:r>
      <w:r w:rsidR="00FD6935">
        <w:t>, ūdeņraža u.c.</w:t>
      </w:r>
      <w:r w:rsidR="00F51A18">
        <w:t xml:space="preserve"> </w:t>
      </w:r>
      <w:r w:rsidR="002852A6">
        <w:t>ne</w:t>
      </w:r>
      <w:r w:rsidR="00E50EA1">
        <w:t>-</w:t>
      </w:r>
      <w:r w:rsidR="002852A6">
        <w:t>fosilu degvielu lietošanu</w:t>
      </w:r>
      <w:r w:rsidR="00077108">
        <w:t xml:space="preserve">. </w:t>
      </w:r>
    </w:p>
    <w:p w14:paraId="094CFAB0" w14:textId="77777777" w:rsidR="00077108" w:rsidRDefault="00077108" w:rsidP="00E60909">
      <w:r>
        <w:t xml:space="preserve">Virzot valsti uz </w:t>
      </w:r>
      <w:r w:rsidR="00976BC2">
        <w:t>klimatneitralitāti</w:t>
      </w:r>
      <w:r>
        <w:t xml:space="preserve">, </w:t>
      </w:r>
      <w:r w:rsidR="00FD6935">
        <w:t>ir</w:t>
      </w:r>
      <w:r>
        <w:t xml:space="preserve"> līdzsvarotas vides, sociālās un ekonomiskās intereses.</w:t>
      </w:r>
    </w:p>
    <w:p w14:paraId="6939E1E4" w14:textId="77777777" w:rsidR="00CA5EE0" w:rsidRPr="00A46CC4" w:rsidRDefault="00CA5EE0" w:rsidP="00CA5EE0">
      <w:r w:rsidRPr="00A46CC4">
        <w:t xml:space="preserve">Elektrotransportlīdzekļi ir kļuvuši par dominējošo pārvietošanās veidu, jo, </w:t>
      </w:r>
      <w:r w:rsidR="00AD290A">
        <w:t xml:space="preserve">ekspluatācijā </w:t>
      </w:r>
      <w:r w:rsidR="009E4682" w:rsidRPr="00A46CC4">
        <w:t>nerada SEG emisijas</w:t>
      </w:r>
      <w:r w:rsidR="009E4682">
        <w:t xml:space="preserve"> un</w:t>
      </w:r>
      <w:r w:rsidR="009E4682" w:rsidRPr="00A46CC4">
        <w:t xml:space="preserve"> </w:t>
      </w:r>
      <w:r w:rsidRPr="00A46CC4">
        <w:t xml:space="preserve">pateicoties tehnoloģiju attīstībai, </w:t>
      </w:r>
      <w:r w:rsidR="009E4682">
        <w:t xml:space="preserve">ļauj </w:t>
      </w:r>
      <w:r w:rsidR="00C80C52">
        <w:t xml:space="preserve">bez uzlādes </w:t>
      </w:r>
      <w:r w:rsidR="009E4682">
        <w:t>nobraukt lielākas distances</w:t>
      </w:r>
      <w:r w:rsidRPr="00A46CC4">
        <w:t xml:space="preserve">. </w:t>
      </w:r>
    </w:p>
    <w:p w14:paraId="6C9BCB41" w14:textId="77777777" w:rsidR="00CA5EE0" w:rsidRPr="00A46CC4" w:rsidRDefault="00CA5EE0" w:rsidP="00CA5EE0">
      <w:r w:rsidRPr="00A46CC4">
        <w:t>Elektrotransportlīdzekļu uzlādes infrastruktūra ir pieejama uz TEN-T</w:t>
      </w:r>
      <w:r w:rsidRPr="00A46CC4">
        <w:rPr>
          <w:vertAlign w:val="superscript"/>
        </w:rPr>
        <w:footnoteReference w:id="62"/>
      </w:r>
      <w:r w:rsidRPr="00A46CC4">
        <w:t xml:space="preserve"> ceļiem un pilsētās, ļaujot ērti un ātri uzlādēt elektrotransportlīdzekļus. </w:t>
      </w:r>
      <w:r w:rsidR="00FD6935">
        <w:t>Ir plaši pieejamas</w:t>
      </w:r>
      <w:r w:rsidRPr="00A46CC4">
        <w:t xml:space="preserve"> ātrās</w:t>
      </w:r>
      <w:r w:rsidR="00300CC0">
        <w:t xml:space="preserve"> </w:t>
      </w:r>
      <w:r w:rsidRPr="00A46CC4">
        <w:t>uzlādes</w:t>
      </w:r>
      <w:r w:rsidR="00FD6935">
        <w:t xml:space="preserve"> stacijas</w:t>
      </w:r>
      <w:r w:rsidRPr="00A46CC4">
        <w:t xml:space="preserve">, tādējādi neradot neērtības </w:t>
      </w:r>
      <w:r w:rsidR="00FD6935">
        <w:t xml:space="preserve">saistībā ar uzlādes ilgumu </w:t>
      </w:r>
      <w:r w:rsidRPr="00A46CC4">
        <w:t>auto</w:t>
      </w:r>
      <w:r w:rsidR="00FD6935">
        <w:t>mašīnu</w:t>
      </w:r>
      <w:r w:rsidRPr="00A46CC4">
        <w:t xml:space="preserve"> lietotājiem. Elektrotransportlīdzekļu uzlādei tiek izmantota elektroenerģija, kas iegūta no AER.</w:t>
      </w:r>
    </w:p>
    <w:p w14:paraId="2FD17E3E" w14:textId="2269FAB0" w:rsidR="00197CE1" w:rsidRPr="00A46CC4" w:rsidRDefault="00197CE1" w:rsidP="00197CE1">
      <w:r w:rsidRPr="00A46CC4">
        <w:t xml:space="preserve">Elektrotransportlīdzekļu izplatība ir veicinājusi arī apkalpojošās infrastruktūras attīstību, nodrošinot pieejamu un attīstītu servisu, izdevīgus finanšu risinājumus elektrotransportlīdzekļu iegādei un sasaisti ar </w:t>
      </w:r>
      <w:r w:rsidR="00AE5D83">
        <w:t>intelektiskajā</w:t>
      </w:r>
      <w:r w:rsidRPr="00A46CC4">
        <w:t>m transporta sistēmām</w:t>
      </w:r>
      <w:r w:rsidR="00BC0E7F">
        <w:rPr>
          <w:rStyle w:val="FootnoteReference"/>
        </w:rPr>
        <w:footnoteReference w:id="63"/>
      </w:r>
      <w:r w:rsidRPr="00A46CC4">
        <w:t>.</w:t>
      </w:r>
      <w:r w:rsidR="007E136D" w:rsidRPr="00A46CC4">
        <w:t xml:space="preserve"> Nodokļu sistēma pilnībā atbilst „piesārņotājs maksā” principam, kas reducējusi līdz minimumam ar fosilo degvielu darbināmu transportlīdzekļu izmantošanu.</w:t>
      </w:r>
    </w:p>
    <w:p w14:paraId="12E4CD4B" w14:textId="77777777" w:rsidR="007E136D" w:rsidRPr="00A46CC4" w:rsidRDefault="00663EB4" w:rsidP="00197CE1">
      <w:r w:rsidRPr="00A46CC4">
        <w:t xml:space="preserve">Valsts pārvaldes un pašvaldības institūcijas </w:t>
      </w:r>
      <w:r w:rsidR="007E136D" w:rsidRPr="00A46CC4">
        <w:t>ir atjaunoju</w:t>
      </w:r>
      <w:r w:rsidR="00496CEE">
        <w:t>šas</w:t>
      </w:r>
      <w:r w:rsidRPr="00A46CC4">
        <w:t xml:space="preserve"> savu autoparku ar videi draudzīgiem transportlīdzekļiem, tādā veidā </w:t>
      </w:r>
      <w:r w:rsidR="007E136D" w:rsidRPr="00A46CC4">
        <w:t>rādot priekšzīmi sabiedrībai.</w:t>
      </w:r>
    </w:p>
    <w:p w14:paraId="6EA475A2" w14:textId="77777777" w:rsidR="00CA5EE0" w:rsidRPr="00A46CC4" w:rsidRDefault="00CA5EE0" w:rsidP="0031388F">
      <w:pPr>
        <w:pStyle w:val="ListParagraph"/>
        <w:numPr>
          <w:ilvl w:val="0"/>
          <w:numId w:val="2"/>
        </w:numPr>
        <w:spacing w:before="240" w:after="120"/>
        <w:ind w:left="714" w:hanging="357"/>
        <w:rPr>
          <w:b/>
          <w:iCs/>
          <w:szCs w:val="24"/>
        </w:rPr>
      </w:pPr>
      <w:r w:rsidRPr="00A46CC4">
        <w:rPr>
          <w:b/>
          <w:iCs/>
          <w:szCs w:val="24"/>
        </w:rPr>
        <w:t xml:space="preserve">Gaisa transports </w:t>
      </w:r>
      <w:r w:rsidRPr="005F2265">
        <w:rPr>
          <w:b/>
        </w:rPr>
        <w:t>efektīvi</w:t>
      </w:r>
      <w:r w:rsidRPr="00A46CC4">
        <w:rPr>
          <w:b/>
          <w:iCs/>
          <w:szCs w:val="24"/>
        </w:rPr>
        <w:t xml:space="preserve"> izmanto </w:t>
      </w:r>
      <w:r w:rsidR="00DD53E8">
        <w:rPr>
          <w:b/>
          <w:iCs/>
          <w:szCs w:val="24"/>
        </w:rPr>
        <w:t>modernās</w:t>
      </w:r>
      <w:r w:rsidRPr="00A46CC4">
        <w:rPr>
          <w:b/>
          <w:iCs/>
          <w:szCs w:val="24"/>
        </w:rPr>
        <w:t xml:space="preserve"> biodegvielas un energoefektīvi risinājumi ir in</w:t>
      </w:r>
      <w:r w:rsidR="005F2265">
        <w:rPr>
          <w:b/>
          <w:iCs/>
          <w:szCs w:val="24"/>
        </w:rPr>
        <w:t>tegrēti gaisa kuģos un lidostās</w:t>
      </w:r>
    </w:p>
    <w:p w14:paraId="3641BB51" w14:textId="77777777" w:rsidR="00CA5EE0" w:rsidRDefault="00CA5EE0" w:rsidP="00CA5EE0">
      <w:r w:rsidRPr="00A46CC4">
        <w:t xml:space="preserve">Augstas veiktspējas degvielas un biodegvielas ir samazinājušas SEG emisijas no gaisa transporta. Pateicoties tehnoloģiskām inovācijām un efektivitātes uzlabojumiem, aviācijas sektors ir kļuvis efektīvāks un </w:t>
      </w:r>
      <w:r w:rsidR="00732168">
        <w:t>izmanto</w:t>
      </w:r>
      <w:r w:rsidR="002855BA">
        <w:t xml:space="preserve"> AER degvielas (biopetroleju</w:t>
      </w:r>
      <w:r w:rsidR="006D72C7">
        <w:t xml:space="preserve"> </w:t>
      </w:r>
      <w:r w:rsidR="002855BA">
        <w:t>un e-degvielu)</w:t>
      </w:r>
      <w:r w:rsidRPr="00A46CC4">
        <w:t xml:space="preserve">. Gaisa transports efektīvi izmanto </w:t>
      </w:r>
      <w:r w:rsidR="00FA6777">
        <w:t xml:space="preserve">ne pirmās paaudzes </w:t>
      </w:r>
      <w:r w:rsidRPr="00E379E7">
        <w:t xml:space="preserve">biodegvielas </w:t>
      </w:r>
      <w:r w:rsidRPr="002855BA">
        <w:t xml:space="preserve">un </w:t>
      </w:r>
      <w:r w:rsidRPr="00E379E7">
        <w:t>alternatīvās</w:t>
      </w:r>
      <w:r w:rsidRPr="002855BA">
        <w:t xml:space="preserve"> </w:t>
      </w:r>
      <w:r w:rsidRPr="00A46CC4">
        <w:t>degvielas</w:t>
      </w:r>
      <w:r w:rsidR="00BD3BCF">
        <w:t>,</w:t>
      </w:r>
      <w:r w:rsidR="00BD3BCF" w:rsidRPr="00433D0A">
        <w:t xml:space="preserve"> </w:t>
      </w:r>
      <w:r w:rsidR="00BD3BCF">
        <w:t xml:space="preserve">tajā skaitā </w:t>
      </w:r>
      <w:r w:rsidR="00BD3BCF" w:rsidRPr="00433D0A">
        <w:t>elektromobilitātes iespēj</w:t>
      </w:r>
      <w:r w:rsidR="00BD3BCF">
        <w:t>as</w:t>
      </w:r>
      <w:r w:rsidR="00BD3BCF" w:rsidRPr="00433D0A">
        <w:t>, it īpaši mazajā aviācijā un iekšzemes aviopārvadājumos</w:t>
      </w:r>
      <w:r w:rsidR="00BD3BCF" w:rsidRPr="00A46CC4">
        <w:t xml:space="preserve">. </w:t>
      </w:r>
      <w:r w:rsidRPr="00A46CC4">
        <w:t xml:space="preserve">Efektivitātes uzlabojumi ir ieviesti gan gaisa kuģos, gan arī lidostās, ļaujot samazināt </w:t>
      </w:r>
      <w:r w:rsidR="00502EE4">
        <w:t xml:space="preserve">gaisa kuģu </w:t>
      </w:r>
      <w:r w:rsidRPr="00A46CC4">
        <w:t>un lidostas apkalpojošās tehnikas radītās SEG emisijas. Efektivitātes un tehnoloģiskie jauninājumi ir samazinājuši arī gaisa transporta radīto troksni, padarot lidostu apkārtni draudzīgāku iedzīvotājiem un videi.</w:t>
      </w:r>
    </w:p>
    <w:p w14:paraId="12BBE8D2" w14:textId="77777777" w:rsidR="00CA5EE0" w:rsidRPr="00A46CC4" w:rsidRDefault="00CA5EE0" w:rsidP="0031388F">
      <w:pPr>
        <w:pStyle w:val="ListParagraph"/>
        <w:numPr>
          <w:ilvl w:val="0"/>
          <w:numId w:val="2"/>
        </w:numPr>
        <w:spacing w:before="240" w:after="120"/>
        <w:ind w:left="714" w:hanging="357"/>
        <w:rPr>
          <w:b/>
          <w:iCs/>
          <w:szCs w:val="24"/>
        </w:rPr>
      </w:pPr>
      <w:r w:rsidRPr="00A46CC4">
        <w:rPr>
          <w:b/>
          <w:iCs/>
          <w:szCs w:val="24"/>
        </w:rPr>
        <w:t xml:space="preserve">Dzelzceļa transports </w:t>
      </w:r>
      <w:r w:rsidR="007E136D" w:rsidRPr="00A46CC4">
        <w:rPr>
          <w:b/>
          <w:iCs/>
          <w:szCs w:val="24"/>
        </w:rPr>
        <w:t xml:space="preserve">ir </w:t>
      </w:r>
      <w:r w:rsidR="00873A9C">
        <w:rPr>
          <w:b/>
          <w:iCs/>
          <w:szCs w:val="24"/>
        </w:rPr>
        <w:t xml:space="preserve">galvenokārt </w:t>
      </w:r>
      <w:r w:rsidRPr="00A46CC4">
        <w:rPr>
          <w:b/>
          <w:iCs/>
          <w:szCs w:val="24"/>
        </w:rPr>
        <w:t xml:space="preserve">elektrificēts un/vai pārvadājumu veikšanai izmanto </w:t>
      </w:r>
      <w:r w:rsidR="007E136D" w:rsidRPr="00A46CC4">
        <w:rPr>
          <w:b/>
          <w:iCs/>
          <w:szCs w:val="24"/>
        </w:rPr>
        <w:t>cita</w:t>
      </w:r>
      <w:r w:rsidR="00E40099">
        <w:rPr>
          <w:b/>
          <w:iCs/>
          <w:szCs w:val="24"/>
        </w:rPr>
        <w:t>s</w:t>
      </w:r>
      <w:r w:rsidR="007E136D" w:rsidRPr="00A46CC4">
        <w:rPr>
          <w:b/>
          <w:iCs/>
          <w:szCs w:val="24"/>
        </w:rPr>
        <w:t xml:space="preserve"> </w:t>
      </w:r>
      <w:r w:rsidRPr="00A46CC4">
        <w:rPr>
          <w:b/>
          <w:iCs/>
          <w:szCs w:val="24"/>
        </w:rPr>
        <w:t>alternatīvās</w:t>
      </w:r>
      <w:r w:rsidR="005F2265">
        <w:rPr>
          <w:b/>
          <w:iCs/>
          <w:szCs w:val="24"/>
        </w:rPr>
        <w:t xml:space="preserve"> degvielas</w:t>
      </w:r>
    </w:p>
    <w:p w14:paraId="4DDF8453" w14:textId="77777777" w:rsidR="00CA5EE0" w:rsidRPr="00A46CC4" w:rsidRDefault="00CA5EE0" w:rsidP="00CA5EE0">
      <w:r w:rsidRPr="00A46CC4">
        <w:t>Vairums dzelzceļa līniju ir elektrificētas</w:t>
      </w:r>
      <w:r w:rsidR="009328FF" w:rsidRPr="00A46CC4">
        <w:t xml:space="preserve">. </w:t>
      </w:r>
      <w:r w:rsidR="007E136D" w:rsidRPr="00A46CC4">
        <w:t>E</w:t>
      </w:r>
      <w:r w:rsidRPr="00A46CC4">
        <w:t xml:space="preserve">lektrovilcienus </w:t>
      </w:r>
      <w:r w:rsidR="007E136D" w:rsidRPr="00A46CC4">
        <w:t xml:space="preserve">un ar </w:t>
      </w:r>
      <w:r w:rsidR="00BD3BCF" w:rsidRPr="00DD4FCF">
        <w:t xml:space="preserve">citām </w:t>
      </w:r>
      <w:r w:rsidR="00BD3BCF" w:rsidRPr="00696696">
        <w:t>alternatīvajām degvielām</w:t>
      </w:r>
      <w:r w:rsidR="00BD3BCF" w:rsidRPr="00540E16">
        <w:t xml:space="preserve"> darbināmus </w:t>
      </w:r>
      <w:r w:rsidR="007E136D" w:rsidRPr="00A46CC4">
        <w:t xml:space="preserve">vilcienus </w:t>
      </w:r>
      <w:r w:rsidRPr="00A46CC4">
        <w:t xml:space="preserve">izmanto gan pasažieru, gan kravu pārvadājumiem. Ne-elektrificētās līnijās galvenokārt izmanto </w:t>
      </w:r>
      <w:r w:rsidR="009328FF" w:rsidRPr="00A46CC4">
        <w:t xml:space="preserve">ūdeņradi vai </w:t>
      </w:r>
      <w:r w:rsidR="00E40099">
        <w:t>biodegvielu</w:t>
      </w:r>
      <w:r w:rsidRPr="00A46CC4">
        <w:t xml:space="preserve">. Daļa dzelzceļa līniju ir ātrgaitas, nodrošinot ātrus, efektīvus un videi draudzīgus kravu un pasažieru pārvadājumus. </w:t>
      </w:r>
    </w:p>
    <w:p w14:paraId="12E43B4C" w14:textId="77777777" w:rsidR="00CA5EE0" w:rsidRPr="00A46CC4" w:rsidRDefault="00CA5EE0" w:rsidP="0031388F">
      <w:pPr>
        <w:pStyle w:val="ListParagraph"/>
        <w:numPr>
          <w:ilvl w:val="0"/>
          <w:numId w:val="2"/>
        </w:numPr>
        <w:spacing w:before="240" w:after="120"/>
        <w:ind w:left="714" w:hanging="357"/>
        <w:rPr>
          <w:b/>
          <w:iCs/>
          <w:szCs w:val="24"/>
        </w:rPr>
      </w:pPr>
      <w:r w:rsidRPr="00A46CC4">
        <w:rPr>
          <w:b/>
          <w:iCs/>
          <w:szCs w:val="24"/>
        </w:rPr>
        <w:t>Ūdens transports izmanto alternatīvās degvielas un energoefektīvus risinājumus d</w:t>
      </w:r>
      <w:r w:rsidR="005F2265">
        <w:rPr>
          <w:b/>
          <w:iCs/>
          <w:szCs w:val="24"/>
        </w:rPr>
        <w:t>egvielas patēriņa samazināšanai</w:t>
      </w:r>
    </w:p>
    <w:p w14:paraId="58C38F9A" w14:textId="77777777" w:rsidR="00CA5EE0" w:rsidRPr="00944B60" w:rsidRDefault="00CA5EE0" w:rsidP="00EB0F54">
      <w:r w:rsidRPr="00A46CC4">
        <w:lastRenderedPageBreak/>
        <w:t xml:space="preserve">Ūdens transportā </w:t>
      </w:r>
      <w:r w:rsidR="00EB0F54">
        <w:t xml:space="preserve">SEG emisijas ievērojami samazina, </w:t>
      </w:r>
      <w:r w:rsidRPr="00A46CC4">
        <w:t>izmanto</w:t>
      </w:r>
      <w:r w:rsidR="00EB0F54">
        <w:t xml:space="preserve">jot tādus instrumentus kā korpusa dizains (kas uzlabo energoefektivitāti), </w:t>
      </w:r>
      <w:r w:rsidR="00EB0F54" w:rsidRPr="00944B60">
        <w:t>dažādi jaudas un piedziņas risināju</w:t>
      </w:r>
      <w:r w:rsidR="00FA6777">
        <w:t>mu</w:t>
      </w:r>
      <w:r w:rsidR="00EB0F54" w:rsidRPr="00944B60">
        <w:t xml:space="preserve"> apjomradīti ietaupījumi, optimāls ātrums, laika apstākļu noteikšana un plānošana, alternatīvie enerģijas avoti un AER.</w:t>
      </w:r>
      <w:r w:rsidRPr="00944B60">
        <w:t xml:space="preserve"> </w:t>
      </w:r>
      <w:r w:rsidR="000B49F7" w:rsidRPr="00944B60">
        <w:t>N</w:t>
      </w:r>
      <w:r w:rsidRPr="00944B60">
        <w:t xml:space="preserve">o AER izmanto </w:t>
      </w:r>
      <w:r w:rsidR="00EB0F54" w:rsidRPr="00944B60">
        <w:t xml:space="preserve">e-degvielu, ūdeņradi, </w:t>
      </w:r>
      <w:r w:rsidRPr="00944B60">
        <w:t xml:space="preserve">biodegvielu tīrā veidā vai sajaukumā ar fosilo degvielu, tā samazinot gan </w:t>
      </w:r>
      <w:r w:rsidR="00FA6777">
        <w:t>SEG</w:t>
      </w:r>
      <w:r w:rsidR="00FA6777" w:rsidRPr="00944B60">
        <w:t xml:space="preserve"> </w:t>
      </w:r>
      <w:r w:rsidRPr="00944B60">
        <w:t xml:space="preserve">emisijas, gan slodzi uz vidi. Ostu elektrifikācija samazina ostās stāvošo kuģu emisijas, tādā veidā samazinot ostu negatīvo ietekmi uz apkārtējo vidi un </w:t>
      </w:r>
      <w:r w:rsidR="00DF10A9" w:rsidRPr="00944B60">
        <w:t>klimatu</w:t>
      </w:r>
      <w:r w:rsidRPr="00944B60">
        <w:t>.</w:t>
      </w:r>
    </w:p>
    <w:p w14:paraId="6168DB3D" w14:textId="77777777" w:rsidR="00BC6538" w:rsidRPr="00944B60" w:rsidRDefault="000B49F7" w:rsidP="0031388F">
      <w:pPr>
        <w:pStyle w:val="ListParagraph"/>
        <w:numPr>
          <w:ilvl w:val="0"/>
          <w:numId w:val="2"/>
        </w:numPr>
        <w:spacing w:before="240" w:after="120"/>
        <w:ind w:left="714" w:hanging="357"/>
      </w:pPr>
      <w:r w:rsidRPr="00944B60">
        <w:rPr>
          <w:b/>
          <w:iCs/>
          <w:szCs w:val="24"/>
        </w:rPr>
        <w:t>Nodrošināta ilgtspējīga un videi draudzīga iedzīvotāju mobilitāte</w:t>
      </w:r>
      <w:r w:rsidR="00BC6538" w:rsidRPr="00944B60">
        <w:rPr>
          <w:b/>
          <w:iCs/>
          <w:szCs w:val="24"/>
        </w:rPr>
        <w:t xml:space="preserve"> </w:t>
      </w:r>
    </w:p>
    <w:p w14:paraId="0EAF9A44" w14:textId="77777777" w:rsidR="00BC6538" w:rsidRPr="00944B60" w:rsidRDefault="00730B78" w:rsidP="00E008BC">
      <w:pPr>
        <w:spacing w:before="120" w:after="120"/>
      </w:pPr>
      <w:r w:rsidRPr="00944B60">
        <w:t>Sabiedrisk</w:t>
      </w:r>
      <w:r w:rsidR="000356E1" w:rsidRPr="00944B60">
        <w:t>ā</w:t>
      </w:r>
      <w:r w:rsidRPr="00944B60">
        <w:t xml:space="preserve"> transporta sistēma</w:t>
      </w:r>
      <w:r w:rsidR="00BC6538" w:rsidRPr="00944B60">
        <w:t xml:space="preserve"> ir </w:t>
      </w:r>
      <w:r w:rsidR="000356E1" w:rsidRPr="00944B60">
        <w:t>efektīva</w:t>
      </w:r>
      <w:r w:rsidR="00BC6538" w:rsidRPr="00944B60">
        <w:t xml:space="preserve"> un ilgtspējīg</w:t>
      </w:r>
      <w:r w:rsidRPr="00944B60">
        <w:t>a</w:t>
      </w:r>
      <w:r w:rsidR="00BC6538" w:rsidRPr="00944B60">
        <w:t xml:space="preserve">, tādējādi veiksmīgi konkurējot ar privāto transportu. </w:t>
      </w:r>
      <w:r w:rsidR="00F212A3" w:rsidRPr="00944B60">
        <w:t>Sabiedriskais transports ir komodāls</w:t>
      </w:r>
      <w:r w:rsidR="00F212A3" w:rsidRPr="00944B60">
        <w:rPr>
          <w:rStyle w:val="FootnoteReference"/>
        </w:rPr>
        <w:footnoteReference w:id="64"/>
      </w:r>
      <w:r w:rsidR="00F212A3" w:rsidRPr="00944B60">
        <w:t xml:space="preserve"> un ilgtspējīgs, tādējādi veiksmīgi konkurējot ar privāto transportu. </w:t>
      </w:r>
      <w:r w:rsidR="00BC6538" w:rsidRPr="00944B60">
        <w:t xml:space="preserve">Tas ir samazinājis sastrēgumus un autotransporta radītās SEG emisijas, pilsētās ievērojami uzlabojis gaisa kvalitāti un pilsētvides pievilcību. Ievērojami </w:t>
      </w:r>
      <w:r w:rsidR="00C563BF" w:rsidRPr="00C563BF">
        <w:t xml:space="preserve">paplašinājusies </w:t>
      </w:r>
      <w:r w:rsidR="00C563BF" w:rsidRPr="00DA2D2F">
        <w:rPr>
          <w:i/>
        </w:rPr>
        <w:t>park and ride</w:t>
      </w:r>
      <w:r w:rsidR="00C563BF" w:rsidRPr="00C563BF">
        <w:t xml:space="preserve"> sistēma,</w:t>
      </w:r>
      <w:r w:rsidR="00C563BF">
        <w:t xml:space="preserve"> </w:t>
      </w:r>
      <w:r w:rsidR="00BC6538" w:rsidRPr="00944B60">
        <w:t>palielinājusies velosipēdu</w:t>
      </w:r>
      <w:r w:rsidR="00502EE4">
        <w:t>, skrejriteņu, segveju u.tml.</w:t>
      </w:r>
      <w:r w:rsidR="00F14B5E">
        <w:t xml:space="preserve"> inventāra</w:t>
      </w:r>
      <w:r w:rsidR="00BC6538" w:rsidRPr="00944B60">
        <w:t xml:space="preserve"> izmantošana un radīti pievilcīgi apstākļi kājāmgājējiem</w:t>
      </w:r>
      <w:r w:rsidR="00C563BF">
        <w:t>,</w:t>
      </w:r>
      <w:r w:rsidR="00C563BF" w:rsidRPr="00C563BF">
        <w:t xml:space="preserve"> ieviešot zaļās infrastruktūras risinājumus pilsētvidē</w:t>
      </w:r>
      <w:r w:rsidR="00BC6538" w:rsidRPr="00944B60">
        <w:t>.</w:t>
      </w:r>
      <w:r w:rsidR="00000650" w:rsidRPr="00944B60">
        <w:t xml:space="preserve"> Starppilsētu pārvadājumos galvenokārt tiek izmantots dzelzceļš</w:t>
      </w:r>
      <w:r w:rsidR="00AB03FD">
        <w:t>, jo tas izmanto mazāk enerģijas uz vienu pasažierkilometru nekā autotransports</w:t>
      </w:r>
      <w:r w:rsidR="00000650" w:rsidRPr="00944B60">
        <w:t>.</w:t>
      </w:r>
    </w:p>
    <w:p w14:paraId="01BDD3C9" w14:textId="77777777" w:rsidR="00BC6538" w:rsidRPr="00944B60" w:rsidRDefault="00BC6538" w:rsidP="00E008BC">
      <w:pPr>
        <w:spacing w:before="120" w:after="120"/>
      </w:pPr>
      <w:r w:rsidRPr="00944B60">
        <w:t xml:space="preserve">Sabiedriskais transports ērti saistīts ar starptautisko transportu (savienojumi ar lidostām un ostām). </w:t>
      </w:r>
    </w:p>
    <w:p w14:paraId="6A727885" w14:textId="77777777" w:rsidR="00BC6538" w:rsidRPr="00944B60" w:rsidRDefault="00BC6538" w:rsidP="00E008BC">
      <w:pPr>
        <w:spacing w:before="120" w:after="120"/>
      </w:pPr>
      <w:r w:rsidRPr="00944B60">
        <w:t>Ir attīstīta dalīšanās kultūra, kas par noteiktu atlīdzību ļauj ērti individuāli vai k</w:t>
      </w:r>
      <w:r w:rsidR="00730B78" w:rsidRPr="00944B60">
        <w:t>opīgi izmantot transportlīdzekļus</w:t>
      </w:r>
      <w:r w:rsidRPr="00944B60">
        <w:t>.</w:t>
      </w:r>
    </w:p>
    <w:p w14:paraId="4486707E" w14:textId="77777777" w:rsidR="00CA5EE0" w:rsidRPr="00944B60" w:rsidRDefault="00CA5EE0" w:rsidP="0031388F">
      <w:pPr>
        <w:pStyle w:val="ListParagraph"/>
        <w:numPr>
          <w:ilvl w:val="0"/>
          <w:numId w:val="2"/>
        </w:numPr>
        <w:spacing w:before="240" w:after="120"/>
        <w:ind w:left="714" w:hanging="357"/>
        <w:rPr>
          <w:b/>
        </w:rPr>
      </w:pPr>
      <w:r w:rsidRPr="00944B60">
        <w:rPr>
          <w:b/>
        </w:rPr>
        <w:t xml:space="preserve">Kravu </w:t>
      </w:r>
      <w:r w:rsidRPr="00944B60">
        <w:rPr>
          <w:b/>
          <w:iCs/>
          <w:szCs w:val="24"/>
        </w:rPr>
        <w:t>pārvadājumi</w:t>
      </w:r>
      <w:r w:rsidRPr="00944B60">
        <w:rPr>
          <w:b/>
        </w:rPr>
        <w:t xml:space="preserve"> tiek veikti</w:t>
      </w:r>
      <w:r w:rsidR="005E2BD2" w:rsidRPr="00944B60">
        <w:rPr>
          <w:b/>
        </w:rPr>
        <w:t>,</w:t>
      </w:r>
      <w:r w:rsidRPr="00944B60">
        <w:rPr>
          <w:b/>
        </w:rPr>
        <w:t xml:space="preserve"> izmantojot sa</w:t>
      </w:r>
      <w:r w:rsidR="00C3429C">
        <w:rPr>
          <w:b/>
        </w:rPr>
        <w:t xml:space="preserve">vstarpēji </w:t>
      </w:r>
      <w:r w:rsidRPr="00944B60">
        <w:rPr>
          <w:b/>
        </w:rPr>
        <w:t>saistītu, efektīvu un gudru transporta sistēmu</w:t>
      </w:r>
      <w:r w:rsidR="000B49F7" w:rsidRPr="00944B60">
        <w:rPr>
          <w:b/>
        </w:rPr>
        <w:t xml:space="preserve">, kā arī </w:t>
      </w:r>
      <w:r w:rsidR="000B49F7" w:rsidRPr="00944B60">
        <w:rPr>
          <w:b/>
          <w:iCs/>
          <w:szCs w:val="24"/>
        </w:rPr>
        <w:t>multimodālos</w:t>
      </w:r>
      <w:r w:rsidR="000B49F7" w:rsidRPr="00944B60">
        <w:rPr>
          <w:b/>
        </w:rPr>
        <w:t xml:space="preserve"> pārvadājumus</w:t>
      </w:r>
    </w:p>
    <w:p w14:paraId="74966B03" w14:textId="77777777" w:rsidR="006746A9" w:rsidRDefault="00132BFD" w:rsidP="006746A9">
      <w:pPr>
        <w:spacing w:after="120"/>
      </w:pPr>
      <w:r w:rsidRPr="00944B60">
        <w:t>Auto</w:t>
      </w:r>
      <w:r w:rsidR="00CA5EE0" w:rsidRPr="00944B60">
        <w:t>transporta sasaiste ar dzelzceļa un ostu infrastruktūru ir samazinājusi degvielas patēriņu un SEG emisijas no</w:t>
      </w:r>
      <w:r w:rsidR="008F142A" w:rsidRPr="00944B60">
        <w:t xml:space="preserve"> autotransport</w:t>
      </w:r>
      <w:r w:rsidR="00CA5EE0" w:rsidRPr="00944B60">
        <w:t>a. Elektrovilcieni ļauj ātrāk un lētāk nogādāt kravas loģistikas centros, kas savienoti ar pašvaldības līmeņa pārvadātājiem.</w:t>
      </w:r>
      <w:r w:rsidR="00CA5EE0" w:rsidRPr="00A46CC4">
        <w:t xml:space="preserve"> Attīstīta ostu infrastruktūra ļauj efektīvi apkalpot ienākošos kravas kuģus.</w:t>
      </w:r>
      <w:r w:rsidR="006746A9">
        <w:t xml:space="preserve"> Tiek plaši izmantoti loģistikas algoritmi, lai plānotu maršrutus. Multimodālo pārvadājumu</w:t>
      </w:r>
      <w:r w:rsidR="006746A9">
        <w:rPr>
          <w:rStyle w:val="FootnoteReference"/>
        </w:rPr>
        <w:footnoteReference w:id="65"/>
      </w:r>
      <w:r w:rsidR="006746A9">
        <w:t xml:space="preserve"> izmantošana ļauj atsevišķās distancēs izvēlēties optimālāko un videi draudzīgāko transporta veidu.</w:t>
      </w:r>
    </w:p>
    <w:p w14:paraId="042FD2CF" w14:textId="77777777" w:rsidR="00EC252A" w:rsidRPr="00EC252A" w:rsidRDefault="00EC252A" w:rsidP="00EC252A">
      <w:pPr>
        <w:pStyle w:val="ListParagraph"/>
        <w:numPr>
          <w:ilvl w:val="0"/>
          <w:numId w:val="2"/>
        </w:numPr>
        <w:spacing w:before="240" w:after="120"/>
        <w:ind w:left="714" w:hanging="357"/>
        <w:rPr>
          <w:b/>
        </w:rPr>
      </w:pPr>
      <w:r w:rsidRPr="00EC252A">
        <w:rPr>
          <w:b/>
        </w:rPr>
        <w:t>Ceļu infrastruktūra ir atbilstoša jaunākajām transporta tendencēm, integrējot intelektiskās transporta sistēmas</w:t>
      </w:r>
    </w:p>
    <w:p w14:paraId="39B6FDCE" w14:textId="77777777" w:rsidR="00EC252A" w:rsidRPr="00EC252A" w:rsidRDefault="00EC252A" w:rsidP="00EC252A">
      <w:pPr>
        <w:rPr>
          <w:szCs w:val="24"/>
        </w:rPr>
      </w:pPr>
      <w:r w:rsidRPr="00EC252A">
        <w:rPr>
          <w:szCs w:val="24"/>
        </w:rPr>
        <w:t xml:space="preserve">Ir nodrošināts vienots un moderns ceļu tīkls, kas ļauj droši un ātri pārvietoties pa Latvijas teritoriju un ir aprīkots ar tādu transportlīdzekļu uzlādes/uzpildes infrastruktūru, kas integrēta Eiropas transporta sistēmā un ērti ļauj turpināt ceļu arī ārpus valsts. </w:t>
      </w:r>
    </w:p>
    <w:p w14:paraId="261BC737" w14:textId="3C33A0ED" w:rsidR="00EC252A" w:rsidRDefault="00EC252A" w:rsidP="00EC252A">
      <w:pPr>
        <w:spacing w:before="240" w:after="120"/>
        <w:rPr>
          <w:szCs w:val="24"/>
        </w:rPr>
      </w:pPr>
      <w:r w:rsidRPr="00EC252A">
        <w:rPr>
          <w:szCs w:val="24"/>
        </w:rPr>
        <w:t>Intelektisko transporta sistēmu izmantošana gan infrastruktūrā, gan pašos transportlīdzekļos ļauj samazināt SEG emisijas, vienlaikus uzlabojot satiksmes drošību. Šo sistēmu dati ir pieejami atkalizmantošanai ar transporta un satiksmes informācijas nacionālā piekļuves punkta starpniecību.</w:t>
      </w:r>
    </w:p>
    <w:p w14:paraId="5432B2DF" w14:textId="77777777" w:rsidR="009E11B5" w:rsidRPr="00EC252A" w:rsidRDefault="009E11B5" w:rsidP="00EC252A">
      <w:pPr>
        <w:spacing w:before="240" w:after="120"/>
        <w:rPr>
          <w:b/>
        </w:rPr>
      </w:pPr>
    </w:p>
    <w:p w14:paraId="499438BE" w14:textId="037A200C" w:rsidR="008632B0" w:rsidRPr="006746A9" w:rsidRDefault="00953B38" w:rsidP="00AE5D83">
      <w:pPr>
        <w:pStyle w:val="ListParagraph"/>
        <w:numPr>
          <w:ilvl w:val="0"/>
          <w:numId w:val="2"/>
        </w:numPr>
        <w:spacing w:before="240" w:after="120"/>
        <w:rPr>
          <w:b/>
        </w:rPr>
      </w:pPr>
      <w:r w:rsidRPr="00A46CC4">
        <w:rPr>
          <w:b/>
        </w:rPr>
        <w:lastRenderedPageBreak/>
        <w:t xml:space="preserve">Ceļu </w:t>
      </w:r>
      <w:r w:rsidRPr="005F2265">
        <w:rPr>
          <w:b/>
          <w:iCs/>
          <w:szCs w:val="24"/>
        </w:rPr>
        <w:t>infrastruktūra</w:t>
      </w:r>
      <w:r w:rsidRPr="00A46CC4">
        <w:rPr>
          <w:b/>
        </w:rPr>
        <w:t xml:space="preserve"> ir </w:t>
      </w:r>
      <w:r w:rsidR="00132BFD">
        <w:rPr>
          <w:b/>
        </w:rPr>
        <w:t>atbilstoša</w:t>
      </w:r>
      <w:r w:rsidR="0078500A">
        <w:rPr>
          <w:b/>
        </w:rPr>
        <w:t xml:space="preserve"> </w:t>
      </w:r>
      <w:r w:rsidRPr="00A46CC4">
        <w:rPr>
          <w:b/>
        </w:rPr>
        <w:t xml:space="preserve">jaunākajām transporta tendencēm, integrējot </w:t>
      </w:r>
      <w:r w:rsidR="00AE5D83" w:rsidRPr="00AE5D83">
        <w:rPr>
          <w:b/>
        </w:rPr>
        <w:t>intelektiskā</w:t>
      </w:r>
      <w:r w:rsidR="00AE5D83">
        <w:rPr>
          <w:b/>
        </w:rPr>
        <w:t>s</w:t>
      </w:r>
      <w:r w:rsidRPr="00A46CC4">
        <w:rPr>
          <w:b/>
        </w:rPr>
        <w:t xml:space="preserve"> transporta sistēmas</w:t>
      </w:r>
    </w:p>
    <w:p w14:paraId="5651A52B" w14:textId="77777777" w:rsidR="0078500A" w:rsidRDefault="00565682" w:rsidP="008632B0">
      <w:r>
        <w:t>I</w:t>
      </w:r>
      <w:r w:rsidR="00197CE1" w:rsidRPr="00A46CC4">
        <w:t xml:space="preserve">r nodrošināts vienots un moderns ceļu tīkls, kas ļauj droši un ātri pārvietoties pa Latvijas teritoriju un </w:t>
      </w:r>
      <w:r w:rsidRPr="00C769B4">
        <w:t xml:space="preserve">ir aprīkots ar tādu transportlīdzekļu uzlādes/uzpildes infrastruktūru, kas </w:t>
      </w:r>
      <w:r w:rsidR="00E632E1">
        <w:t xml:space="preserve">integrēta Eiropas transporta sistēmā un </w:t>
      </w:r>
      <w:r w:rsidR="005D0FCD">
        <w:t>ērti</w:t>
      </w:r>
      <w:r w:rsidR="00AE7844">
        <w:t xml:space="preserve"> </w:t>
      </w:r>
      <w:r w:rsidRPr="00C769B4">
        <w:t>ļauj turpināt ceļu arī ārpus valsts</w:t>
      </w:r>
      <w:r w:rsidR="003A71F4">
        <w:t>.</w:t>
      </w:r>
      <w:r w:rsidR="0078500A">
        <w:t xml:space="preserve"> </w:t>
      </w:r>
    </w:p>
    <w:p w14:paraId="153A3BCA" w14:textId="7FD059A2" w:rsidR="00197CE1" w:rsidRPr="00A46CC4" w:rsidRDefault="00AE5D83" w:rsidP="008632B0">
      <w:r>
        <w:t>Intelektisko</w:t>
      </w:r>
      <w:r w:rsidR="004A33C7" w:rsidRPr="0078500A">
        <w:t xml:space="preserve"> </w:t>
      </w:r>
      <w:r w:rsidR="0078500A" w:rsidRPr="0078500A">
        <w:t>transporta sistēm</w:t>
      </w:r>
      <w:r w:rsidR="0078500A">
        <w:t>u izmantošana</w:t>
      </w:r>
      <w:r w:rsidR="0078500A" w:rsidRPr="0078500A">
        <w:t xml:space="preserve"> gan infrastruktūr</w:t>
      </w:r>
      <w:r w:rsidR="0078500A">
        <w:t>ā, gan pašos transportlīdzekļos ļauj tādējādi samazināt</w:t>
      </w:r>
      <w:r w:rsidR="0078500A" w:rsidRPr="0078500A">
        <w:t xml:space="preserve"> SEG emisijas, vienlaikus uzlabojot satiksmes </w:t>
      </w:r>
      <w:r w:rsidR="0078500A">
        <w:t xml:space="preserve">drošību. </w:t>
      </w:r>
    </w:p>
    <w:p w14:paraId="76146DB3" w14:textId="77777777" w:rsidR="0078500A" w:rsidRPr="0078500A" w:rsidRDefault="00197CE1" w:rsidP="0031388F">
      <w:pPr>
        <w:pStyle w:val="ListParagraph"/>
        <w:numPr>
          <w:ilvl w:val="0"/>
          <w:numId w:val="2"/>
        </w:numPr>
        <w:spacing w:before="240" w:after="120"/>
        <w:ind w:left="714" w:hanging="357"/>
        <w:rPr>
          <w:b/>
          <w:iCs/>
          <w:szCs w:val="24"/>
        </w:rPr>
      </w:pPr>
      <w:r w:rsidRPr="0078500A">
        <w:rPr>
          <w:b/>
        </w:rPr>
        <w:t>Ceļu tīkla attīstība tiek plānota ilgtspējīgi, ņemot vērā transporta attīstības tendences</w:t>
      </w:r>
      <w:r w:rsidR="00565682" w:rsidRPr="0078500A">
        <w:rPr>
          <w:b/>
        </w:rPr>
        <w:t xml:space="preserve"> tostarp ievērojot mazāk aizsargāto ceļu satiksmes dalībnieku drošību</w:t>
      </w:r>
      <w:r w:rsidRPr="0078500A">
        <w:rPr>
          <w:b/>
        </w:rPr>
        <w:t xml:space="preserve"> un mazinot ceļu</w:t>
      </w:r>
      <w:r w:rsidR="00BD05FD">
        <w:rPr>
          <w:b/>
        </w:rPr>
        <w:t xml:space="preserve"> </w:t>
      </w:r>
      <w:r w:rsidRPr="0078500A">
        <w:rPr>
          <w:b/>
        </w:rPr>
        <w:t>b</w:t>
      </w:r>
      <w:r w:rsidR="0078500A">
        <w:rPr>
          <w:b/>
        </w:rPr>
        <w:t>ūves ietekmi uz vidi un klimatu</w:t>
      </w:r>
    </w:p>
    <w:p w14:paraId="08C16A83" w14:textId="77777777" w:rsidR="0078500A" w:rsidRPr="00C563BF" w:rsidRDefault="006D5D9D" w:rsidP="00C563BF">
      <w:r>
        <w:t>Ceļu</w:t>
      </w:r>
      <w:r w:rsidR="0078500A">
        <w:t xml:space="preserve"> infrastruktūra</w:t>
      </w:r>
      <w:r w:rsidR="00197CE1" w:rsidRPr="00A46CC4">
        <w:t xml:space="preserve"> </w:t>
      </w:r>
      <w:r w:rsidR="0078500A">
        <w:t>plānota</w:t>
      </w:r>
      <w:r w:rsidR="00565682" w:rsidRPr="00C769B4">
        <w:t xml:space="preserve"> tā, lai iedzīvotājiem būtu ērti un droši nokļūt galamērķī ar sabiedrisko transportu, koplietošanas transportu, velosipēdu, ejot kājām</w:t>
      </w:r>
      <w:r>
        <w:t>.</w:t>
      </w:r>
      <w:r w:rsidR="00565682" w:rsidRPr="00C769B4">
        <w:t xml:space="preserve"> </w:t>
      </w:r>
      <w:r>
        <w:t>Ir nodrošināta mazāk aizsargāto satiksmes dalībnieku drošība, kā arī pievērsta uzmanība tam, lai mazinātu ceļu</w:t>
      </w:r>
      <w:r w:rsidR="009C1A80">
        <w:t xml:space="preserve"> </w:t>
      </w:r>
      <w:r>
        <w:t>būves ietekmi</w:t>
      </w:r>
      <w:r w:rsidRPr="006D5D9D">
        <w:t xml:space="preserve"> uz vidi un klimatu</w:t>
      </w:r>
      <w:r w:rsidR="00C563BF">
        <w:t xml:space="preserve">, </w:t>
      </w:r>
      <w:r w:rsidR="003F7A38">
        <w:t xml:space="preserve">t.sk., </w:t>
      </w:r>
      <w:r w:rsidR="00C563BF">
        <w:t>ieviešot zaļās infrastruktūras risinājumus</w:t>
      </w:r>
      <w:r w:rsidRPr="00C563BF">
        <w:t>.</w:t>
      </w:r>
    </w:p>
    <w:p w14:paraId="7F1FC814" w14:textId="77777777" w:rsidR="0043690E" w:rsidRPr="00A46CC4" w:rsidRDefault="0043690E" w:rsidP="00C563BF">
      <w:pPr>
        <w:spacing w:before="120" w:after="120"/>
      </w:pPr>
      <w:r w:rsidRPr="00C563BF">
        <w:t>Dažādi jauni, ilgtspējīgi un videi draudzī</w:t>
      </w:r>
      <w:r w:rsidRPr="00E50EA1">
        <w:t>gi mobilitātes risinājumi ļauj palielināt transportēšanas efektivitāti un drošību, tai pašā laikā nemazinot ekonomisko pievilcību.</w:t>
      </w:r>
      <w:r>
        <w:t xml:space="preserve"> </w:t>
      </w:r>
      <w:r w:rsidRPr="00A46CC4">
        <w:t>Inovāciju attīstība ļauj eksportēt jaunus tehnoloģiskos risinājumus</w:t>
      </w:r>
      <w:r>
        <w:t xml:space="preserve"> arī</w:t>
      </w:r>
      <w:r w:rsidRPr="00A46CC4">
        <w:t xml:space="preserve"> transporta jomā, piemēram, bezpilota lidaparātu attīstība u.tml.</w:t>
      </w:r>
    </w:p>
    <w:p w14:paraId="014B92B8" w14:textId="77777777" w:rsidR="00CA5EE0" w:rsidRPr="006D5D9D" w:rsidRDefault="003A71F4" w:rsidP="0031388F">
      <w:pPr>
        <w:pStyle w:val="ListParagraph"/>
        <w:numPr>
          <w:ilvl w:val="0"/>
          <w:numId w:val="2"/>
        </w:numPr>
        <w:spacing w:before="240" w:after="120"/>
        <w:rPr>
          <w:b/>
        </w:rPr>
      </w:pPr>
      <w:r w:rsidRPr="006D5D9D">
        <w:rPr>
          <w:b/>
        </w:rPr>
        <w:t>Digitālu risinājumu plaša izmantošana ir samazinājusi iedzīvotāju d</w:t>
      </w:r>
      <w:r w:rsidR="00BF6732" w:rsidRPr="006D5D9D">
        <w:rPr>
          <w:b/>
        </w:rPr>
        <w:t>arījumu p</w:t>
      </w:r>
      <w:r w:rsidR="00CA5EE0" w:rsidRPr="006D5D9D">
        <w:rPr>
          <w:b/>
        </w:rPr>
        <w:t>ārvietošanās nepieciešamīb</w:t>
      </w:r>
      <w:r w:rsidRPr="006D5D9D">
        <w:rPr>
          <w:b/>
        </w:rPr>
        <w:t>u</w:t>
      </w:r>
    </w:p>
    <w:p w14:paraId="4B483C3D" w14:textId="77777777" w:rsidR="00663EB4" w:rsidRPr="00A46CC4" w:rsidRDefault="00CA5EE0" w:rsidP="00663EB4">
      <w:r w:rsidRPr="00A46CC4">
        <w:t xml:space="preserve">Iedzīvotāju </w:t>
      </w:r>
      <w:r w:rsidR="003A71F4">
        <w:t>pārvietošanās ir optimizēta,</w:t>
      </w:r>
      <w:r w:rsidRPr="00A46CC4">
        <w:t xml:space="preserve"> pateicoties attālināta darba, studiju, iepirkšanās u.tml. iespējām. Augstas veiktspējas un drošs interneta tīkls visā Latvijas teritorijā ļauj iedzīvotājiem pilnvērtīgi veikt savus darba pienākumus arī attālināti. Visaptveroša e−pakalpojumu ieviešana ir ļāvusi samazināt iedzīvotāju nepieciešamību apmeklēt institūcijas, lai saņemtu pakalpojumus.</w:t>
      </w:r>
    </w:p>
    <w:p w14:paraId="2D3BCE1F" w14:textId="77777777" w:rsidR="00A26014" w:rsidRPr="00A46CC4" w:rsidRDefault="00026A16" w:rsidP="00026A16">
      <w:pPr>
        <w:pStyle w:val="Heading2"/>
      </w:pPr>
      <w:bookmarkStart w:id="50" w:name="_Toc465261457"/>
      <w:bookmarkStart w:id="51" w:name="_Toc25580341"/>
      <w:r>
        <w:t>6</w:t>
      </w:r>
      <w:r w:rsidR="003F4AB9">
        <w:t>.</w:t>
      </w:r>
      <w:r w:rsidR="00CA3872">
        <w:t>5</w:t>
      </w:r>
      <w:r w:rsidR="00A26014" w:rsidRPr="00A46CC4">
        <w:t>.</w:t>
      </w:r>
      <w:r w:rsidR="00C4408C">
        <w:t> </w:t>
      </w:r>
      <w:r w:rsidR="00A26014" w:rsidRPr="00A46CC4">
        <w:t>Ilgtspējīga zemes apsaimniekošana</w:t>
      </w:r>
      <w:bookmarkEnd w:id="50"/>
      <w:r w:rsidR="00641A37">
        <w:t xml:space="preserve"> un lauksaimniecība</w:t>
      </w:r>
      <w:bookmarkEnd w:id="51"/>
    </w:p>
    <w:p w14:paraId="6A5F5805" w14:textId="77777777" w:rsidR="00A26014" w:rsidRPr="00A46CC4" w:rsidRDefault="00A26014" w:rsidP="003A71F4">
      <w:r w:rsidRPr="00A46CC4">
        <w:t>Latvijā ir izstrādāta un sekmīgi ieviesta ilgtspējīga zemes apsaimniekošanas politika</w:t>
      </w:r>
      <w:r w:rsidR="003A71F4">
        <w:t xml:space="preserve">. </w:t>
      </w:r>
      <w:r w:rsidRPr="00A46CC4">
        <w:t>Ir nodrošināts, ka zemes apsaimniekošana</w:t>
      </w:r>
      <w:r w:rsidR="00CE463F">
        <w:t>, t.sk.</w:t>
      </w:r>
      <w:r w:rsidRPr="00A46CC4">
        <w:t xml:space="preserve"> ZIZIMM un lauksaimniecības sektor</w:t>
      </w:r>
      <w:r w:rsidR="00551BD2">
        <w:t>i</w:t>
      </w:r>
      <w:r w:rsidRPr="00A46CC4">
        <w:t>, izmantojot jaunākās tehnoloģijas</w:t>
      </w:r>
      <w:r w:rsidR="00565682">
        <w:t xml:space="preserve">, </w:t>
      </w:r>
      <w:r w:rsidR="00565682" w:rsidRPr="00BF2622">
        <w:rPr>
          <w:szCs w:val="24"/>
        </w:rPr>
        <w:t>ilgtspējīgu apsaimniekošanas praksi</w:t>
      </w:r>
      <w:r w:rsidR="00565682" w:rsidRPr="00A46CC4">
        <w:t xml:space="preserve"> </w:t>
      </w:r>
      <w:r w:rsidRPr="00A46CC4">
        <w:t xml:space="preserve">un </w:t>
      </w:r>
      <w:r w:rsidR="00551BD2">
        <w:t>efektīvu plānošanu</w:t>
      </w:r>
      <w:r w:rsidRPr="00A46CC4">
        <w:t xml:space="preserve">, sniedz ieguldījumu </w:t>
      </w:r>
      <w:r w:rsidR="00BB5C52">
        <w:t>klimatneitralitātes</w:t>
      </w:r>
      <w:r w:rsidRPr="00A46CC4">
        <w:t xml:space="preserve"> sasniegšanā, neierobežojot tautsaimniecības attīstību. </w:t>
      </w:r>
    </w:p>
    <w:p w14:paraId="66C0B312" w14:textId="77777777" w:rsidR="00A26014" w:rsidRPr="00A46CC4" w:rsidRDefault="00A26014" w:rsidP="0031388F">
      <w:pPr>
        <w:pStyle w:val="ListParagraph"/>
        <w:numPr>
          <w:ilvl w:val="0"/>
          <w:numId w:val="2"/>
        </w:numPr>
        <w:spacing w:before="240" w:after="120"/>
        <w:ind w:left="714" w:hanging="357"/>
        <w:rPr>
          <w:b/>
          <w:iCs/>
          <w:szCs w:val="24"/>
        </w:rPr>
      </w:pPr>
      <w:r w:rsidRPr="00A46CC4">
        <w:rPr>
          <w:b/>
          <w:iCs/>
          <w:szCs w:val="24"/>
        </w:rPr>
        <w:t xml:space="preserve">Ir panākts ilgtspējīgs līdzsvars starp dažādiem zemes izmantošanas veidiem, ievērojot klimata, </w:t>
      </w:r>
      <w:r w:rsidR="00005C76">
        <w:rPr>
          <w:b/>
          <w:iCs/>
          <w:szCs w:val="24"/>
        </w:rPr>
        <w:t>dabas aizsardzības</w:t>
      </w:r>
      <w:r w:rsidRPr="00A46CC4">
        <w:rPr>
          <w:b/>
          <w:iCs/>
          <w:szCs w:val="24"/>
        </w:rPr>
        <w:t>, ekonomiskos un sociālos aspektus</w:t>
      </w:r>
    </w:p>
    <w:p w14:paraId="09A2B207" w14:textId="77777777" w:rsidR="00A26014" w:rsidRPr="00A46CC4" w:rsidRDefault="00A26014" w:rsidP="00E008BC">
      <w:pPr>
        <w:spacing w:before="120" w:after="120"/>
      </w:pPr>
      <w:r w:rsidRPr="00A46CC4">
        <w:t xml:space="preserve">Ilgtspējīga zemes apsaimniekošana tiek plānota gan valsts, gan reģionu līmenī, izvērtējot un ņemot vērā reģionālās īpatnības. Pašvaldības un citas iesaistītās puses </w:t>
      </w:r>
      <w:r w:rsidR="00B83B5E">
        <w:t xml:space="preserve">piedalās </w:t>
      </w:r>
      <w:r w:rsidRPr="00A46CC4">
        <w:t>plānošanas un realizēšanas procesā</w:t>
      </w:r>
      <w:r w:rsidR="004B51B5" w:rsidRPr="004B51B5">
        <w:t>, izmantojot integrēto plānošanas pieeju un izvērtējot kopējos labumus (ekosistēmu pakalpojumus) videi un sabiedrībai</w:t>
      </w:r>
      <w:r w:rsidRPr="00A46CC4">
        <w:t xml:space="preserve">. Pieņemto lēmumu pamatā ir </w:t>
      </w:r>
      <w:r w:rsidR="004B51B5" w:rsidRPr="004B51B5">
        <w:t xml:space="preserve">datos balstīta </w:t>
      </w:r>
      <w:r w:rsidRPr="00A46CC4">
        <w:t xml:space="preserve">informācija, kas iegūta no </w:t>
      </w:r>
      <w:r w:rsidR="004B51B5">
        <w:t xml:space="preserve">valsts </w:t>
      </w:r>
      <w:r w:rsidR="004B51B5" w:rsidRPr="004B51B5">
        <w:t xml:space="preserve">monitoringa programmas par zemes lietojuma veidu </w:t>
      </w:r>
      <w:r w:rsidRPr="00A46CC4">
        <w:t xml:space="preserve">tai skaitā augsnes monitoringa. </w:t>
      </w:r>
    </w:p>
    <w:p w14:paraId="41946D04" w14:textId="77777777" w:rsidR="00A26014" w:rsidRPr="00A46CC4" w:rsidRDefault="00A26014" w:rsidP="00E008BC">
      <w:pPr>
        <w:spacing w:before="120" w:after="120"/>
      </w:pPr>
      <w:r w:rsidRPr="00A46CC4">
        <w:t>Tiek nopietni izvērtēta zemes transformācijas nepieciešamība no viena lietojuma veida uz citu. Piemēram, ir ierobežota neilgtspējīga</w:t>
      </w:r>
      <w:r w:rsidR="00FC3188">
        <w:t xml:space="preserve"> kultūraugu</w:t>
      </w:r>
      <w:r w:rsidRPr="00A46CC4">
        <w:t xml:space="preserve"> plantāciju ierīkošana, lauksaimniecības zemju paplašināšana bioenerģijas kultūru audzēšanai, kas uzskatāmas par nopietnu draudu bioloģiskajai daudzveidībai un ekosistēmu spējai pretoties klimata pārmaiņām. Tāpat tiek ierobežota līdz šim neracionāli veikta zemes izmantošana. </w:t>
      </w:r>
    </w:p>
    <w:p w14:paraId="76270E50" w14:textId="77777777" w:rsidR="00A26014" w:rsidRDefault="00A26014" w:rsidP="00E008BC">
      <w:pPr>
        <w:spacing w:before="120" w:after="120"/>
      </w:pPr>
      <w:r w:rsidRPr="00A46CC4">
        <w:lastRenderedPageBreak/>
        <w:t>Tiek sniegts atbalsts degradēto zemju apmežošanai</w:t>
      </w:r>
      <w:r w:rsidR="00FC3188">
        <w:t xml:space="preserve"> un derīgo izrakteņu izstrādāto atradņu rekultivācijai</w:t>
      </w:r>
      <w:r w:rsidR="00FC3188" w:rsidRPr="00A46CC4">
        <w:t>.</w:t>
      </w:r>
      <w:r w:rsidRPr="00A46CC4">
        <w:t xml:space="preserve"> Infrastruktūras un apbūves attīstība tiek rūpīgi plānota ilgtermiņā, pēc iespējas mazinot </w:t>
      </w:r>
      <w:r w:rsidR="00BB5C52">
        <w:t xml:space="preserve">paredzamo </w:t>
      </w:r>
      <w:r w:rsidRPr="00A46CC4">
        <w:t>ietekm</w:t>
      </w:r>
      <w:r w:rsidR="00BB5C52">
        <w:t>i</w:t>
      </w:r>
      <w:r w:rsidRPr="00A46CC4">
        <w:t xml:space="preserve"> uz vidi un </w:t>
      </w:r>
      <w:r w:rsidR="00BB5C52">
        <w:t>virzību uz klimatneitralitāti</w:t>
      </w:r>
      <w:r w:rsidRPr="00A46CC4">
        <w:t>. Tiek ņemts vērā arī pielāgošanās klimata pārmaiņām aspekts zemes resursu izmantošanā.</w:t>
      </w:r>
    </w:p>
    <w:p w14:paraId="535D076D" w14:textId="77777777" w:rsidR="00A26014" w:rsidRDefault="00A26014" w:rsidP="00E008BC">
      <w:pPr>
        <w:spacing w:before="120" w:after="120"/>
      </w:pPr>
      <w:r w:rsidRPr="00A46CC4">
        <w:t xml:space="preserve">Lauksaimniecībā un mežsaimniecībā ir rūpīgi izvērtēts atbalsta apjoms un tā piešķiršanas kārtība, ņemot vērā visus ilgtspējības aspektus, tai skaitā ietekmi uz </w:t>
      </w:r>
      <w:r w:rsidR="00BB5C52">
        <w:t>Stratēģijas</w:t>
      </w:r>
      <w:r w:rsidRPr="00A46CC4">
        <w:t xml:space="preserve"> mērķu sasniegšanu. </w:t>
      </w:r>
    </w:p>
    <w:p w14:paraId="32F2BDE2" w14:textId="77777777" w:rsidR="00005C76" w:rsidRPr="00A46CC4" w:rsidRDefault="00005C76" w:rsidP="0031388F">
      <w:pPr>
        <w:pStyle w:val="ListParagraph"/>
        <w:numPr>
          <w:ilvl w:val="0"/>
          <w:numId w:val="2"/>
        </w:numPr>
        <w:spacing w:before="120" w:after="120"/>
        <w:ind w:left="714" w:hanging="357"/>
        <w:rPr>
          <w:b/>
          <w:iCs/>
          <w:szCs w:val="24"/>
        </w:rPr>
      </w:pPr>
      <w:r w:rsidRPr="00A46CC4">
        <w:rPr>
          <w:b/>
          <w:iCs/>
          <w:szCs w:val="24"/>
        </w:rPr>
        <w:t xml:space="preserve">Visi Latvijas meži ir ilgtspējīgi apsaimniekoti </w:t>
      </w:r>
    </w:p>
    <w:p w14:paraId="256B666A" w14:textId="77777777" w:rsidR="00005C76" w:rsidRPr="00A46CC4" w:rsidRDefault="00005C76" w:rsidP="00E008BC">
      <w:pPr>
        <w:spacing w:before="120" w:after="120"/>
      </w:pPr>
      <w:r w:rsidRPr="00A46CC4">
        <w:t>Mežs ar tā produktiem un pakalpojumiem ir nozīmīgs sabiedrības labklājības avots, kā arī nozīmīgs Latvijas stratēģiskais resurss ilgtspējīgai lauku un valsts kopējai attīstībai.</w:t>
      </w:r>
      <w:r w:rsidRPr="00852B2C">
        <w:t xml:space="preserve"> </w:t>
      </w:r>
      <w:r w:rsidRPr="00A46CC4">
        <w:t>Valsts, kā arī privātie meži tiek ilgtspējīgi apsaimniekoti.</w:t>
      </w:r>
    </w:p>
    <w:p w14:paraId="2444A5C9" w14:textId="77777777" w:rsidR="004E1BC9" w:rsidRPr="00A46CC4" w:rsidRDefault="00005C76" w:rsidP="00E008BC">
      <w:pPr>
        <w:spacing w:before="120" w:after="120"/>
      </w:pPr>
      <w:r w:rsidRPr="00A46CC4">
        <w:t xml:space="preserve">Ir palielināta meža ražība, tā noturība pret dažādiem dabiskajiem traucējumiem, </w:t>
      </w:r>
      <w:r w:rsidRPr="00BF2622">
        <w:rPr>
          <w:szCs w:val="24"/>
        </w:rPr>
        <w:t>tai skaitā kaitēkļu savairošanos</w:t>
      </w:r>
      <w:r w:rsidRPr="00A46CC4">
        <w:t xml:space="preserve"> un ir izveidota ilgtspējīga meža vecumstruktūra. </w:t>
      </w:r>
    </w:p>
    <w:p w14:paraId="7898C91D" w14:textId="77777777" w:rsidR="00526A13" w:rsidRDefault="00005C76" w:rsidP="00E008BC">
      <w:pPr>
        <w:spacing w:before="120" w:after="120"/>
      </w:pPr>
      <w:r w:rsidRPr="00A46CC4" w:rsidDel="009B037D">
        <w:t xml:space="preserve">Mežs nodrošina kokmateriālus būvniecībai un mēbelēm, </w:t>
      </w:r>
      <w:r>
        <w:t>apstrādes atlikumi</w:t>
      </w:r>
      <w:r w:rsidR="000F284D">
        <w:t> </w:t>
      </w:r>
      <w:r>
        <w:t>-</w:t>
      </w:r>
      <w:r w:rsidR="000F284D">
        <w:t> </w:t>
      </w:r>
      <w:r>
        <w:t xml:space="preserve">kurināmo </w:t>
      </w:r>
      <w:r w:rsidRPr="00A46CC4" w:rsidDel="009B037D">
        <w:t>enerģijas ieguvei</w:t>
      </w:r>
      <w:r w:rsidR="00526A13">
        <w:t xml:space="preserve">, turklāt mežs ir arī </w:t>
      </w:r>
      <w:r>
        <w:t>rekreācijas resurss</w:t>
      </w:r>
      <w:r w:rsidR="00526A13">
        <w:t xml:space="preserve">. </w:t>
      </w:r>
    </w:p>
    <w:p w14:paraId="1868471D" w14:textId="77777777" w:rsidR="00D1570F" w:rsidRDefault="00D1570F" w:rsidP="00E008BC">
      <w:pPr>
        <w:spacing w:before="120" w:after="120"/>
        <w:rPr>
          <w:iCs/>
          <w:szCs w:val="24"/>
        </w:rPr>
      </w:pPr>
      <w:r w:rsidRPr="00D1570F">
        <w:rPr>
          <w:iCs/>
          <w:szCs w:val="24"/>
        </w:rPr>
        <w:t>Kokrūpniecība ir orientēta uz koksnes daudzveidīgāku pārstrādi un starptautiski konkurētspējīgu gala produktu ar augstu pievienoto vērtību ražošanu</w:t>
      </w:r>
      <w:r>
        <w:rPr>
          <w:iCs/>
          <w:szCs w:val="24"/>
        </w:rPr>
        <w:t>.</w:t>
      </w:r>
    </w:p>
    <w:p w14:paraId="737CD476" w14:textId="77777777" w:rsidR="004E1BC9" w:rsidRPr="004E1BC9" w:rsidRDefault="004E1BC9" w:rsidP="00E008BC">
      <w:pPr>
        <w:spacing w:before="120" w:after="120"/>
      </w:pPr>
      <w:r w:rsidRPr="00A46CC4">
        <w:t xml:space="preserve">Ir izvērtēts un nodrošināts </w:t>
      </w:r>
      <w:r>
        <w:t>optimāls</w:t>
      </w:r>
      <w:r w:rsidRPr="00A46CC4">
        <w:t xml:space="preserve"> aizsargājamo teritoriju īpatsvars, panākot līdzsvaru starp vides aizsardzības, ekonomiskajām un sociālajām vajadzībām.</w:t>
      </w:r>
    </w:p>
    <w:p w14:paraId="16EFA429" w14:textId="77777777" w:rsidR="00A26014" w:rsidRPr="00526A13" w:rsidRDefault="00A26014" w:rsidP="0031388F">
      <w:pPr>
        <w:pStyle w:val="ListParagraph"/>
        <w:numPr>
          <w:ilvl w:val="0"/>
          <w:numId w:val="2"/>
        </w:numPr>
        <w:spacing w:before="120" w:after="120"/>
        <w:ind w:left="714" w:hanging="357"/>
      </w:pPr>
      <w:r w:rsidRPr="00526A13">
        <w:rPr>
          <w:b/>
          <w:iCs/>
          <w:szCs w:val="24"/>
        </w:rPr>
        <w:t>Lauksaimniecība un mežsaimniecība sniedz būtisku ieguldījumu bioenerģētikā, tajā pašā laikā neapdraudot pārtikas nodrošinājumu un CO</w:t>
      </w:r>
      <w:r w:rsidRPr="00526A13">
        <w:rPr>
          <w:b/>
          <w:iCs/>
          <w:szCs w:val="24"/>
          <w:vertAlign w:val="subscript"/>
        </w:rPr>
        <w:t>2</w:t>
      </w:r>
      <w:r w:rsidRPr="00526A13">
        <w:rPr>
          <w:b/>
          <w:iCs/>
          <w:szCs w:val="24"/>
        </w:rPr>
        <w:t xml:space="preserve"> piesaisti</w:t>
      </w:r>
    </w:p>
    <w:p w14:paraId="027984F3" w14:textId="39885131" w:rsidR="00A26014" w:rsidRPr="00A46CC4" w:rsidRDefault="00DE1EAD" w:rsidP="00E008BC">
      <w:pPr>
        <w:spacing w:before="120" w:after="120"/>
      </w:pPr>
      <w:r>
        <w:t xml:space="preserve">Koksne </w:t>
      </w:r>
      <w:r w:rsidR="00A26014" w:rsidRPr="00A46CC4">
        <w:t>no Latvijas mežiem tiek iegūta ilgtspējīgā veidā, rūpīgi plānojot tās ieguv</w:t>
      </w:r>
      <w:r w:rsidR="00526A13">
        <w:t>es apjomus</w:t>
      </w:r>
      <w:r w:rsidR="0049523F">
        <w:t xml:space="preserve">. </w:t>
      </w:r>
      <w:r>
        <w:t>Nodrošināts a</w:t>
      </w:r>
      <w:r w:rsidR="0049523F" w:rsidRPr="003B1FE3">
        <w:t xml:space="preserve">tmežošanas un meža ieaudzēšanas </w:t>
      </w:r>
      <w:r w:rsidR="0049523F" w:rsidRPr="00A46CC4">
        <w:t xml:space="preserve">līdzsvars. </w:t>
      </w:r>
      <w:r w:rsidR="00A26014" w:rsidRPr="00A46CC4">
        <w:t>Ir nodrošināts, ka Latvijas mežiem ir ilgtspējīga vecumstruktūra</w:t>
      </w:r>
      <w:r w:rsidR="00F47E7D">
        <w:rPr>
          <w:rStyle w:val="FootnoteReference"/>
        </w:rPr>
        <w:footnoteReference w:id="66"/>
      </w:r>
      <w:r w:rsidR="00A26014" w:rsidRPr="00A46CC4">
        <w:t>. Kopēj</w:t>
      </w:r>
      <w:r w:rsidR="00F2791B">
        <w:t>ais</w:t>
      </w:r>
      <w:r w:rsidR="00A26014" w:rsidRPr="00A46CC4">
        <w:t xml:space="preserve"> koksnes resursu apjoms valstī nesamazinās. Primāri biomasa tiek iegūta, lai to realizētu vietējā tirgū, tādejādi nodrošinot nacionālo atjaunojamās enerģijas īpatsvara mērķa sasniegšanu</w:t>
      </w:r>
      <w:r w:rsidR="00A86F6A">
        <w:t xml:space="preserve">. Vienlaikus, īstenojot mežu apsaimniekošanu, arī tiek ņemts vērā, ka pret klimata pārmaiņu radītajiem laika apstākļu ekstrēmiem </w:t>
      </w:r>
      <w:r w:rsidR="004B0C87">
        <w:t xml:space="preserve">noturīgākas </w:t>
      </w:r>
      <w:r w:rsidR="00A86F6A">
        <w:t xml:space="preserve">ir </w:t>
      </w:r>
      <w:r w:rsidR="00624EA3">
        <w:t>mērķtiecīgi ar augstvērtīgu reproduktīvo materiālu atjaunotas mežaudzes.</w:t>
      </w:r>
    </w:p>
    <w:p w14:paraId="0AEE1FC5" w14:textId="77777777" w:rsidR="00A26014" w:rsidRPr="00A46CC4" w:rsidRDefault="00A26014" w:rsidP="00E008BC">
      <w:pPr>
        <w:spacing w:before="120" w:after="120"/>
      </w:pPr>
      <w:r w:rsidRPr="00A46CC4">
        <w:t xml:space="preserve">Neapdraudot bioloģisko daudzveidību, tiek selekcionētas un izmantotas jaunas </w:t>
      </w:r>
      <w:r w:rsidR="0049523F">
        <w:t>šķirnes</w:t>
      </w:r>
      <w:r w:rsidRPr="00A46CC4">
        <w:t>, kas ir noturīgas pret klimata pārmaiņām un nodrošina optimālu CO</w:t>
      </w:r>
      <w:r w:rsidRPr="00A46CC4">
        <w:rPr>
          <w:vertAlign w:val="subscript"/>
        </w:rPr>
        <w:t>2</w:t>
      </w:r>
      <w:r w:rsidRPr="00A46CC4">
        <w:t xml:space="preserve"> piesaisti. </w:t>
      </w:r>
    </w:p>
    <w:p w14:paraId="6C45729A" w14:textId="77777777" w:rsidR="00A26014" w:rsidRPr="00A46CC4" w:rsidRDefault="00A26014" w:rsidP="00E008BC">
      <w:pPr>
        <w:spacing w:before="120" w:after="120"/>
      </w:pPr>
      <w:r w:rsidRPr="00A46CC4">
        <w:t xml:space="preserve">Ir attīstītas jaunākās paaudzes biodegvielas, kas mazina riskus, ka pārtikā izmantojamās kultūras un pārtikas audzēšanai piemērotajās augsnes tiek izmantotas bioenerģijas iegūšanai. </w:t>
      </w:r>
    </w:p>
    <w:p w14:paraId="3F4A6AF5" w14:textId="77777777" w:rsidR="00A26014" w:rsidRPr="00A46CC4" w:rsidRDefault="00A26014" w:rsidP="00E008BC">
      <w:pPr>
        <w:spacing w:before="120" w:after="120"/>
      </w:pPr>
      <w:r w:rsidRPr="00A46CC4">
        <w:t xml:space="preserve">Lauksaimniecībā un mežsaimniecībā </w:t>
      </w:r>
      <w:r w:rsidR="00526A13">
        <w:t>visos</w:t>
      </w:r>
      <w:r w:rsidRPr="00A46CC4">
        <w:t xml:space="preserve"> apsaimniekošanas procesa posm</w:t>
      </w:r>
      <w:r w:rsidR="00526A13">
        <w:t>os</w:t>
      </w:r>
      <w:r w:rsidRPr="00A46CC4">
        <w:t xml:space="preserve"> tiek izmantotas tīrākās tehnoloģijas un metodes, kā būtiskus kritērijus izvēloties ilgtspējību, ietekmi uz vidi, klimatu un veselību.</w:t>
      </w:r>
    </w:p>
    <w:p w14:paraId="24F60EA6" w14:textId="77777777" w:rsidR="00526A13" w:rsidRPr="00526A13" w:rsidRDefault="00A26014" w:rsidP="0031388F">
      <w:pPr>
        <w:pStyle w:val="ListParagraph"/>
        <w:numPr>
          <w:ilvl w:val="0"/>
          <w:numId w:val="2"/>
        </w:numPr>
        <w:spacing w:before="120" w:after="120"/>
        <w:ind w:left="714" w:hanging="357"/>
      </w:pPr>
      <w:r w:rsidRPr="008F728F">
        <w:rPr>
          <w:b/>
          <w:iCs/>
          <w:szCs w:val="24"/>
        </w:rPr>
        <w:t>Latvijas lauksaimniecība un mežsaimniecība ir resursu efektīva</w:t>
      </w:r>
      <w:r w:rsidR="000F284D">
        <w:rPr>
          <w:b/>
          <w:iCs/>
          <w:szCs w:val="24"/>
        </w:rPr>
        <w:t> </w:t>
      </w:r>
      <w:r w:rsidRPr="008F728F">
        <w:rPr>
          <w:b/>
          <w:iCs/>
          <w:szCs w:val="24"/>
        </w:rPr>
        <w:t>–</w:t>
      </w:r>
      <w:r w:rsidR="000F284D">
        <w:rPr>
          <w:b/>
          <w:iCs/>
          <w:szCs w:val="24"/>
        </w:rPr>
        <w:t> </w:t>
      </w:r>
      <w:r w:rsidRPr="008F728F">
        <w:rPr>
          <w:b/>
          <w:iCs/>
          <w:szCs w:val="24"/>
        </w:rPr>
        <w:t>panākta augsta produktivitāte, tiek ražoti produkti ar augstu pievienoto vērtību</w:t>
      </w:r>
    </w:p>
    <w:p w14:paraId="0E9CC163" w14:textId="77777777" w:rsidR="00526A13" w:rsidRDefault="00AB0241" w:rsidP="00E008BC">
      <w:pPr>
        <w:spacing w:before="120" w:after="120"/>
      </w:pPr>
      <w:r>
        <w:t xml:space="preserve">Zeme tiek izmantota efektīvi, ievērojot bioresursu izmantošanas ilgtspēju un bioresursu izmantošanā dodot priekšroku tiem izmantošanas veidiem, kas rada augstāku pievienoto vērtību (t.i., ievērojot kaskadēšanas principu). </w:t>
      </w:r>
      <w:r w:rsidR="00526A13" w:rsidRPr="00526A13">
        <w:rPr>
          <w:iCs/>
          <w:szCs w:val="24"/>
        </w:rPr>
        <w:t>Kokrūpniecība ir orientēta uz daudzveidīgu koksnes pārstrādi un starptautiski konkurētspējīgu gala produktu ar augstu pievienoto vērtību ražošanu.</w:t>
      </w:r>
    </w:p>
    <w:p w14:paraId="2EB3A698" w14:textId="3D9F97AC" w:rsidR="00A26014" w:rsidRPr="00A46CC4" w:rsidRDefault="00A26014" w:rsidP="00E008BC">
      <w:pPr>
        <w:spacing w:before="120" w:after="120"/>
      </w:pPr>
      <w:r w:rsidRPr="00A46CC4">
        <w:lastRenderedPageBreak/>
        <w:t>Lauksaimniecībā tiek ievērota laba agronomijas un lopkopības prakse, tādejādi nodrošinot zemes resursu saglabāšanu nākamajām paaudzēm. Ražības palielināšanai tiek izvēlētas uzlabotas šķirnes</w:t>
      </w:r>
      <w:r w:rsidR="00F2791B">
        <w:t xml:space="preserve"> un precīza mēslojuma devu lietošana </w:t>
      </w:r>
      <w:r w:rsidRPr="00A46CC4">
        <w:t>kā arī</w:t>
      </w:r>
      <w:r w:rsidR="008F728F">
        <w:t xml:space="preserve"> tiek</w:t>
      </w:r>
      <w:r w:rsidRPr="00A46CC4">
        <w:t xml:space="preserve"> ievēro</w:t>
      </w:r>
      <w:r w:rsidR="008F728F">
        <w:t>ta</w:t>
      </w:r>
      <w:r w:rsidRPr="00A46CC4">
        <w:t xml:space="preserve"> kultūraugu rotācij</w:t>
      </w:r>
      <w:r w:rsidR="008F728F">
        <w:t>a</w:t>
      </w:r>
      <w:r w:rsidRPr="00A46CC4">
        <w:t>, iesaistot tajā daudzgadīgās kultūras un pākšaugus, kā arī uzturot augsnes sedzi visu gadu vietās, kur iespējama erozija. Minerālmēslu lietošana tiek rūpīgi plānota</w:t>
      </w:r>
      <w:r w:rsidR="000F284D">
        <w:t> </w:t>
      </w:r>
      <w:r w:rsidRPr="00A46CC4">
        <w:t>–</w:t>
      </w:r>
      <w:r w:rsidR="000F284D">
        <w:t> </w:t>
      </w:r>
      <w:r w:rsidRPr="00A46CC4">
        <w:t>pākšaugu izmantošana augu sekā ir ļāvusi samazināt sintētiskā slāpekļa mēslojuma devas, bet uztvērējaugu audzēšana nodrošina, ka virsauga neizmantotais slāpeklis nenonāk vidē. Precīza mēslojuma novadīšanai līdz augiem tiek izmantotas inovatīvas tehnoloģijas, kas ļauj samazināt mēslojuma patēriņu un negatīvo ietekmi uz vidi. Būtiska ir augsnes auglības uzturēšana</w:t>
      </w:r>
      <w:r w:rsidR="000F284D">
        <w:t> </w:t>
      </w:r>
      <w:r w:rsidRPr="00A46CC4">
        <w:t>–</w:t>
      </w:r>
      <w:r w:rsidR="000F284D">
        <w:t> </w:t>
      </w:r>
      <w:r w:rsidRPr="00A46CC4">
        <w:t xml:space="preserve">oglekļa krājas augsnē palielināšana. Kūtsmēslu izmantošana, nodrošinot to iespējami ātru iestrādi augsnē, palīdz izvairīties no augsnes sablīvēšanas un dziļās aršanas. </w:t>
      </w:r>
    </w:p>
    <w:p w14:paraId="3D0ACE77" w14:textId="77777777" w:rsidR="00A26014" w:rsidRPr="00A46CC4" w:rsidRDefault="008F728F" w:rsidP="00E008BC">
      <w:pPr>
        <w:spacing w:before="120" w:after="120"/>
      </w:pPr>
      <w:r>
        <w:t>L</w:t>
      </w:r>
      <w:r w:rsidR="00A26014" w:rsidRPr="00A46CC4">
        <w:t>opkopība tiek plānota</w:t>
      </w:r>
      <w:r w:rsidR="00F61448">
        <w:t>,</w:t>
      </w:r>
      <w:r w:rsidR="00A26014" w:rsidRPr="00A46CC4">
        <w:t xml:space="preserve"> </w:t>
      </w:r>
      <w:r w:rsidR="00F61448">
        <w:t>ņ</w:t>
      </w:r>
      <w:r w:rsidR="00A26014" w:rsidRPr="00A46CC4">
        <w:t>emot vērā jaunākās zinātnes atziņas</w:t>
      </w:r>
      <w:r w:rsidR="00F61448">
        <w:t>.</w:t>
      </w:r>
      <w:r w:rsidR="00A26014" w:rsidRPr="00A46CC4">
        <w:t xml:space="preserve"> </w:t>
      </w:r>
      <w:r w:rsidR="00F61448">
        <w:t>T</w:t>
      </w:r>
      <w:r w:rsidR="00A26014" w:rsidRPr="00A46CC4">
        <w:t xml:space="preserve">iek lietota tāda barība, kas nodrošina optimālus dzīvnieku gremošanas procesus, nekaitējot to veselībai. Ir izveidotas kūtsmēslu krātuves, tiek efektīvi kontrolēta to izmantošana. Saimniecībās, kur tas ir ekonomiski pamatoti, tiek iegūta biogāze no kūtsmēslu un citu organisko atkritumu pārstrādes. Tiek nodrošināta lauksaimniecības dzīvnieku veselība un labturība. </w:t>
      </w:r>
    </w:p>
    <w:p w14:paraId="629F7C60" w14:textId="77777777" w:rsidR="00A26014" w:rsidRPr="00A46CC4" w:rsidRDefault="00A26014" w:rsidP="00E008BC">
      <w:pPr>
        <w:spacing w:before="120" w:after="120"/>
      </w:pPr>
      <w:r w:rsidRPr="00A46CC4">
        <w:t xml:space="preserve">Lauksaimniecībā un mežsaimniecībā, kā arī citās tautsaimniecības nozarēs ir veiksmīgi ieviestas inovācijas. Tiek izmantotas jaunākās zinātnes atziņas. Lēmumi par jaunu politiku un pasākumu ieviešanu tiek pieņemti ilgtspējīgi, analizējot ieguvumus un zaudējumus, kā arī ietekmi uz citām politikām. Tādejādi ir samazinātas emisijas no lauksaimnieciskās ražošanas vienības. </w:t>
      </w:r>
    </w:p>
    <w:p w14:paraId="1B736437" w14:textId="2E8A7747" w:rsidR="00A26014" w:rsidRPr="005314A4" w:rsidRDefault="00A26014" w:rsidP="0031388F">
      <w:pPr>
        <w:pStyle w:val="ListParagraph"/>
        <w:numPr>
          <w:ilvl w:val="0"/>
          <w:numId w:val="2"/>
        </w:numPr>
        <w:spacing w:before="120" w:after="120"/>
        <w:ind w:left="714" w:hanging="357"/>
        <w:rPr>
          <w:b/>
          <w:iCs/>
          <w:szCs w:val="24"/>
        </w:rPr>
      </w:pPr>
      <w:r w:rsidRPr="009C77FE">
        <w:rPr>
          <w:b/>
          <w:iCs/>
          <w:szCs w:val="24"/>
        </w:rPr>
        <w:t xml:space="preserve">Ir veikta </w:t>
      </w:r>
      <w:r w:rsidR="005314A4">
        <w:rPr>
          <w:b/>
          <w:iCs/>
          <w:szCs w:val="24"/>
        </w:rPr>
        <w:t>organisko</w:t>
      </w:r>
      <w:r w:rsidR="004C128C" w:rsidRPr="009C77FE">
        <w:rPr>
          <w:b/>
          <w:iCs/>
          <w:szCs w:val="24"/>
        </w:rPr>
        <w:t xml:space="preserve"> augšņu</w:t>
      </w:r>
      <w:r w:rsidR="00526A13" w:rsidRPr="009C77FE">
        <w:rPr>
          <w:b/>
          <w:iCs/>
          <w:szCs w:val="24"/>
        </w:rPr>
        <w:t xml:space="preserve"> </w:t>
      </w:r>
      <w:r w:rsidRPr="009C77FE">
        <w:rPr>
          <w:b/>
          <w:iCs/>
          <w:szCs w:val="24"/>
        </w:rPr>
        <w:t xml:space="preserve">izpēte un </w:t>
      </w:r>
      <w:r w:rsidR="007C6A23" w:rsidRPr="009C77FE">
        <w:rPr>
          <w:b/>
          <w:iCs/>
          <w:szCs w:val="24"/>
        </w:rPr>
        <w:t xml:space="preserve">tām </w:t>
      </w:r>
      <w:r w:rsidR="00F2791B">
        <w:rPr>
          <w:b/>
          <w:iCs/>
          <w:szCs w:val="24"/>
        </w:rPr>
        <w:t xml:space="preserve">tiek </w:t>
      </w:r>
      <w:r w:rsidR="007C6A23" w:rsidRPr="009C77FE">
        <w:rPr>
          <w:b/>
          <w:iCs/>
          <w:szCs w:val="24"/>
        </w:rPr>
        <w:t xml:space="preserve">piemērota atbilstoša </w:t>
      </w:r>
      <w:r w:rsidR="004C128C" w:rsidRPr="005314A4">
        <w:rPr>
          <w:b/>
          <w:iCs/>
          <w:szCs w:val="24"/>
        </w:rPr>
        <w:t>izmantošana</w:t>
      </w:r>
      <w:r w:rsidRPr="005314A4">
        <w:rPr>
          <w:b/>
          <w:iCs/>
          <w:szCs w:val="24"/>
        </w:rPr>
        <w:t xml:space="preserve"> </w:t>
      </w:r>
    </w:p>
    <w:p w14:paraId="34D856B1" w14:textId="24C91114" w:rsidR="00FE2AD5" w:rsidRPr="00944B60" w:rsidRDefault="00A26014" w:rsidP="00E008BC">
      <w:pPr>
        <w:spacing w:before="120" w:after="120"/>
      </w:pPr>
      <w:r w:rsidRPr="005314A4">
        <w:t xml:space="preserve">Ir attīstīta </w:t>
      </w:r>
      <w:r w:rsidR="00D15D24" w:rsidRPr="005314A4">
        <w:t>iz</w:t>
      </w:r>
      <w:r w:rsidRPr="005314A4">
        <w:t xml:space="preserve">pratne par </w:t>
      </w:r>
      <w:r w:rsidR="00BA61A1">
        <w:t xml:space="preserve">organiskās augsnēs </w:t>
      </w:r>
      <w:r w:rsidRPr="005314A4">
        <w:t>notiekošajiem procesiem, to ietekmi un saikni ar apkārtējo vidi. Ir apzināta esošā situācija</w:t>
      </w:r>
      <w:r w:rsidR="004C128C" w:rsidRPr="005314A4">
        <w:t>, t.sk. apzinātas organisk</w:t>
      </w:r>
      <w:r w:rsidR="005314A4">
        <w:t xml:space="preserve">o </w:t>
      </w:r>
      <w:r w:rsidR="004C128C" w:rsidRPr="005314A4">
        <w:t>aug</w:t>
      </w:r>
      <w:r w:rsidR="005314A4">
        <w:t>šņu platības</w:t>
      </w:r>
      <w:r w:rsidR="004C128C" w:rsidRPr="005314A4">
        <w:t xml:space="preserve">, </w:t>
      </w:r>
      <w:r w:rsidR="005314A4">
        <w:t xml:space="preserve">regulāri </w:t>
      </w:r>
      <w:r w:rsidR="004C128C" w:rsidRPr="005314A4">
        <w:t xml:space="preserve">veikta </w:t>
      </w:r>
      <w:r w:rsidR="005314A4">
        <w:t>augšņu informācijas atjaunošana</w:t>
      </w:r>
      <w:r w:rsidR="00FA4B74">
        <w:t>.</w:t>
      </w:r>
      <w:r w:rsidR="004C128C" w:rsidRPr="005314A4">
        <w:t xml:space="preserve"> </w:t>
      </w:r>
    </w:p>
    <w:p w14:paraId="6A828D6E" w14:textId="1EE67BE6" w:rsidR="005054C6" w:rsidRPr="00944B60" w:rsidRDefault="007C6A23" w:rsidP="00E008BC">
      <w:pPr>
        <w:spacing w:before="120" w:after="120"/>
        <w:rPr>
          <w:szCs w:val="24"/>
        </w:rPr>
      </w:pPr>
      <w:r w:rsidRPr="00C4692E">
        <w:rPr>
          <w:szCs w:val="24"/>
        </w:rPr>
        <w:t xml:space="preserve">Nodrošināta </w:t>
      </w:r>
      <w:r w:rsidR="00C4692E" w:rsidRPr="00C4692E">
        <w:rPr>
          <w:szCs w:val="24"/>
        </w:rPr>
        <w:t>piemērota</w:t>
      </w:r>
      <w:r w:rsidR="000716EB" w:rsidRPr="00C4692E">
        <w:rPr>
          <w:szCs w:val="24"/>
        </w:rPr>
        <w:t xml:space="preserve"> </w:t>
      </w:r>
      <w:r w:rsidRPr="00C4692E">
        <w:rPr>
          <w:szCs w:val="24"/>
        </w:rPr>
        <w:t xml:space="preserve">zemes lietošanas veida </w:t>
      </w:r>
      <w:r w:rsidR="00C4692E" w:rsidRPr="00C4692E">
        <w:rPr>
          <w:szCs w:val="24"/>
        </w:rPr>
        <w:t>izvēle</w:t>
      </w:r>
      <w:r w:rsidRPr="00C4692E">
        <w:rPr>
          <w:szCs w:val="24"/>
        </w:rPr>
        <w:t xml:space="preserve"> LIZ organisko augšņu platībām</w:t>
      </w:r>
      <w:r w:rsidR="005054C6" w:rsidRPr="00C4692E">
        <w:rPr>
          <w:szCs w:val="24"/>
        </w:rPr>
        <w:t>,</w:t>
      </w:r>
      <w:r w:rsidR="005054C6" w:rsidRPr="00944B60">
        <w:rPr>
          <w:szCs w:val="24"/>
        </w:rPr>
        <w:t xml:space="preserve"> kas dažādu iemeslu dēļ (</w:t>
      </w:r>
      <w:r w:rsidR="005054C6" w:rsidRPr="00944B60">
        <w:t>piemēram</w:t>
      </w:r>
      <w:r w:rsidR="005054C6" w:rsidRPr="00944B60">
        <w:rPr>
          <w:szCs w:val="24"/>
        </w:rPr>
        <w:t>, zema augsnes kvalitatīvā vērtība, nepieciešami lieli resursi meliorācijas sistēmu atjaunošanai, pievedceļu neesamība, lauku konfigurācija un atrašanās vieta) netiek aktīvi izmantota</w:t>
      </w:r>
      <w:r w:rsidR="004C128C" w:rsidRPr="00944B60">
        <w:rPr>
          <w:szCs w:val="24"/>
        </w:rPr>
        <w:t>s</w:t>
      </w:r>
      <w:r w:rsidR="005054C6" w:rsidRPr="00944B60">
        <w:rPr>
          <w:szCs w:val="24"/>
        </w:rPr>
        <w:t xml:space="preserve"> lauksaimniecības produkcijas ražošanai. </w:t>
      </w:r>
    </w:p>
    <w:p w14:paraId="2D789997" w14:textId="77777777" w:rsidR="00E13C24" w:rsidRPr="00A46CC4" w:rsidRDefault="00026A16" w:rsidP="00E008BC">
      <w:pPr>
        <w:pStyle w:val="Heading2"/>
        <w:spacing w:before="120"/>
      </w:pPr>
      <w:bookmarkStart w:id="52" w:name="_Toc460423750"/>
      <w:bookmarkStart w:id="53" w:name="_Toc460423753"/>
      <w:bookmarkStart w:id="54" w:name="_Toc460423759"/>
      <w:bookmarkStart w:id="55" w:name="_Toc25580342"/>
      <w:bookmarkEnd w:id="52"/>
      <w:bookmarkEnd w:id="53"/>
      <w:bookmarkEnd w:id="54"/>
      <w:r>
        <w:t>6</w:t>
      </w:r>
      <w:r w:rsidR="003F4AB9">
        <w:t>.</w:t>
      </w:r>
      <w:r w:rsidR="00CA3872">
        <w:t>6</w:t>
      </w:r>
      <w:r w:rsidR="00BE2C2F" w:rsidRPr="00A46CC4">
        <w:t>.</w:t>
      </w:r>
      <w:r w:rsidR="000F284D">
        <w:t> </w:t>
      </w:r>
      <w:r w:rsidR="00C8059F" w:rsidRPr="00A46CC4">
        <w:t>Ilgtspējīgs patēriņš un ražošana</w:t>
      </w:r>
      <w:bookmarkEnd w:id="55"/>
    </w:p>
    <w:p w14:paraId="06A90D87" w14:textId="7CC02E54" w:rsidR="00F831F3" w:rsidRPr="00792635" w:rsidRDefault="00F831F3" w:rsidP="00155932">
      <w:pPr>
        <w:spacing w:before="120" w:after="120"/>
        <w:rPr>
          <w:szCs w:val="24"/>
        </w:rPr>
      </w:pPr>
      <w:r w:rsidRPr="00792635">
        <w:rPr>
          <w:szCs w:val="24"/>
        </w:rPr>
        <w:t>Materiālo resursu ieguv</w:t>
      </w:r>
      <w:r>
        <w:rPr>
          <w:szCs w:val="24"/>
        </w:rPr>
        <w:t>e un izmantošana ir ilgtspējīga</w:t>
      </w:r>
      <w:r w:rsidRPr="00792635">
        <w:rPr>
          <w:szCs w:val="24"/>
        </w:rPr>
        <w:t>, nodrošinot Latvijā augstu resurs</w:t>
      </w:r>
      <w:r w:rsidR="00173D64">
        <w:rPr>
          <w:szCs w:val="24"/>
        </w:rPr>
        <w:t>efektivitāti</w:t>
      </w:r>
      <w:r w:rsidRPr="00792635">
        <w:rPr>
          <w:szCs w:val="24"/>
        </w:rPr>
        <w:t xml:space="preserve">. </w:t>
      </w:r>
      <w:r w:rsidR="004A6386">
        <w:rPr>
          <w:szCs w:val="24"/>
        </w:rPr>
        <w:t xml:space="preserve">Tas </w:t>
      </w:r>
      <w:r w:rsidR="00735610" w:rsidRPr="00A46CC4">
        <w:rPr>
          <w:szCs w:val="24"/>
        </w:rPr>
        <w:t>ar mazāk</w:t>
      </w:r>
      <w:r w:rsidR="00735610">
        <w:rPr>
          <w:szCs w:val="24"/>
        </w:rPr>
        <w:t>u</w:t>
      </w:r>
      <w:r w:rsidR="00735610" w:rsidRPr="00A46CC4">
        <w:rPr>
          <w:szCs w:val="24"/>
        </w:rPr>
        <w:t xml:space="preserve"> resurs</w:t>
      </w:r>
      <w:r w:rsidR="00735610">
        <w:rPr>
          <w:szCs w:val="24"/>
        </w:rPr>
        <w:t xml:space="preserve">u izmantošanu </w:t>
      </w:r>
      <w:r w:rsidR="004A6386">
        <w:rPr>
          <w:szCs w:val="24"/>
        </w:rPr>
        <w:t xml:space="preserve">ļauj </w:t>
      </w:r>
      <w:r w:rsidR="004A6386" w:rsidRPr="00A46CC4">
        <w:rPr>
          <w:szCs w:val="24"/>
        </w:rPr>
        <w:t xml:space="preserve">paveikt </w:t>
      </w:r>
      <w:r w:rsidR="00735610" w:rsidRPr="00A46CC4">
        <w:rPr>
          <w:szCs w:val="24"/>
        </w:rPr>
        <w:t xml:space="preserve">labāk un </w:t>
      </w:r>
      <w:r w:rsidR="004A6386" w:rsidRPr="00A46CC4">
        <w:rPr>
          <w:szCs w:val="24"/>
        </w:rPr>
        <w:t>vairāk.</w:t>
      </w:r>
    </w:p>
    <w:p w14:paraId="1E789517" w14:textId="77777777" w:rsidR="002A1774" w:rsidRPr="00A46CC4" w:rsidRDefault="00E567BE" w:rsidP="00EE2FEE">
      <w:pPr>
        <w:spacing w:before="120" w:after="120"/>
        <w:rPr>
          <w:szCs w:val="24"/>
        </w:rPr>
      </w:pPr>
      <w:r>
        <w:rPr>
          <w:rFonts w:eastAsia="Calibri"/>
          <w:szCs w:val="24"/>
          <w:lang w:eastAsia="en-US"/>
        </w:rPr>
        <w:t>Ekonomiskā a</w:t>
      </w:r>
      <w:r w:rsidRPr="00A46CC4">
        <w:rPr>
          <w:rFonts w:eastAsia="Calibri"/>
          <w:szCs w:val="24"/>
          <w:lang w:eastAsia="en-US"/>
        </w:rPr>
        <w:t>ttīstīb</w:t>
      </w:r>
      <w:r>
        <w:rPr>
          <w:rFonts w:eastAsia="Calibri"/>
          <w:szCs w:val="24"/>
          <w:lang w:eastAsia="en-US"/>
        </w:rPr>
        <w:t>a</w:t>
      </w:r>
      <w:r w:rsidRPr="00A46CC4">
        <w:rPr>
          <w:rFonts w:eastAsia="Calibri"/>
          <w:szCs w:val="24"/>
          <w:lang w:eastAsia="en-US"/>
        </w:rPr>
        <w:t xml:space="preserve"> </w:t>
      </w:r>
      <w:r>
        <w:rPr>
          <w:rFonts w:eastAsia="Calibri"/>
          <w:szCs w:val="24"/>
          <w:lang w:eastAsia="en-US"/>
        </w:rPr>
        <w:t>nav balstīta</w:t>
      </w:r>
      <w:r w:rsidRPr="00A46CC4">
        <w:rPr>
          <w:rFonts w:eastAsia="Calibri"/>
          <w:szCs w:val="24"/>
          <w:lang w:eastAsia="en-US"/>
        </w:rPr>
        <w:t xml:space="preserve"> uz intensīvu enerģijas un resursu patēriņu</w:t>
      </w:r>
      <w:r>
        <w:rPr>
          <w:rFonts w:eastAsia="Calibri"/>
          <w:szCs w:val="24"/>
          <w:lang w:eastAsia="en-US"/>
        </w:rPr>
        <w:t xml:space="preserve">. </w:t>
      </w:r>
      <w:r>
        <w:rPr>
          <w:szCs w:val="24"/>
        </w:rPr>
        <w:t>Ī</w:t>
      </w:r>
      <w:r w:rsidR="00792635">
        <w:rPr>
          <w:szCs w:val="24"/>
        </w:rPr>
        <w:t>stenojot OMA Latvijā</w:t>
      </w:r>
      <w:r w:rsidR="002A1774" w:rsidRPr="00A46CC4">
        <w:rPr>
          <w:szCs w:val="24"/>
        </w:rPr>
        <w:t xml:space="preserve"> ir nodrošināta tāda rīcībpolitika un atbalsta mehānismi, tostarp produktu politika un nodokļu mehānismi, ka</w:t>
      </w:r>
      <w:r w:rsidR="00792635">
        <w:rPr>
          <w:szCs w:val="24"/>
        </w:rPr>
        <w:t>s nodrošina, ka</w:t>
      </w:r>
      <w:r w:rsidR="002A1774" w:rsidRPr="00A46CC4">
        <w:rPr>
          <w:szCs w:val="24"/>
        </w:rPr>
        <w:t xml:space="preserve"> dabas resursu izmantošana ir saimnieciska un ilgtspējīga, kā rezultātā panākts, ka pastāvīgi pieaug ražošanas efektivitāte un resursu produktivitāte, ilgtermiņā sasniedzot </w:t>
      </w:r>
      <w:r w:rsidR="00792635">
        <w:rPr>
          <w:szCs w:val="24"/>
        </w:rPr>
        <w:t>ES</w:t>
      </w:r>
      <w:r w:rsidR="002A1774" w:rsidRPr="00A46CC4">
        <w:rPr>
          <w:szCs w:val="24"/>
        </w:rPr>
        <w:t xml:space="preserve"> valstu vidējos rādītājus</w:t>
      </w:r>
      <w:r w:rsidR="00792635">
        <w:rPr>
          <w:szCs w:val="24"/>
        </w:rPr>
        <w:t xml:space="preserve"> un nemitīgi tiecoties uz arvien augstāku rezultātu</w:t>
      </w:r>
      <w:r w:rsidR="002A1774" w:rsidRPr="00A46CC4">
        <w:rPr>
          <w:szCs w:val="24"/>
        </w:rPr>
        <w:t>.</w:t>
      </w:r>
    </w:p>
    <w:p w14:paraId="12FC4ACE" w14:textId="77777777" w:rsidR="002A1774" w:rsidRPr="00A46CC4" w:rsidRDefault="002A1774" w:rsidP="000900D5">
      <w:pPr>
        <w:spacing w:before="120" w:after="120"/>
        <w:rPr>
          <w:szCs w:val="24"/>
        </w:rPr>
      </w:pPr>
      <w:r w:rsidRPr="00A46CC4">
        <w:rPr>
          <w:szCs w:val="24"/>
        </w:rPr>
        <w:t>Sabiedrība ir sasniegusi tādu brieduma un vides apziņas līmeni, ka izprot ilgtspējīgas attīstības ideju un iesaistās tās īstenošanā. Sabiedrības iepirkšanās un patēriņa paradumi ir ilgtspējīgi, vidi un dabas resursus saudzējoši un taupoši. Darbojas efektīvi dalīšanās ekonomikas modeļi, kurus papildina daudzveidīgas sociālas uzņēmējdarbības un kopienu ekonomikas formas.</w:t>
      </w:r>
    </w:p>
    <w:p w14:paraId="73CE8432" w14:textId="77777777" w:rsidR="00C37507" w:rsidRDefault="00F37EEF" w:rsidP="00E008BC">
      <w:pPr>
        <w:spacing w:before="120" w:after="120"/>
        <w:ind w:firstLine="720"/>
        <w:rPr>
          <w:rFonts w:eastAsia="Calibri"/>
          <w:szCs w:val="24"/>
          <w:lang w:eastAsia="en-US"/>
        </w:rPr>
      </w:pPr>
      <w:r w:rsidRPr="00A46CC4">
        <w:rPr>
          <w:rFonts w:eastAsia="Calibri"/>
          <w:noProof/>
          <w:szCs w:val="24"/>
          <w:lang w:eastAsia="en-US"/>
        </w:rPr>
        <w:t xml:space="preserve">Ekonomiskā attīstība </w:t>
      </w:r>
      <w:r w:rsidR="004A6386">
        <w:rPr>
          <w:rFonts w:eastAsia="Calibri"/>
          <w:noProof/>
          <w:szCs w:val="24"/>
          <w:lang w:eastAsia="en-US"/>
        </w:rPr>
        <w:t>tiek</w:t>
      </w:r>
      <w:r w:rsidRPr="00A46CC4">
        <w:rPr>
          <w:rFonts w:eastAsia="Calibri"/>
          <w:noProof/>
          <w:szCs w:val="24"/>
          <w:lang w:eastAsia="en-US"/>
        </w:rPr>
        <w:t xml:space="preserve"> </w:t>
      </w:r>
      <w:r w:rsidR="00687BCE" w:rsidRPr="00A46CC4">
        <w:rPr>
          <w:rFonts w:eastAsia="Calibri"/>
          <w:noProof/>
          <w:szCs w:val="24"/>
          <w:lang w:eastAsia="en-US"/>
        </w:rPr>
        <w:t>veidota</w:t>
      </w:r>
      <w:r w:rsidRPr="00A46CC4">
        <w:rPr>
          <w:rFonts w:eastAsia="Calibri"/>
          <w:noProof/>
          <w:szCs w:val="24"/>
          <w:lang w:eastAsia="en-US"/>
        </w:rPr>
        <w:t xml:space="preserve"> tā, lai maksimāli un pilnvērtīgi izmantot</w:t>
      </w:r>
      <w:r w:rsidR="00737FA6" w:rsidRPr="00A46CC4">
        <w:rPr>
          <w:rFonts w:eastAsia="Calibri"/>
          <w:noProof/>
          <w:szCs w:val="24"/>
          <w:lang w:eastAsia="en-US"/>
        </w:rPr>
        <w:t>u</w:t>
      </w:r>
      <w:r w:rsidRPr="00A46CC4">
        <w:rPr>
          <w:rFonts w:eastAsia="Calibri"/>
          <w:noProof/>
          <w:szCs w:val="24"/>
          <w:lang w:eastAsia="en-US"/>
        </w:rPr>
        <w:t xml:space="preserve"> izejvielas, </w:t>
      </w:r>
      <w:r w:rsidR="00D55E7E">
        <w:rPr>
          <w:rFonts w:eastAsia="Calibri"/>
          <w:noProof/>
          <w:szCs w:val="24"/>
          <w:lang w:eastAsia="en-US"/>
        </w:rPr>
        <w:t xml:space="preserve">kā arī </w:t>
      </w:r>
      <w:r w:rsidR="00D55E7E" w:rsidRPr="00A46CC4">
        <w:rPr>
          <w:rFonts w:eastAsia="Calibri"/>
          <w:noProof/>
          <w:szCs w:val="24"/>
          <w:lang w:eastAsia="en-US"/>
        </w:rPr>
        <w:t>vis</w:t>
      </w:r>
      <w:r w:rsidR="00D55E7E">
        <w:rPr>
          <w:rFonts w:eastAsia="Calibri"/>
          <w:noProof/>
          <w:szCs w:val="24"/>
          <w:lang w:eastAsia="en-US"/>
        </w:rPr>
        <w:t>us</w:t>
      </w:r>
      <w:r w:rsidR="00D55E7E" w:rsidRPr="00A46CC4">
        <w:rPr>
          <w:rFonts w:eastAsia="Calibri"/>
          <w:noProof/>
          <w:szCs w:val="24"/>
          <w:lang w:eastAsia="en-US"/>
        </w:rPr>
        <w:t xml:space="preserve"> </w:t>
      </w:r>
      <w:r w:rsidR="00D55E7E">
        <w:rPr>
          <w:rFonts w:eastAsia="Calibri"/>
          <w:noProof/>
          <w:szCs w:val="24"/>
          <w:lang w:eastAsia="en-US"/>
        </w:rPr>
        <w:t>ražošanas blakusproduktus un</w:t>
      </w:r>
      <w:r w:rsidR="00D55E7E" w:rsidRPr="00D55E7E">
        <w:rPr>
          <w:rFonts w:eastAsia="Calibri"/>
          <w:noProof/>
          <w:szCs w:val="24"/>
          <w:lang w:eastAsia="en-US"/>
        </w:rPr>
        <w:t xml:space="preserve"> </w:t>
      </w:r>
      <w:r w:rsidR="00D55E7E">
        <w:rPr>
          <w:rFonts w:eastAsia="Calibri"/>
          <w:noProof/>
          <w:szCs w:val="24"/>
          <w:lang w:eastAsia="en-US"/>
        </w:rPr>
        <w:t xml:space="preserve">atlikumus. </w:t>
      </w:r>
      <w:r w:rsidR="00687BCE" w:rsidRPr="00A46CC4">
        <w:rPr>
          <w:rFonts w:eastAsia="Calibri"/>
          <w:szCs w:val="24"/>
          <w:lang w:eastAsia="en-US"/>
        </w:rPr>
        <w:t>Mērķis tiek sasniegts ne tikai ar tehnoloģijām, bet arī</w:t>
      </w:r>
      <w:r w:rsidRPr="00A46CC4">
        <w:rPr>
          <w:rFonts w:eastAsia="Calibri"/>
          <w:szCs w:val="24"/>
          <w:lang w:eastAsia="en-US"/>
        </w:rPr>
        <w:t xml:space="preserve"> </w:t>
      </w:r>
      <w:r w:rsidR="00687BCE" w:rsidRPr="00A46CC4">
        <w:rPr>
          <w:rFonts w:eastAsia="Calibri"/>
          <w:szCs w:val="24"/>
          <w:lang w:eastAsia="en-US"/>
        </w:rPr>
        <w:t>novērsta</w:t>
      </w:r>
      <w:r w:rsidRPr="00A46CC4">
        <w:rPr>
          <w:rFonts w:eastAsia="Calibri"/>
          <w:szCs w:val="24"/>
          <w:lang w:eastAsia="en-US"/>
        </w:rPr>
        <w:t xml:space="preserve"> nesaimnie</w:t>
      </w:r>
      <w:r w:rsidR="00735610">
        <w:rPr>
          <w:rFonts w:eastAsia="Calibri"/>
          <w:szCs w:val="24"/>
          <w:lang w:eastAsia="en-US"/>
        </w:rPr>
        <w:t>ciska ražošana un neilgtspējīg</w:t>
      </w:r>
      <w:r w:rsidRPr="00A46CC4">
        <w:rPr>
          <w:rFonts w:eastAsia="Calibri"/>
          <w:szCs w:val="24"/>
          <w:lang w:eastAsia="en-US"/>
        </w:rPr>
        <w:t xml:space="preserve">s sabiedrības dzīvesveids </w:t>
      </w:r>
      <w:r w:rsidR="00735610">
        <w:rPr>
          <w:rFonts w:eastAsia="Calibri"/>
          <w:szCs w:val="24"/>
          <w:lang w:eastAsia="en-US"/>
        </w:rPr>
        <w:t>(attiecībā uz  patēriņa paradumiem)</w:t>
      </w:r>
      <w:r w:rsidRPr="00A46CC4">
        <w:rPr>
          <w:rFonts w:eastAsia="Calibri"/>
          <w:szCs w:val="24"/>
          <w:lang w:eastAsia="en-US"/>
        </w:rPr>
        <w:t xml:space="preserve"> kā publiskajā, tā privātajā sektorā.</w:t>
      </w:r>
      <w:r w:rsidR="00C37507" w:rsidRPr="00A46CC4">
        <w:rPr>
          <w:rFonts w:eastAsia="Calibri"/>
          <w:szCs w:val="24"/>
          <w:lang w:eastAsia="en-US"/>
        </w:rPr>
        <w:t xml:space="preserve"> Pārdomātāki dizain</w:t>
      </w:r>
      <w:r w:rsidR="00D55E7E">
        <w:rPr>
          <w:rFonts w:eastAsia="Calibri"/>
          <w:szCs w:val="24"/>
          <w:lang w:eastAsia="en-US"/>
        </w:rPr>
        <w:t xml:space="preserve">a </w:t>
      </w:r>
      <w:r w:rsidR="00D55E7E">
        <w:rPr>
          <w:rFonts w:eastAsia="Calibri"/>
          <w:szCs w:val="24"/>
          <w:lang w:eastAsia="en-US"/>
        </w:rPr>
        <w:lastRenderedPageBreak/>
        <w:t>risinājumi</w:t>
      </w:r>
      <w:r w:rsidR="00C37507" w:rsidRPr="00A46CC4">
        <w:rPr>
          <w:rFonts w:eastAsia="Calibri"/>
          <w:szCs w:val="24"/>
          <w:lang w:eastAsia="en-US"/>
        </w:rPr>
        <w:t xml:space="preserve"> un efektīvāka </w:t>
      </w:r>
      <w:r w:rsidR="00D55E7E">
        <w:rPr>
          <w:rFonts w:eastAsia="Calibri"/>
          <w:szCs w:val="24"/>
          <w:lang w:eastAsia="en-US"/>
        </w:rPr>
        <w:t xml:space="preserve">materiālu </w:t>
      </w:r>
      <w:r w:rsidR="00C37507" w:rsidRPr="00A46CC4">
        <w:rPr>
          <w:rFonts w:eastAsia="Calibri"/>
          <w:szCs w:val="24"/>
          <w:lang w:eastAsia="en-US"/>
        </w:rPr>
        <w:t>pārstrād</w:t>
      </w:r>
      <w:r w:rsidR="00D55E7E">
        <w:rPr>
          <w:rFonts w:eastAsia="Calibri"/>
          <w:szCs w:val="24"/>
          <w:lang w:eastAsia="en-US"/>
        </w:rPr>
        <w:t>e</w:t>
      </w:r>
      <w:r w:rsidR="00C37507" w:rsidRPr="00A46CC4">
        <w:rPr>
          <w:rFonts w:eastAsia="Calibri"/>
          <w:szCs w:val="24"/>
          <w:lang w:eastAsia="en-US"/>
        </w:rPr>
        <w:t xml:space="preserve"> </w:t>
      </w:r>
      <w:r w:rsidR="00D55E7E">
        <w:rPr>
          <w:rFonts w:eastAsia="Calibri"/>
          <w:szCs w:val="24"/>
          <w:lang w:eastAsia="en-US"/>
        </w:rPr>
        <w:t>ir</w:t>
      </w:r>
      <w:r w:rsidR="00C37507" w:rsidRPr="00A46CC4">
        <w:rPr>
          <w:rFonts w:eastAsia="Calibri"/>
          <w:szCs w:val="24"/>
          <w:lang w:eastAsia="en-US"/>
        </w:rPr>
        <w:t xml:space="preserve"> uzlabo</w:t>
      </w:r>
      <w:r w:rsidR="00D55E7E">
        <w:rPr>
          <w:rFonts w:eastAsia="Calibri"/>
          <w:szCs w:val="24"/>
          <w:lang w:eastAsia="en-US"/>
        </w:rPr>
        <w:t>jusi</w:t>
      </w:r>
      <w:r w:rsidR="00C37507" w:rsidRPr="00A46CC4">
        <w:rPr>
          <w:rFonts w:eastAsia="Calibri"/>
          <w:szCs w:val="24"/>
          <w:lang w:eastAsia="en-US"/>
        </w:rPr>
        <w:t xml:space="preserve"> resursu otrreizējo izmantošanu un samazinā</w:t>
      </w:r>
      <w:r w:rsidR="00D55E7E">
        <w:rPr>
          <w:rFonts w:eastAsia="Calibri"/>
          <w:szCs w:val="24"/>
          <w:lang w:eastAsia="en-US"/>
        </w:rPr>
        <w:t>jusi</w:t>
      </w:r>
      <w:r w:rsidR="00C37507" w:rsidRPr="00A46CC4">
        <w:rPr>
          <w:rFonts w:eastAsia="Calibri"/>
          <w:szCs w:val="24"/>
          <w:lang w:eastAsia="en-US"/>
        </w:rPr>
        <w:t xml:space="preserve"> kopējo resursu patēriņu.</w:t>
      </w:r>
    </w:p>
    <w:p w14:paraId="54B25751" w14:textId="77777777" w:rsidR="006908F4" w:rsidRPr="006908F4" w:rsidRDefault="00735610" w:rsidP="0031388F">
      <w:pPr>
        <w:pStyle w:val="ListParagraph"/>
        <w:numPr>
          <w:ilvl w:val="0"/>
          <w:numId w:val="2"/>
        </w:numPr>
        <w:spacing w:before="120" w:after="120"/>
        <w:ind w:hanging="363"/>
        <w:rPr>
          <w:b/>
          <w:szCs w:val="24"/>
        </w:rPr>
      </w:pPr>
      <w:r>
        <w:rPr>
          <w:b/>
          <w:szCs w:val="24"/>
        </w:rPr>
        <w:t>T</w:t>
      </w:r>
      <w:r w:rsidR="00EA2637">
        <w:rPr>
          <w:b/>
          <w:szCs w:val="24"/>
        </w:rPr>
        <w:t>iek izmantotas tikai klimatam un videi draudzīgākās ķīmisko vielu alternatīvas</w:t>
      </w:r>
      <w:r w:rsidR="006908F4">
        <w:rPr>
          <w:b/>
          <w:szCs w:val="24"/>
        </w:rPr>
        <w:t xml:space="preserve"> </w:t>
      </w:r>
    </w:p>
    <w:p w14:paraId="58CCA0A8" w14:textId="77777777" w:rsidR="00CF4E4E" w:rsidRPr="00CF4E4E" w:rsidRDefault="006908F4" w:rsidP="00E008BC">
      <w:pPr>
        <w:spacing w:before="120" w:after="120"/>
      </w:pPr>
      <w:r w:rsidRPr="00CF4E4E">
        <w:t>Gan ražošanā</w:t>
      </w:r>
      <w:r w:rsidR="00CF4E4E">
        <w:t xml:space="preserve"> un pakalpojumu sniegšanā,</w:t>
      </w:r>
      <w:r w:rsidR="00CF4E4E" w:rsidRPr="00CF4E4E">
        <w:t xml:space="preserve"> gan</w:t>
      </w:r>
      <w:r w:rsidRPr="00CF4E4E">
        <w:t xml:space="preserve"> sadzīvē izmantotās ķīmiskās vielas, kas kaitīgas klimatam, aizstātas ar draudzīgākām alternatīvām.</w:t>
      </w:r>
    </w:p>
    <w:p w14:paraId="3D3C2BE4" w14:textId="77777777" w:rsidR="006908F4" w:rsidRPr="00CF4E4E" w:rsidRDefault="00CF4E4E" w:rsidP="00E008BC">
      <w:pPr>
        <w:spacing w:before="120" w:after="120"/>
      </w:pPr>
      <w:r w:rsidRPr="00CF4E4E">
        <w:t>Mājsaimniecībās līdz minimumam</w:t>
      </w:r>
      <w:r w:rsidR="006908F4" w:rsidRPr="00CF4E4E">
        <w:t xml:space="preserve"> samazināt</w:t>
      </w:r>
      <w:r w:rsidRPr="00CF4E4E">
        <w:t>s</w:t>
      </w:r>
      <w:r w:rsidR="006908F4" w:rsidRPr="00CF4E4E">
        <w:t xml:space="preserve"> </w:t>
      </w:r>
      <w:r w:rsidRPr="00CF4E4E">
        <w:t>sadzīves</w:t>
      </w:r>
      <w:r w:rsidR="006908F4" w:rsidRPr="00CF4E4E">
        <w:t xml:space="preserve"> ķīmisko vielu </w:t>
      </w:r>
      <w:r w:rsidRPr="00CF4E4E">
        <w:t xml:space="preserve">lietošanas </w:t>
      </w:r>
      <w:r w:rsidR="006908F4" w:rsidRPr="00CF4E4E">
        <w:t>apjom</w:t>
      </w:r>
      <w:r w:rsidRPr="00CF4E4E">
        <w:t>s.</w:t>
      </w:r>
    </w:p>
    <w:p w14:paraId="486CA205" w14:textId="77777777" w:rsidR="00F37EEF" w:rsidRPr="0038710B" w:rsidRDefault="0038710B" w:rsidP="0031388F">
      <w:pPr>
        <w:pStyle w:val="ListParagraph"/>
        <w:numPr>
          <w:ilvl w:val="0"/>
          <w:numId w:val="2"/>
        </w:numPr>
        <w:spacing w:before="120" w:after="120"/>
        <w:ind w:left="714" w:hanging="357"/>
        <w:rPr>
          <w:szCs w:val="24"/>
        </w:rPr>
      </w:pPr>
      <w:r>
        <w:rPr>
          <w:b/>
          <w:szCs w:val="24"/>
        </w:rPr>
        <w:t>N</w:t>
      </w:r>
      <w:r w:rsidR="004A6386">
        <w:rPr>
          <w:b/>
          <w:szCs w:val="24"/>
        </w:rPr>
        <w:t xml:space="preserve">av </w:t>
      </w:r>
      <w:r>
        <w:rPr>
          <w:b/>
          <w:szCs w:val="24"/>
        </w:rPr>
        <w:t xml:space="preserve">atkritumu, ir </w:t>
      </w:r>
      <w:r w:rsidRPr="005F2265">
        <w:rPr>
          <w:b/>
          <w:iCs/>
          <w:szCs w:val="24"/>
        </w:rPr>
        <w:t>tikai</w:t>
      </w:r>
      <w:r>
        <w:rPr>
          <w:b/>
          <w:szCs w:val="24"/>
        </w:rPr>
        <w:t xml:space="preserve"> izejvielas</w:t>
      </w:r>
    </w:p>
    <w:p w14:paraId="0A906BA4" w14:textId="77777777" w:rsidR="0072282A" w:rsidRPr="00A46CC4" w:rsidRDefault="0072282A" w:rsidP="00E008BC">
      <w:pPr>
        <w:spacing w:before="120" w:after="120"/>
        <w:ind w:firstLine="720"/>
      </w:pPr>
      <w:r w:rsidRPr="00A46CC4">
        <w:t xml:space="preserve">Uzņēmumu īstenotie ražošanas modeļi balstās uz inovācijām, tie ir vērsti uz efektīvu resursu izmantošanu visā produkta dzīves ciklā, nodrošinot, </w:t>
      </w:r>
      <w:r w:rsidR="0038710B" w:rsidRPr="0038710B">
        <w:rPr>
          <w:szCs w:val="24"/>
        </w:rPr>
        <w:t>ka resursi atgriežas ekonomiskajā apritē</w:t>
      </w:r>
      <w:r w:rsidRPr="0038710B">
        <w:t>.</w:t>
      </w:r>
      <w:r w:rsidRPr="00A46CC4">
        <w:t xml:space="preserve"> Uzņēmumi </w:t>
      </w:r>
      <w:r w:rsidR="00735610">
        <w:t xml:space="preserve">savstarpēji </w:t>
      </w:r>
      <w:r w:rsidRPr="00A46CC4">
        <w:t xml:space="preserve">sadarbojas resursu </w:t>
      </w:r>
      <w:r w:rsidR="0038710B">
        <w:t>izmantošanā</w:t>
      </w:r>
      <w:r w:rsidRPr="00A46CC4">
        <w:t xml:space="preserve"> (</w:t>
      </w:r>
      <w:r w:rsidR="00D55E7E">
        <w:t xml:space="preserve">ir attīstīti </w:t>
      </w:r>
      <w:r w:rsidRPr="00A46CC4">
        <w:t>industriālā</w:t>
      </w:r>
      <w:r w:rsidR="00D55E7E">
        <w:t>s</w:t>
      </w:r>
      <w:r w:rsidRPr="00A46CC4">
        <w:t xml:space="preserve"> simbioze</w:t>
      </w:r>
      <w:r w:rsidR="00D55E7E">
        <w:t>s risinājumi, kā arī tiek veidoti industriālie klasteri</w:t>
      </w:r>
      <w:r w:rsidRPr="00A46CC4">
        <w:t>).</w:t>
      </w:r>
    </w:p>
    <w:p w14:paraId="617E338A" w14:textId="77777777" w:rsidR="002A1774" w:rsidRPr="00CC0B90" w:rsidRDefault="00D55E7E" w:rsidP="0031388F">
      <w:pPr>
        <w:pStyle w:val="ListParagraph"/>
        <w:numPr>
          <w:ilvl w:val="0"/>
          <w:numId w:val="2"/>
        </w:numPr>
        <w:spacing w:before="120" w:after="120"/>
        <w:ind w:left="714" w:hanging="357"/>
        <w:rPr>
          <w:b/>
        </w:rPr>
      </w:pPr>
      <w:r w:rsidRPr="00CC0B90">
        <w:rPr>
          <w:b/>
        </w:rPr>
        <w:t xml:space="preserve">Sabiedrība ir </w:t>
      </w:r>
      <w:r w:rsidRPr="005F2265">
        <w:rPr>
          <w:b/>
          <w:iCs/>
          <w:szCs w:val="24"/>
        </w:rPr>
        <w:t>mainījusi</w:t>
      </w:r>
      <w:r w:rsidRPr="00CC0B90">
        <w:rPr>
          <w:b/>
        </w:rPr>
        <w:t xml:space="preserve"> savus paradumus</w:t>
      </w:r>
      <w:r w:rsidR="00D769F5">
        <w:rPr>
          <w:b/>
        </w:rPr>
        <w:t>,</w:t>
      </w:r>
      <w:r w:rsidRPr="00CC0B90">
        <w:rPr>
          <w:b/>
        </w:rPr>
        <w:t xml:space="preserve"> </w:t>
      </w:r>
      <w:r w:rsidR="00D769F5">
        <w:rPr>
          <w:b/>
        </w:rPr>
        <w:t xml:space="preserve">iedzīvotāju </w:t>
      </w:r>
      <w:r w:rsidRPr="00CC0B90">
        <w:rPr>
          <w:b/>
        </w:rPr>
        <w:t xml:space="preserve">pieprasījums </w:t>
      </w:r>
      <w:r w:rsidR="002A1774" w:rsidRPr="00CC0B90">
        <w:rPr>
          <w:b/>
        </w:rPr>
        <w:t xml:space="preserve">veicina </w:t>
      </w:r>
      <w:r w:rsidR="00185C2B" w:rsidRPr="00CC0B90">
        <w:rPr>
          <w:b/>
        </w:rPr>
        <w:t xml:space="preserve">plašāku </w:t>
      </w:r>
      <w:r w:rsidR="002A1774" w:rsidRPr="00CC0B90">
        <w:rPr>
          <w:b/>
        </w:rPr>
        <w:t xml:space="preserve">videi draudzīgāku </w:t>
      </w:r>
      <w:r w:rsidR="0038710B" w:rsidRPr="00CC0B90">
        <w:rPr>
          <w:b/>
        </w:rPr>
        <w:t xml:space="preserve">preču </w:t>
      </w:r>
      <w:r w:rsidR="0038710B" w:rsidRPr="005F2265">
        <w:rPr>
          <w:b/>
          <w:iCs/>
          <w:szCs w:val="24"/>
        </w:rPr>
        <w:t>un</w:t>
      </w:r>
      <w:r w:rsidR="0038710B" w:rsidRPr="00CC0B90">
        <w:rPr>
          <w:b/>
        </w:rPr>
        <w:t xml:space="preserve"> </w:t>
      </w:r>
      <w:r w:rsidR="002A1774" w:rsidRPr="00CC0B90">
        <w:rPr>
          <w:b/>
        </w:rPr>
        <w:t xml:space="preserve">pakalpojumu </w:t>
      </w:r>
      <w:r w:rsidR="00185C2B" w:rsidRPr="00CC0B90">
        <w:rPr>
          <w:b/>
        </w:rPr>
        <w:t>piedāvājumu tirgū</w:t>
      </w:r>
    </w:p>
    <w:p w14:paraId="418C217B" w14:textId="77777777" w:rsidR="001E36FF" w:rsidRDefault="00687BCE" w:rsidP="00E008BC">
      <w:pPr>
        <w:spacing w:before="120" w:after="120"/>
        <w:ind w:firstLine="720"/>
      </w:pPr>
      <w:r w:rsidRPr="00A46CC4">
        <w:t>P</w:t>
      </w:r>
      <w:r w:rsidR="002A1774" w:rsidRPr="00A46CC4">
        <w:t xml:space="preserve">ar ilgtspējīgu attīstību </w:t>
      </w:r>
      <w:r w:rsidRPr="00A46CC4">
        <w:t>ir atbildīgi ne</w:t>
      </w:r>
      <w:r w:rsidR="001E36FF">
        <w:t xml:space="preserve"> tikai </w:t>
      </w:r>
      <w:r w:rsidRPr="00A46CC4">
        <w:t>ražotāji, bet visa sabiedrība kopumā</w:t>
      </w:r>
      <w:r w:rsidR="0038710B">
        <w:t xml:space="preserve">, jo tā rada </w:t>
      </w:r>
      <w:r w:rsidR="001E36FF">
        <w:t xml:space="preserve">attiecīgo produktu </w:t>
      </w:r>
      <w:r w:rsidR="00D769F5">
        <w:t>vai</w:t>
      </w:r>
      <w:r w:rsidR="001E36FF">
        <w:t xml:space="preserve"> pakalpojumu </w:t>
      </w:r>
      <w:r w:rsidR="0038710B">
        <w:t>pieprasījumu</w:t>
      </w:r>
      <w:r w:rsidRPr="00A46CC4">
        <w:t xml:space="preserve">. </w:t>
      </w:r>
    </w:p>
    <w:p w14:paraId="37ED3830" w14:textId="77777777" w:rsidR="002A1774" w:rsidRDefault="00687BCE" w:rsidP="00E008BC">
      <w:pPr>
        <w:spacing w:before="120" w:after="120"/>
        <w:ind w:firstLine="720"/>
      </w:pPr>
      <w:r w:rsidRPr="00A46CC4">
        <w:t>Katrs indivīds, kolektīvs (skola</w:t>
      </w:r>
      <w:r w:rsidR="002A1774" w:rsidRPr="00A46CC4">
        <w:t>, iestāde</w:t>
      </w:r>
      <w:r w:rsidRPr="00A46CC4">
        <w:t>, birojs u.tml.), ģimene un mājsaimniecība</w:t>
      </w:r>
      <w:r w:rsidR="002A1774" w:rsidRPr="00A46CC4">
        <w:t xml:space="preserve"> </w:t>
      </w:r>
      <w:r w:rsidR="001E36FF">
        <w:t xml:space="preserve">apzinās savu izvēļu ietekmi uz klimatu, vidi un resursu patēriņu, tādēļ </w:t>
      </w:r>
      <w:r w:rsidR="002A1774" w:rsidRPr="00A46CC4">
        <w:t xml:space="preserve">ir </w:t>
      </w:r>
      <w:r w:rsidRPr="00A46CC4">
        <w:t>izvērtējusi savu attieksmi</w:t>
      </w:r>
      <w:r w:rsidR="002A1774" w:rsidRPr="00A46CC4">
        <w:t xml:space="preserve"> pret to, kā patērē resursus</w:t>
      </w:r>
      <w:r w:rsidR="000F284D">
        <w:t> </w:t>
      </w:r>
      <w:r w:rsidR="002A1774" w:rsidRPr="00A46CC4">
        <w:t>-</w:t>
      </w:r>
      <w:r w:rsidR="000F284D">
        <w:t> </w:t>
      </w:r>
      <w:r w:rsidR="002A1774" w:rsidRPr="00A46CC4">
        <w:t>k</w:t>
      </w:r>
      <w:r w:rsidR="00D55E7E">
        <w:t>ā</w:t>
      </w:r>
      <w:r w:rsidR="002A1774" w:rsidRPr="00A46CC4">
        <w:t xml:space="preserve"> </w:t>
      </w:r>
      <w:r w:rsidR="00D55E7E">
        <w:t>izmanto</w:t>
      </w:r>
      <w:r w:rsidR="002A1774" w:rsidRPr="00A46CC4">
        <w:t xml:space="preserve"> ūdeni un enerģiju, </w:t>
      </w:r>
      <w:r w:rsidR="00D55E7E">
        <w:t xml:space="preserve">cik daudz un </w:t>
      </w:r>
      <w:r w:rsidR="002A1774" w:rsidRPr="00A46CC4">
        <w:t>kādus atkritumus rada un kur tie nonāk, kā patērē pārtiku</w:t>
      </w:r>
      <w:r w:rsidR="00D55E7E">
        <w:t xml:space="preserve">, kādi ir pārvietošanās un iepirkšanās </w:t>
      </w:r>
      <w:r w:rsidR="002A1774" w:rsidRPr="00A46CC4">
        <w:t>paradumi, kādas preces pērk un kā tās li</w:t>
      </w:r>
      <w:r w:rsidRPr="00A46CC4">
        <w:t>eto, kādus pakalpojumus izmanto.</w:t>
      </w:r>
      <w:r w:rsidR="002A1774" w:rsidRPr="00A46CC4">
        <w:t xml:space="preserve"> </w:t>
      </w:r>
    </w:p>
    <w:p w14:paraId="22914E60" w14:textId="77777777" w:rsidR="00B72901" w:rsidRPr="00A46CC4" w:rsidRDefault="00B72901" w:rsidP="00AD78AE">
      <w:pPr>
        <w:spacing w:before="120" w:after="120"/>
      </w:pPr>
      <w:r w:rsidRPr="00A46CC4">
        <w:t>Mājsaimniecības</w:t>
      </w:r>
      <w:r w:rsidR="00CF6DEF">
        <w:t>, izmantojot publiski pieejamos rīkus,</w:t>
      </w:r>
      <w:r w:rsidR="00CF6DEF" w:rsidRPr="00A46CC4">
        <w:t xml:space="preserve"> </w:t>
      </w:r>
      <w:r w:rsidRPr="00A46CC4">
        <w:t>ir noteikušas savu „oglekļa pēdu”</w:t>
      </w:r>
      <w:r>
        <w:rPr>
          <w:rStyle w:val="FootnoteReference"/>
        </w:rPr>
        <w:footnoteReference w:id="67"/>
      </w:r>
      <w:r w:rsidR="000F284D">
        <w:t> </w:t>
      </w:r>
      <w:r w:rsidRPr="00A46CC4">
        <w:t>–</w:t>
      </w:r>
      <w:r w:rsidR="000F284D">
        <w:t> </w:t>
      </w:r>
      <w:r w:rsidRPr="00A46CC4">
        <w:t>CO</w:t>
      </w:r>
      <w:r w:rsidRPr="00A46CC4">
        <w:rPr>
          <w:vertAlign w:val="subscript"/>
        </w:rPr>
        <w:t>2</w:t>
      </w:r>
      <w:r w:rsidRPr="00A46CC4">
        <w:t xml:space="preserve"> emisiju apjomu, ko gada laikā rada </w:t>
      </w:r>
      <w:r w:rsidR="00C3429C">
        <w:t xml:space="preserve">katrs </w:t>
      </w:r>
      <w:r w:rsidRPr="00A46CC4">
        <w:t xml:space="preserve">indivīds vai produkts un rūpīgi seko, lai tā nepalielinātos. </w:t>
      </w:r>
    </w:p>
    <w:p w14:paraId="3B78708C" w14:textId="77777777" w:rsidR="002A1774" w:rsidRPr="00A46CC4" w:rsidRDefault="002A1774" w:rsidP="00E008BC">
      <w:pPr>
        <w:spacing w:before="120" w:after="120"/>
        <w:ind w:firstLine="720"/>
      </w:pPr>
      <w:r w:rsidRPr="00A46CC4">
        <w:t xml:space="preserve">Privāto un publisko pircēju patēriņa ieradumu </w:t>
      </w:r>
      <w:r w:rsidR="00185C2B" w:rsidRPr="00A46CC4">
        <w:t>(uzvedības</w:t>
      </w:r>
      <w:r w:rsidR="00185C2B">
        <w:t>)</w:t>
      </w:r>
      <w:r w:rsidR="00185C2B" w:rsidRPr="00A46CC4">
        <w:t xml:space="preserve"> </w:t>
      </w:r>
      <w:r w:rsidR="00687BCE" w:rsidRPr="00A46CC4">
        <w:t>maiņa palīdz</w:t>
      </w:r>
      <w:r w:rsidRPr="00A46CC4">
        <w:t xml:space="preserve"> pa</w:t>
      </w:r>
      <w:r w:rsidR="00687BCE" w:rsidRPr="00A46CC4">
        <w:t>nākt resursu efektivitāti un dod</w:t>
      </w:r>
      <w:r w:rsidRPr="00A46CC4">
        <w:t xml:space="preserve"> arī fiskālos ieguvumus. Tas</w:t>
      </w:r>
      <w:r w:rsidR="001E36FF">
        <w:t>,</w:t>
      </w:r>
      <w:r w:rsidRPr="00A46CC4">
        <w:t xml:space="preserve"> savukārt</w:t>
      </w:r>
      <w:r w:rsidR="001E36FF">
        <w:t>,</w:t>
      </w:r>
      <w:r w:rsidRPr="00A46CC4">
        <w:t xml:space="preserve"> </w:t>
      </w:r>
      <w:r w:rsidR="00687BCE" w:rsidRPr="00A46CC4">
        <w:t>veicina</w:t>
      </w:r>
      <w:r w:rsidRPr="00A46CC4">
        <w:t xml:space="preserve"> pieprasījumu pēc resursu ziņā efektīvākiem pakalpojumiem un produktiem. Patērētāji var ietaupīt izmaksas, paši novēršot atkritumu rašanos un pērkot </w:t>
      </w:r>
      <w:r w:rsidR="00761A09">
        <w:t>produktus</w:t>
      </w:r>
      <w:r w:rsidRPr="00A46CC4">
        <w:t xml:space="preserve">, ko var lietot ilgstoši vai ko </w:t>
      </w:r>
      <w:r w:rsidR="00D769F5">
        <w:t>iespējams</w:t>
      </w:r>
      <w:r w:rsidRPr="00A46CC4">
        <w:t xml:space="preserve"> vie</w:t>
      </w:r>
      <w:r w:rsidR="00D769F5">
        <w:t>nkāršāk</w:t>
      </w:r>
      <w:r w:rsidRPr="00A46CC4">
        <w:t xml:space="preserve"> salabot vai pārstrādāt. </w:t>
      </w:r>
      <w:r w:rsidR="00687BCE" w:rsidRPr="00A46CC4">
        <w:t xml:space="preserve">Ir </w:t>
      </w:r>
      <w:r w:rsidR="00761A09">
        <w:t xml:space="preserve">plaši pieejami un tiek izmantoti </w:t>
      </w:r>
      <w:r w:rsidR="00687BCE" w:rsidRPr="00A46CC4">
        <w:t>tādi pakalpojumi</w:t>
      </w:r>
      <w:r w:rsidRPr="00A46CC4">
        <w:t xml:space="preserve">, kas piedāvā </w:t>
      </w:r>
      <w:r w:rsidR="00761A09">
        <w:t>remontu</w:t>
      </w:r>
      <w:r w:rsidRPr="00A46CC4">
        <w:t xml:space="preserve">, apkopi, nomu. </w:t>
      </w:r>
    </w:p>
    <w:p w14:paraId="16828321" w14:textId="77777777" w:rsidR="001E36FF" w:rsidRPr="00A46CC4" w:rsidRDefault="001E36FF" w:rsidP="00E008BC">
      <w:pPr>
        <w:spacing w:before="120" w:after="120"/>
        <w:ind w:firstLine="720"/>
      </w:pPr>
      <w:r>
        <w:t xml:space="preserve">Liela nozīme ir sabiedriskajām kustībām, informācijas un izglītojošām kampaņām, kā arī pilsoniskajai iniciatīvai. </w:t>
      </w:r>
      <w:r w:rsidR="008670FF" w:rsidRPr="00A46CC4">
        <w:t>V</w:t>
      </w:r>
      <w:r w:rsidR="002A1774" w:rsidRPr="00A46CC4">
        <w:t>als</w:t>
      </w:r>
      <w:r w:rsidR="008258F8">
        <w:t>tī ir daudz privātu iniciatīvu/</w:t>
      </w:r>
      <w:r w:rsidR="002A1774" w:rsidRPr="00A46CC4">
        <w:t>prasmju nodošanas mehānismu, kur cilvēki dalās personiskajā pieredzē par materiālu (tekstila u.c.) atkārtotas izmantošanas iespējām, pārstrādājot tos sadzīves produktos pašu rokā</w:t>
      </w:r>
      <w:r w:rsidR="008258F8">
        <w:t>m</w:t>
      </w:r>
      <w:r w:rsidR="002A1774" w:rsidRPr="00A46CC4">
        <w:t xml:space="preserve">. </w:t>
      </w:r>
    </w:p>
    <w:p w14:paraId="27ED3B6B" w14:textId="77777777" w:rsidR="006908F4" w:rsidRPr="006908F4" w:rsidRDefault="00D769F5" w:rsidP="00E008BC">
      <w:pPr>
        <w:pStyle w:val="Subtitle"/>
        <w:spacing w:after="120"/>
        <w:rPr>
          <w:b w:val="0"/>
        </w:rPr>
      </w:pPr>
      <w:r>
        <w:rPr>
          <w:b w:val="0"/>
        </w:rPr>
        <w:t>Ņemot vērā</w:t>
      </w:r>
      <w:r w:rsidR="009845C5" w:rsidRPr="00A46CC4">
        <w:rPr>
          <w:b w:val="0"/>
        </w:rPr>
        <w:t xml:space="preserve"> jaunāk</w:t>
      </w:r>
      <w:r>
        <w:rPr>
          <w:b w:val="0"/>
        </w:rPr>
        <w:t>os</w:t>
      </w:r>
      <w:r w:rsidR="009845C5" w:rsidRPr="00A46CC4">
        <w:rPr>
          <w:b w:val="0"/>
        </w:rPr>
        <w:t xml:space="preserve"> zinātn</w:t>
      </w:r>
      <w:r>
        <w:rPr>
          <w:b w:val="0"/>
        </w:rPr>
        <w:t>iskos pētījumus</w:t>
      </w:r>
      <w:r w:rsidR="009845C5" w:rsidRPr="00A46CC4">
        <w:rPr>
          <w:b w:val="0"/>
        </w:rPr>
        <w:t xml:space="preserve">, ir izstrādāta normatīvo aktu bāze, vadlīnijas un citi metodiskie materiāli ZPI un Zaļā iepirkuma  piemērošanai. ZPI komponente tiek piemērota </w:t>
      </w:r>
      <w:r w:rsidR="009845C5">
        <w:rPr>
          <w:b w:val="0"/>
        </w:rPr>
        <w:t xml:space="preserve">visos </w:t>
      </w:r>
      <w:r w:rsidR="009845C5" w:rsidRPr="00A46CC4">
        <w:rPr>
          <w:b w:val="0"/>
        </w:rPr>
        <w:t xml:space="preserve">publiskajos iepirkumos. </w:t>
      </w:r>
    </w:p>
    <w:p w14:paraId="530D34B6" w14:textId="77777777" w:rsidR="00281DC4" w:rsidRDefault="00026A16" w:rsidP="00E008BC">
      <w:pPr>
        <w:pStyle w:val="Heading2"/>
        <w:spacing w:before="120"/>
      </w:pPr>
      <w:bookmarkStart w:id="56" w:name="_Toc25580343"/>
      <w:r>
        <w:t>6.</w:t>
      </w:r>
      <w:r w:rsidR="00CA3872">
        <w:t>7</w:t>
      </w:r>
      <w:r>
        <w:t>.</w:t>
      </w:r>
      <w:r w:rsidR="000F284D">
        <w:t> </w:t>
      </w:r>
      <w:r w:rsidR="00191DC9" w:rsidRPr="00191DC9">
        <w:t>Ilgtspējīga</w:t>
      </w:r>
      <w:r w:rsidR="00DE23FC">
        <w:t>s pašvaldības un</w:t>
      </w:r>
      <w:r w:rsidR="00191DC9" w:rsidRPr="00191DC9">
        <w:t xml:space="preserve"> pilsētvide</w:t>
      </w:r>
      <w:bookmarkEnd w:id="56"/>
    </w:p>
    <w:p w14:paraId="3CAC16D7" w14:textId="77777777" w:rsidR="00BF6E61" w:rsidRDefault="00741BAD" w:rsidP="00E008BC">
      <w:pPr>
        <w:spacing w:before="120" w:after="120"/>
      </w:pPr>
      <w:r>
        <w:t xml:space="preserve">Bez pašvaldību iniciatīvām un aktīvas rīcības klimata pārmaiņu mazināšanā reģionālā līmenī, nacionālo mērķu sasniegšana ir apdraudēta. </w:t>
      </w:r>
      <w:r w:rsidR="00BF6E61">
        <w:t xml:space="preserve">Pildot </w:t>
      </w:r>
      <w:r>
        <w:t xml:space="preserve">normatīvajos aktos </w:t>
      </w:r>
      <w:r w:rsidR="00BF6E61">
        <w:t>noteiktās obligātās funkcijas</w:t>
      </w:r>
      <w:r w:rsidR="004E256D">
        <w:t>,</w:t>
      </w:r>
      <w:r w:rsidR="00BF6E61">
        <w:t xml:space="preserve"> pašvaldīb</w:t>
      </w:r>
      <w:r w:rsidR="00390064">
        <w:t>ām</w:t>
      </w:r>
      <w:r w:rsidR="00BF6E61">
        <w:t xml:space="preserve"> ir daudz iespēju, kā veicināt </w:t>
      </w:r>
      <w:r w:rsidR="000C2139">
        <w:t xml:space="preserve">nacionālo </w:t>
      </w:r>
      <w:r w:rsidR="00BF6E61">
        <w:t xml:space="preserve">mērķu </w:t>
      </w:r>
      <w:r w:rsidR="000C2139">
        <w:t>SEG emisiju samazināšan</w:t>
      </w:r>
      <w:r w:rsidR="000C2139" w:rsidRPr="00530704">
        <w:t>ā</w:t>
      </w:r>
      <w:r w:rsidR="008A4589">
        <w:t>,</w:t>
      </w:r>
      <w:r w:rsidR="000C2139">
        <w:t xml:space="preserve"> </w:t>
      </w:r>
      <w:r w:rsidR="00BF6E61">
        <w:t xml:space="preserve">sasniegšanu. </w:t>
      </w:r>
    </w:p>
    <w:p w14:paraId="30F4FF16" w14:textId="77777777" w:rsidR="0057194D" w:rsidRPr="0057194D" w:rsidRDefault="00F06415" w:rsidP="0031388F">
      <w:pPr>
        <w:pStyle w:val="ListParagraph"/>
        <w:numPr>
          <w:ilvl w:val="0"/>
          <w:numId w:val="2"/>
        </w:numPr>
        <w:spacing w:before="120" w:after="120"/>
        <w:rPr>
          <w:b/>
          <w:iCs/>
          <w:szCs w:val="24"/>
        </w:rPr>
      </w:pPr>
      <w:r w:rsidRPr="0057194D">
        <w:rPr>
          <w:b/>
          <w:iCs/>
          <w:szCs w:val="24"/>
        </w:rPr>
        <w:lastRenderedPageBreak/>
        <w:t>Pilsētas un novadi</w:t>
      </w:r>
      <w:r w:rsidR="00C12ADB">
        <w:rPr>
          <w:b/>
          <w:iCs/>
          <w:szCs w:val="24"/>
        </w:rPr>
        <w:t xml:space="preserve"> dod ieguldījumu klimata pārmaiņu mazināšanā,</w:t>
      </w:r>
      <w:r w:rsidRPr="0057194D">
        <w:rPr>
          <w:b/>
          <w:iCs/>
          <w:szCs w:val="24"/>
        </w:rPr>
        <w:t xml:space="preserve"> </w:t>
      </w:r>
      <w:r w:rsidR="00C12ADB" w:rsidRPr="0057194D">
        <w:rPr>
          <w:b/>
          <w:iCs/>
          <w:szCs w:val="24"/>
        </w:rPr>
        <w:t>apzin</w:t>
      </w:r>
      <w:r w:rsidR="00C12ADB">
        <w:rPr>
          <w:b/>
          <w:iCs/>
          <w:szCs w:val="24"/>
        </w:rPr>
        <w:t>oties</w:t>
      </w:r>
      <w:r w:rsidR="00C12ADB" w:rsidRPr="0057194D">
        <w:rPr>
          <w:b/>
          <w:iCs/>
          <w:szCs w:val="24"/>
        </w:rPr>
        <w:t xml:space="preserve"> </w:t>
      </w:r>
      <w:r w:rsidR="00053ED5" w:rsidRPr="0057194D">
        <w:rPr>
          <w:b/>
          <w:iCs/>
          <w:szCs w:val="24"/>
        </w:rPr>
        <w:t>sav</w:t>
      </w:r>
      <w:r w:rsidR="00903B4E" w:rsidRPr="0057194D">
        <w:rPr>
          <w:b/>
          <w:iCs/>
          <w:szCs w:val="24"/>
        </w:rPr>
        <w:t xml:space="preserve">u faktisko radīto ietekmi uz klimata pārmaiņām, kā arī </w:t>
      </w:r>
      <w:r w:rsidR="00053ED5" w:rsidRPr="0057194D">
        <w:rPr>
          <w:b/>
          <w:iCs/>
          <w:szCs w:val="24"/>
        </w:rPr>
        <w:t xml:space="preserve">savu </w:t>
      </w:r>
      <w:r w:rsidR="00F607A8" w:rsidRPr="0057194D">
        <w:rPr>
          <w:b/>
          <w:iCs/>
          <w:szCs w:val="24"/>
        </w:rPr>
        <w:t xml:space="preserve">izšķirošo </w:t>
      </w:r>
      <w:r w:rsidR="00053ED5" w:rsidRPr="0057194D">
        <w:rPr>
          <w:b/>
          <w:iCs/>
          <w:szCs w:val="24"/>
        </w:rPr>
        <w:t xml:space="preserve">lomu </w:t>
      </w:r>
      <w:r w:rsidR="000F284D" w:rsidRPr="0057194D">
        <w:rPr>
          <w:b/>
          <w:iCs/>
          <w:szCs w:val="24"/>
        </w:rPr>
        <w:t xml:space="preserve">valsts </w:t>
      </w:r>
      <w:r w:rsidR="00390064" w:rsidRPr="0057194D">
        <w:rPr>
          <w:b/>
          <w:iCs/>
          <w:szCs w:val="24"/>
        </w:rPr>
        <w:t xml:space="preserve">SEG </w:t>
      </w:r>
      <w:r w:rsidR="00903B4E" w:rsidRPr="0057194D">
        <w:rPr>
          <w:b/>
          <w:iCs/>
          <w:szCs w:val="24"/>
        </w:rPr>
        <w:t xml:space="preserve">emisiju </w:t>
      </w:r>
      <w:r w:rsidR="00053ED5" w:rsidRPr="0057194D">
        <w:rPr>
          <w:b/>
          <w:iCs/>
          <w:szCs w:val="24"/>
        </w:rPr>
        <w:t>mērķu sasniegšanā</w:t>
      </w:r>
    </w:p>
    <w:p w14:paraId="41EAC5AF" w14:textId="77777777" w:rsidR="00903B4E" w:rsidRDefault="00CE329E" w:rsidP="00903B4E">
      <w:pPr>
        <w:spacing w:before="120" w:after="120"/>
      </w:pPr>
      <w:r w:rsidRPr="0057194D">
        <w:t xml:space="preserve">Katra pašvaldība, izmantojot publiski pieejamos </w:t>
      </w:r>
      <w:r w:rsidR="00903B4E" w:rsidRPr="0057194D">
        <w:t xml:space="preserve">rīkus SEG emisiju </w:t>
      </w:r>
      <w:r w:rsidRPr="0057194D">
        <w:t>novērtē</w:t>
      </w:r>
      <w:r w:rsidR="00903B4E" w:rsidRPr="0057194D">
        <w:t>šanai</w:t>
      </w:r>
      <w:r w:rsidRPr="0057194D">
        <w:t xml:space="preserve">, noteikusi to </w:t>
      </w:r>
      <w:r w:rsidR="00A64498" w:rsidRPr="0057194D">
        <w:t xml:space="preserve">radīto </w:t>
      </w:r>
      <w:r w:rsidRPr="0057194D">
        <w:t>daudzumu savā administratīvajā teritorijā.</w:t>
      </w:r>
      <w:r w:rsidR="00EF5D8C" w:rsidRPr="0057194D">
        <w:t xml:space="preserve"> </w:t>
      </w:r>
      <w:r w:rsidR="00C12ADB">
        <w:t>Pašvaldības apzinās potenciālu SEG emisiju mazināšanā un to īsteno, kā arī, b</w:t>
      </w:r>
      <w:r w:rsidR="00EF5D8C" w:rsidRPr="0057194D">
        <w:t>als</w:t>
      </w:r>
      <w:r w:rsidR="002B2B8E" w:rsidRPr="0057194D">
        <w:t>t</w:t>
      </w:r>
      <w:r w:rsidR="00EF5D8C" w:rsidRPr="0057194D">
        <w:t xml:space="preserve">oties uz iegūto informāciju, veic regulārus izvērtējumus un salīdzina </w:t>
      </w:r>
      <w:r w:rsidR="00FD25C3" w:rsidRPr="0057194D">
        <w:t xml:space="preserve">savu sniegumu </w:t>
      </w:r>
      <w:r w:rsidR="00EF5D8C" w:rsidRPr="0057194D">
        <w:t xml:space="preserve">ar </w:t>
      </w:r>
      <w:r w:rsidR="00FD25C3" w:rsidRPr="0057194D">
        <w:t>citu pašvaldību (līmeņatzīmes) rādītājiem</w:t>
      </w:r>
      <w:r w:rsidR="00EF5D8C" w:rsidRPr="0057194D">
        <w:t xml:space="preserve">. </w:t>
      </w:r>
    </w:p>
    <w:p w14:paraId="66AEAA7B" w14:textId="77777777" w:rsidR="00903B4E" w:rsidRPr="005F2265" w:rsidRDefault="00903B4E" w:rsidP="0031388F">
      <w:pPr>
        <w:pStyle w:val="ListParagraph"/>
        <w:numPr>
          <w:ilvl w:val="0"/>
          <w:numId w:val="2"/>
        </w:numPr>
        <w:spacing w:before="120" w:after="120"/>
        <w:ind w:left="714" w:hanging="357"/>
        <w:rPr>
          <w:b/>
          <w:iCs/>
          <w:szCs w:val="24"/>
        </w:rPr>
      </w:pPr>
      <w:r>
        <w:rPr>
          <w:b/>
          <w:iCs/>
          <w:szCs w:val="24"/>
        </w:rPr>
        <w:t xml:space="preserve">Pašvaldības </w:t>
      </w:r>
      <w:r w:rsidRPr="005F2265">
        <w:rPr>
          <w:b/>
          <w:iCs/>
          <w:szCs w:val="24"/>
        </w:rPr>
        <w:t xml:space="preserve">aktīvi piedalās dažādās pašmāju un starptautiskās “pašvaldības mācās no pašvaldībām” iniciatīvās, </w:t>
      </w:r>
      <w:r w:rsidR="007C7FEC">
        <w:rPr>
          <w:b/>
          <w:iCs/>
          <w:szCs w:val="24"/>
        </w:rPr>
        <w:t xml:space="preserve">apzinoties savas </w:t>
      </w:r>
      <w:r w:rsidR="007C7FEC" w:rsidRPr="00903B4E">
        <w:rPr>
          <w:b/>
          <w:iCs/>
          <w:szCs w:val="24"/>
        </w:rPr>
        <w:t>iespējas klimata pārmaiņu mazināšan</w:t>
      </w:r>
      <w:r w:rsidR="007C7FEC">
        <w:rPr>
          <w:b/>
          <w:iCs/>
          <w:szCs w:val="24"/>
        </w:rPr>
        <w:t>ā, kā arī</w:t>
      </w:r>
      <w:r w:rsidR="007C7FEC" w:rsidRPr="005F2265">
        <w:rPr>
          <w:b/>
          <w:iCs/>
          <w:szCs w:val="24"/>
        </w:rPr>
        <w:t xml:space="preserve"> </w:t>
      </w:r>
      <w:r w:rsidRPr="005F2265">
        <w:rPr>
          <w:b/>
          <w:iCs/>
          <w:szCs w:val="24"/>
        </w:rPr>
        <w:t xml:space="preserve">izvirzot ambiciozus </w:t>
      </w:r>
      <w:r>
        <w:rPr>
          <w:b/>
          <w:iCs/>
          <w:szCs w:val="24"/>
        </w:rPr>
        <w:t>SEG</w:t>
      </w:r>
      <w:r w:rsidRPr="005F2265">
        <w:rPr>
          <w:b/>
          <w:iCs/>
          <w:szCs w:val="24"/>
        </w:rPr>
        <w:t xml:space="preserve"> mēr</w:t>
      </w:r>
      <w:r w:rsidR="002B2B8E">
        <w:rPr>
          <w:b/>
          <w:iCs/>
          <w:szCs w:val="24"/>
        </w:rPr>
        <w:t>ķ</w:t>
      </w:r>
      <w:r w:rsidRPr="005F2265">
        <w:rPr>
          <w:b/>
          <w:iCs/>
          <w:szCs w:val="24"/>
        </w:rPr>
        <w:t xml:space="preserve">us un </w:t>
      </w:r>
      <w:r>
        <w:rPr>
          <w:b/>
          <w:iCs/>
          <w:szCs w:val="24"/>
        </w:rPr>
        <w:t xml:space="preserve">savstarpēji </w:t>
      </w:r>
      <w:r w:rsidRPr="005F2265">
        <w:rPr>
          <w:b/>
          <w:iCs/>
          <w:szCs w:val="24"/>
        </w:rPr>
        <w:t xml:space="preserve">daloties </w:t>
      </w:r>
      <w:r>
        <w:rPr>
          <w:b/>
          <w:iCs/>
          <w:szCs w:val="24"/>
        </w:rPr>
        <w:t>pieredzē to sasniegšanai</w:t>
      </w:r>
      <w:r w:rsidR="007C7FEC">
        <w:rPr>
          <w:b/>
          <w:iCs/>
          <w:szCs w:val="24"/>
        </w:rPr>
        <w:t xml:space="preserve"> </w:t>
      </w:r>
    </w:p>
    <w:p w14:paraId="55CF1DB4" w14:textId="77777777" w:rsidR="00C1372C" w:rsidRDefault="00F06415" w:rsidP="00C1372C">
      <w:pPr>
        <w:spacing w:before="120" w:after="120"/>
      </w:pPr>
      <w:r>
        <w:t>Iesaistoties brīvprātīgās</w:t>
      </w:r>
      <w:r w:rsidR="00D93D17">
        <w:t>, starptautiskās</w:t>
      </w:r>
      <w:r>
        <w:t xml:space="preserve"> </w:t>
      </w:r>
      <w:r w:rsidR="00B06774">
        <w:t xml:space="preserve">klimata pārmaiņu mazināšanas </w:t>
      </w:r>
      <w:r>
        <w:t>iniciatīvās</w:t>
      </w:r>
      <w:r w:rsidR="00D93D17" w:rsidRPr="00A46CC4">
        <w:rPr>
          <w:rStyle w:val="FootnoteReference"/>
          <w:szCs w:val="24"/>
        </w:rPr>
        <w:footnoteReference w:id="68"/>
      </w:r>
      <w:r>
        <w:t xml:space="preserve"> pašvaldības nonāk plašā informācijas apmaiņas tīklā, saņem aktuālu informāciju, t.sk., par plānot</w:t>
      </w:r>
      <w:r w:rsidR="006F2A7B">
        <w:t>ajiem pasākumiem, finansējuma ra</w:t>
      </w:r>
      <w:r>
        <w:t>šanas iespējām, labajām praksēm un piemēriem, kā arī citu pašvaldību īstenoto iniciatīvu rezultātiem. Savstar</w:t>
      </w:r>
      <w:r w:rsidR="006F2A7B">
        <w:t xml:space="preserve">pējā sadarbībā tiek stiprināta </w:t>
      </w:r>
      <w:r>
        <w:t>pašvaldību kapacitāte, kā arī saņemta un sniegta palīdzība izvirzīto mērķu izpildes monitoringam, vērtēšanai un ziņošanai.</w:t>
      </w:r>
      <w:r w:rsidR="00C1372C" w:rsidRPr="00C1372C">
        <w:t xml:space="preserve"> </w:t>
      </w:r>
      <w:r w:rsidR="00C1372C">
        <w:t>Sadarbības iniciatīvas tiek atbalstītas pašvaldību plānošanas dokumentos.</w:t>
      </w:r>
    </w:p>
    <w:p w14:paraId="05B3673F" w14:textId="77777777" w:rsidR="00C1372C" w:rsidRDefault="00C1372C" w:rsidP="00C1372C">
      <w:pPr>
        <w:spacing w:before="120" w:after="120"/>
      </w:pPr>
      <w:r>
        <w:t>Pašvaldīb</w:t>
      </w:r>
      <w:r w:rsidR="00D427BD">
        <w:t xml:space="preserve">ām </w:t>
      </w:r>
      <w:r>
        <w:t xml:space="preserve">un valstij sadarbojoties, pašvaldības attīsta koordinētu pieeju klimata pārmaiņu mazināšanas un novēršanas jomā, iestrādājot klimata pārmaiņu </w:t>
      </w:r>
      <w:r w:rsidR="00B304AB">
        <w:t>mazināšanas un klimat</w:t>
      </w:r>
      <w:r>
        <w:t xml:space="preserve">noturības risinājumus to attīstības </w:t>
      </w:r>
      <w:r w:rsidR="002D345D" w:rsidRPr="002D345D">
        <w:t>plānošanas dokumentos</w:t>
      </w:r>
      <w:r w:rsidR="00B304AB" w:rsidRPr="0057194D">
        <w:t>.</w:t>
      </w:r>
    </w:p>
    <w:p w14:paraId="4E8CA218" w14:textId="77777777" w:rsidR="00586E35" w:rsidRDefault="000C2139" w:rsidP="0031388F">
      <w:pPr>
        <w:pStyle w:val="ListParagraph"/>
        <w:numPr>
          <w:ilvl w:val="0"/>
          <w:numId w:val="2"/>
        </w:numPr>
        <w:spacing w:before="120" w:after="120"/>
        <w:ind w:left="714" w:hanging="357"/>
      </w:pPr>
      <w:r w:rsidRPr="005F2265">
        <w:rPr>
          <w:b/>
          <w:iCs/>
          <w:szCs w:val="24"/>
        </w:rPr>
        <w:t>Pašvaldības</w:t>
      </w:r>
      <w:r w:rsidRPr="005C249B">
        <w:rPr>
          <w:rFonts w:eastAsiaTheme="majorEastAsia" w:cstheme="majorBidi"/>
          <w:b/>
          <w:iCs/>
          <w:szCs w:val="24"/>
        </w:rPr>
        <w:t xml:space="preserve"> plāno un īsteno</w:t>
      </w:r>
      <w:r w:rsidR="00BF6E61" w:rsidRPr="005C249B">
        <w:rPr>
          <w:rFonts w:eastAsiaTheme="majorEastAsia" w:cstheme="majorBidi"/>
          <w:b/>
          <w:iCs/>
          <w:szCs w:val="24"/>
        </w:rPr>
        <w:t xml:space="preserve"> </w:t>
      </w:r>
      <w:r w:rsidR="00586E35" w:rsidRPr="005C249B">
        <w:rPr>
          <w:rFonts w:eastAsiaTheme="majorEastAsia" w:cstheme="majorBidi"/>
          <w:b/>
          <w:iCs/>
          <w:szCs w:val="24"/>
        </w:rPr>
        <w:t xml:space="preserve">tādus </w:t>
      </w:r>
      <w:r w:rsidRPr="005C249B">
        <w:rPr>
          <w:rFonts w:eastAsiaTheme="majorEastAsia" w:cstheme="majorBidi"/>
          <w:b/>
          <w:iCs/>
          <w:szCs w:val="24"/>
        </w:rPr>
        <w:t xml:space="preserve">teritoriālplānošanas pasākumus, kas </w:t>
      </w:r>
      <w:r w:rsidR="00586E35" w:rsidRPr="005C249B">
        <w:rPr>
          <w:rFonts w:eastAsiaTheme="majorEastAsia" w:cstheme="majorBidi"/>
          <w:b/>
          <w:iCs/>
          <w:szCs w:val="24"/>
        </w:rPr>
        <w:t xml:space="preserve">veicina vispusīgi organizētu un kompleksu </w:t>
      </w:r>
      <w:r w:rsidR="000F284D">
        <w:rPr>
          <w:rFonts w:eastAsiaTheme="majorEastAsia" w:cstheme="majorBidi"/>
          <w:b/>
          <w:iCs/>
          <w:szCs w:val="24"/>
        </w:rPr>
        <w:t xml:space="preserve">pilsētu apkaimju </w:t>
      </w:r>
      <w:r w:rsidR="00586E35" w:rsidRPr="005C249B">
        <w:rPr>
          <w:rFonts w:eastAsiaTheme="majorEastAsia" w:cstheme="majorBidi"/>
          <w:b/>
          <w:iCs/>
          <w:szCs w:val="24"/>
        </w:rPr>
        <w:t>izveidi</w:t>
      </w:r>
    </w:p>
    <w:p w14:paraId="04335421" w14:textId="77777777" w:rsidR="00B304AB" w:rsidRDefault="00B304AB" w:rsidP="00696696">
      <w:pPr>
        <w:spacing w:before="120" w:after="120"/>
        <w:ind w:firstLine="357"/>
      </w:pPr>
      <w:r>
        <w:t>P</w:t>
      </w:r>
      <w:r w:rsidRPr="00B304AB">
        <w:t>ašvaldīb</w:t>
      </w:r>
      <w:r>
        <w:t>as</w:t>
      </w:r>
      <w:r w:rsidR="00F932BA">
        <w:t>,</w:t>
      </w:r>
      <w:r w:rsidRPr="00B304AB">
        <w:t xml:space="preserve"> izstrādā</w:t>
      </w:r>
      <w:r>
        <w:t>jo</w:t>
      </w:r>
      <w:r w:rsidRPr="00B304AB">
        <w:t xml:space="preserve">t </w:t>
      </w:r>
      <w:r w:rsidR="00F932BA">
        <w:t xml:space="preserve">un pārskatot </w:t>
      </w:r>
      <w:r w:rsidR="00521F4A">
        <w:t xml:space="preserve">teritorijas plānojumu, kas ietver gan  </w:t>
      </w:r>
      <w:r w:rsidR="00521F4A" w:rsidRPr="0057194D">
        <w:rPr>
          <w:color w:val="000000" w:themeColor="text1"/>
        </w:rPr>
        <w:t>funkcionāl</w:t>
      </w:r>
      <w:r w:rsidR="00521F4A">
        <w:rPr>
          <w:color w:val="000000" w:themeColor="text1"/>
        </w:rPr>
        <w:t>ā</w:t>
      </w:r>
      <w:r w:rsidR="00521F4A" w:rsidRPr="0057194D">
        <w:rPr>
          <w:color w:val="000000" w:themeColor="text1"/>
        </w:rPr>
        <w:t xml:space="preserve"> zonējum</w:t>
      </w:r>
      <w:r w:rsidR="00521F4A">
        <w:rPr>
          <w:color w:val="000000" w:themeColor="text1"/>
        </w:rPr>
        <w:t xml:space="preserve">a noteikšanu, gan </w:t>
      </w:r>
      <w:r w:rsidRPr="00B304AB">
        <w:t xml:space="preserve">teritorijas izmantošanas un apbūves </w:t>
      </w:r>
      <w:r w:rsidR="00521F4A" w:rsidRPr="00B304AB">
        <w:t>no</w:t>
      </w:r>
      <w:r w:rsidR="00521F4A">
        <w:t>sacījumu izstrādi</w:t>
      </w:r>
      <w:r w:rsidRPr="00B304AB">
        <w:t xml:space="preserve">, </w:t>
      </w:r>
      <w:r w:rsidR="00F932BA" w:rsidRPr="0057194D">
        <w:rPr>
          <w:color w:val="000000" w:themeColor="text1"/>
        </w:rPr>
        <w:t>integrē</w:t>
      </w:r>
      <w:r w:rsidR="00521F4A">
        <w:rPr>
          <w:color w:val="000000" w:themeColor="text1"/>
        </w:rPr>
        <w:t xml:space="preserve"> tajā</w:t>
      </w:r>
      <w:r w:rsidR="00F932BA" w:rsidRPr="0057194D">
        <w:rPr>
          <w:color w:val="000000" w:themeColor="text1"/>
        </w:rPr>
        <w:t xml:space="preserve"> kompleksus risinājumus pakalpojumu pieejamībai, ievērojot tehnoloģiju attīstību un iedzīvotāju paradumu izmaiņas, </w:t>
      </w:r>
      <w:r>
        <w:t>veicin</w:t>
      </w:r>
      <w:r w:rsidR="00F932BA">
        <w:t>ot</w:t>
      </w:r>
      <w:r w:rsidRPr="00B304AB">
        <w:t>, lai pilsētu apkaimēs tiktu piedāvāts plašāks ikdienā nepieciešamo preču un pakalpojumu klāsts, tādējādi samazinot darījumu pārvietošanās dēļ veiktās distances.</w:t>
      </w:r>
      <w:r>
        <w:t xml:space="preserve"> </w:t>
      </w:r>
    </w:p>
    <w:p w14:paraId="402F2E8F" w14:textId="5372976D" w:rsidR="00D26398" w:rsidRPr="00696696" w:rsidRDefault="000C3297" w:rsidP="0031388F">
      <w:pPr>
        <w:pStyle w:val="ListParagraph"/>
        <w:numPr>
          <w:ilvl w:val="0"/>
          <w:numId w:val="2"/>
        </w:numPr>
        <w:spacing w:before="120" w:after="120"/>
        <w:rPr>
          <w:b/>
          <w:iCs/>
          <w:szCs w:val="24"/>
        </w:rPr>
      </w:pPr>
      <w:r w:rsidRPr="00696696">
        <w:rPr>
          <w:b/>
          <w:iCs/>
          <w:szCs w:val="24"/>
        </w:rPr>
        <w:t>Transporta</w:t>
      </w:r>
      <w:r w:rsidR="00F73265" w:rsidRPr="00696696">
        <w:rPr>
          <w:b/>
          <w:iCs/>
          <w:szCs w:val="24"/>
        </w:rPr>
        <w:t xml:space="preserve"> </w:t>
      </w:r>
      <w:r w:rsidRPr="00696696">
        <w:rPr>
          <w:b/>
          <w:iCs/>
          <w:szCs w:val="24"/>
        </w:rPr>
        <w:t>i</w:t>
      </w:r>
      <w:r w:rsidR="00586E35" w:rsidRPr="00696696">
        <w:rPr>
          <w:b/>
          <w:iCs/>
          <w:szCs w:val="24"/>
        </w:rPr>
        <w:t xml:space="preserve">nfrastruktūra pilsētās un </w:t>
      </w:r>
      <w:r w:rsidRPr="00696696">
        <w:rPr>
          <w:b/>
          <w:iCs/>
          <w:szCs w:val="24"/>
        </w:rPr>
        <w:t>novados</w:t>
      </w:r>
      <w:r w:rsidR="00586E35" w:rsidRPr="00696696">
        <w:rPr>
          <w:b/>
          <w:iCs/>
          <w:szCs w:val="24"/>
        </w:rPr>
        <w:t xml:space="preserve"> ir </w:t>
      </w:r>
      <w:r w:rsidRPr="00696696">
        <w:rPr>
          <w:b/>
          <w:iCs/>
          <w:szCs w:val="24"/>
        </w:rPr>
        <w:t xml:space="preserve">vieda un </w:t>
      </w:r>
      <w:r w:rsidR="00586E35" w:rsidRPr="00696696">
        <w:rPr>
          <w:b/>
          <w:iCs/>
          <w:szCs w:val="24"/>
        </w:rPr>
        <w:t>optimizēta</w:t>
      </w:r>
    </w:p>
    <w:p w14:paraId="6D1A031B" w14:textId="28C33C75" w:rsidR="00636402" w:rsidRDefault="00636402" w:rsidP="00E008BC">
      <w:pPr>
        <w:spacing w:before="120" w:after="120"/>
      </w:pPr>
      <w:r w:rsidRPr="00D26398">
        <w:t>Attīstīta transportmijas (</w:t>
      </w:r>
      <w:r w:rsidRPr="00D26398">
        <w:rPr>
          <w:i/>
        </w:rPr>
        <w:t>park and ride</w:t>
      </w:r>
      <w:r w:rsidRPr="00D26398">
        <w:t>) infrastruktūra</w:t>
      </w:r>
      <w:r w:rsidR="00640C15">
        <w:t>, kā arī multimodālie centri</w:t>
      </w:r>
      <w:r w:rsidRPr="00D26398">
        <w:t xml:space="preserve"> sniedz iespēju izvēlēties nepieciešamajai distancei un maršrutam piemērotāko pārvietošanās līdzekli.</w:t>
      </w:r>
      <w:r w:rsidR="00D26398" w:rsidRPr="00D26398">
        <w:t xml:space="preserve"> </w:t>
      </w:r>
      <w:r w:rsidR="00D26398">
        <w:t xml:space="preserve">Sabiedriskā transporta </w:t>
      </w:r>
      <w:r w:rsidR="00D26398" w:rsidRPr="00D26398">
        <w:t>sistēmas maršrutu tīkls pilsētās ir plašs un visaptverošs</w:t>
      </w:r>
      <w:r w:rsidR="00D26398">
        <w:t>, tas piedāvā klientiem nepieciešamo komforta līmeni un tiek plaši izmantots</w:t>
      </w:r>
      <w:r w:rsidR="00D26398" w:rsidRPr="00D26398">
        <w:t xml:space="preserve">.  </w:t>
      </w:r>
    </w:p>
    <w:p w14:paraId="19F616E0" w14:textId="77777777" w:rsidR="00FC72FE" w:rsidRPr="00D26398" w:rsidRDefault="00FC72FE" w:rsidP="00E008BC">
      <w:pPr>
        <w:spacing w:before="120" w:after="120"/>
      </w:pPr>
      <w:r w:rsidRPr="00FC72FE">
        <w:t>Pilsētās ielas plānotas tā, lai cilvēkiem būtu ērti un droši nokļūt galamērķī ar sabiedrisko transportu, koplietošanas transportu, velosipēdu, ejot kājām, nepieciešamības gadījumā privāto transportlīdzekli atstājot ērti pieejamā vietā.</w:t>
      </w:r>
    </w:p>
    <w:p w14:paraId="10D850CA" w14:textId="77777777" w:rsidR="00636402" w:rsidRDefault="00636402" w:rsidP="00E008BC">
      <w:pPr>
        <w:spacing w:before="120" w:after="120"/>
      </w:pPr>
      <w:r>
        <w:t>Tiek attīstīta nemotorizēto transportlīdzekļu infrastruktūra un paplašinātas gājēju zonas. Ir pieejama un tiek plaši izmantota veloceliņu infrastruktūra.</w:t>
      </w:r>
    </w:p>
    <w:p w14:paraId="55A01ED0" w14:textId="77777777" w:rsidR="00D26398" w:rsidRPr="005F2265" w:rsidRDefault="00F166C8" w:rsidP="0031388F">
      <w:pPr>
        <w:pStyle w:val="ListParagraph"/>
        <w:numPr>
          <w:ilvl w:val="0"/>
          <w:numId w:val="2"/>
        </w:numPr>
        <w:spacing w:before="120" w:after="120"/>
        <w:ind w:left="714" w:hanging="357"/>
        <w:rPr>
          <w:b/>
          <w:iCs/>
          <w:szCs w:val="24"/>
        </w:rPr>
      </w:pPr>
      <w:r w:rsidRPr="005F2265">
        <w:rPr>
          <w:b/>
          <w:iCs/>
          <w:szCs w:val="24"/>
        </w:rPr>
        <w:t>Pilsētvide ir</w:t>
      </w:r>
      <w:r w:rsidR="00F73265" w:rsidRPr="005F2265">
        <w:rPr>
          <w:b/>
          <w:iCs/>
          <w:szCs w:val="24"/>
        </w:rPr>
        <w:t xml:space="preserve"> vieda</w:t>
      </w:r>
      <w:r w:rsidR="00D26398" w:rsidRPr="005F2265">
        <w:rPr>
          <w:b/>
          <w:iCs/>
          <w:szCs w:val="24"/>
        </w:rPr>
        <w:t>, tiek izmantoti digitāli risinājumi</w:t>
      </w:r>
    </w:p>
    <w:p w14:paraId="7ACAEBB3" w14:textId="77777777" w:rsidR="00BA6E94" w:rsidRDefault="00390064" w:rsidP="00BA6E94">
      <w:pPr>
        <w:spacing w:before="120" w:after="120"/>
        <w:ind w:firstLine="360"/>
      </w:pPr>
      <w:r w:rsidRPr="00391FD2">
        <w:t>Liet</w:t>
      </w:r>
      <w:r>
        <w:t>u</w:t>
      </w:r>
      <w:r w:rsidRPr="00391FD2">
        <w:t xml:space="preserve"> </w:t>
      </w:r>
      <w:r w:rsidR="00F166C8" w:rsidRPr="00391FD2">
        <w:t>interneta (</w:t>
      </w:r>
      <w:r w:rsidR="00F166C8" w:rsidRPr="00391FD2">
        <w:rPr>
          <w:i/>
        </w:rPr>
        <w:t>Internet of things</w:t>
      </w:r>
      <w:r w:rsidR="000F284D">
        <w:t> </w:t>
      </w:r>
      <w:r w:rsidR="00F166C8" w:rsidRPr="00391FD2">
        <w:t>-</w:t>
      </w:r>
      <w:r w:rsidR="000F284D">
        <w:t> </w:t>
      </w:r>
      <w:r w:rsidR="00F166C8" w:rsidRPr="00391FD2">
        <w:rPr>
          <w:i/>
        </w:rPr>
        <w:t>IoT</w:t>
      </w:r>
      <w:r w:rsidR="00F166C8" w:rsidRPr="00391FD2">
        <w:t>)</w:t>
      </w:r>
      <w:r w:rsidR="00DD4FCF">
        <w:t xml:space="preserve"> izmantošana</w:t>
      </w:r>
      <w:r w:rsidR="00F166C8" w:rsidRPr="00391FD2">
        <w:t xml:space="preserve">, vienlaikus ievērojot kiberdrošību un nepārkāpjot iedzīvotāju privātumu, ļauj </w:t>
      </w:r>
      <w:r w:rsidR="00F73265" w:rsidRPr="00391FD2">
        <w:t xml:space="preserve">efektīvi </w:t>
      </w:r>
      <w:r w:rsidR="00955B07">
        <w:t xml:space="preserve">un ar samazinātu resursu patēriņu </w:t>
      </w:r>
      <w:r w:rsidR="00F166C8" w:rsidRPr="00391FD2">
        <w:t>uzraudzīt un kontrolēt dažādas sistēmas</w:t>
      </w:r>
      <w:r w:rsidR="00907B94">
        <w:t xml:space="preserve"> </w:t>
      </w:r>
      <w:r w:rsidR="00907B94" w:rsidRPr="00391FD2">
        <w:t>(energoapgādes, komunālo pakalpojumu, transporta, drošības u.c.)</w:t>
      </w:r>
      <w:r w:rsidR="00F166C8" w:rsidRPr="00391FD2">
        <w:t xml:space="preserve"> </w:t>
      </w:r>
      <w:r w:rsidR="00F166C8" w:rsidRPr="00391FD2">
        <w:lastRenderedPageBreak/>
        <w:t>attāl</w:t>
      </w:r>
      <w:r w:rsidR="00391FD2" w:rsidRPr="00391FD2">
        <w:t>ināti</w:t>
      </w:r>
      <w:r w:rsidR="00F73265" w:rsidRPr="00391FD2">
        <w:t xml:space="preserve">, kā arī nekavējoties atbilstoši reaģēt uz izmaiņām tajās. </w:t>
      </w:r>
      <w:r w:rsidR="00BA6E94">
        <w:t xml:space="preserve">Arī pakalpojumu efektīvai sniegšanai tiek plaši īstenots </w:t>
      </w:r>
      <w:r w:rsidR="00BA6E94" w:rsidRPr="00BA6E94">
        <w:t xml:space="preserve">viedās pašvaldības </w:t>
      </w:r>
      <w:r w:rsidR="00BA6E94">
        <w:t xml:space="preserve">koncepts, t.i., </w:t>
      </w:r>
      <w:r w:rsidR="00BA6E94" w:rsidRPr="00BA6E94">
        <w:t>kompleksi risinājumi, kombinējot ieguldījumus infrastruktūrā ar IKT, videi un kl</w:t>
      </w:r>
      <w:r w:rsidR="00BA6E94">
        <w:t>imatam draudzīgiem risinājumiem</w:t>
      </w:r>
      <w:r w:rsidR="00BA6E94" w:rsidRPr="00BA6E94">
        <w:t>.</w:t>
      </w:r>
      <w:r w:rsidR="00BA6E94">
        <w:t xml:space="preserve"> </w:t>
      </w:r>
    </w:p>
    <w:p w14:paraId="55C11F92" w14:textId="77777777" w:rsidR="00762634" w:rsidRPr="005F2265" w:rsidRDefault="00762634" w:rsidP="0031388F">
      <w:pPr>
        <w:pStyle w:val="ListParagraph"/>
        <w:numPr>
          <w:ilvl w:val="0"/>
          <w:numId w:val="2"/>
        </w:numPr>
        <w:spacing w:before="120" w:after="120"/>
        <w:ind w:left="714" w:hanging="357"/>
        <w:rPr>
          <w:b/>
          <w:iCs/>
          <w:szCs w:val="24"/>
        </w:rPr>
      </w:pPr>
      <w:r w:rsidRPr="005F2265">
        <w:rPr>
          <w:b/>
          <w:iCs/>
          <w:szCs w:val="24"/>
        </w:rPr>
        <w:t>Pilsētvide ir elastīga</w:t>
      </w:r>
      <w:r w:rsidR="0009270D" w:rsidRPr="005F2265">
        <w:rPr>
          <w:b/>
          <w:iCs/>
          <w:szCs w:val="24"/>
        </w:rPr>
        <w:t xml:space="preserve">, </w:t>
      </w:r>
      <w:r w:rsidR="004E256D" w:rsidRPr="005F2265">
        <w:rPr>
          <w:b/>
          <w:iCs/>
          <w:szCs w:val="24"/>
        </w:rPr>
        <w:t>pilsētai</w:t>
      </w:r>
      <w:r w:rsidR="0009270D" w:rsidRPr="005F2265">
        <w:rPr>
          <w:b/>
          <w:iCs/>
          <w:szCs w:val="24"/>
        </w:rPr>
        <w:t xml:space="preserve"> kā sistēmai piemīt augstas pretošanās spējas, piedzīvojot dažādus antropogēnus un dabiskus satricinājumus</w:t>
      </w:r>
    </w:p>
    <w:p w14:paraId="6CE51374" w14:textId="77777777" w:rsidR="00C1372C" w:rsidRDefault="00BF2AA5" w:rsidP="009C14F7">
      <w:pPr>
        <w:spacing w:before="120" w:after="120"/>
        <w:ind w:firstLine="360"/>
      </w:pPr>
      <w:r>
        <w:t>Pašvaldīb</w:t>
      </w:r>
      <w:r w:rsidR="0017335C">
        <w:t xml:space="preserve">as </w:t>
      </w:r>
      <w:r>
        <w:t>apzinās, ka p</w:t>
      </w:r>
      <w:r w:rsidR="00D604D2" w:rsidRPr="00D604D2">
        <w:t xml:space="preserve">ilsētvide ir vairāk pakļauta klimata pārmaiņu riskiem </w:t>
      </w:r>
      <w:r>
        <w:t>(</w:t>
      </w:r>
      <w:r w:rsidRPr="00D604D2">
        <w:t>plūdi, jūras līmeņa celšanās, karstuma viļņi, dzeramā ūdens nepietiekamība, sausu</w:t>
      </w:r>
      <w:r>
        <w:t xml:space="preserve">ms, ekstrēmi nokrišņi un vētras) </w:t>
      </w:r>
      <w:r w:rsidR="00D604D2" w:rsidRPr="00D604D2">
        <w:t>nekā lauku apgabali</w:t>
      </w:r>
      <w:r>
        <w:t xml:space="preserve">, un ir gatavi to veiksmīgai pārvarēšanai, </w:t>
      </w:r>
      <w:r w:rsidR="0009270D">
        <w:t xml:space="preserve">spēj </w:t>
      </w:r>
      <w:r w:rsidR="0009270D" w:rsidRPr="00B060D2">
        <w:t>pozitīvi pielāgo</w:t>
      </w:r>
      <w:r w:rsidR="0009270D">
        <w:t>t</w:t>
      </w:r>
      <w:r w:rsidR="0009270D" w:rsidRPr="00B060D2">
        <w:t>ies</w:t>
      </w:r>
      <w:r w:rsidR="0009270D">
        <w:t>, jo ir apzinājuši savas stiprās un vājās puses, potenciālās iespējas un draudus</w:t>
      </w:r>
      <w:r w:rsidR="006C58AA">
        <w:t>, piemēram, p</w:t>
      </w:r>
      <w:r w:rsidR="00E62469" w:rsidRPr="00EE0094">
        <w:t>ilsētu „siltuma salas</w:t>
      </w:r>
      <w:r w:rsidR="00EE0094">
        <w:t>”</w:t>
      </w:r>
      <w:r w:rsidR="00E62469" w:rsidRPr="00EE0094">
        <w:t xml:space="preserve"> efekta novēršanai un mazināšanai</w:t>
      </w:r>
      <w:r w:rsidR="00EE0094" w:rsidRPr="00EE0094">
        <w:t xml:space="preserve"> plaši tiek izmantoti „zaļās” infrastruktūras risinājumi</w:t>
      </w:r>
      <w:r w:rsidR="00E62469" w:rsidRPr="00EE0094">
        <w:t xml:space="preserve">. </w:t>
      </w:r>
    </w:p>
    <w:p w14:paraId="2B284D2A" w14:textId="77777777" w:rsidR="00E62469" w:rsidRDefault="00877E63" w:rsidP="00A31E76">
      <w:pPr>
        <w:spacing w:before="120" w:after="120"/>
      </w:pPr>
      <w:r w:rsidRPr="00EC178C">
        <w:t>Pašvaldības, lai pieņemtu lēmumus attiecībā uz klimata pārmaiņu mazināšanas un pielāgošanās klimata pārmaiņām pasākumiem, izmanto aktuālos publiski pieejamos meteoroloģiskos datus, kas raksturo mikroklimatu un tā izmaiņas attiecīgajā administratīvajā teritorijā.</w:t>
      </w:r>
      <w:r w:rsidR="0057194D">
        <w:t xml:space="preserve"> </w:t>
      </w:r>
      <w:r w:rsidR="00C1372C">
        <w:t xml:space="preserve">Pašvaldības piesaista dažādas ieinteresētas puses no </w:t>
      </w:r>
      <w:r w:rsidR="00DD4FCF">
        <w:t>zinātnes</w:t>
      </w:r>
      <w:r w:rsidR="00C1372C">
        <w:t>, uzņēmēju nevalstisko organizāciju vides, lai izvērtētu un attīstītu gan īstermiņa, gan ilgtermiņa klimata pārmai</w:t>
      </w:r>
      <w:r w:rsidR="00DD4FCF">
        <w:t>ņ</w:t>
      </w:r>
      <w:r w:rsidR="00C1372C">
        <w:t xml:space="preserve">u </w:t>
      </w:r>
      <w:r w:rsidR="00DD4FCF">
        <w:t xml:space="preserve">mazināšanas </w:t>
      </w:r>
      <w:r w:rsidR="00C1372C">
        <w:t>un pielāgošan</w:t>
      </w:r>
      <w:r w:rsidR="00DD4FCF">
        <w:t>ā</w:t>
      </w:r>
      <w:r w:rsidR="00C1372C">
        <w:t xml:space="preserve">s risinājumus, kas piemēroti konkrētajai administratīvajai teritorijai. </w:t>
      </w:r>
      <w:r w:rsidR="006C58AA">
        <w:t>Pašvald</w:t>
      </w:r>
      <w:r w:rsidR="009C14F7">
        <w:t>ības ir veikušas</w:t>
      </w:r>
      <w:r w:rsidR="006C58AA">
        <w:t xml:space="preserve"> klimata ietekmju ievainojamības risku izvērtējumu, pielāgošanās klimata pārmaiņām pasākumu plānošanu un ieviešanu, kā arī monitoringu un izvērtēšanu. </w:t>
      </w:r>
    </w:p>
    <w:p w14:paraId="5F50F322" w14:textId="4BAC878C" w:rsidR="00F73265" w:rsidRPr="005F2265" w:rsidRDefault="00F73265" w:rsidP="0031388F">
      <w:pPr>
        <w:pStyle w:val="ListParagraph"/>
        <w:numPr>
          <w:ilvl w:val="0"/>
          <w:numId w:val="2"/>
        </w:numPr>
        <w:spacing w:before="120" w:after="120"/>
        <w:ind w:left="714" w:hanging="357"/>
        <w:rPr>
          <w:b/>
          <w:iCs/>
          <w:szCs w:val="24"/>
        </w:rPr>
      </w:pPr>
      <w:r w:rsidRPr="005F2265">
        <w:rPr>
          <w:b/>
          <w:iCs/>
          <w:szCs w:val="24"/>
        </w:rPr>
        <w:t xml:space="preserve">Ir attīstījusies </w:t>
      </w:r>
      <w:r w:rsidR="00F43D46" w:rsidRPr="005F2265">
        <w:rPr>
          <w:b/>
          <w:iCs/>
          <w:szCs w:val="24"/>
        </w:rPr>
        <w:t xml:space="preserve">lokālo </w:t>
      </w:r>
      <w:r w:rsidRPr="005F2265">
        <w:rPr>
          <w:b/>
          <w:iCs/>
          <w:szCs w:val="24"/>
        </w:rPr>
        <w:t>AER</w:t>
      </w:r>
      <w:r w:rsidR="00B43CC7">
        <w:rPr>
          <w:b/>
          <w:iCs/>
          <w:szCs w:val="24"/>
        </w:rPr>
        <w:t xml:space="preserve"> ne-emisiju</w:t>
      </w:r>
      <w:r w:rsidRPr="005F2265">
        <w:rPr>
          <w:b/>
          <w:iCs/>
          <w:szCs w:val="24"/>
        </w:rPr>
        <w:t xml:space="preserve"> tehnoloģiju izmantošana</w:t>
      </w:r>
      <w:r w:rsidR="00F43D46" w:rsidRPr="005F2265">
        <w:rPr>
          <w:b/>
          <w:iCs/>
          <w:szCs w:val="24"/>
        </w:rPr>
        <w:t xml:space="preserve"> pilsētvidē</w:t>
      </w:r>
    </w:p>
    <w:p w14:paraId="3F8C3871" w14:textId="2EF22AFF" w:rsidR="00771B6A" w:rsidRDefault="00771B6A" w:rsidP="00E008BC">
      <w:pPr>
        <w:spacing w:before="120" w:after="120"/>
      </w:pPr>
      <w:r w:rsidRPr="00771B6A">
        <w:t>Pašvaldīb</w:t>
      </w:r>
      <w:r w:rsidR="00BF2AA5">
        <w:t>as</w:t>
      </w:r>
      <w:r w:rsidRPr="00771B6A">
        <w:t xml:space="preserve"> </w:t>
      </w:r>
      <w:r w:rsidR="00BF2AA5">
        <w:t>a</w:t>
      </w:r>
      <w:r w:rsidRPr="00771B6A">
        <w:t xml:space="preserve">pzinās, ka AER </w:t>
      </w:r>
      <w:r w:rsidR="00B43CC7" w:rsidRPr="00B43CC7">
        <w:t>ne-emisiju tehnoloģiju</w:t>
      </w:r>
      <w:r w:rsidR="00B43CC7" w:rsidRPr="005F2265">
        <w:rPr>
          <w:b/>
          <w:iCs/>
          <w:szCs w:val="24"/>
        </w:rPr>
        <w:t xml:space="preserve"> </w:t>
      </w:r>
      <w:r w:rsidRPr="00771B6A">
        <w:t>īpatsvara palielināšana ir ne tikai saistības, bet iespēja optimizēt enerģijas apgādi, izmantot vietējo energoresursu zemākās pašizmaksas un samazināt atkarību no enerģijas i</w:t>
      </w:r>
      <w:r w:rsidR="00B43CC7">
        <w:t>mporta, uzlabot vides kvalitāti</w:t>
      </w:r>
      <w:r w:rsidRPr="00771B6A">
        <w:t xml:space="preserve"> un </w:t>
      </w:r>
      <w:r w:rsidR="00B43CC7" w:rsidRPr="00771B6A">
        <w:t xml:space="preserve">palielināt </w:t>
      </w:r>
      <w:r w:rsidRPr="00771B6A">
        <w:t>iedzīvotāju pašapziņu.</w:t>
      </w:r>
    </w:p>
    <w:p w14:paraId="015E1FC5" w14:textId="77777777" w:rsidR="00F73265" w:rsidRDefault="00F73265" w:rsidP="00E008BC">
      <w:pPr>
        <w:spacing w:before="120" w:after="120"/>
      </w:pPr>
      <w:r w:rsidRPr="00A46CC4">
        <w:t xml:space="preserve">Pilsētvidē enerģijas ražošanai arvien vairāk izmanto viedās pilsētvides AER tehnoloģijas, apvienojot kultūrvēsturiskos arhitektūras elementus un inovatīvus būvniecības risinājumus un materiālus, </w:t>
      </w:r>
      <w:r w:rsidR="00DD4FCF">
        <w:t xml:space="preserve">veicinot </w:t>
      </w:r>
      <w:r w:rsidRPr="00A46CC4">
        <w:t xml:space="preserve">autonomu </w:t>
      </w:r>
      <w:r w:rsidR="00DD4FCF">
        <w:t xml:space="preserve">ne-emisiju tehnoloģiju </w:t>
      </w:r>
      <w:r w:rsidRPr="00A46CC4">
        <w:t>enerģijas ražošanu. Mazas jaudas, ekonomiski pamatotu un vizuāli pievilcīgu AER tehnoloģiju izmantošana ir ikvienas pilsētas neatņemama sastāvdaļa.</w:t>
      </w:r>
    </w:p>
    <w:p w14:paraId="12F57E71" w14:textId="77777777" w:rsidR="00A96C51" w:rsidRDefault="00185280" w:rsidP="00E008BC">
      <w:pPr>
        <w:spacing w:before="120" w:after="120"/>
      </w:pPr>
      <w:r w:rsidRPr="00A31E76">
        <w:t>Pastāvīgs i</w:t>
      </w:r>
      <w:r w:rsidR="00A96C51" w:rsidRPr="00185280">
        <w:t>nformatīv</w:t>
      </w:r>
      <w:r w:rsidR="00D5720F" w:rsidRPr="00A31E76">
        <w:t>ais atbalsts, ko pašvaldība sniedz mājsaimniecībām attiecībā</w:t>
      </w:r>
      <w:r w:rsidR="00A96C51" w:rsidRPr="00185280">
        <w:t xml:space="preserve"> </w:t>
      </w:r>
      <w:r w:rsidRPr="00A31E76">
        <w:t xml:space="preserve">uz </w:t>
      </w:r>
      <w:r w:rsidR="00D5720F" w:rsidRPr="00A31E76">
        <w:t xml:space="preserve">energoefektivitātes un AER izmantošanas </w:t>
      </w:r>
      <w:r w:rsidRPr="00A31E76">
        <w:t>risinājumiem un iespējām</w:t>
      </w:r>
      <w:r w:rsidR="00D5720F" w:rsidRPr="00A31E76">
        <w:t xml:space="preserve">,  </w:t>
      </w:r>
      <w:r w:rsidRPr="00A31E76">
        <w:t xml:space="preserve">iedrošina un veicina mājsaimniecības izvēlēties tām </w:t>
      </w:r>
      <w:r w:rsidR="009757BA">
        <w:t xml:space="preserve">individuāli </w:t>
      </w:r>
      <w:r w:rsidRPr="00A31E76">
        <w:t>piemērotākos klimatam draudzīgākos energoapgādes risinājumus</w:t>
      </w:r>
      <w:r w:rsidR="00A96C51" w:rsidRPr="00185280">
        <w:t>.</w:t>
      </w:r>
    </w:p>
    <w:p w14:paraId="61DEBA82" w14:textId="77777777" w:rsidR="00BC6538" w:rsidRDefault="00BC6538">
      <w:pPr>
        <w:ind w:firstLine="0"/>
        <w:jc w:val="left"/>
      </w:pPr>
      <w:r>
        <w:br w:type="page"/>
      </w:r>
    </w:p>
    <w:p w14:paraId="38A5FDA8" w14:textId="77777777" w:rsidR="00F32799" w:rsidRPr="00A46CC4" w:rsidRDefault="00897CC9" w:rsidP="001156EF">
      <w:pPr>
        <w:pStyle w:val="Heading1"/>
      </w:pPr>
      <w:bookmarkStart w:id="57" w:name="_Toc25580344"/>
      <w:r w:rsidRPr="00A46CC4">
        <w:lastRenderedPageBreak/>
        <w:t xml:space="preserve">Stratēģijas </w:t>
      </w:r>
      <w:r w:rsidR="00AE76C2" w:rsidRPr="00A46CC4">
        <w:t>īstenošana</w:t>
      </w:r>
      <w:r w:rsidR="004359BC" w:rsidRPr="00A46CC4">
        <w:t xml:space="preserve"> un pārskats</w:t>
      </w:r>
      <w:bookmarkEnd w:id="57"/>
    </w:p>
    <w:p w14:paraId="5300F1E4" w14:textId="77777777" w:rsidR="00111E79" w:rsidRDefault="0005384C" w:rsidP="00111E79">
      <w:r>
        <w:t>Stratēģija</w:t>
      </w:r>
      <w:r w:rsidR="00B30266" w:rsidRPr="00A46CC4">
        <w:t xml:space="preserve">s īstenošana ir ilgtermiņa izaicinājums katram sociāli un ekonomiski aktīvajam </w:t>
      </w:r>
      <w:r w:rsidR="000574EC" w:rsidRPr="00A46CC4">
        <w:t>iedzīvotājam</w:t>
      </w:r>
      <w:r w:rsidR="00B30266" w:rsidRPr="00A46CC4">
        <w:t>. Stratēģija ir pirmais tik ilga perioda politikas plānošanas dokuments</w:t>
      </w:r>
      <w:r w:rsidR="00F60B56">
        <w:t xml:space="preserve"> Latvijā. Tās sekmīga īstenošana</w:t>
      </w:r>
      <w:r w:rsidR="00B30266" w:rsidRPr="00A46CC4">
        <w:t xml:space="preserve"> prasīs</w:t>
      </w:r>
      <w:r w:rsidR="00B72901">
        <w:t xml:space="preserve"> izpratni un iesaisti, kā arī konsekventu rīcību </w:t>
      </w:r>
      <w:r w:rsidR="00B30266" w:rsidRPr="00A46CC4">
        <w:t xml:space="preserve"> ne tikai no valsts, bet arī pašvaldībām, </w:t>
      </w:r>
      <w:r w:rsidR="009845C5">
        <w:t xml:space="preserve">nevalstiskajām organizācijām, </w:t>
      </w:r>
      <w:r w:rsidR="009845C5" w:rsidRPr="00A46CC4">
        <w:t xml:space="preserve">komersantiem, </w:t>
      </w:r>
      <w:r w:rsidR="009845C5">
        <w:t>pētniekiem</w:t>
      </w:r>
      <w:r w:rsidR="00F60B56">
        <w:t xml:space="preserve"> u</w:t>
      </w:r>
      <w:r w:rsidR="00B30266" w:rsidRPr="00A46CC4">
        <w:t xml:space="preserve">n </w:t>
      </w:r>
      <w:r w:rsidR="00F60B56">
        <w:t>ikvienam valsts iedzīvotājam</w:t>
      </w:r>
      <w:r w:rsidR="00B30266" w:rsidRPr="00A46CC4">
        <w:t xml:space="preserve">. </w:t>
      </w:r>
      <w:r w:rsidR="009845C5">
        <w:t>Lai novērtētu S</w:t>
      </w:r>
      <w:r w:rsidR="00C82396" w:rsidRPr="00A46CC4">
        <w:t>tratēģijas ieviešanu</w:t>
      </w:r>
      <w:r w:rsidR="00774D75" w:rsidRPr="00A46CC4">
        <w:t>,</w:t>
      </w:r>
      <w:r w:rsidR="00C82396" w:rsidRPr="00A46CC4">
        <w:t xml:space="preserve"> </w:t>
      </w:r>
      <w:r w:rsidR="00B30266" w:rsidRPr="00A46CC4">
        <w:t>ir jānodrošina periodisks stratēģijas progresa pārskats un ieviešanas efektivitāte</w:t>
      </w:r>
      <w:r w:rsidR="007C2490" w:rsidRPr="00A46CC4">
        <w:t>s novērtējums</w:t>
      </w:r>
      <w:r w:rsidR="00172141" w:rsidRPr="00A46CC4">
        <w:t xml:space="preserve">. </w:t>
      </w:r>
      <w:r w:rsidR="00B30266" w:rsidRPr="00A46CC4">
        <w:t xml:space="preserve"> </w:t>
      </w:r>
    </w:p>
    <w:p w14:paraId="664CAC31" w14:textId="77777777" w:rsidR="00C10DEF" w:rsidRPr="00A46CC4" w:rsidRDefault="00511C54" w:rsidP="001156EF">
      <w:pPr>
        <w:pStyle w:val="Heading2"/>
      </w:pPr>
      <w:bookmarkStart w:id="58" w:name="_Toc25580345"/>
      <w:r>
        <w:t>7</w:t>
      </w:r>
      <w:r w:rsidR="00BE2C2F" w:rsidRPr="00A46CC4">
        <w:t xml:space="preserve">.1. </w:t>
      </w:r>
      <w:r w:rsidR="00960A69" w:rsidRPr="00A46CC4">
        <w:t>Stratēģijas īstenošan</w:t>
      </w:r>
      <w:r w:rsidR="00342131" w:rsidRPr="00A46CC4">
        <w:t>ā iesaistītās puses</w:t>
      </w:r>
      <w:bookmarkEnd w:id="58"/>
    </w:p>
    <w:p w14:paraId="2676B103" w14:textId="77777777" w:rsidR="00DE5577" w:rsidRPr="005F2265" w:rsidRDefault="00DE5577" w:rsidP="0031388F">
      <w:pPr>
        <w:pStyle w:val="ListParagraph"/>
        <w:numPr>
          <w:ilvl w:val="0"/>
          <w:numId w:val="2"/>
        </w:numPr>
        <w:spacing w:before="240" w:after="120"/>
        <w:ind w:left="714" w:hanging="357"/>
        <w:rPr>
          <w:b/>
          <w:iCs/>
          <w:szCs w:val="24"/>
        </w:rPr>
      </w:pPr>
      <w:r w:rsidRPr="005F2265">
        <w:rPr>
          <w:b/>
          <w:iCs/>
          <w:szCs w:val="24"/>
        </w:rPr>
        <w:t>Valsts pārvalde</w:t>
      </w:r>
      <w:r w:rsidR="00CA55F3">
        <w:rPr>
          <w:b/>
          <w:iCs/>
          <w:szCs w:val="24"/>
        </w:rPr>
        <w:t xml:space="preserve"> </w:t>
      </w:r>
      <w:r w:rsidR="00CA55F3" w:rsidRPr="00944B60">
        <w:rPr>
          <w:b/>
          <w:iCs/>
          <w:szCs w:val="24"/>
        </w:rPr>
        <w:t xml:space="preserve">(katra ministrija savas kompetences ietvaros) </w:t>
      </w:r>
      <w:r w:rsidRPr="00944B60">
        <w:rPr>
          <w:b/>
          <w:iCs/>
          <w:szCs w:val="24"/>
        </w:rPr>
        <w:t>ir</w:t>
      </w:r>
      <w:r w:rsidRPr="005F2265">
        <w:rPr>
          <w:b/>
          <w:iCs/>
          <w:szCs w:val="24"/>
        </w:rPr>
        <w:t xml:space="preserve"> pilnveidojusi un attīstījusi katras </w:t>
      </w:r>
      <w:r w:rsidR="000574EC" w:rsidRPr="005F2265">
        <w:rPr>
          <w:b/>
          <w:iCs/>
          <w:szCs w:val="24"/>
        </w:rPr>
        <w:t xml:space="preserve">tautsaimniecības </w:t>
      </w:r>
      <w:r w:rsidRPr="005F2265">
        <w:rPr>
          <w:b/>
          <w:iCs/>
          <w:szCs w:val="24"/>
        </w:rPr>
        <w:t xml:space="preserve">nozares politikas plānošanas </w:t>
      </w:r>
      <w:r w:rsidR="000574EC" w:rsidRPr="005F2265">
        <w:rPr>
          <w:b/>
          <w:iCs/>
          <w:szCs w:val="24"/>
        </w:rPr>
        <w:t xml:space="preserve">dokumentus </w:t>
      </w:r>
      <w:r w:rsidRPr="005F2265">
        <w:rPr>
          <w:b/>
          <w:iCs/>
          <w:szCs w:val="24"/>
        </w:rPr>
        <w:t xml:space="preserve">un normatīvos </w:t>
      </w:r>
      <w:r w:rsidR="000574EC" w:rsidRPr="005F2265">
        <w:rPr>
          <w:b/>
          <w:iCs/>
          <w:szCs w:val="24"/>
        </w:rPr>
        <w:t>aktus</w:t>
      </w:r>
      <w:r w:rsidRPr="005F2265">
        <w:rPr>
          <w:b/>
          <w:iCs/>
          <w:szCs w:val="24"/>
        </w:rPr>
        <w:t xml:space="preserve">, lai tie </w:t>
      </w:r>
      <w:r w:rsidR="000574EC" w:rsidRPr="005F2265">
        <w:rPr>
          <w:b/>
          <w:iCs/>
          <w:szCs w:val="24"/>
        </w:rPr>
        <w:t xml:space="preserve">būtu saskaņā ar </w:t>
      </w:r>
      <w:r w:rsidR="00F60B56">
        <w:rPr>
          <w:b/>
          <w:iCs/>
          <w:szCs w:val="24"/>
        </w:rPr>
        <w:t>S</w:t>
      </w:r>
      <w:r w:rsidRPr="005F2265">
        <w:rPr>
          <w:b/>
          <w:iCs/>
          <w:szCs w:val="24"/>
        </w:rPr>
        <w:t xml:space="preserve">tratēģijā deklarētajiem mērķiem </w:t>
      </w:r>
    </w:p>
    <w:p w14:paraId="3271986E" w14:textId="77777777" w:rsidR="00062519" w:rsidRDefault="009845C5" w:rsidP="00977BCE">
      <w:r>
        <w:t>S</w:t>
      </w:r>
      <w:r w:rsidR="00062519" w:rsidRPr="00A46CC4">
        <w:t xml:space="preserve">tratēģiju īsteno, sagatavojot un ieviešot nacionālos klimata un enerģētikas plānus </w:t>
      </w:r>
      <w:r>
        <w:t xml:space="preserve">(pirmais no tiem </w:t>
      </w:r>
      <w:r w:rsidR="00062519" w:rsidRPr="00A46CC4">
        <w:t>līdz 2030.</w:t>
      </w:r>
      <w:r w:rsidR="008767F8">
        <w:t> </w:t>
      </w:r>
      <w:r w:rsidR="00062519" w:rsidRPr="00A46CC4">
        <w:t>gadam</w:t>
      </w:r>
      <w:r w:rsidR="00F60B56">
        <w:t xml:space="preserve">, </w:t>
      </w:r>
      <w:r w:rsidR="00E3066F">
        <w:t>ņemot vērā</w:t>
      </w:r>
      <w:r w:rsidR="00111E79">
        <w:t xml:space="preserve"> </w:t>
      </w:r>
      <w:r w:rsidR="00F60B56">
        <w:t>2050.</w:t>
      </w:r>
      <w:r w:rsidR="008767F8">
        <w:t> </w:t>
      </w:r>
      <w:r w:rsidR="00F60B56">
        <w:t>gada mērķ</w:t>
      </w:r>
      <w:r w:rsidR="00E3066F">
        <w:t>us un Stratēģijā izklāstīto vīziju 2050.</w:t>
      </w:r>
      <w:r w:rsidR="008767F8">
        <w:t> </w:t>
      </w:r>
      <w:r w:rsidR="00E3066F">
        <w:t>gadam</w:t>
      </w:r>
      <w:r>
        <w:t>)</w:t>
      </w:r>
      <w:r w:rsidR="00062519" w:rsidRPr="00A46CC4">
        <w:t xml:space="preserve">, kuru nepieciešamību nosaka Enerģētikas Savienība. </w:t>
      </w:r>
      <w:r w:rsidR="00F60B56">
        <w:t>Šie plāni aptver</w:t>
      </w:r>
      <w:r w:rsidR="00062519" w:rsidRPr="00A46CC4">
        <w:t xml:space="preserve"> 5 dimensijas </w:t>
      </w:r>
      <w:r w:rsidR="008767F8">
        <w:t>  </w:t>
      </w:r>
      <w:r w:rsidR="00062519" w:rsidRPr="00A46CC4">
        <w:t xml:space="preserve">enerģētiskā drošība, solidaritāte un uzticēšanās; pilnībā integrēts Eiropas iekšējais enerģijas tirgus; energoefektivitāte (t.sk. transportā); ekonomikas dekarbonizācija; pētniecība, inovācija un konkurētspēja. </w:t>
      </w:r>
    </w:p>
    <w:p w14:paraId="4AF193B8" w14:textId="77777777" w:rsidR="00111E79" w:rsidRPr="003755D1" w:rsidRDefault="00111E79" w:rsidP="00111E79">
      <w:pPr>
        <w:pStyle w:val="Subtitle"/>
        <w:rPr>
          <w:b w:val="0"/>
        </w:rPr>
      </w:pPr>
      <w:r>
        <w:rPr>
          <w:b w:val="0"/>
        </w:rPr>
        <w:t>Stratēģija</w:t>
      </w:r>
      <w:r w:rsidRPr="003755D1">
        <w:rPr>
          <w:b w:val="0"/>
        </w:rPr>
        <w:t>s mērķu sasniegšanā ir būtiska maksimāli plaša sabiedrības iesaiste. Sabiedrības izpratnes veidošanā par klimata pārmaiņu procesiem un nepieciešam</w:t>
      </w:r>
      <w:r>
        <w:rPr>
          <w:b w:val="0"/>
        </w:rPr>
        <w:t>ajai rīcībai, lai tos mazinātu,</w:t>
      </w:r>
      <w:r w:rsidRPr="003755D1">
        <w:rPr>
          <w:b w:val="0"/>
        </w:rPr>
        <w:t xml:space="preserve"> būtiska loma ir izglītībai. </w:t>
      </w:r>
      <w:r w:rsidRPr="005F2265">
        <w:rPr>
          <w:b w:val="0"/>
          <w:iCs w:val="0"/>
        </w:rPr>
        <w:t>Oglekļa mazietilpīgas attīstības principi ir iekļauti izglītības sistēmas saturā</w:t>
      </w:r>
      <w:r>
        <w:rPr>
          <w:b w:val="0"/>
          <w:iCs w:val="0"/>
        </w:rPr>
        <w:t xml:space="preserve">. </w:t>
      </w:r>
      <w:r w:rsidRPr="003755D1">
        <w:rPr>
          <w:b w:val="0"/>
        </w:rPr>
        <w:t>Visas izglītības iestādes arī ikdienas darbā praktiski īsteno OMA principus, sniedzot ieguldījumu enerģijas patēriņa, resursu un atkritumu apjoma samazināšanā un energoefektivitātes paaugstināšanā.</w:t>
      </w:r>
    </w:p>
    <w:p w14:paraId="30BCD8EE" w14:textId="77777777" w:rsidR="00111E79" w:rsidRPr="003755D1" w:rsidRDefault="00111E79" w:rsidP="00111E79">
      <w:pPr>
        <w:pStyle w:val="Subtitle"/>
        <w:rPr>
          <w:b w:val="0"/>
        </w:rPr>
      </w:pPr>
      <w:r w:rsidRPr="003755D1">
        <w:rPr>
          <w:b w:val="0"/>
        </w:rPr>
        <w:t>Pētniecībā balstīta augstākā izglītība nodrošina jaunāko zinātnisko atziņu integrēšanu studiju procesā un jaunu speciālistu sagatavošanā.</w:t>
      </w:r>
    </w:p>
    <w:p w14:paraId="57DAE931" w14:textId="77777777" w:rsidR="00111E79" w:rsidRDefault="00111E79" w:rsidP="00111E79">
      <w:pPr>
        <w:pStyle w:val="Subtitle"/>
        <w:numPr>
          <w:ilvl w:val="0"/>
          <w:numId w:val="0"/>
        </w:numPr>
        <w:ind w:firstLine="567"/>
      </w:pPr>
      <w:r w:rsidRPr="003755D1">
        <w:rPr>
          <w:b w:val="0"/>
        </w:rPr>
        <w:t xml:space="preserve">Latvijas iedzīvotāji kopumā izprot klimata pārmaiņu procesus un klimata politikas pasākumu loģiku, un individuālās izvēles un rīcības veic, ņemot vērā </w:t>
      </w:r>
      <w:r>
        <w:rPr>
          <w:b w:val="0"/>
        </w:rPr>
        <w:t xml:space="preserve">oglekļa mazietilpīgas </w:t>
      </w:r>
      <w:r w:rsidRPr="003755D1">
        <w:rPr>
          <w:b w:val="0"/>
        </w:rPr>
        <w:t xml:space="preserve">attīstības principus. Ikviens Latvijas iedzīvotājs izprot globālā tirgus darbības un resursu aprites mehānismus, un izvēlas pielāgot savus patēriņa paradumus ilgtspējīgas attīstības principiem. Ikvienam Latvijas iedzīvotājam ir pieejama skaidri saprotama un pamatota informācija par </w:t>
      </w:r>
      <w:r>
        <w:rPr>
          <w:b w:val="0"/>
        </w:rPr>
        <w:t>Stratēģija</w:t>
      </w:r>
      <w:r w:rsidRPr="003755D1">
        <w:rPr>
          <w:b w:val="0"/>
        </w:rPr>
        <w:t>s mērķiem.</w:t>
      </w:r>
    </w:p>
    <w:p w14:paraId="0430E8A0" w14:textId="77777777" w:rsidR="00062519" w:rsidRPr="005F2265" w:rsidRDefault="00062519" w:rsidP="0031388F">
      <w:pPr>
        <w:pStyle w:val="ListParagraph"/>
        <w:numPr>
          <w:ilvl w:val="0"/>
          <w:numId w:val="2"/>
        </w:numPr>
        <w:spacing w:before="240" w:after="120"/>
        <w:ind w:left="714" w:hanging="357"/>
        <w:rPr>
          <w:b/>
          <w:iCs/>
          <w:szCs w:val="24"/>
        </w:rPr>
      </w:pPr>
      <w:r w:rsidRPr="005F2265">
        <w:rPr>
          <w:b/>
          <w:iCs/>
          <w:szCs w:val="24"/>
        </w:rPr>
        <w:t>Pašvaldības attīstās ilgtspējīgi</w:t>
      </w:r>
      <w:r w:rsidR="000574EC" w:rsidRPr="005F2265">
        <w:rPr>
          <w:b/>
          <w:iCs/>
          <w:szCs w:val="24"/>
        </w:rPr>
        <w:t xml:space="preserve"> un </w:t>
      </w:r>
      <w:r w:rsidR="00DF1D0C">
        <w:rPr>
          <w:b/>
          <w:iCs/>
          <w:szCs w:val="24"/>
        </w:rPr>
        <w:t>ir samazinājušas</w:t>
      </w:r>
      <w:r w:rsidR="00B93A0C">
        <w:rPr>
          <w:b/>
          <w:iCs/>
          <w:szCs w:val="24"/>
        </w:rPr>
        <w:t xml:space="preserve"> </w:t>
      </w:r>
      <w:r w:rsidRPr="005F2265">
        <w:rPr>
          <w:b/>
          <w:iCs/>
          <w:szCs w:val="24"/>
        </w:rPr>
        <w:t xml:space="preserve">SEG </w:t>
      </w:r>
      <w:r w:rsidR="00DF1D0C" w:rsidRPr="005F2265">
        <w:rPr>
          <w:b/>
          <w:iCs/>
          <w:szCs w:val="24"/>
        </w:rPr>
        <w:t>emisij</w:t>
      </w:r>
      <w:r w:rsidR="00DF1D0C">
        <w:rPr>
          <w:b/>
          <w:iCs/>
          <w:szCs w:val="24"/>
        </w:rPr>
        <w:t>as</w:t>
      </w:r>
      <w:r w:rsidR="00DF1D0C" w:rsidRPr="005F2265">
        <w:rPr>
          <w:b/>
          <w:iCs/>
          <w:szCs w:val="24"/>
        </w:rPr>
        <w:t xml:space="preserve"> </w:t>
      </w:r>
      <w:r w:rsidRPr="005F2265">
        <w:rPr>
          <w:b/>
          <w:iCs/>
          <w:szCs w:val="24"/>
        </w:rPr>
        <w:t>reģionos</w:t>
      </w:r>
      <w:r w:rsidR="00B93A0C">
        <w:rPr>
          <w:b/>
          <w:iCs/>
          <w:szCs w:val="24"/>
        </w:rPr>
        <w:t xml:space="preserve">, kā arī veicinājušas </w:t>
      </w:r>
      <w:r w:rsidRPr="005F2265">
        <w:rPr>
          <w:b/>
          <w:iCs/>
          <w:szCs w:val="24"/>
        </w:rPr>
        <w:t>oglekļa mazietilpīgu uzņēmumu attīstību (</w:t>
      </w:r>
      <w:r w:rsidR="009845C5" w:rsidRPr="005F2265">
        <w:rPr>
          <w:b/>
          <w:iCs/>
          <w:szCs w:val="24"/>
        </w:rPr>
        <w:t>“</w:t>
      </w:r>
      <w:r w:rsidRPr="005F2265">
        <w:rPr>
          <w:b/>
          <w:iCs/>
          <w:szCs w:val="24"/>
        </w:rPr>
        <w:t>zaļā</w:t>
      </w:r>
      <w:r w:rsidR="009845C5" w:rsidRPr="005F2265">
        <w:rPr>
          <w:b/>
          <w:iCs/>
          <w:szCs w:val="24"/>
        </w:rPr>
        <w:t>”</w:t>
      </w:r>
      <w:r w:rsidRPr="005F2265">
        <w:rPr>
          <w:b/>
          <w:iCs/>
          <w:szCs w:val="24"/>
        </w:rPr>
        <w:t xml:space="preserve"> nodarbinātība)</w:t>
      </w:r>
    </w:p>
    <w:p w14:paraId="63590436" w14:textId="77777777" w:rsidR="00B93A0C" w:rsidRDefault="00B93A0C" w:rsidP="00B93A0C">
      <w:r>
        <w:t>P</w:t>
      </w:r>
      <w:r w:rsidRPr="00A46CC4">
        <w:t>ašvaldīb</w:t>
      </w:r>
      <w:r>
        <w:t>as</w:t>
      </w:r>
      <w:r w:rsidRPr="00A46CC4">
        <w:t xml:space="preserve"> </w:t>
      </w:r>
      <w:r>
        <w:t xml:space="preserve">izvirza </w:t>
      </w:r>
      <w:r w:rsidRPr="00A46CC4">
        <w:t>savus SEG emisiju samazināšanas mērķus un</w:t>
      </w:r>
      <w:r>
        <w:t xml:space="preserve"> demonstrē</w:t>
      </w:r>
      <w:r w:rsidRPr="00A46CC4">
        <w:t xml:space="preserve"> progresu šo mērķu sasniegšanā</w:t>
      </w:r>
      <w:r>
        <w:t xml:space="preserve">, par to regulāri </w:t>
      </w:r>
      <w:r w:rsidRPr="00A46CC4">
        <w:t>informē</w:t>
      </w:r>
      <w:r>
        <w:t>jot</w:t>
      </w:r>
      <w:r w:rsidRPr="00A46CC4">
        <w:t xml:space="preserve"> iedzīvotājus.</w:t>
      </w:r>
      <w:r>
        <w:t xml:space="preserve"> </w:t>
      </w:r>
    </w:p>
    <w:p w14:paraId="69036D65" w14:textId="77777777" w:rsidR="00B93A0C" w:rsidRPr="00A46CC4" w:rsidRDefault="00B93A0C" w:rsidP="00B93A0C">
      <w:r w:rsidRPr="00A46CC4">
        <w:t>Pašvaldīb</w:t>
      </w:r>
      <w:r>
        <w:t>as, organizējot savu darbu, rāda piemēru privātajam sektoram, kā arī informē un izglīto sabiedrību</w:t>
      </w:r>
      <w:r w:rsidRPr="00A46CC4">
        <w:t xml:space="preserve"> </w:t>
      </w:r>
      <w:r>
        <w:t>par klimata pārmaiņu mazināšanas risinājumiem</w:t>
      </w:r>
      <w:r w:rsidRPr="00A46CC4">
        <w:t>.</w:t>
      </w:r>
    </w:p>
    <w:p w14:paraId="4388BD78" w14:textId="77777777" w:rsidR="00062519" w:rsidRDefault="000574EC" w:rsidP="00977BCE">
      <w:r w:rsidRPr="00A46CC4">
        <w:t xml:space="preserve">Nozīmīga loma ir arī plānošanas reģioniem, kas sadarbībā ar pašvaldībām un valsts pārvaldes iestādēm izstrādā ilgtermiņa un vidēja termiņa attīstības plānošanas dokumentus, tostarp </w:t>
      </w:r>
      <w:r w:rsidR="00D93D17">
        <w:t>ņemot vērā</w:t>
      </w:r>
      <w:r w:rsidR="00B72901">
        <w:t xml:space="preserve"> valsts SEG emisiju samazināšanas mērķus</w:t>
      </w:r>
      <w:r w:rsidRPr="00A46CC4">
        <w:t xml:space="preserve">. </w:t>
      </w:r>
    </w:p>
    <w:p w14:paraId="6FD96F25" w14:textId="77777777" w:rsidR="004079EA" w:rsidRDefault="004079EA" w:rsidP="00977BCE"/>
    <w:p w14:paraId="0389D462" w14:textId="77777777" w:rsidR="004079EA" w:rsidRDefault="004079EA" w:rsidP="00977BCE"/>
    <w:p w14:paraId="59A5637B" w14:textId="77777777" w:rsidR="004079EA" w:rsidRPr="00A46CC4" w:rsidRDefault="004079EA" w:rsidP="00977BCE"/>
    <w:p w14:paraId="38E64225" w14:textId="77777777" w:rsidR="00062519" w:rsidRPr="005F2265" w:rsidRDefault="00062519" w:rsidP="0031388F">
      <w:pPr>
        <w:pStyle w:val="ListParagraph"/>
        <w:numPr>
          <w:ilvl w:val="0"/>
          <w:numId w:val="2"/>
        </w:numPr>
        <w:spacing w:before="240" w:after="120"/>
        <w:ind w:left="714" w:hanging="357"/>
        <w:rPr>
          <w:b/>
          <w:iCs/>
          <w:szCs w:val="24"/>
        </w:rPr>
      </w:pPr>
      <w:r w:rsidRPr="005F2265">
        <w:rPr>
          <w:b/>
          <w:iCs/>
          <w:szCs w:val="24"/>
        </w:rPr>
        <w:lastRenderedPageBreak/>
        <w:t xml:space="preserve">Komersanti </w:t>
      </w:r>
      <w:r w:rsidR="002B1476" w:rsidRPr="005F2265">
        <w:rPr>
          <w:b/>
          <w:iCs/>
          <w:szCs w:val="24"/>
        </w:rPr>
        <w:t xml:space="preserve">ir </w:t>
      </w:r>
      <w:r w:rsidRPr="005F2265">
        <w:rPr>
          <w:b/>
          <w:iCs/>
          <w:szCs w:val="24"/>
        </w:rPr>
        <w:t>aktīvi iesaist</w:t>
      </w:r>
      <w:r w:rsidR="002B1476" w:rsidRPr="005F2265">
        <w:rPr>
          <w:b/>
          <w:iCs/>
          <w:szCs w:val="24"/>
        </w:rPr>
        <w:t>ījušies</w:t>
      </w:r>
      <w:r w:rsidRPr="005F2265">
        <w:rPr>
          <w:b/>
          <w:iCs/>
          <w:szCs w:val="24"/>
        </w:rPr>
        <w:t xml:space="preserve"> jaunu, inovatīvu un ilgtspējīgu produktu </w:t>
      </w:r>
      <w:r w:rsidR="002B1476" w:rsidRPr="005F2265">
        <w:rPr>
          <w:b/>
          <w:iCs/>
          <w:szCs w:val="24"/>
        </w:rPr>
        <w:t xml:space="preserve">attīstīšanā </w:t>
      </w:r>
      <w:r w:rsidRPr="005F2265">
        <w:rPr>
          <w:b/>
          <w:iCs/>
          <w:szCs w:val="24"/>
        </w:rPr>
        <w:t xml:space="preserve">un veido videi draudzīgus uzņēmumus </w:t>
      </w:r>
    </w:p>
    <w:p w14:paraId="748464D2" w14:textId="77777777" w:rsidR="00931EDB" w:rsidRPr="00A46CC4" w:rsidRDefault="0005384C" w:rsidP="00E008BC">
      <w:pPr>
        <w:spacing w:before="120" w:after="120"/>
      </w:pPr>
      <w:r>
        <w:t>Stratēģija</w:t>
      </w:r>
      <w:r w:rsidR="00062519" w:rsidRPr="00A46CC4">
        <w:t>i ir jāveicina Latvijas SEG emisiju samazināšan</w:t>
      </w:r>
      <w:r w:rsidR="002B1476" w:rsidRPr="00A46CC4">
        <w:t>u</w:t>
      </w:r>
      <w:r w:rsidR="00062519" w:rsidRPr="00A46CC4">
        <w:t xml:space="preserve">, nemazinot Latvijas ekonomisko konkurētspēju. </w:t>
      </w:r>
      <w:r w:rsidR="002B1476" w:rsidRPr="00A46CC4">
        <w:t>S</w:t>
      </w:r>
      <w:r w:rsidR="00062519" w:rsidRPr="00A46CC4">
        <w:t>tratēģija rada vid</w:t>
      </w:r>
      <w:r w:rsidR="002B1476" w:rsidRPr="00A46CC4">
        <w:t>i</w:t>
      </w:r>
      <w:r w:rsidR="00062519" w:rsidRPr="00A46CC4">
        <w:t xml:space="preserve"> esošo uzņēmumu stabilitātei un izaugsmei, kā arī veicina jaunu, inovatīvu, ilgtspējīgu un videi draudzīgu uzņēmumu veidošan</w:t>
      </w:r>
      <w:r w:rsidR="00026C26" w:rsidRPr="00A46CC4">
        <w:t>os</w:t>
      </w:r>
      <w:r w:rsidR="00062519" w:rsidRPr="00A46CC4">
        <w:t>.</w:t>
      </w:r>
      <w:r w:rsidR="002945B4" w:rsidRPr="00A46CC4">
        <w:t xml:space="preserve"> Arvien vairāk iedzīvotāju ir nodarbināti “zaļajās” darbavietās, kas ražo </w:t>
      </w:r>
      <w:r w:rsidR="00D93D17">
        <w:t xml:space="preserve">klimatam un </w:t>
      </w:r>
      <w:r w:rsidR="00931EDB" w:rsidRPr="00A46CC4">
        <w:t>videi draudzīgus produktus</w:t>
      </w:r>
      <w:r w:rsidR="00D93D17">
        <w:t xml:space="preserve"> </w:t>
      </w:r>
      <w:r w:rsidR="00E3066F">
        <w:t xml:space="preserve">un </w:t>
      </w:r>
      <w:r w:rsidR="00D93D17">
        <w:t>pakalpojumus</w:t>
      </w:r>
      <w:r w:rsidR="00931EDB" w:rsidRPr="00A46CC4">
        <w:t>.</w:t>
      </w:r>
      <w:r w:rsidR="00062519" w:rsidRPr="00A46CC4">
        <w:t xml:space="preserve"> </w:t>
      </w:r>
      <w:r w:rsidR="00931EDB" w:rsidRPr="00A46CC4">
        <w:t>Privātie uzņēmumi arvien vairāk savā darbībā pie</w:t>
      </w:r>
      <w:r w:rsidR="00E01063">
        <w:t>mēro</w:t>
      </w:r>
      <w:r w:rsidR="00931EDB" w:rsidRPr="00A46CC4">
        <w:t xml:space="preserve"> </w:t>
      </w:r>
      <w:r w:rsidR="00E01063">
        <w:t>ZI</w:t>
      </w:r>
      <w:r w:rsidR="00931EDB" w:rsidRPr="00A46CC4">
        <w:t>, lai samazinātu savu ietekmi uz vidi.</w:t>
      </w:r>
      <w:r w:rsidR="00D32B08" w:rsidRPr="00A46CC4">
        <w:t xml:space="preserve"> </w:t>
      </w:r>
      <w:r w:rsidR="00062519" w:rsidRPr="00A46CC4">
        <w:t xml:space="preserve">Valsts un pašvaldības sniedz padziļinātu atbalstu jaunajiem uzņēmējiem, lai </w:t>
      </w:r>
      <w:r w:rsidR="002B1476" w:rsidRPr="00A46CC4">
        <w:t xml:space="preserve">veicinātu </w:t>
      </w:r>
      <w:r w:rsidR="008C1571">
        <w:t>OMA un virzību uz klimatneitralitāti</w:t>
      </w:r>
      <w:r w:rsidR="00062519" w:rsidRPr="00A46CC4">
        <w:t>.</w:t>
      </w:r>
      <w:r w:rsidR="00931EDB" w:rsidRPr="00A46CC4">
        <w:t xml:space="preserve"> </w:t>
      </w:r>
      <w:r w:rsidR="00062519" w:rsidRPr="00A46CC4">
        <w:t xml:space="preserve">Ilgtspējīgas uzņēmējdarbības atbalstam ir pieejams finansējums no </w:t>
      </w:r>
      <w:r w:rsidR="006A5B2D" w:rsidRPr="00A46CC4">
        <w:t>dažādām valsts</w:t>
      </w:r>
      <w:r w:rsidR="003D744B" w:rsidRPr="00A46CC4">
        <w:t xml:space="preserve">, </w:t>
      </w:r>
      <w:r w:rsidR="00E3066F">
        <w:t>ES</w:t>
      </w:r>
      <w:r w:rsidR="00062519" w:rsidRPr="00A46CC4">
        <w:t xml:space="preserve"> un privātām finanšu institūcijām</w:t>
      </w:r>
      <w:r w:rsidR="003D744B" w:rsidRPr="00A46CC4">
        <w:t xml:space="preserve"> un instrumentiem</w:t>
      </w:r>
      <w:r w:rsidR="00062519" w:rsidRPr="00A46CC4">
        <w:t>.</w:t>
      </w:r>
      <w:r w:rsidR="002945B4" w:rsidRPr="00A46CC4">
        <w:t xml:space="preserve"> </w:t>
      </w:r>
    </w:p>
    <w:p w14:paraId="161CD543" w14:textId="77777777" w:rsidR="00062519" w:rsidRDefault="00931EDB" w:rsidP="00E008BC">
      <w:pPr>
        <w:spacing w:before="120" w:after="120"/>
      </w:pPr>
      <w:r w:rsidRPr="00A46CC4">
        <w:t xml:space="preserve">Uzņēmējdarbības stabila un ilgtspējīga attīstība ir priekšnoteikums Latvijas iedzīvotāju labklājībai un sakārtotai videi. </w:t>
      </w:r>
    </w:p>
    <w:p w14:paraId="6B2E2050" w14:textId="77777777" w:rsidR="00062519" w:rsidRPr="00E4114E" w:rsidRDefault="00062519" w:rsidP="0031388F">
      <w:pPr>
        <w:pStyle w:val="ListParagraph"/>
        <w:numPr>
          <w:ilvl w:val="0"/>
          <w:numId w:val="2"/>
        </w:numPr>
        <w:spacing w:before="240" w:after="120"/>
        <w:ind w:left="714" w:hanging="357"/>
        <w:rPr>
          <w:b/>
          <w:iCs/>
          <w:szCs w:val="24"/>
        </w:rPr>
      </w:pPr>
      <w:r w:rsidRPr="005F2265">
        <w:rPr>
          <w:b/>
          <w:iCs/>
          <w:szCs w:val="24"/>
        </w:rPr>
        <w:t xml:space="preserve">Mājsaimniecības </w:t>
      </w:r>
      <w:r w:rsidRPr="00E4114E">
        <w:rPr>
          <w:b/>
          <w:iCs/>
          <w:szCs w:val="24"/>
        </w:rPr>
        <w:t xml:space="preserve">aktīvi izmanto </w:t>
      </w:r>
      <w:r w:rsidR="0020745E" w:rsidRPr="00E4114E">
        <w:rPr>
          <w:b/>
          <w:iCs/>
          <w:szCs w:val="24"/>
        </w:rPr>
        <w:t>OMA</w:t>
      </w:r>
      <w:r w:rsidRPr="00E4114E">
        <w:rPr>
          <w:b/>
          <w:iCs/>
          <w:szCs w:val="24"/>
        </w:rPr>
        <w:t xml:space="preserve"> principus</w:t>
      </w:r>
      <w:r w:rsidR="00795064" w:rsidRPr="00E4114E">
        <w:rPr>
          <w:b/>
          <w:iCs/>
          <w:szCs w:val="24"/>
        </w:rPr>
        <w:t xml:space="preserve"> </w:t>
      </w:r>
      <w:r w:rsidR="0020745E" w:rsidRPr="00E4114E">
        <w:rPr>
          <w:b/>
          <w:iCs/>
          <w:szCs w:val="24"/>
        </w:rPr>
        <w:t>klimatneitralitātes</w:t>
      </w:r>
      <w:r w:rsidR="00795064" w:rsidRPr="00E4114E">
        <w:rPr>
          <w:b/>
          <w:iCs/>
          <w:szCs w:val="24"/>
        </w:rPr>
        <w:t xml:space="preserve"> sasniegšanai</w:t>
      </w:r>
    </w:p>
    <w:p w14:paraId="639A8702" w14:textId="77777777" w:rsidR="006D393D" w:rsidRPr="00A46CC4" w:rsidRDefault="00E00E4C" w:rsidP="00977BCE">
      <w:r>
        <w:t xml:space="preserve">Kopējo valsts virzību uz klimatneitralitāti </w:t>
      </w:r>
      <w:r w:rsidR="00E01063">
        <w:t>veido</w:t>
      </w:r>
      <w:r w:rsidR="006D393D" w:rsidRPr="00A46CC4">
        <w:t xml:space="preserve"> ik</w:t>
      </w:r>
      <w:r w:rsidR="00E01063">
        <w:t>katra iedzīvotāja ikdienas izvēles</w:t>
      </w:r>
      <w:r w:rsidR="006D393D" w:rsidRPr="00A46CC4">
        <w:t>. Ikviena mājsaimniecība ir atbildīga par mājokļa</w:t>
      </w:r>
      <w:r w:rsidR="0096564E" w:rsidRPr="00A46CC4">
        <w:t>,</w:t>
      </w:r>
      <w:r w:rsidR="006D393D" w:rsidRPr="00A46CC4">
        <w:t xml:space="preserve"> izmantoto tehnoloģiju un ierīču energoefektivitāti,</w:t>
      </w:r>
      <w:r w:rsidR="0096564E" w:rsidRPr="00A46CC4">
        <w:t xml:space="preserve"> kā arī</w:t>
      </w:r>
      <w:r w:rsidR="006D393D" w:rsidRPr="00A46CC4">
        <w:t xml:space="preserve"> izvēlēto energoresursu </w:t>
      </w:r>
      <w:r w:rsidR="0096564E" w:rsidRPr="00A46CC4">
        <w:t xml:space="preserve">izmantošanas </w:t>
      </w:r>
      <w:r w:rsidR="006D393D" w:rsidRPr="00A46CC4">
        <w:t xml:space="preserve">paradumiem, </w:t>
      </w:r>
      <w:r w:rsidR="0096564E" w:rsidRPr="00A46CC4">
        <w:t>samazinot negatīvo ietekmi uz</w:t>
      </w:r>
      <w:r w:rsidR="006D393D" w:rsidRPr="00A46CC4">
        <w:t xml:space="preserve"> </w:t>
      </w:r>
      <w:r w:rsidR="00111E79">
        <w:t xml:space="preserve">klimatu un </w:t>
      </w:r>
      <w:r w:rsidR="0096564E" w:rsidRPr="00A46CC4">
        <w:t>vidi</w:t>
      </w:r>
      <w:r w:rsidR="006D393D" w:rsidRPr="00A46CC4">
        <w:t xml:space="preserve">. Mājsaimniecības </w:t>
      </w:r>
      <w:r w:rsidR="009A7BB9">
        <w:t xml:space="preserve">savstarpēji dalās ar labajām praksēm un pieredzi centienos samazināt savu ietekmi uz vidi. </w:t>
      </w:r>
    </w:p>
    <w:p w14:paraId="3A3A51EF" w14:textId="77777777" w:rsidR="003444D5" w:rsidRPr="00511C54" w:rsidRDefault="00511C54" w:rsidP="00977BCE">
      <w:pPr>
        <w:pStyle w:val="Heading2"/>
      </w:pPr>
      <w:bookmarkStart w:id="59" w:name="_Toc25580346"/>
      <w:r>
        <w:t>7</w:t>
      </w:r>
      <w:r w:rsidR="003A1E8B" w:rsidRPr="00A46CC4">
        <w:t>.</w:t>
      </w:r>
      <w:r w:rsidR="001028B8" w:rsidRPr="00A46CC4">
        <w:t>2</w:t>
      </w:r>
      <w:r w:rsidR="003A1E8B" w:rsidRPr="00A46CC4">
        <w:t xml:space="preserve">. </w:t>
      </w:r>
      <w:r w:rsidR="003A1E8B" w:rsidRPr="00511C54">
        <w:t>Strat</w:t>
      </w:r>
      <w:r w:rsidR="00342131" w:rsidRPr="00511C54">
        <w:t>ēģijas</w:t>
      </w:r>
      <w:r w:rsidR="00342131" w:rsidRPr="00A46CC4">
        <w:t xml:space="preserve"> īstenošanā</w:t>
      </w:r>
      <w:r w:rsidR="003A1E8B" w:rsidRPr="00511C54">
        <w:t xml:space="preserve"> izmantojamie instrumenti</w:t>
      </w:r>
      <w:bookmarkEnd w:id="59"/>
    </w:p>
    <w:p w14:paraId="6A66217A" w14:textId="77777777" w:rsidR="00152A3C" w:rsidRPr="00A46CC4" w:rsidRDefault="00152A3C" w:rsidP="003A6A0B">
      <w:r w:rsidRPr="00A46CC4">
        <w:t xml:space="preserve">Stratēģijas īstenošanai izmantojamos instrumentus var iedalīt gan pēc būtības, gan pēc sasniedzamā mērķa. Balstoties uz esošo pieredzi ir lietderīgi izdalīt piecas instrumentu grupas: sabiedrības informēšana, </w:t>
      </w:r>
      <w:r w:rsidR="00E3066F" w:rsidRPr="00A46CC4">
        <w:t>tie</w:t>
      </w:r>
      <w:r w:rsidR="00E3066F">
        <w:t>sību</w:t>
      </w:r>
      <w:r w:rsidR="00E3066F" w:rsidRPr="00A46CC4">
        <w:t xml:space="preserve"> </w:t>
      </w:r>
      <w:r w:rsidRPr="00A46CC4">
        <w:t>akti un regulējošais ietvars, tirgus mehānismi, fiskālie instrumenti un finanšu instrumenti.</w:t>
      </w:r>
    </w:p>
    <w:p w14:paraId="6B1F357C" w14:textId="77777777" w:rsidR="00152A3C" w:rsidRPr="005F2265" w:rsidRDefault="00152A3C" w:rsidP="0031388F">
      <w:pPr>
        <w:pStyle w:val="ListParagraph"/>
        <w:numPr>
          <w:ilvl w:val="0"/>
          <w:numId w:val="2"/>
        </w:numPr>
        <w:spacing w:before="240" w:after="120"/>
        <w:ind w:left="714" w:hanging="357"/>
        <w:rPr>
          <w:b/>
          <w:iCs/>
          <w:szCs w:val="24"/>
        </w:rPr>
      </w:pPr>
      <w:r w:rsidRPr="005F2265">
        <w:rPr>
          <w:b/>
          <w:iCs/>
          <w:szCs w:val="24"/>
        </w:rPr>
        <w:t>Sabiedrības informēšana</w:t>
      </w:r>
      <w:r w:rsidR="00900E21" w:rsidRPr="005F2265">
        <w:rPr>
          <w:b/>
          <w:iCs/>
          <w:szCs w:val="24"/>
        </w:rPr>
        <w:t xml:space="preserve"> un izpratnes veidošana</w:t>
      </w:r>
    </w:p>
    <w:p w14:paraId="2753D307" w14:textId="77777777" w:rsidR="0020745E" w:rsidRPr="0020745E" w:rsidRDefault="00900E21" w:rsidP="0020745E">
      <w:pPr>
        <w:rPr>
          <w:b/>
          <w:iCs/>
          <w:szCs w:val="24"/>
        </w:rPr>
      </w:pPr>
      <w:r w:rsidRPr="00A46CC4">
        <w:t>Neskatoties uz pārliecinošiem pierādījumiem</w:t>
      </w:r>
      <w:r w:rsidR="00BC7A93">
        <w:rPr>
          <w:rStyle w:val="FootnoteReference"/>
        </w:rPr>
        <w:footnoteReference w:id="69"/>
      </w:r>
      <w:r w:rsidRPr="00A46CC4">
        <w:t xml:space="preserve"> par klimata pārmaiņām un to negatīvo ietekmi uz vidi un cilvēku veselību, </w:t>
      </w:r>
      <w:r w:rsidR="00813514">
        <w:t>daudzi</w:t>
      </w:r>
      <w:r w:rsidRPr="00A46CC4">
        <w:t xml:space="preserve"> </w:t>
      </w:r>
      <w:r>
        <w:t xml:space="preserve">Latvijas </w:t>
      </w:r>
      <w:r w:rsidR="00813514">
        <w:t>iedzīvotāji</w:t>
      </w:r>
      <w:r w:rsidRPr="00A46CC4">
        <w:t xml:space="preserve"> joprojām nav pietiekami informēti par klimata pārmaiņām</w:t>
      </w:r>
      <w:r w:rsidR="00813514">
        <w:t>, to radītajiem riskiem, kā arī veicamajām rīcībām to mazināšanai</w:t>
      </w:r>
      <w:r w:rsidRPr="00A46CC4">
        <w:t xml:space="preserve">. Sabiedrības informēšana </w:t>
      </w:r>
      <w:r>
        <w:t>un izpratnes par klimata pārmaiņu procesiem veidošana</w:t>
      </w:r>
      <w:r w:rsidRPr="00A46CC4">
        <w:t xml:space="preserve"> ir viens no</w:t>
      </w:r>
      <w:r w:rsidR="00813514">
        <w:t xml:space="preserve"> nozīmīgākajiem</w:t>
      </w:r>
      <w:r>
        <w:t xml:space="preserve"> pasākumiem</w:t>
      </w:r>
      <w:r w:rsidRPr="00A46CC4">
        <w:t xml:space="preserve">, kā </w:t>
      </w:r>
      <w:r>
        <w:t xml:space="preserve">palielināt ieinteresētību un motivāciju </w:t>
      </w:r>
      <w:r w:rsidR="00813514">
        <w:t xml:space="preserve">iedzīvotājiem </w:t>
      </w:r>
      <w:r>
        <w:t xml:space="preserve">iesaistīties ar klimata pārmaiņām saistīto jautājumu </w:t>
      </w:r>
      <w:r w:rsidRPr="00A46CC4">
        <w:t>risināšan</w:t>
      </w:r>
      <w:r>
        <w:t xml:space="preserve">ā, tāpēc jaunu rīcībpolitiku dokumentu izstrādē ir jāparedz, kādi pasākumi sabiedrības izpratnes veidošanai tiks īstenoti. </w:t>
      </w:r>
    </w:p>
    <w:p w14:paraId="55D38C7B" w14:textId="77777777" w:rsidR="00152A3C" w:rsidRPr="005F2265" w:rsidRDefault="00152A3C" w:rsidP="0031388F">
      <w:pPr>
        <w:pStyle w:val="ListParagraph"/>
        <w:numPr>
          <w:ilvl w:val="0"/>
          <w:numId w:val="2"/>
        </w:numPr>
        <w:spacing w:before="240" w:after="120"/>
        <w:ind w:left="714" w:hanging="357"/>
        <w:rPr>
          <w:b/>
          <w:iCs/>
          <w:szCs w:val="24"/>
        </w:rPr>
      </w:pPr>
      <w:r w:rsidRPr="005F2265">
        <w:rPr>
          <w:b/>
          <w:iCs/>
          <w:szCs w:val="24"/>
        </w:rPr>
        <w:t>Ties</w:t>
      </w:r>
      <w:r w:rsidR="009A7BB9" w:rsidRPr="005F2265">
        <w:rPr>
          <w:b/>
          <w:iCs/>
          <w:szCs w:val="24"/>
        </w:rPr>
        <w:t>ību</w:t>
      </w:r>
      <w:r w:rsidRPr="005F2265">
        <w:rPr>
          <w:b/>
          <w:iCs/>
          <w:szCs w:val="24"/>
        </w:rPr>
        <w:t xml:space="preserve"> akti un regulējošais ietvars</w:t>
      </w:r>
    </w:p>
    <w:p w14:paraId="2FC13BD4" w14:textId="77777777" w:rsidR="00152A3C" w:rsidRDefault="00152A3C">
      <w:r w:rsidRPr="00A46CC4">
        <w:t>Ties</w:t>
      </w:r>
      <w:r w:rsidR="009A7BB9">
        <w:t>ību</w:t>
      </w:r>
      <w:r w:rsidRPr="00A46CC4">
        <w:t xml:space="preserve"> akti</w:t>
      </w:r>
      <w:r w:rsidR="009A7BB9">
        <w:t>em</w:t>
      </w:r>
      <w:r w:rsidRPr="00A46CC4">
        <w:t xml:space="preserve"> un regulējoša</w:t>
      </w:r>
      <w:r w:rsidR="009A7BB9">
        <w:t>m</w:t>
      </w:r>
      <w:r w:rsidRPr="00A46CC4">
        <w:t xml:space="preserve"> ietvar</w:t>
      </w:r>
      <w:r w:rsidR="009A7BB9">
        <w:t>am</w:t>
      </w:r>
      <w:r w:rsidRPr="00A46CC4">
        <w:t xml:space="preserve"> ir jāaptver visi pārējie stratēģijas īstenošanā izmantojamie instrumenti. </w:t>
      </w:r>
      <w:r w:rsidR="008C1571">
        <w:t xml:space="preserve">Tiesību </w:t>
      </w:r>
      <w:r w:rsidRPr="00A46CC4">
        <w:t>akti ir viens no veidiem kā reglamentēt visu pārējo instrumentu darbību un kuros var noteikt dažādu to elementu raksturlielumus. Papildus tie var noteikt nosacījumus, standartus, prasības un procesus, kas neietilpst citos šajā apakšnodaļā minētajos instrumentos. Ties</w:t>
      </w:r>
      <w:r w:rsidR="009A7BB9">
        <w:t>ību</w:t>
      </w:r>
      <w:r w:rsidRPr="00A46CC4">
        <w:t xml:space="preserve"> akti un regulējošais ietvars var būt balstīts ne tikai uz normatīvajiem aktiem</w:t>
      </w:r>
      <w:r w:rsidR="00DA1DCA" w:rsidRPr="00A46CC4">
        <w:t>,</w:t>
      </w:r>
      <w:r w:rsidRPr="00A46CC4">
        <w:t xml:space="preserve"> ko izstrādā un apstiprina publiskais sektors, bet arī var tikt veidots uz brīvprātīgās vienošanos principa starp dažādām pusēm. </w:t>
      </w:r>
    </w:p>
    <w:p w14:paraId="2320F222" w14:textId="77777777" w:rsidR="00E701B8" w:rsidRPr="00A46CC4" w:rsidRDefault="00E701B8"/>
    <w:p w14:paraId="41F5CC15" w14:textId="77777777" w:rsidR="00152A3C" w:rsidRPr="005F2265" w:rsidRDefault="00152A3C" w:rsidP="0031388F">
      <w:pPr>
        <w:pStyle w:val="ListParagraph"/>
        <w:numPr>
          <w:ilvl w:val="0"/>
          <w:numId w:val="2"/>
        </w:numPr>
        <w:spacing w:before="240" w:after="120"/>
        <w:ind w:left="714" w:hanging="357"/>
        <w:rPr>
          <w:b/>
          <w:iCs/>
          <w:szCs w:val="24"/>
        </w:rPr>
      </w:pPr>
      <w:r w:rsidRPr="005F2265">
        <w:rPr>
          <w:b/>
          <w:iCs/>
          <w:szCs w:val="24"/>
        </w:rPr>
        <w:lastRenderedPageBreak/>
        <w:t>Tirgus mehānismi</w:t>
      </w:r>
    </w:p>
    <w:p w14:paraId="0DA31148" w14:textId="3905A8F0" w:rsidR="00152A3C" w:rsidRPr="00A46CC4" w:rsidRDefault="00FE572B">
      <w:r>
        <w:t xml:space="preserve">Tiecoties uz </w:t>
      </w:r>
      <w:r w:rsidR="0020745E">
        <w:t>klimatneitralitāti</w:t>
      </w:r>
      <w:r w:rsidR="00152A3C" w:rsidRPr="00A46CC4">
        <w:t xml:space="preserve"> būtiska nozīme ir dažādu jaunu tirgus mehānismu ieviešanai </w:t>
      </w:r>
      <w:r w:rsidR="009A7BB9">
        <w:t>kā arī jau</w:t>
      </w:r>
      <w:r w:rsidR="00152A3C" w:rsidRPr="00A46CC4">
        <w:t xml:space="preserve"> esošo tirgus mehānismu attīstīšanai un pilnveidošanai. Šobrīd Latvijai aktuāla ir dalība ES ETS. Esošā sistēma ir </w:t>
      </w:r>
      <w:r>
        <w:t>izveidota</w:t>
      </w:r>
      <w:r w:rsidR="00152A3C" w:rsidRPr="00A46CC4">
        <w:t>, bet darbs pie turpmākas pilnveidošanas ir jāturpina, lai pilnvērtīgi spētu palīdzēt sasniegt klimata mērķus. Tikai pie relatīvi augstas emisijas kvotas cenas ES ETS izpilda savu uzdevumu</w:t>
      </w:r>
      <w:r w:rsidR="000E1556">
        <w:t> </w:t>
      </w:r>
      <w:r w:rsidR="00152A3C" w:rsidRPr="00A46CC4">
        <w:t>–</w:t>
      </w:r>
      <w:r w:rsidR="000E1556">
        <w:t> </w:t>
      </w:r>
      <w:r w:rsidR="00152A3C" w:rsidRPr="00A46CC4">
        <w:t xml:space="preserve">veicināt operatorus veikt SEG emisiju samazinošus pasākumus. Ņemot vērā, ka būtiska loma ir tirgojamo atļauju apjomam un cenai tirgū, plānojot jaunus tirgus mehānismus, ir detalizēti jāplāno </w:t>
      </w:r>
      <w:r w:rsidR="00E3066F">
        <w:t>apritē</w:t>
      </w:r>
      <w:r w:rsidR="00E3066F" w:rsidRPr="00A46CC4">
        <w:t xml:space="preserve"> </w:t>
      </w:r>
      <w:r w:rsidR="00152A3C" w:rsidRPr="00A46CC4">
        <w:t xml:space="preserve">esošo atļauju apjomi un to ietekme uz citiem tirgus mehānismiem. Papildus ES ETS, pasaulē darbojas vairākas emisiju tirdzniecības sistēmas, piemēram, Ķīnā, ASV, Korejā, Šveicē, Jaunzēlandē, Kanādā un Japānā. Līdz ar to </w:t>
      </w:r>
      <w:r w:rsidR="009A7BB9">
        <w:t>līdz</w:t>
      </w:r>
      <w:r w:rsidR="00152A3C" w:rsidRPr="00A46CC4">
        <w:t xml:space="preserve"> 2050. gad</w:t>
      </w:r>
      <w:r w:rsidR="009A7BB9">
        <w:t>am</w:t>
      </w:r>
      <w:r w:rsidR="00152A3C" w:rsidRPr="00A46CC4">
        <w:t xml:space="preserve"> </w:t>
      </w:r>
      <w:r w:rsidR="009A7BB9">
        <w:t>arī</w:t>
      </w:r>
      <w:r w:rsidR="00152A3C" w:rsidRPr="00A46CC4">
        <w:t xml:space="preserve"> Latvijā varētu būt izveidota arī sava nacionālā emisiju tirdzniecības sistēma atbilstoši nacionālajām interesēm, piemēram, mežsaimniecības nozarē. Tāpat </w:t>
      </w:r>
      <w:r w:rsidR="00E3066F">
        <w:t>visticamāk</w:t>
      </w:r>
      <w:r w:rsidR="00152A3C" w:rsidRPr="00A46CC4">
        <w:t xml:space="preserve"> </w:t>
      </w:r>
      <w:r w:rsidR="00E3066F">
        <w:t xml:space="preserve">tuvākajā </w:t>
      </w:r>
      <w:r w:rsidR="00152A3C" w:rsidRPr="00A46CC4">
        <w:t>nākotnē tiks izveidots vienots starptautisks tirgus mehānisms</w:t>
      </w:r>
      <w:r w:rsidR="00E3066F">
        <w:t xml:space="preserve"> Parīzes nolīguma ietvaros</w:t>
      </w:r>
      <w:r w:rsidR="00152A3C" w:rsidRPr="00A46CC4">
        <w:t xml:space="preserve">. </w:t>
      </w:r>
    </w:p>
    <w:p w14:paraId="43DAADDB" w14:textId="77777777" w:rsidR="00152A3C" w:rsidRPr="005F2265" w:rsidRDefault="00152A3C" w:rsidP="0031388F">
      <w:pPr>
        <w:pStyle w:val="ListParagraph"/>
        <w:numPr>
          <w:ilvl w:val="0"/>
          <w:numId w:val="2"/>
        </w:numPr>
        <w:spacing w:before="240" w:after="120"/>
        <w:ind w:left="714" w:hanging="357"/>
        <w:rPr>
          <w:b/>
          <w:iCs/>
          <w:szCs w:val="24"/>
        </w:rPr>
      </w:pPr>
      <w:r w:rsidRPr="005F2265">
        <w:rPr>
          <w:b/>
          <w:iCs/>
          <w:szCs w:val="24"/>
        </w:rPr>
        <w:t>Fiskālie instrumenti</w:t>
      </w:r>
    </w:p>
    <w:p w14:paraId="374C74F7" w14:textId="77777777" w:rsidR="00152A3C" w:rsidRPr="00A46CC4" w:rsidRDefault="00152A3C" w:rsidP="00E008BC">
      <w:pPr>
        <w:spacing w:before="120" w:after="120"/>
      </w:pPr>
      <w:r w:rsidRPr="00A46CC4">
        <w:t xml:space="preserve">Galvenie fiskālie instrumenti </w:t>
      </w:r>
      <w:r w:rsidR="0005384C">
        <w:t>Stratēģija</w:t>
      </w:r>
      <w:r w:rsidRPr="00A46CC4">
        <w:t>s ieviešanai ir nodokļi un subsīdijas. Ir izdalāmas divu veidu nodokļu grupas: nodokļi, kuriem ir tieša ietekme uz SEG emisiju samazināšanu un nodokļi, kuri pastarpināti veicina SEG emisiju samazināšanu. SEG emisiju samazinoši nodokļi vai nodokļi, kuros, piemēram, CO</w:t>
      </w:r>
      <w:r w:rsidRPr="00A46CC4">
        <w:rPr>
          <w:vertAlign w:val="subscript"/>
        </w:rPr>
        <w:t>2</w:t>
      </w:r>
      <w:r w:rsidRPr="00A46CC4">
        <w:t xml:space="preserve"> ir nodokļa komponente ar tiešu ietekmi vislabāk nodrošina „piesārņotājs maksā” principa ieviešanu</w:t>
      </w:r>
      <w:r w:rsidR="009D081A">
        <w:t>. Līdz</w:t>
      </w:r>
      <w:r w:rsidRPr="00A46CC4">
        <w:t xml:space="preserve"> 2050.</w:t>
      </w:r>
      <w:r w:rsidR="000E1556">
        <w:t> </w:t>
      </w:r>
      <w:r w:rsidRPr="00A46CC4">
        <w:t>gad</w:t>
      </w:r>
      <w:r w:rsidR="009D081A">
        <w:t>am</w:t>
      </w:r>
      <w:r w:rsidRPr="00A46CC4">
        <w:t xml:space="preserve"> nodokļu sistēma kopumā jāpārstrukturizē, tādā veidā, lai attiecīgo kategoriju nodokļu mērķu neatņemama sastāvdaļa būtu klimata pārmaiņu samazināšanas un pielāgošanās klimata pārmaiņām veicināšana. </w:t>
      </w:r>
      <w:r w:rsidR="00D05068" w:rsidRPr="00A46CC4">
        <w:t>Savukārt</w:t>
      </w:r>
      <w:r w:rsidR="0020745E">
        <w:t>,</w:t>
      </w:r>
      <w:r w:rsidRPr="00A46CC4">
        <w:t xml:space="preserve"> netiešās ietekmes nodokļi veicina SEG emisiju samazināšanu iedarbojoties uz resursiem, precēm un pakalpojumiem, kas tiek izmantoti procesos, kam ir būtiska nozīme SEG emisiju radīšanā. Šādā veidā tiek mazināts to </w:t>
      </w:r>
      <w:r w:rsidR="0046382C" w:rsidRPr="00A46CC4">
        <w:t>patēriņš</w:t>
      </w:r>
      <w:r w:rsidRPr="00A46CC4">
        <w:t xml:space="preserve">, vienlaicīgi stimulējot </w:t>
      </w:r>
      <w:r w:rsidR="00DA1DCA" w:rsidRPr="00A46CC4">
        <w:t>AER</w:t>
      </w:r>
      <w:r w:rsidRPr="00A46CC4">
        <w:t xml:space="preserve"> izmantošanu. </w:t>
      </w:r>
    </w:p>
    <w:p w14:paraId="0B2FE95F" w14:textId="77777777" w:rsidR="00152A3C" w:rsidRPr="00A46CC4" w:rsidRDefault="0020745E" w:rsidP="00E008BC">
      <w:pPr>
        <w:spacing w:before="120" w:after="120"/>
      </w:pPr>
      <w:r>
        <w:t>Klimatneitralitātes</w:t>
      </w:r>
      <w:r w:rsidR="00152A3C" w:rsidRPr="00A46CC4">
        <w:t xml:space="preserve"> sasniegšanai ir izmantojamas arī subsīdijas, atlaides, nodokļu atmaksas. Pilnībā jāatsakās no fosilo kurināmo subsīdijām, koncentrējoties un pārvirzoties uz </w:t>
      </w:r>
      <w:r w:rsidR="00DA1DCA" w:rsidRPr="00A46CC4">
        <w:t>AER</w:t>
      </w:r>
      <w:r w:rsidR="00152A3C" w:rsidRPr="00A46CC4">
        <w:t xml:space="preserve"> atbalstu.</w:t>
      </w:r>
    </w:p>
    <w:p w14:paraId="4818997C" w14:textId="77777777" w:rsidR="00152A3C" w:rsidRPr="005F2265" w:rsidRDefault="00152A3C" w:rsidP="0031388F">
      <w:pPr>
        <w:pStyle w:val="ListParagraph"/>
        <w:numPr>
          <w:ilvl w:val="0"/>
          <w:numId w:val="2"/>
        </w:numPr>
        <w:spacing w:before="240" w:after="120"/>
        <w:ind w:left="714" w:hanging="357"/>
        <w:rPr>
          <w:b/>
          <w:iCs/>
          <w:szCs w:val="24"/>
        </w:rPr>
      </w:pPr>
      <w:r w:rsidRPr="005F2265">
        <w:rPr>
          <w:b/>
          <w:iCs/>
          <w:szCs w:val="24"/>
        </w:rPr>
        <w:t>Finanšu instrumenti</w:t>
      </w:r>
    </w:p>
    <w:p w14:paraId="72C4F7D2" w14:textId="77777777" w:rsidR="002707A6" w:rsidRDefault="00152A3C" w:rsidP="00BB5492">
      <w:pPr>
        <w:spacing w:before="120" w:after="120"/>
      </w:pPr>
      <w:r w:rsidRPr="00A46CC4">
        <w:t xml:space="preserve">Finanšu instrumenti ir aizdevumi, fondi, </w:t>
      </w:r>
      <w:r w:rsidR="00BB5492">
        <w:t>vērtspapīri</w:t>
      </w:r>
      <w:r w:rsidRPr="00A46CC4">
        <w:t xml:space="preserve">, riska kapitāls u.tml. Finanšu instrumenti ir </w:t>
      </w:r>
      <w:r w:rsidR="000E650C">
        <w:t xml:space="preserve">efektīvs līdzeklis, caur </w:t>
      </w:r>
      <w:r w:rsidRPr="00A46CC4">
        <w:t>kuru ar publisko finansējumu maksimāli piesaistīt un aktiv</w:t>
      </w:r>
      <w:r w:rsidR="000E650C">
        <w:t>izēt pēc iespējas vairāk privātā</w:t>
      </w:r>
      <w:r w:rsidRPr="00A46CC4">
        <w:t xml:space="preserve"> kapitāl</w:t>
      </w:r>
      <w:r w:rsidR="000E650C">
        <w:t>a</w:t>
      </w:r>
      <w:r w:rsidRPr="00A46CC4">
        <w:t xml:space="preserve">. No finansējuma saņēmēja viedokļa tradicionālie granti, kad publiskais finansējums tiek </w:t>
      </w:r>
      <w:r w:rsidR="000E650C">
        <w:t>novirzīts</w:t>
      </w:r>
      <w:r w:rsidRPr="00A46CC4">
        <w:t xml:space="preserve"> kādai programmai vai projektam ir pievilcīgas, taču tādā veidā daļa publiskā kapitāla tiek izņemt</w:t>
      </w:r>
      <w:r w:rsidR="000E650C">
        <w:t>a</w:t>
      </w:r>
      <w:r w:rsidRPr="00A46CC4">
        <w:t xml:space="preserve"> no apgrozības. Nākotnē </w:t>
      </w:r>
      <w:r w:rsidR="00F64F8B">
        <w:t xml:space="preserve">vairāk </w:t>
      </w:r>
      <w:r w:rsidRPr="00A46CC4">
        <w:t xml:space="preserve">jāorientējas </w:t>
      </w:r>
      <w:r w:rsidR="00F64F8B">
        <w:t xml:space="preserve">uz </w:t>
      </w:r>
      <w:r w:rsidRPr="00A46CC4">
        <w:t>dažādiem</w:t>
      </w:r>
      <w:r w:rsidR="00F64F8B">
        <w:t xml:space="preserve"> “draudzīgiem”</w:t>
      </w:r>
      <w:r w:rsidRPr="00A46CC4">
        <w:t xml:space="preserve"> </w:t>
      </w:r>
      <w:r w:rsidR="005E4320" w:rsidRPr="00A46CC4">
        <w:t>aizdevum</w:t>
      </w:r>
      <w:r w:rsidR="005E4320">
        <w:t>u veidiem</w:t>
      </w:r>
      <w:r w:rsidR="00F64F8B">
        <w:t>, piemēram, veidojot nacionālu energoefektivitātes fondu, kas nodrošinās ilgtermiņa aizdevumus ar zemām procentu likmēm, nodrošinot īpašu apdrošināšanu pret aizdevuma saistību nepildīšanu</w:t>
      </w:r>
      <w:r w:rsidR="005E4320">
        <w:t>,</w:t>
      </w:r>
      <w:r w:rsidR="00F64F8B">
        <w:t xml:space="preserve"> vai piedāvājot noteiktu atlaidi </w:t>
      </w:r>
      <w:r w:rsidR="005E4320">
        <w:t>kopējo izmaksu atmaksai</w:t>
      </w:r>
      <w:r w:rsidR="00F64F8B">
        <w:t>, ja pierādīts enerģijas ietaupījums,</w:t>
      </w:r>
      <w:r w:rsidR="005E4320">
        <w:t xml:space="preserve"> vai arī sniedzot bezprocentu aizdevumus maznodrošinātām </w:t>
      </w:r>
      <w:r w:rsidR="00070013">
        <w:t>mājsaimniecībām.</w:t>
      </w:r>
      <w:r w:rsidR="00070013" w:rsidRPr="00A46CC4">
        <w:t xml:space="preserve"> </w:t>
      </w:r>
      <w:r w:rsidR="002707A6">
        <w:t>P</w:t>
      </w:r>
      <w:r w:rsidR="002707A6" w:rsidRPr="002707A6">
        <w:t>otenciāli efektīvs veids privāto investīciju piesaistei varētu būt jauktais finanšu instruments</w:t>
      </w:r>
      <w:r w:rsidR="002707A6">
        <w:t xml:space="preserve"> </w:t>
      </w:r>
      <w:r w:rsidR="002707A6">
        <w:rPr>
          <w:szCs w:val="24"/>
        </w:rPr>
        <w:t>(</w:t>
      </w:r>
      <w:r w:rsidR="002707A6" w:rsidRPr="00DA2D2F">
        <w:rPr>
          <w:i/>
          <w:szCs w:val="24"/>
        </w:rPr>
        <w:t>blending financial instrument</w:t>
      </w:r>
      <w:r w:rsidR="002707A6" w:rsidRPr="008E7994">
        <w:rPr>
          <w:szCs w:val="24"/>
        </w:rPr>
        <w:t>)</w:t>
      </w:r>
      <w:r w:rsidR="002707A6" w:rsidRPr="002707A6">
        <w:t>, kas ietver gan granta, gan aizdevuma daļu</w:t>
      </w:r>
      <w:r w:rsidR="002707A6">
        <w:t>.</w:t>
      </w:r>
    </w:p>
    <w:p w14:paraId="096421F6" w14:textId="77777777" w:rsidR="002707A6" w:rsidRDefault="00070013" w:rsidP="00BB5492">
      <w:pPr>
        <w:spacing w:before="120" w:after="120"/>
      </w:pPr>
      <w:r>
        <w:t xml:space="preserve">Tāpat </w:t>
      </w:r>
      <w:r w:rsidR="0082716D">
        <w:t>var izmantot</w:t>
      </w:r>
      <w:r w:rsidR="00152A3C" w:rsidRPr="00A46CC4">
        <w:t xml:space="preserve"> rotācijas fond</w:t>
      </w:r>
      <w:r w:rsidR="0082716D">
        <w:t>u principu</w:t>
      </w:r>
      <w:r w:rsidR="00152A3C" w:rsidRPr="00A46CC4">
        <w:t>, kas gūst aizvien lielāku popularitāti energoefektivitātes projektu finansēšanā. Aizdevumi un rotācijas fondi nodrošina publiskā kapitāla atgriešanos atpakaļ apritē, kā rezultātā ir iespēja finansēt jaunus projektus. Jāturpina attīstīt arī trešo pušu finansēšanu, piemēram, piesaistot energoservisa kompānijas (ESKO) vai pašvaldības energoservisa uzņēmumus (</w:t>
      </w:r>
      <w:r w:rsidR="00096BBC" w:rsidRPr="008E7994">
        <w:rPr>
          <w:szCs w:val="24"/>
        </w:rPr>
        <w:t>PESKO</w:t>
      </w:r>
      <w:r w:rsidR="00152A3C" w:rsidRPr="00A46CC4">
        <w:t>), kas investē enerģiju taupošos pasākumos un veiktās investīcijas atpelna no panāktā energoresursu ietaupījuma ilgtermiņā</w:t>
      </w:r>
      <w:r w:rsidR="00AC449F">
        <w:t xml:space="preserve">. </w:t>
      </w:r>
    </w:p>
    <w:p w14:paraId="617798C8" w14:textId="77777777" w:rsidR="002707A6" w:rsidRDefault="00AC449F" w:rsidP="00BB5492">
      <w:pPr>
        <w:spacing w:before="120" w:after="120"/>
      </w:pPr>
      <w:r>
        <w:lastRenderedPageBreak/>
        <w:t>S</w:t>
      </w:r>
      <w:r w:rsidR="00F00AC2">
        <w:t xml:space="preserve">ekmīgai </w:t>
      </w:r>
      <w:r>
        <w:t xml:space="preserve">un ilgtspējīgai </w:t>
      </w:r>
      <w:r w:rsidR="00F00AC2">
        <w:t>sabiedrisko pakalpojumu sniegšanai, infrastruktū</w:t>
      </w:r>
      <w:r w:rsidR="00DA5525">
        <w:t>ras attīstīšanai un uzturēšanai</w:t>
      </w:r>
      <w:r w:rsidR="00F00AC2">
        <w:t xml:space="preserve"> </w:t>
      </w:r>
      <w:r>
        <w:t xml:space="preserve">jāturpina </w:t>
      </w:r>
      <w:r w:rsidR="00DA5525">
        <w:t xml:space="preserve">mērķtiecīgi </w:t>
      </w:r>
      <w:r>
        <w:t>attīstīt</w:t>
      </w:r>
      <w:r w:rsidR="00F00AC2">
        <w:t xml:space="preserve"> publiskā un privātā sektora </w:t>
      </w:r>
      <w:r>
        <w:t xml:space="preserve">partnerība </w:t>
      </w:r>
      <w:r w:rsidR="00DA5525">
        <w:t xml:space="preserve">(PPP) </w:t>
      </w:r>
      <w:r w:rsidR="00F00AC2">
        <w:t>ilgtermiņa sadarbīb</w:t>
      </w:r>
      <w:r>
        <w:t>ā</w:t>
      </w:r>
      <w:r w:rsidR="00F00AC2">
        <w:t xml:space="preserve"> apvienojot un kopīgi izmantojot t</w:t>
      </w:r>
      <w:r w:rsidR="00DA5525">
        <w:t>iem</w:t>
      </w:r>
      <w:r w:rsidR="00F00AC2">
        <w:t xml:space="preserve"> pieejamos resursus - īpašumu, finanšu l</w:t>
      </w:r>
      <w:r>
        <w:t>īdzekļus, zināšanas un pieredzi,</w:t>
      </w:r>
      <w:r w:rsidRPr="00AC449F">
        <w:t xml:space="preserve"> </w:t>
      </w:r>
      <w:r>
        <w:t>dalot arī ar PPP īstenošanu saistītos riskus, ieguldījumus un ieguvumus</w:t>
      </w:r>
      <w:r w:rsidR="00152A3C" w:rsidRPr="00A46CC4">
        <w:t>. Turklāt publiskajam sektoram strādājot pie finanšu instrumentu budžeta plānošanas, plānotās aktivitātes cieši jāsasaista ar SEG emisiju uzskaiti.</w:t>
      </w:r>
      <w:r w:rsidR="00BB5492">
        <w:t xml:space="preserve"> </w:t>
      </w:r>
    </w:p>
    <w:p w14:paraId="442D1642" w14:textId="77777777" w:rsidR="00F00AC2" w:rsidRDefault="00BB5492" w:rsidP="00BB5492">
      <w:pPr>
        <w:spacing w:before="120" w:after="120"/>
      </w:pPr>
      <w:r>
        <w:t>Arī “zaļo” obligāciju attīstīšanai ir būtiska loma cīņai ar klimata pārmaiņām, jo caur tām iespējams piesaistīt finansējumu vai refinansēt projektus, kas sniedz ieguldījumu cīņai ar klimata pārmaiņām. Investoriem arvien svarīgāk kļūst tas</w:t>
      </w:r>
      <w:r w:rsidR="002707A6">
        <w:t>,</w:t>
      </w:r>
      <w:r>
        <w:t xml:space="preserve"> kā tiek izmantoti no obligācijām iegūtie finanšu līdzekļi un “zaļās” obligācijas ir veids, kā veikt ilgtspējīgas investīcijas.</w:t>
      </w:r>
    </w:p>
    <w:p w14:paraId="6E68B718" w14:textId="77777777" w:rsidR="00F62FC2" w:rsidRDefault="00C41677" w:rsidP="000A3255">
      <w:pPr>
        <w:rPr>
          <w:szCs w:val="24"/>
        </w:rPr>
      </w:pPr>
      <w:r>
        <w:rPr>
          <w:szCs w:val="24"/>
        </w:rPr>
        <w:t>Lai virzītos uz klimatneitralitāti 2050. gadā nozīmīga loma būs pieejamajam finansējumam</w:t>
      </w:r>
      <w:r w:rsidRPr="00C41677">
        <w:rPr>
          <w:szCs w:val="24"/>
        </w:rPr>
        <w:t xml:space="preserve"> Daudzgadu finanšu shēmas ietvaros klimata aktivitā</w:t>
      </w:r>
      <w:r>
        <w:rPr>
          <w:szCs w:val="24"/>
        </w:rPr>
        <w:t xml:space="preserve">šu īstenošanai, ņemot vērā politikas plānošanas dokumentos </w:t>
      </w:r>
      <w:r w:rsidRPr="00DA2D2F">
        <w:rPr>
          <w:szCs w:val="24"/>
        </w:rPr>
        <w:t>noteiktajām prioritātēm.</w:t>
      </w:r>
      <w:r>
        <w:rPr>
          <w:szCs w:val="24"/>
        </w:rPr>
        <w:t xml:space="preserve"> OMA principi kā horizontāls </w:t>
      </w:r>
      <w:r w:rsidRPr="009A67E0">
        <w:rPr>
          <w:szCs w:val="24"/>
        </w:rPr>
        <w:t>jautājums jāņem vērā veicot ieguldījumus ES fondu finansējuma ieviešanā.</w:t>
      </w:r>
      <w:r w:rsidR="0031388F">
        <w:rPr>
          <w:szCs w:val="24"/>
        </w:rPr>
        <w:t xml:space="preserve"> </w:t>
      </w:r>
    </w:p>
    <w:p w14:paraId="2E7BAAA5" w14:textId="5115F4AA" w:rsidR="00CA7007" w:rsidRDefault="00CA7007" w:rsidP="00CA7007">
      <w:pPr>
        <w:spacing w:before="120" w:after="120"/>
        <w:rPr>
          <w:szCs w:val="24"/>
        </w:rPr>
      </w:pPr>
      <w:r w:rsidRPr="00CA7007">
        <w:rPr>
          <w:szCs w:val="24"/>
        </w:rPr>
        <w:t>Energosistēmu izmaksas veido sistēmu uzturēšanas un ekspluatācijas izmaksas, investīcijas tehnoloģijās un energoefektivitātē, kā arī izmaksas par patērēto kurināmo. Tā kā izmaksas paredzamas arī bāzes scenārijā, jo jebkurā gadījumā, lai sistēma spētu nodrošināt patērētājus ar nepieciešamiem pakalpojumiem, ir nepieciešams nepārtraukti to uzturēt un atjaunināt, klimatneitralitātes scenārija izmaksu raksturošanai tiek izmantotas papildu investīcijas un papildu izmaksas, salīdzinot ar bāzes scenārija īstenošanu.</w:t>
      </w:r>
    </w:p>
    <w:p w14:paraId="1D35F5BA" w14:textId="1F93EE8E" w:rsidR="004965DB" w:rsidRPr="004965DB" w:rsidRDefault="004965DB" w:rsidP="004965DB">
      <w:pPr>
        <w:spacing w:before="120" w:after="120"/>
        <w:rPr>
          <w:szCs w:val="24"/>
        </w:rPr>
      </w:pPr>
      <w:r w:rsidRPr="004965DB">
        <w:t>Pēc sākotnējām indikatīvām prognozēm</w:t>
      </w:r>
      <w:r w:rsidR="00960982">
        <w:rPr>
          <w:rStyle w:val="FootnoteReference"/>
        </w:rPr>
        <w:footnoteReference w:id="70"/>
      </w:r>
      <w:r w:rsidRPr="004965DB">
        <w:t xml:space="preserve"> papildu investīcijas mērķa scenārija īstenošanai (klimatneitralitātes sasniegšanai), salīdzinot ar bāzes scenāriju, laika periodā līdz 2050. gadam, ir ~ </w:t>
      </w:r>
      <w:r w:rsidR="00BE3A6E">
        <w:t>16</w:t>
      </w:r>
      <w:r w:rsidRPr="004965DB">
        <w:t xml:space="preserve"> miljardi EUR (2010. gada salīdzināmajās cenās) jeb ~1,</w:t>
      </w:r>
      <w:r w:rsidR="00587462">
        <w:t>3</w:t>
      </w:r>
      <w:r w:rsidR="00BE3A6E">
        <w:t>5</w:t>
      </w:r>
      <w:r w:rsidRPr="004965DB">
        <w:t xml:space="preserve"> % vidēji gadā no IKP laika periodā (2020. – 2050.g.).</w:t>
      </w:r>
    </w:p>
    <w:p w14:paraId="3A209937" w14:textId="5D2F3171" w:rsidR="004965DB" w:rsidRPr="004965DB" w:rsidRDefault="004965DB" w:rsidP="004965DB">
      <w:pPr>
        <w:spacing w:before="120" w:after="120"/>
        <w:rPr>
          <w:rFonts w:ascii="Calibri" w:hAnsi="Calibri" w:cs="Calibri"/>
          <w:sz w:val="22"/>
        </w:rPr>
      </w:pPr>
      <w:r w:rsidRPr="004965DB">
        <w:t>Tomēr, pateicoties šīm investīcijām, veidojas arī ieguvumi, piemēram, no izmaksu par kurināmo samazināšanās (arī resursu izmantošanas efektivitātes paaugstināšanas dēļ) un citu ekspluatācijas izmaksu ietaupījumiem. Līdz ar to laika periodā līdz 2050. gadam  papildu kopējās izmaksas mērķa scenārija īstenošanai salīdzinot pret kopējām bāzes scenārija izmaksām pēc sākotnējām indikatīvām prognozēm</w:t>
      </w:r>
      <w:r w:rsidR="00960982">
        <w:rPr>
          <w:rStyle w:val="FootnoteReference"/>
        </w:rPr>
        <w:footnoteReference w:id="71"/>
      </w:r>
      <w:r w:rsidRPr="004965DB">
        <w:t xml:space="preserve"> ir ~ 13,5 miljardi EUR (2010. gada salīdzināmajās cenās) jeb ~ 1,1% vidēji gadā no IKP laika periodā (2020. – 2050.g.).</w:t>
      </w:r>
    </w:p>
    <w:p w14:paraId="456F3072" w14:textId="768A5FD4" w:rsidR="00121BBD" w:rsidRPr="00121BBD" w:rsidRDefault="00121BBD" w:rsidP="00121BBD">
      <w:pPr>
        <w:spacing w:before="120" w:after="120"/>
      </w:pPr>
      <w:r>
        <w:t>Stratēģijā izvirzīto mērķu īstenošanai nepieciešamais finansējums tiks vērtēts, izstrādājot jaunos nozaru plānošanas dokumentus.</w:t>
      </w:r>
    </w:p>
    <w:p w14:paraId="70570E50" w14:textId="77777777" w:rsidR="00960A69" w:rsidRPr="00511C54" w:rsidRDefault="00511C54" w:rsidP="00977BCE">
      <w:pPr>
        <w:pStyle w:val="Heading2"/>
      </w:pPr>
      <w:bookmarkStart w:id="60" w:name="_Toc25580347"/>
      <w:r>
        <w:t>7</w:t>
      </w:r>
      <w:r w:rsidR="003A1E8B" w:rsidRPr="00A46CC4">
        <w:t>.</w:t>
      </w:r>
      <w:r w:rsidR="001028B8" w:rsidRPr="00A46CC4">
        <w:t>3</w:t>
      </w:r>
      <w:r w:rsidR="003A1E8B" w:rsidRPr="00A46CC4">
        <w:t xml:space="preserve">. </w:t>
      </w:r>
      <w:r w:rsidR="00960A69" w:rsidRPr="00511C54">
        <w:t>Stratēģijas pārskats</w:t>
      </w:r>
      <w:bookmarkEnd w:id="60"/>
    </w:p>
    <w:p w14:paraId="56CCF8E4" w14:textId="2F75EE4B" w:rsidR="008412DD" w:rsidRPr="00A46CC4" w:rsidRDefault="008412DD" w:rsidP="00E008BC">
      <w:pPr>
        <w:spacing w:before="120" w:after="120"/>
      </w:pPr>
      <w:r w:rsidRPr="00A46CC4">
        <w:t xml:space="preserve">Stratēģiju pārskata </w:t>
      </w:r>
      <w:r w:rsidR="00442BD6">
        <w:t>līdz 2029. gada 1. janvārim, un vēlāk ik pēc 10 gadiem</w:t>
      </w:r>
      <w:r w:rsidR="00442BD6">
        <w:rPr>
          <w:rStyle w:val="FootnoteReference"/>
        </w:rPr>
        <w:footnoteReference w:id="72"/>
      </w:r>
      <w:r w:rsidR="00AA7CBC">
        <w:t>. Stratēģiju var pārskatīt biežāk, iesniedzot pamatojumu (informatīvo ziņojumu) MK.</w:t>
      </w:r>
    </w:p>
    <w:p w14:paraId="107516FA" w14:textId="7BF29CC9" w:rsidR="007541D0" w:rsidRPr="00A46CC4" w:rsidRDefault="0005384C" w:rsidP="00E008BC">
      <w:pPr>
        <w:spacing w:before="120" w:after="120"/>
      </w:pPr>
      <w:r>
        <w:t>Stratēģija</w:t>
      </w:r>
      <w:r w:rsidR="007C2490" w:rsidRPr="00A46CC4">
        <w:t xml:space="preserve">s izvērtēšanai </w:t>
      </w:r>
      <w:r w:rsidR="00960A69" w:rsidRPr="00A46CC4">
        <w:t xml:space="preserve">VARAM iesniedz </w:t>
      </w:r>
      <w:r w:rsidR="00442BD6">
        <w:t>MK</w:t>
      </w:r>
      <w:r w:rsidR="00442BD6" w:rsidRPr="00A46CC4">
        <w:t xml:space="preserve"> </w:t>
      </w:r>
      <w:r w:rsidR="00960A69" w:rsidRPr="00A46CC4">
        <w:t xml:space="preserve">informatīvo ziņojumu par </w:t>
      </w:r>
      <w:r w:rsidR="008F323E">
        <w:t>S</w:t>
      </w:r>
      <w:r w:rsidR="00960A69" w:rsidRPr="00A46CC4">
        <w:t>tratēģijas īstenošanas</w:t>
      </w:r>
      <w:r w:rsidR="00A514D3" w:rsidRPr="00A46CC4">
        <w:t xml:space="preserve"> </w:t>
      </w:r>
      <w:r w:rsidR="003157D8" w:rsidRPr="00A46CC4">
        <w:t xml:space="preserve">un </w:t>
      </w:r>
      <w:r w:rsidR="008412DD">
        <w:t>rezultatīvo rādītāju</w:t>
      </w:r>
      <w:r w:rsidR="003157D8" w:rsidRPr="00A46CC4">
        <w:t xml:space="preserve"> sasniegšanas </w:t>
      </w:r>
      <w:r w:rsidR="00960A69" w:rsidRPr="00A46CC4">
        <w:t>progresu</w:t>
      </w:r>
      <w:r w:rsidR="008C1571">
        <w:t>.</w:t>
      </w:r>
      <w:r w:rsidR="00960A69" w:rsidRPr="00A46CC4">
        <w:t xml:space="preserve"> </w:t>
      </w:r>
    </w:p>
    <w:p w14:paraId="76FF279E" w14:textId="77777777" w:rsidR="00E773F8" w:rsidRPr="00A46CC4" w:rsidRDefault="00E773F8">
      <w:pPr>
        <w:rPr>
          <w:szCs w:val="24"/>
        </w:rPr>
      </w:pPr>
      <w:r w:rsidRPr="00A46CC4">
        <w:rPr>
          <w:szCs w:val="24"/>
        </w:rPr>
        <w:br w:type="page"/>
      </w:r>
    </w:p>
    <w:p w14:paraId="359FDE72" w14:textId="77777777" w:rsidR="00F32799" w:rsidRPr="00A46CC4" w:rsidRDefault="004359BC" w:rsidP="001156EF">
      <w:pPr>
        <w:pStyle w:val="Heading1"/>
      </w:pPr>
      <w:bookmarkStart w:id="61" w:name="_Toc25580348"/>
      <w:r w:rsidRPr="00A46CC4">
        <w:lastRenderedPageBreak/>
        <w:t>Sabiedrības līdzdalība</w:t>
      </w:r>
      <w:bookmarkEnd w:id="61"/>
    </w:p>
    <w:p w14:paraId="5125939B" w14:textId="77777777" w:rsidR="00E24542" w:rsidRDefault="00295DBE" w:rsidP="00E008BC">
      <w:pPr>
        <w:spacing w:before="120" w:after="120"/>
      </w:pPr>
      <w:r w:rsidRPr="00A46CC4">
        <w:t xml:space="preserve">Lai veicinātu sabiedrības informētību par OMA un nodrošinātu sabiedrības līdzdalību </w:t>
      </w:r>
      <w:r w:rsidR="0005384C">
        <w:t>Stratēģija</w:t>
      </w:r>
      <w:r w:rsidRPr="00A46CC4">
        <w:t xml:space="preserve">s veidošanā, </w:t>
      </w:r>
      <w:r w:rsidR="00E24542">
        <w:t>jau kopš 2016.</w:t>
      </w:r>
      <w:r w:rsidR="008F323E">
        <w:t> </w:t>
      </w:r>
      <w:r w:rsidR="00E24542">
        <w:t xml:space="preserve">gada </w:t>
      </w:r>
      <w:r w:rsidR="0062007E">
        <w:t xml:space="preserve">VARAM </w:t>
      </w:r>
      <w:r w:rsidR="00E24542">
        <w:t>aktīvi īsteno dažāda veida publicitātes un sabiedriskās domas veidošanas pas</w:t>
      </w:r>
      <w:r w:rsidR="0062007E">
        <w:t>ākumus</w:t>
      </w:r>
      <w:r w:rsidR="008F323E">
        <w:t> </w:t>
      </w:r>
      <w:r w:rsidR="00E24542">
        <w:t>–</w:t>
      </w:r>
      <w:r w:rsidR="008F323E">
        <w:t> </w:t>
      </w:r>
      <w:r w:rsidR="00E24542">
        <w:t xml:space="preserve">sabiedriskās apspriešanas, publiskas diskusijas (vairākas no tām varēja vērot arī </w:t>
      </w:r>
      <w:r w:rsidR="0062007E">
        <w:t>t</w:t>
      </w:r>
      <w:r w:rsidR="00E24542">
        <w:t>ie</w:t>
      </w:r>
      <w:r w:rsidR="0062007E">
        <w:t>šsaistē</w:t>
      </w:r>
      <w:r w:rsidR="00E24542">
        <w:t xml:space="preserve">), tika gatavotas arī publikācijas VARAM mājas lapā, bukleti (elektroniski un papīra formātā), lai tos izplatītu </w:t>
      </w:r>
      <w:r w:rsidR="00E24542" w:rsidRPr="00A46CC4">
        <w:t>vispārējās vidējās un augstākās izglītības iestādēs un ar klimata jautājumiem strādājošās nevalstiskajās organizācijās</w:t>
      </w:r>
      <w:r w:rsidR="00E24542">
        <w:t>.</w:t>
      </w:r>
    </w:p>
    <w:p w14:paraId="299C7322" w14:textId="77777777" w:rsidR="00295DBE" w:rsidRPr="00A46CC4" w:rsidRDefault="00BF0C62" w:rsidP="00E008BC">
      <w:pPr>
        <w:spacing w:before="120" w:after="120"/>
      </w:pPr>
      <w:r>
        <w:t xml:space="preserve">Arī </w:t>
      </w:r>
      <w:r w:rsidR="00E24542">
        <w:t>Parīzes nolīguma parakstīšanas laikā (</w:t>
      </w:r>
      <w:r w:rsidR="00E24542" w:rsidRPr="00A46CC4">
        <w:t>2016.</w:t>
      </w:r>
      <w:r w:rsidR="008F323E">
        <w:t> </w:t>
      </w:r>
      <w:r w:rsidR="00E24542" w:rsidRPr="00A46CC4">
        <w:t>gada 22.</w:t>
      </w:r>
      <w:r w:rsidR="008F323E">
        <w:t> </w:t>
      </w:r>
      <w:r>
        <w:t>aprīlī)</w:t>
      </w:r>
      <w:r w:rsidR="00E24542">
        <w:t xml:space="preserve"> Rīgā </w:t>
      </w:r>
      <w:r w:rsidR="00295DBE" w:rsidRPr="00A46CC4">
        <w:t xml:space="preserve">notika VARAM organizēta publiskā diskusija par Latvijas nākotni jaunajā klimata realitātē, </w:t>
      </w:r>
      <w:r w:rsidR="00E24542">
        <w:t>t</w:t>
      </w:r>
      <w:r w:rsidR="00295DBE" w:rsidRPr="00A46CC4">
        <w:t xml:space="preserve">ajā </w:t>
      </w:r>
      <w:r w:rsidR="00E24542">
        <w:t xml:space="preserve">cita starpā </w:t>
      </w:r>
      <w:r w:rsidR="00295DBE" w:rsidRPr="00A46CC4">
        <w:t xml:space="preserve">piedalījās augsta līmeņa </w:t>
      </w:r>
      <w:r w:rsidR="00EB4D7C" w:rsidRPr="00A46CC4">
        <w:t xml:space="preserve">OECD </w:t>
      </w:r>
      <w:r w:rsidR="00295DBE" w:rsidRPr="00A46CC4">
        <w:t>amatpersona</w:t>
      </w:r>
      <w:r w:rsidR="00E24542">
        <w:t>s.</w:t>
      </w:r>
    </w:p>
    <w:p w14:paraId="71F9A050" w14:textId="77777777" w:rsidR="00295DBE" w:rsidRDefault="0010078F" w:rsidP="00E008BC">
      <w:pPr>
        <w:spacing w:before="120" w:after="120"/>
      </w:pPr>
      <w:r>
        <w:t xml:space="preserve">Lai iesaistītu </w:t>
      </w:r>
      <w:r w:rsidR="00295DBE" w:rsidRPr="00A46CC4">
        <w:t>pašvaldības, valsts iestāžu reģionālās filiāles, vietējo sabiedrības grupu līder</w:t>
      </w:r>
      <w:r>
        <w:t>us</w:t>
      </w:r>
      <w:r w:rsidR="00295DBE" w:rsidRPr="00A46CC4">
        <w:t xml:space="preserve"> un komersant</w:t>
      </w:r>
      <w:r>
        <w:t>us</w:t>
      </w:r>
      <w:r w:rsidR="00295DBE" w:rsidRPr="00A46CC4">
        <w:t xml:space="preserve">, </w:t>
      </w:r>
      <w:r w:rsidR="00F521F5" w:rsidRPr="00A46CC4">
        <w:t>akadēmisk</w:t>
      </w:r>
      <w:r>
        <w:t>o</w:t>
      </w:r>
      <w:r w:rsidR="00F521F5" w:rsidRPr="00A46CC4">
        <w:t xml:space="preserve"> personāl</w:t>
      </w:r>
      <w:r>
        <w:t>u</w:t>
      </w:r>
      <w:r w:rsidR="00F521F5" w:rsidRPr="00A46CC4">
        <w:t xml:space="preserve">, </w:t>
      </w:r>
      <w:r w:rsidR="00295DBE" w:rsidRPr="00A46CC4">
        <w:t>kā arī citi interesent</w:t>
      </w:r>
      <w:r>
        <w:t xml:space="preserve">us </w:t>
      </w:r>
      <w:r w:rsidRPr="00A46CC4">
        <w:t>2016.</w:t>
      </w:r>
      <w:r w:rsidR="008F323E">
        <w:t> </w:t>
      </w:r>
      <w:r w:rsidRPr="00A46CC4">
        <w:t>gada rudenī un 2017.</w:t>
      </w:r>
      <w:r w:rsidR="008F323E">
        <w:t> </w:t>
      </w:r>
      <w:r w:rsidRPr="00A46CC4">
        <w:t xml:space="preserve">gada sākumā </w:t>
      </w:r>
      <w:r>
        <w:t>visos Latvijas plānošanas reģionos</w:t>
      </w:r>
      <w:r w:rsidRPr="00A46CC4">
        <w:t xml:space="preserve"> tika īstenoti 5 interaktīvi semināri par klimata pārmaiņu samazināšanu un OMA līdz 2050. gadam</w:t>
      </w:r>
      <w:r w:rsidR="008F323E">
        <w:t>.</w:t>
      </w:r>
    </w:p>
    <w:p w14:paraId="10880969" w14:textId="77777777" w:rsidR="0010078F" w:rsidRDefault="0010078F" w:rsidP="00E008BC">
      <w:pPr>
        <w:spacing w:before="120" w:after="120"/>
      </w:pPr>
      <w:r>
        <w:t>2019.</w:t>
      </w:r>
      <w:r w:rsidR="008F323E">
        <w:t> </w:t>
      </w:r>
      <w:r>
        <w:t>gada vasarā VARAM</w:t>
      </w:r>
      <w:r w:rsidRPr="0010078F">
        <w:t xml:space="preserve"> organizē</w:t>
      </w:r>
      <w:r>
        <w:t>ja</w:t>
      </w:r>
      <w:r w:rsidRPr="0010078F">
        <w:t xml:space="preserve"> </w:t>
      </w:r>
      <w:r>
        <w:t>EK</w:t>
      </w:r>
      <w:r w:rsidRPr="0010078F">
        <w:t xml:space="preserve"> Klimata rīcības ģenerāldirektorāta Klimata stratēģijas direktora vizīti Latvijā, </w:t>
      </w:r>
      <w:r>
        <w:t>lai apspriestu klim</w:t>
      </w:r>
      <w:r w:rsidR="00BF0C62">
        <w:t>atneitralitātes sasniegšanu EK P</w:t>
      </w:r>
      <w:r>
        <w:t xml:space="preserve">aziņojuma kontekstā. Vizītes </w:t>
      </w:r>
      <w:r w:rsidR="00BF0C62">
        <w:t xml:space="preserve">laikā </w:t>
      </w:r>
      <w:r>
        <w:t>notika tikšanās ar sociālajiem partneriem</w:t>
      </w:r>
      <w:r w:rsidR="00B22D6A">
        <w:t xml:space="preserve"> (LDDK, Latvijas Lielo pilsētu, Lauksaimnieku Organizāciju sadarbības padomi</w:t>
      </w:r>
      <w:r w:rsidR="008F323E">
        <w:t xml:space="preserve"> un</w:t>
      </w:r>
      <w:r w:rsidR="00B22D6A">
        <w:t xml:space="preserve"> jauniešu kustības “</w:t>
      </w:r>
      <w:r w:rsidR="00B22D6A" w:rsidRPr="00E008BC">
        <w:rPr>
          <w:i/>
        </w:rPr>
        <w:t>Fridays for future</w:t>
      </w:r>
      <w:r w:rsidR="00B22D6A">
        <w:t xml:space="preserve">” pārstāvjiem), </w:t>
      </w:r>
      <w:r>
        <w:t>kā arī pārstāvjiem no nozaru ministrijām</w:t>
      </w:r>
      <w:r w:rsidR="00B22D6A">
        <w:t xml:space="preserve"> un </w:t>
      </w:r>
      <w:r>
        <w:t>Saeimas</w:t>
      </w:r>
      <w:r w:rsidR="00B22D6A">
        <w:t>.</w:t>
      </w:r>
    </w:p>
    <w:p w14:paraId="4DDDCDCC" w14:textId="77777777" w:rsidR="00FB4DD8" w:rsidRDefault="00F115B2" w:rsidP="00E008BC">
      <w:pPr>
        <w:spacing w:before="120" w:after="120"/>
      </w:pPr>
      <w:r>
        <w:t xml:space="preserve">Sabiedriskajai apspriešanai </w:t>
      </w:r>
      <w:r w:rsidR="008C1571">
        <w:t xml:space="preserve">Stratēģijas projekts </w:t>
      </w:r>
      <w:r>
        <w:t xml:space="preserve">izstrādes laikā tika publicēts VARAM mājaslapā, kā arī </w:t>
      </w:r>
      <w:r w:rsidR="008C1571">
        <w:t>tika izsludināts V</w:t>
      </w:r>
      <w:r>
        <w:t>alsts sekretāru sanāksmē.</w:t>
      </w:r>
    </w:p>
    <w:p w14:paraId="4F9D345C" w14:textId="77777777" w:rsidR="00B44B73" w:rsidRDefault="00B44B73" w:rsidP="00E008BC">
      <w:pPr>
        <w:spacing w:before="120" w:after="120"/>
      </w:pPr>
    </w:p>
    <w:p w14:paraId="09AA0602" w14:textId="41722C82" w:rsidR="00B44B73" w:rsidRDefault="00B44B73" w:rsidP="00B44B73">
      <w:pPr>
        <w:spacing w:before="120" w:after="120"/>
        <w:ind w:firstLine="0"/>
      </w:pPr>
    </w:p>
    <w:p w14:paraId="54224A19" w14:textId="77777777" w:rsidR="00B44B73" w:rsidRDefault="00B44B73" w:rsidP="00B44B73">
      <w:pPr>
        <w:spacing w:before="120" w:after="120"/>
        <w:ind w:firstLine="0"/>
      </w:pPr>
    </w:p>
    <w:p w14:paraId="42818DE1" w14:textId="77777777" w:rsidR="00B44B73" w:rsidRDefault="00B44B73" w:rsidP="00B44B73">
      <w:pPr>
        <w:spacing w:before="120" w:after="120"/>
        <w:ind w:firstLine="0"/>
      </w:pPr>
    </w:p>
    <w:p w14:paraId="7F2CC0AF" w14:textId="77777777" w:rsidR="00B44B73" w:rsidRDefault="00B44B73" w:rsidP="00B44B73">
      <w:pPr>
        <w:spacing w:before="120" w:after="120"/>
        <w:ind w:firstLine="0"/>
      </w:pPr>
    </w:p>
    <w:p w14:paraId="72E8F281" w14:textId="77777777" w:rsidR="00B44B73" w:rsidRDefault="00B44B73" w:rsidP="00B44B73">
      <w:pPr>
        <w:spacing w:before="120" w:after="120"/>
        <w:ind w:firstLine="0"/>
      </w:pPr>
    </w:p>
    <w:p w14:paraId="468E3E17" w14:textId="033FCB98" w:rsidR="00B44B73" w:rsidRDefault="00B44B73" w:rsidP="00B44B73">
      <w:pPr>
        <w:spacing w:before="120" w:after="120"/>
        <w:ind w:firstLine="0"/>
      </w:pPr>
      <w:r>
        <w:t>Vides aizsardzības un reģionālās attīstības ministrs</w:t>
      </w:r>
      <w:r>
        <w:tab/>
      </w:r>
      <w:r>
        <w:tab/>
      </w:r>
      <w:r>
        <w:tab/>
      </w:r>
      <w:r>
        <w:tab/>
        <w:t>J.Pūce</w:t>
      </w:r>
    </w:p>
    <w:p w14:paraId="59F0C1EF" w14:textId="77777777" w:rsidR="00B44B73" w:rsidRDefault="00B44B73" w:rsidP="00E008BC">
      <w:pPr>
        <w:spacing w:before="120" w:after="120"/>
      </w:pPr>
    </w:p>
    <w:p w14:paraId="044CD5E7" w14:textId="77777777" w:rsidR="00B44B73" w:rsidRPr="00655E5B" w:rsidRDefault="00B44B73" w:rsidP="00E008BC">
      <w:pPr>
        <w:spacing w:before="120" w:after="120"/>
      </w:pPr>
    </w:p>
    <w:sectPr w:rsidR="00B44B73" w:rsidRPr="00655E5B" w:rsidSect="00F41238">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162A" w14:textId="77777777" w:rsidR="009E11B5" w:rsidRDefault="009E11B5" w:rsidP="00FB4DD8">
      <w:r>
        <w:separator/>
      </w:r>
    </w:p>
  </w:endnote>
  <w:endnote w:type="continuationSeparator" w:id="0">
    <w:p w14:paraId="085C9CD2" w14:textId="77777777" w:rsidR="009E11B5" w:rsidRDefault="009E11B5" w:rsidP="00FB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4B39" w14:textId="77777777" w:rsidR="009E11B5" w:rsidRDefault="009E1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18E2" w14:textId="49350834" w:rsidR="009E11B5" w:rsidRPr="000900D5" w:rsidRDefault="009E11B5" w:rsidP="00E008BC">
    <w:pPr>
      <w:pStyle w:val="Footer"/>
      <w:ind w:firstLine="0"/>
    </w:pPr>
    <w:r>
      <w:rPr>
        <w:noProof/>
        <w:sz w:val="20"/>
        <w:szCs w:val="20"/>
      </w:rPr>
      <w:t>V</w:t>
    </w:r>
    <w:r w:rsidRPr="000575E0">
      <w:rPr>
        <w:noProof/>
        <w:sz w:val="20"/>
        <w:szCs w:val="20"/>
      </w:rPr>
      <w:t>A</w:t>
    </w:r>
    <w:r>
      <w:rPr>
        <w:noProof/>
        <w:sz w:val="20"/>
        <w:szCs w:val="20"/>
      </w:rPr>
      <w:t>RA</w:t>
    </w:r>
    <w:r w:rsidRPr="000575E0">
      <w:rPr>
        <w:noProof/>
        <w:sz w:val="20"/>
        <w:szCs w:val="20"/>
      </w:rPr>
      <w:t>M</w:t>
    </w:r>
    <w:r>
      <w:rPr>
        <w:noProof/>
        <w:sz w:val="20"/>
        <w:szCs w:val="20"/>
      </w:rPr>
      <w:t>Zin</w:t>
    </w:r>
    <w:r w:rsidRPr="000575E0">
      <w:rPr>
        <w:noProof/>
        <w:sz w:val="20"/>
        <w:szCs w:val="20"/>
      </w:rPr>
      <w:t>_</w:t>
    </w:r>
    <w:r>
      <w:rPr>
        <w:noProof/>
        <w:sz w:val="20"/>
        <w:szCs w:val="20"/>
      </w:rPr>
      <w:t>0512</w:t>
    </w:r>
    <w:r w:rsidRPr="000575E0">
      <w:rPr>
        <w:noProof/>
        <w:sz w:val="20"/>
        <w:szCs w:val="20"/>
      </w:rPr>
      <w:t>19_</w:t>
    </w:r>
    <w:r>
      <w:rPr>
        <w:noProof/>
        <w:sz w:val="20"/>
        <w:szCs w:val="20"/>
      </w:rPr>
      <w:t>KlimatStrat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DCAA" w14:textId="65E1B2F5" w:rsidR="009E11B5" w:rsidRDefault="009E11B5" w:rsidP="00E008BC">
    <w:pPr>
      <w:tabs>
        <w:tab w:val="center" w:pos="4153"/>
        <w:tab w:val="right" w:pos="8306"/>
      </w:tabs>
      <w:ind w:firstLine="0"/>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t>VARAMZin_051219_KlimatStrat.docx</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E6C50" w14:textId="77777777" w:rsidR="009E11B5" w:rsidRDefault="009E11B5" w:rsidP="00FB4DD8">
      <w:r>
        <w:separator/>
      </w:r>
    </w:p>
  </w:footnote>
  <w:footnote w:type="continuationSeparator" w:id="0">
    <w:p w14:paraId="686F305E" w14:textId="77777777" w:rsidR="009E11B5" w:rsidRDefault="009E11B5" w:rsidP="00FB4DD8">
      <w:r>
        <w:continuationSeparator/>
      </w:r>
    </w:p>
  </w:footnote>
  <w:footnote w:id="1">
    <w:p w14:paraId="2E9ED652" w14:textId="77777777" w:rsidR="009E11B5" w:rsidRPr="00944B60" w:rsidRDefault="009E11B5" w:rsidP="00944B60">
      <w:pPr>
        <w:pStyle w:val="FootnoteText"/>
        <w:ind w:firstLine="0"/>
        <w:rPr>
          <w:lang w:val="lv-LV"/>
        </w:rPr>
      </w:pPr>
      <w:r w:rsidRPr="00944B60">
        <w:rPr>
          <w:rStyle w:val="FootnoteReference"/>
        </w:rPr>
        <w:footnoteRef/>
      </w:r>
      <w:r w:rsidRPr="00944B60">
        <w:rPr>
          <w:lang w:val="lv-LV"/>
        </w:rPr>
        <w:t xml:space="preserve"> Ilgtspējīgas attīstības jēdziens definēts </w:t>
      </w:r>
      <w:r w:rsidRPr="005F2265">
        <w:t>Apvienoto Nāciju Organizācijas</w:t>
      </w:r>
      <w:r w:rsidRPr="00944B60" w:rsidDel="007D0A34">
        <w:rPr>
          <w:lang w:val="lv-LV"/>
        </w:rPr>
        <w:t xml:space="preserve"> </w:t>
      </w:r>
      <w:r w:rsidRPr="00944B60">
        <w:rPr>
          <w:lang w:val="lv-LV"/>
        </w:rPr>
        <w:t>Pasaules Vides un attīstības komisijas ziņojumā “Mūsu kopējā nākotne” (saukts arī par Bruntlandes komisijas ziņojumu, 1987) un starptautiski plaši tiek lietots kopš 1992.</w:t>
      </w:r>
      <w:r>
        <w:rPr>
          <w:lang w:val="lv-LV"/>
        </w:rPr>
        <w:t> </w:t>
      </w:r>
      <w:r w:rsidRPr="00944B60">
        <w:rPr>
          <w:lang w:val="lv-LV"/>
        </w:rPr>
        <w:t>gada ANO konferences Riodežaneiro “Vide un attīstība”. Ilgtspējīga attīstība tiek skaidrota kā “attīstība, kas nodrošina šodienas vajadzību apmierināšanu, neradot draudus nākamo paaudžu vajadzību apmierināšanai”. Ilgtspējīgu attīstību raksturo trīs savstarpēji saistītas dimensijas: vides, ekonomiskā, sociālā. Tas nozīmē, ka stingras vides aizsardzības un klimata noturības prasības un augsti ekonomiskie rādītāji nav pretrunā, ka ekonomiskā augšupeja nedrīkst degradēt vidi un vienlaikus tiek nodrošināta augsta dzīves kvalitāte.</w:t>
      </w:r>
    </w:p>
  </w:footnote>
  <w:footnote w:id="2">
    <w:p w14:paraId="1E90DE7C" w14:textId="77777777" w:rsidR="009E11B5" w:rsidRPr="00944B60" w:rsidRDefault="009E11B5" w:rsidP="00944B60">
      <w:pPr>
        <w:pStyle w:val="FootnoteText"/>
        <w:ind w:left="142" w:hanging="142"/>
        <w:rPr>
          <w:lang w:val="lv-LV"/>
        </w:rPr>
      </w:pPr>
      <w:r w:rsidRPr="00944B60">
        <w:rPr>
          <w:rStyle w:val="FootnoteReference"/>
          <w:lang w:val="lv-LV"/>
        </w:rPr>
        <w:footnoteRef/>
      </w:r>
      <w:r w:rsidRPr="00944B60">
        <w:rPr>
          <w:lang w:val="lv-LV"/>
        </w:rPr>
        <w:t xml:space="preserve"> Oglekļa dioksīda (CO</w:t>
      </w:r>
      <w:r w:rsidRPr="00944B60">
        <w:rPr>
          <w:vertAlign w:val="subscript"/>
          <w:lang w:val="lv-LV"/>
        </w:rPr>
        <w:t xml:space="preserve">2 </w:t>
      </w:r>
      <w:r w:rsidRPr="00944B60">
        <w:rPr>
          <w:lang w:val="lv-LV"/>
        </w:rPr>
        <w:t xml:space="preserve">) piesaiste nozīmē procesu, kad fotosintēzes rezultātā no neorganiskajiem savienojumiem oglekļa dioksīda un ūdens, izmantojot gaismas enerģiju, tiek sintezētas organiskās vielas, kā arī skābeklis. </w:t>
      </w:r>
    </w:p>
  </w:footnote>
  <w:footnote w:id="3">
    <w:p w14:paraId="36B3F498" w14:textId="77777777" w:rsidR="009E11B5" w:rsidRPr="00944B60" w:rsidRDefault="009E11B5" w:rsidP="00944B60">
      <w:pPr>
        <w:pStyle w:val="FootnoteText"/>
        <w:ind w:firstLine="0"/>
        <w:rPr>
          <w:lang w:val="lv-LV"/>
        </w:rPr>
      </w:pPr>
      <w:r w:rsidRPr="00944B60">
        <w:rPr>
          <w:rStyle w:val="FootnoteReference"/>
        </w:rPr>
        <w:footnoteRef/>
      </w:r>
      <w:r w:rsidRPr="00944B60">
        <w:rPr>
          <w:lang w:val="lv-LV"/>
        </w:rPr>
        <w:t xml:space="preserve"> Eiropas Parlamenta un Padomes 2018.</w:t>
      </w:r>
      <w:r>
        <w:rPr>
          <w:lang w:val="lv-LV"/>
        </w:rPr>
        <w:t> 11. decembra</w:t>
      </w:r>
      <w:r w:rsidRPr="00944B60">
        <w:rPr>
          <w:lang w:val="lv-LV"/>
        </w:rPr>
        <w:t xml:space="preserve"> Regula (ES) 2018/1999 par enerģētikas savienības un rīcības klimata politikas jomā pārvaldību. Pieejams tiešsaistē: </w:t>
      </w:r>
      <w:hyperlink r:id="rId1" w:history="1">
        <w:r w:rsidRPr="00944B60">
          <w:rPr>
            <w:rStyle w:val="Hyperlink"/>
            <w:lang w:val="lv-LV"/>
          </w:rPr>
          <w:t>https://eur-lex.europa.eu/legal-content/LV/TXT/?uri=CELEX:32018R1999</w:t>
        </w:r>
      </w:hyperlink>
    </w:p>
  </w:footnote>
  <w:footnote w:id="4">
    <w:p w14:paraId="30BB31E1" w14:textId="77777777" w:rsidR="009E11B5" w:rsidRPr="00944B60" w:rsidRDefault="009E11B5" w:rsidP="00944B60">
      <w:pPr>
        <w:pStyle w:val="FootnoteText"/>
        <w:ind w:firstLine="0"/>
        <w:rPr>
          <w:lang w:val="lv-LV"/>
        </w:rPr>
      </w:pPr>
      <w:r w:rsidRPr="00944B60">
        <w:rPr>
          <w:rStyle w:val="FootnoteReference"/>
        </w:rPr>
        <w:footnoteRef/>
      </w:r>
      <w:r w:rsidRPr="00944B60">
        <w:rPr>
          <w:lang w:val="lv-LV"/>
        </w:rPr>
        <w:t xml:space="preserve"> Deklarācija </w:t>
      </w:r>
      <w:r w:rsidRPr="00E008BC">
        <w:rPr>
          <w:i/>
          <w:lang w:val="lv-LV"/>
        </w:rPr>
        <w:t>Par Artura Krišjāņa Kariņa vadītā Ministru kabineta iecerēto darbību</w:t>
      </w:r>
      <w:r w:rsidRPr="00944B60">
        <w:rPr>
          <w:lang w:val="lv-LV"/>
        </w:rPr>
        <w:t xml:space="preserve">. Pieejams tiešsaistē: </w:t>
      </w:r>
      <w:hyperlink r:id="rId2" w:history="1">
        <w:r w:rsidRPr="00944B60">
          <w:rPr>
            <w:lang w:val="lv-LV"/>
          </w:rPr>
          <w:t>https://www.mk.gov.lv/sites/default/files/editor/kk-valdibas-deklaracija_red-gala.pdf</w:t>
        </w:r>
      </w:hyperlink>
    </w:p>
  </w:footnote>
  <w:footnote w:id="5">
    <w:p w14:paraId="1875433B" w14:textId="77777777" w:rsidR="009E11B5" w:rsidRPr="00944B60" w:rsidRDefault="009E11B5" w:rsidP="00944B60">
      <w:pPr>
        <w:pStyle w:val="FootnoteText"/>
        <w:ind w:firstLine="0"/>
        <w:rPr>
          <w:lang w:val="lv-LV"/>
        </w:rPr>
      </w:pPr>
      <w:r w:rsidRPr="00944B60">
        <w:rPr>
          <w:rStyle w:val="FootnoteReference"/>
        </w:rPr>
        <w:footnoteRef/>
      </w:r>
      <w:r w:rsidRPr="00944B60">
        <w:rPr>
          <w:lang w:val="lv-LV"/>
        </w:rPr>
        <w:t xml:space="preserve"> Siltumnīcefekta gāzes (SEG) ir oglekļa dioksīds (CO</w:t>
      </w:r>
      <w:r w:rsidRPr="00944B60">
        <w:rPr>
          <w:vertAlign w:val="subscript"/>
          <w:lang w:val="lv-LV"/>
        </w:rPr>
        <w:t>2</w:t>
      </w:r>
      <w:r w:rsidRPr="00944B60">
        <w:rPr>
          <w:lang w:val="lv-LV"/>
        </w:rPr>
        <w:t>), metāns (CH</w:t>
      </w:r>
      <w:r w:rsidRPr="00944B60">
        <w:rPr>
          <w:vertAlign w:val="subscript"/>
          <w:lang w:val="lv-LV"/>
        </w:rPr>
        <w:t>4</w:t>
      </w:r>
      <w:r w:rsidRPr="00944B60">
        <w:rPr>
          <w:lang w:val="lv-LV"/>
        </w:rPr>
        <w:t>), slāpekļa oksīds (N</w:t>
      </w:r>
      <w:r w:rsidRPr="00944B60">
        <w:rPr>
          <w:vertAlign w:val="subscript"/>
          <w:lang w:val="lv-LV"/>
        </w:rPr>
        <w:t>2</w:t>
      </w:r>
      <w:r w:rsidRPr="00944B60">
        <w:rPr>
          <w:lang w:val="lv-LV"/>
        </w:rPr>
        <w:t>O), fluorogļūdeņraži (HFC), perfluorogļūdeņraži (PFC), slāpekļa trifluorīds (NF</w:t>
      </w:r>
      <w:r w:rsidRPr="00944B60">
        <w:rPr>
          <w:vertAlign w:val="subscript"/>
          <w:lang w:val="lv-LV"/>
        </w:rPr>
        <w:t>3</w:t>
      </w:r>
      <w:r w:rsidRPr="00944B60">
        <w:rPr>
          <w:lang w:val="lv-LV"/>
        </w:rPr>
        <w:t>) un sēra heksafluorīds (SF</w:t>
      </w:r>
      <w:r w:rsidRPr="00944B60">
        <w:rPr>
          <w:vertAlign w:val="subscript"/>
          <w:lang w:val="lv-LV"/>
        </w:rPr>
        <w:t>6</w:t>
      </w:r>
      <w:r w:rsidRPr="00944B60">
        <w:rPr>
          <w:lang w:val="lv-LV"/>
        </w:rPr>
        <w:t>). Nozīmīgākās SEG ir CO</w:t>
      </w:r>
      <w:r w:rsidRPr="00944B60">
        <w:rPr>
          <w:vertAlign w:val="subscript"/>
          <w:lang w:val="lv-LV"/>
        </w:rPr>
        <w:t>2</w:t>
      </w:r>
      <w:r w:rsidRPr="00944B60">
        <w:rPr>
          <w:lang w:val="lv-LV"/>
        </w:rPr>
        <w:t>, CH</w:t>
      </w:r>
      <w:r w:rsidRPr="00944B60">
        <w:rPr>
          <w:vertAlign w:val="subscript"/>
          <w:lang w:val="lv-LV"/>
        </w:rPr>
        <w:t>4</w:t>
      </w:r>
      <w:r w:rsidRPr="00944B60">
        <w:rPr>
          <w:lang w:val="lv-LV"/>
        </w:rPr>
        <w:t xml:space="preserve"> un N</w:t>
      </w:r>
      <w:r w:rsidRPr="00944B60">
        <w:rPr>
          <w:vertAlign w:val="subscript"/>
          <w:lang w:val="lv-LV"/>
        </w:rPr>
        <w:t>2</w:t>
      </w:r>
      <w:r w:rsidRPr="00944B60">
        <w:rPr>
          <w:lang w:val="lv-LV"/>
        </w:rPr>
        <w:t>O.</w:t>
      </w:r>
    </w:p>
  </w:footnote>
  <w:footnote w:id="6">
    <w:p w14:paraId="65A0F4A4" w14:textId="77777777" w:rsidR="009E11B5" w:rsidRPr="00944B60" w:rsidRDefault="009E11B5" w:rsidP="00944B60">
      <w:pPr>
        <w:pStyle w:val="FootnoteText"/>
        <w:ind w:firstLine="0"/>
        <w:rPr>
          <w:lang w:val="lv-LV"/>
        </w:rPr>
      </w:pPr>
      <w:r w:rsidRPr="00944B60">
        <w:rPr>
          <w:rStyle w:val="FootnoteReference"/>
        </w:rPr>
        <w:footnoteRef/>
      </w:r>
      <w:r w:rsidRPr="00944B60">
        <w:t xml:space="preserve"> </w:t>
      </w:r>
      <w:r w:rsidRPr="00E008BC">
        <w:rPr>
          <w:i/>
        </w:rPr>
        <w:t>Global Temperature Anomalies from 1880 to 2018</w:t>
      </w:r>
      <w:r w:rsidRPr="00944B60">
        <w:t xml:space="preserve">. 06.02.2019. Pieejams tiešsaistē:  </w:t>
      </w:r>
      <w:hyperlink r:id="rId3" w:history="1">
        <w:r w:rsidRPr="00944B60">
          <w:rPr>
            <w:rStyle w:val="Hyperlink"/>
          </w:rPr>
          <w:t>https://svs.gsfc.nasa.gov/4626</w:t>
        </w:r>
      </w:hyperlink>
    </w:p>
  </w:footnote>
  <w:footnote w:id="7">
    <w:p w14:paraId="6AD618FC" w14:textId="77777777" w:rsidR="009E11B5" w:rsidRPr="00944B60" w:rsidRDefault="009E11B5" w:rsidP="00944B60">
      <w:pPr>
        <w:pStyle w:val="FootnoteText"/>
        <w:ind w:left="142" w:hanging="142"/>
        <w:rPr>
          <w:lang w:val="lv-LV"/>
        </w:rPr>
      </w:pPr>
      <w:r w:rsidRPr="00944B60">
        <w:rPr>
          <w:rStyle w:val="FootnoteReference"/>
        </w:rPr>
        <w:footnoteRef/>
      </w:r>
      <w:r w:rsidRPr="00944B60">
        <w:rPr>
          <w:lang w:val="lv-LV"/>
        </w:rPr>
        <w:t xml:space="preserve"> Ppm (</w:t>
      </w:r>
      <w:r w:rsidRPr="00E008BC">
        <w:rPr>
          <w:i/>
          <w:lang w:val="lv-LV"/>
        </w:rPr>
        <w:t>parts per million</w:t>
      </w:r>
      <w:r w:rsidRPr="00944B60">
        <w:rPr>
          <w:lang w:val="lv-LV"/>
        </w:rPr>
        <w:t>)</w:t>
      </w:r>
      <w:r>
        <w:rPr>
          <w:lang w:val="lv-LV"/>
        </w:rPr>
        <w:t> </w:t>
      </w:r>
      <w:r w:rsidRPr="00944B60">
        <w:rPr>
          <w:lang w:val="lv-LV"/>
        </w:rPr>
        <w:t>–</w:t>
      </w:r>
      <w:r>
        <w:rPr>
          <w:lang w:val="lv-LV"/>
        </w:rPr>
        <w:t> </w:t>
      </w:r>
      <w:r w:rsidRPr="00944B60">
        <w:rPr>
          <w:lang w:val="lv-LV"/>
        </w:rPr>
        <w:t>miljondaļa, vielas masas attiecība pret visu gaisa masu, CO</w:t>
      </w:r>
      <w:r w:rsidRPr="00944B60">
        <w:rPr>
          <w:vertAlign w:val="subscript"/>
          <w:lang w:val="lv-LV"/>
        </w:rPr>
        <w:t>2</w:t>
      </w:r>
      <w:r w:rsidRPr="00944B60">
        <w:rPr>
          <w:lang w:val="lv-LV"/>
        </w:rPr>
        <w:t xml:space="preserve"> koncentrācija</w:t>
      </w:r>
      <w:r>
        <w:rPr>
          <w:lang w:val="lv-LV"/>
        </w:rPr>
        <w:t xml:space="preserve"> gaisā</w:t>
      </w:r>
      <w:r w:rsidRPr="00944B60">
        <w:rPr>
          <w:lang w:val="lv-LV"/>
        </w:rPr>
        <w:t xml:space="preserve">. Pieejams tiešsaistē: </w:t>
      </w:r>
      <w:hyperlink r:id="rId4" w:history="1">
        <w:r w:rsidRPr="00944B60">
          <w:rPr>
            <w:rStyle w:val="Hyperlink"/>
            <w:lang w:val="lv-LV"/>
          </w:rPr>
          <w:t>http://climate.nasa.gov/vital-signs/carbon-dioxide/</w:t>
        </w:r>
      </w:hyperlink>
      <w:r w:rsidRPr="00944B60">
        <w:rPr>
          <w:lang w:val="lv-LV"/>
        </w:rPr>
        <w:t xml:space="preserve"> </w:t>
      </w:r>
    </w:p>
  </w:footnote>
  <w:footnote w:id="8">
    <w:p w14:paraId="32895A7B" w14:textId="77777777" w:rsidR="009E11B5" w:rsidRPr="00944B60" w:rsidRDefault="009E11B5" w:rsidP="00944B60">
      <w:pPr>
        <w:pStyle w:val="FootnoteText"/>
        <w:ind w:firstLine="0"/>
        <w:rPr>
          <w:lang w:val="lv-LV"/>
        </w:rPr>
      </w:pPr>
      <w:r w:rsidRPr="00944B60">
        <w:rPr>
          <w:rStyle w:val="FootnoteReference"/>
        </w:rPr>
        <w:footnoteRef/>
      </w:r>
      <w:r w:rsidRPr="00944B60">
        <w:t xml:space="preserve"> </w:t>
      </w:r>
      <w:r w:rsidRPr="00E008BC">
        <w:rPr>
          <w:i/>
          <w:noProof/>
        </w:rPr>
        <w:t>IPCC</w:t>
      </w:r>
      <w:r w:rsidRPr="00944B60">
        <w:rPr>
          <w:noProof/>
        </w:rPr>
        <w:t xml:space="preserve"> īpašais ziņojums par globālo sasilšanu 1,5°C (“</w:t>
      </w:r>
      <w:r w:rsidRPr="00E008BC">
        <w:rPr>
          <w:i/>
          <w:lang w:val="en-US"/>
        </w:rPr>
        <w: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944B60">
        <w:t xml:space="preserve">”). Pieejams tiešsaistē: </w:t>
      </w:r>
      <w:hyperlink r:id="rId5" w:history="1">
        <w:r w:rsidRPr="00944B60">
          <w:rPr>
            <w:rStyle w:val="Hyperlink"/>
          </w:rPr>
          <w:t>https://www.ipcc.ch/sr15/</w:t>
        </w:r>
      </w:hyperlink>
      <w:r w:rsidRPr="00944B60">
        <w:t xml:space="preserve"> </w:t>
      </w:r>
    </w:p>
  </w:footnote>
  <w:footnote w:id="9">
    <w:p w14:paraId="5A60FFEB" w14:textId="77777777" w:rsidR="009E11B5" w:rsidRPr="00944B60" w:rsidRDefault="009E11B5" w:rsidP="00E379E7">
      <w:pPr>
        <w:pStyle w:val="FootnoteText"/>
        <w:jc w:val="left"/>
        <w:rPr>
          <w:lang w:val="lv-LV"/>
        </w:rPr>
      </w:pPr>
      <w:r w:rsidRPr="00944B60">
        <w:rPr>
          <w:rStyle w:val="FootnoteReference"/>
        </w:rPr>
        <w:footnoteRef/>
      </w:r>
      <w:r w:rsidRPr="00944B60">
        <w:rPr>
          <w:lang w:val="lv-LV"/>
        </w:rPr>
        <w:t xml:space="preserve"> Atbilstoši 2019.</w:t>
      </w:r>
      <w:r>
        <w:rPr>
          <w:lang w:val="lv-LV"/>
        </w:rPr>
        <w:t> </w:t>
      </w:r>
      <w:r w:rsidRPr="00944B60">
        <w:rPr>
          <w:lang w:val="lv-LV"/>
        </w:rPr>
        <w:t xml:space="preserve">gadā </w:t>
      </w:r>
      <w:r w:rsidRPr="00E008BC">
        <w:rPr>
          <w:i/>
          <w:lang w:val="lv-LV"/>
        </w:rPr>
        <w:t>UNFCCC</w:t>
      </w:r>
      <w:r w:rsidRPr="00944B60">
        <w:rPr>
          <w:lang w:val="lv-LV"/>
        </w:rPr>
        <w:t xml:space="preserve"> iesniegtajai SEG inventarizācijai. </w:t>
      </w:r>
    </w:p>
  </w:footnote>
  <w:footnote w:id="10">
    <w:p w14:paraId="5646AF0A" w14:textId="77777777" w:rsidR="009E11B5" w:rsidRPr="00944B60" w:rsidRDefault="009E11B5" w:rsidP="00E379E7">
      <w:pPr>
        <w:pStyle w:val="FootnoteText"/>
        <w:jc w:val="left"/>
        <w:rPr>
          <w:lang w:val="lv-LV"/>
        </w:rPr>
      </w:pPr>
      <w:r w:rsidRPr="00944B60">
        <w:rPr>
          <w:rStyle w:val="FootnoteReference"/>
        </w:rPr>
        <w:footnoteRef/>
      </w:r>
      <w:r w:rsidRPr="00944B60">
        <w:rPr>
          <w:lang w:val="lv-LV"/>
        </w:rPr>
        <w:t xml:space="preserve"> Indikatīvas aplēses par virzību uz mērķu sasniegšanu atbilstoši 2019.</w:t>
      </w:r>
      <w:r>
        <w:rPr>
          <w:lang w:val="lv-LV"/>
        </w:rPr>
        <w:t> </w:t>
      </w:r>
      <w:r w:rsidRPr="00944B60">
        <w:rPr>
          <w:lang w:val="lv-LV"/>
        </w:rPr>
        <w:t>gadā pieejamajiem datiem.</w:t>
      </w:r>
    </w:p>
  </w:footnote>
  <w:footnote w:id="11">
    <w:p w14:paraId="70B5F636" w14:textId="77777777" w:rsidR="009E11B5" w:rsidRPr="00944B60" w:rsidRDefault="009E11B5" w:rsidP="00E379E7">
      <w:pPr>
        <w:pStyle w:val="FootnoteText"/>
        <w:ind w:left="142" w:hanging="142"/>
        <w:jc w:val="left"/>
        <w:rPr>
          <w:lang w:val="lv-LV"/>
        </w:rPr>
      </w:pPr>
      <w:r w:rsidRPr="00944B60">
        <w:rPr>
          <w:rStyle w:val="FootnoteReference"/>
        </w:rPr>
        <w:footnoteRef/>
      </w:r>
      <w:r w:rsidRPr="00944B60">
        <w:rPr>
          <w:lang w:val="lv-LV"/>
        </w:rPr>
        <w:t xml:space="preserve"> CO</w:t>
      </w:r>
      <w:r w:rsidRPr="00944B60">
        <w:rPr>
          <w:vertAlign w:val="subscript"/>
          <w:lang w:val="lv-LV"/>
        </w:rPr>
        <w:t>2 ekv</w:t>
      </w:r>
      <w:r>
        <w:rPr>
          <w:lang w:val="lv-LV"/>
        </w:rPr>
        <w:t> </w:t>
      </w:r>
      <w:r w:rsidRPr="00944B60">
        <w:rPr>
          <w:lang w:val="lv-LV"/>
        </w:rPr>
        <w:t>–</w:t>
      </w:r>
      <w:r>
        <w:rPr>
          <w:lang w:val="lv-LV"/>
        </w:rPr>
        <w:t> </w:t>
      </w:r>
      <w:r w:rsidRPr="00944B60">
        <w:rPr>
          <w:lang w:val="lv-LV"/>
        </w:rPr>
        <w:t>oglekļa dioksīda ekvivalents ir mērvienība izteikta CO</w:t>
      </w:r>
      <w:r w:rsidRPr="00944B60">
        <w:rPr>
          <w:vertAlign w:val="subscript"/>
          <w:lang w:val="lv-LV"/>
        </w:rPr>
        <w:t>2</w:t>
      </w:r>
      <w:r w:rsidRPr="00944B60">
        <w:rPr>
          <w:lang w:val="lv-LV"/>
        </w:rPr>
        <w:t xml:space="preserve"> emisijās, ar ko salīdzina dažādu siltumnīcefekta gāzu emisijas, pamatojoties uz to radīto globālās sasilšanas potenciālu.  </w:t>
      </w:r>
    </w:p>
  </w:footnote>
  <w:footnote w:id="12">
    <w:p w14:paraId="0FB35ED2" w14:textId="34628B36" w:rsidR="009E11B5" w:rsidRPr="00944B60" w:rsidRDefault="009E11B5" w:rsidP="002707A6">
      <w:pPr>
        <w:pStyle w:val="FootnoteText"/>
        <w:ind w:firstLine="0"/>
        <w:jc w:val="left"/>
        <w:rPr>
          <w:lang w:val="lv-LV"/>
        </w:rPr>
      </w:pPr>
      <w:r w:rsidRPr="00944B60">
        <w:rPr>
          <w:rStyle w:val="FootnoteReference"/>
        </w:rPr>
        <w:footnoteRef/>
      </w:r>
      <w:r w:rsidRPr="00944B60">
        <w:rPr>
          <w:lang w:val="lv-LV"/>
        </w:rPr>
        <w:t xml:space="preserve"> Turpinot līdzšinējo attīstību kas balstīta uz intensīvu enerģijas un resursu patēriņu, planētas resursi tiek noplicināti un tās ilgtspēja apdraudēta. Lai sevi uzturētu 2050. gadā, ņemot vērā iedzīvotāju skaitu un esošās patēriņa tendences, kopumā būs nepieciešams vairāk nekā divu planētu ekvivalents. </w:t>
      </w:r>
    </w:p>
  </w:footnote>
  <w:footnote w:id="13">
    <w:p w14:paraId="64A3D755" w14:textId="6D89F297" w:rsidR="009E11B5" w:rsidRPr="00944B60" w:rsidRDefault="009E11B5" w:rsidP="003D17AC">
      <w:pPr>
        <w:pStyle w:val="CommentText"/>
        <w:ind w:firstLine="0"/>
      </w:pPr>
      <w:r w:rsidRPr="00944B60">
        <w:rPr>
          <w:rStyle w:val="FootnoteReference"/>
        </w:rPr>
        <w:footnoteRef/>
      </w:r>
      <w:r w:rsidRPr="00944B60">
        <w:t xml:space="preserve"> </w:t>
      </w:r>
      <w:r>
        <w:t>FEI ekstrapolētā līdz 2050.gadam Ekonomikas ministrijas (2018.gads) makroekonomsikā prognoze līdz 2030.gadam</w:t>
      </w:r>
    </w:p>
  </w:footnote>
  <w:footnote w:id="14">
    <w:p w14:paraId="6AF51C52" w14:textId="77777777" w:rsidR="009E11B5" w:rsidRPr="00944B60" w:rsidRDefault="009E11B5" w:rsidP="00E379E7">
      <w:pPr>
        <w:pStyle w:val="FootnoteText"/>
        <w:ind w:firstLine="0"/>
        <w:jc w:val="left"/>
        <w:rPr>
          <w:lang w:val="lv-LV"/>
        </w:rPr>
      </w:pPr>
      <w:r w:rsidRPr="00944B60">
        <w:rPr>
          <w:rStyle w:val="FootnoteReference"/>
        </w:rPr>
        <w:footnoteRef/>
      </w:r>
      <w:r w:rsidRPr="00944B60">
        <w:t xml:space="preserve"> </w:t>
      </w:r>
      <w:r w:rsidRPr="00E008BC">
        <w:rPr>
          <w:i/>
          <w:noProof/>
        </w:rPr>
        <w:t>IPCC</w:t>
      </w:r>
      <w:r w:rsidRPr="00944B60">
        <w:rPr>
          <w:noProof/>
        </w:rPr>
        <w:t xml:space="preserve"> īpašais ziņojums par globālo sasilšanu 1,5°C (“</w:t>
      </w:r>
      <w:r w:rsidRPr="00E008BC">
        <w:rPr>
          <w:i/>
          <w:lang w:val="en-US"/>
        </w:rPr>
        <w: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944B60">
        <w:t xml:space="preserve">”). Pieejams tiešsaistē: </w:t>
      </w:r>
      <w:hyperlink r:id="rId6" w:history="1">
        <w:r w:rsidRPr="00944B60">
          <w:rPr>
            <w:rStyle w:val="Hyperlink"/>
          </w:rPr>
          <w:t>https://www.ipcc.ch/sr15/</w:t>
        </w:r>
      </w:hyperlink>
      <w:r w:rsidRPr="00944B60">
        <w:t xml:space="preserve"> </w:t>
      </w:r>
    </w:p>
  </w:footnote>
  <w:footnote w:id="15">
    <w:p w14:paraId="584C6A9A" w14:textId="77777777" w:rsidR="009E11B5" w:rsidRPr="00944B60" w:rsidRDefault="009E11B5" w:rsidP="00E379E7">
      <w:pPr>
        <w:pStyle w:val="FootnoteText"/>
        <w:ind w:firstLine="0"/>
        <w:jc w:val="left"/>
        <w:rPr>
          <w:lang w:val="lv-LV"/>
        </w:rPr>
      </w:pPr>
      <w:r w:rsidRPr="00944B60">
        <w:rPr>
          <w:rStyle w:val="FootnoteReference"/>
        </w:rPr>
        <w:footnoteRef/>
      </w:r>
      <w:r w:rsidRPr="00944B60">
        <w:rPr>
          <w:lang w:val="lv-LV"/>
        </w:rPr>
        <w:t xml:space="preserve"> </w:t>
      </w:r>
      <w:r w:rsidRPr="008A5B10">
        <w:rPr>
          <w:lang w:val="fr-FR"/>
        </w:rPr>
        <w:t>Latvijas Vides, ģeoloģijas un meteoroloģijas centrs. Ziņojums “Klimata pārmaiņu scenāriji Latvijai” (2017). </w:t>
      </w:r>
      <w:r w:rsidRPr="00944B60">
        <w:rPr>
          <w:lang w:val="en-US"/>
        </w:rPr>
        <w:t>Pieejams tiešsaistē: </w:t>
      </w:r>
      <w:hyperlink r:id="rId7" w:history="1">
        <w:r w:rsidRPr="00944B60">
          <w:rPr>
            <w:lang w:val="en-US"/>
          </w:rPr>
          <w:t>http://www2.meteo.lv/klimatariks/zinojums.pdf</w:t>
        </w:r>
      </w:hyperlink>
      <w:r w:rsidRPr="00944B60">
        <w:rPr>
          <w:lang w:val="en-US"/>
        </w:rPr>
        <w:t xml:space="preserve"> </w:t>
      </w:r>
    </w:p>
  </w:footnote>
  <w:footnote w:id="16">
    <w:p w14:paraId="06A276AE" w14:textId="77777777" w:rsidR="009E11B5" w:rsidRPr="00944B60" w:rsidRDefault="009E11B5" w:rsidP="00327535">
      <w:pPr>
        <w:pStyle w:val="FootnoteText"/>
        <w:ind w:firstLine="0"/>
        <w:jc w:val="left"/>
        <w:rPr>
          <w:lang w:val="lv-LV"/>
        </w:rPr>
      </w:pPr>
      <w:r w:rsidRPr="00944B60">
        <w:rPr>
          <w:rStyle w:val="FootnoteReference"/>
        </w:rPr>
        <w:footnoteRef/>
      </w:r>
      <w:r w:rsidRPr="00944B60">
        <w:rPr>
          <w:lang w:val="lv-LV"/>
        </w:rPr>
        <w:t xml:space="preserve"> Latvijas Republikas 2019.</w:t>
      </w:r>
      <w:r>
        <w:rPr>
          <w:lang w:val="lv-LV"/>
        </w:rPr>
        <w:t> gada 11. jūnija</w:t>
      </w:r>
      <w:r w:rsidRPr="00944B60">
        <w:rPr>
          <w:lang w:val="lv-LV"/>
        </w:rPr>
        <w:t xml:space="preserve"> Pozīcija Nr.</w:t>
      </w:r>
      <w:r>
        <w:rPr>
          <w:lang w:val="lv-LV"/>
        </w:rPr>
        <w:t> </w:t>
      </w:r>
      <w:r w:rsidRPr="00944B60">
        <w:rPr>
          <w:lang w:val="lv-LV"/>
        </w:rPr>
        <w:t>2. „Par Eiropas Komisijas paziņojumu „Tīru planētu - visiem! Stratēģisks Eiropas ilgtermiņa redzējums par pārticīgu, modernu, konkurētspējīgu un klimatneitrālu ekonomiku””</w:t>
      </w:r>
    </w:p>
  </w:footnote>
  <w:footnote w:id="17">
    <w:p w14:paraId="21AFB7CC" w14:textId="77777777" w:rsidR="009E11B5" w:rsidRPr="00944B60" w:rsidRDefault="009E11B5" w:rsidP="00327535">
      <w:pPr>
        <w:pStyle w:val="FootnoteText"/>
        <w:ind w:firstLine="0"/>
        <w:jc w:val="left"/>
        <w:rPr>
          <w:lang w:val="lv-LV"/>
        </w:rPr>
      </w:pPr>
      <w:r w:rsidRPr="00944B60">
        <w:rPr>
          <w:rStyle w:val="FootnoteReference"/>
        </w:rPr>
        <w:footnoteRef/>
      </w:r>
      <w:r w:rsidRPr="00944B60">
        <w:rPr>
          <w:lang w:val="lv-LV"/>
        </w:rPr>
        <w:t xml:space="preserve"> </w:t>
      </w:r>
      <w:r w:rsidRPr="00E008BC">
        <w:rPr>
          <w:i/>
          <w:lang w:val="lv-LV"/>
        </w:rPr>
        <w:t>Special Eurobarameter Report. Climate change</w:t>
      </w:r>
      <w:r w:rsidRPr="00944B60">
        <w:rPr>
          <w:lang w:val="lv-LV"/>
        </w:rPr>
        <w:t xml:space="preserve">, 2017. </w:t>
      </w:r>
      <w:r w:rsidRPr="00944B60">
        <w:rPr>
          <w:rStyle w:val="Hyperlink"/>
          <w:color w:val="auto"/>
          <w:u w:val="none"/>
          <w:lang w:val="lv-LV"/>
        </w:rPr>
        <w:t xml:space="preserve">Pieejams tiešsaistē: </w:t>
      </w:r>
      <w:r w:rsidRPr="00944B60">
        <w:rPr>
          <w:lang w:val="lv-LV"/>
        </w:rPr>
        <w:t xml:space="preserve"> https://ec.europa.eu/clima/sites/clima/files/support/docs/report_2017_en.pdf</w:t>
      </w:r>
    </w:p>
  </w:footnote>
  <w:footnote w:id="18">
    <w:p w14:paraId="6D2AC4A1" w14:textId="77777777" w:rsidR="009E11B5" w:rsidRPr="00944B60" w:rsidRDefault="009E11B5" w:rsidP="00327535">
      <w:pPr>
        <w:pStyle w:val="FootnoteText"/>
        <w:ind w:firstLine="0"/>
        <w:jc w:val="left"/>
        <w:rPr>
          <w:lang w:val="lv-LV"/>
        </w:rPr>
      </w:pPr>
      <w:r w:rsidRPr="00944B60">
        <w:rPr>
          <w:rStyle w:val="FootnoteReference"/>
        </w:rPr>
        <w:footnoteRef/>
      </w:r>
      <w:r w:rsidRPr="00944B60">
        <w:rPr>
          <w:lang w:val="lv-LV"/>
        </w:rPr>
        <w:t xml:space="preserve"> Baltijas Vides Forums, Informētība un attieksme pret klimata pārmaiņām. Latvijas iedzīvotāju aptaujas rezultāti, 2016. </w:t>
      </w:r>
      <w:r w:rsidRPr="00944B60">
        <w:rPr>
          <w:rStyle w:val="Hyperlink"/>
          <w:color w:val="auto"/>
          <w:u w:val="none"/>
          <w:lang w:val="lv-LV"/>
        </w:rPr>
        <w:t xml:space="preserve">Pieejams tiešsaistē: </w:t>
      </w:r>
      <w:r w:rsidRPr="00944B60">
        <w:rPr>
          <w:lang w:val="lv-LV"/>
        </w:rPr>
        <w:t xml:space="preserve"> http://www.bef.lv/fileadmin/Projektu_faili/SEG_emisijas/Petijums_SKDS_27_06_2016.pdf</w:t>
      </w:r>
    </w:p>
  </w:footnote>
  <w:footnote w:id="19">
    <w:p w14:paraId="1CC6452F" w14:textId="77777777" w:rsidR="009E11B5" w:rsidRPr="00944B60" w:rsidRDefault="009E11B5" w:rsidP="00327535">
      <w:pPr>
        <w:pStyle w:val="FootnoteText"/>
        <w:ind w:firstLine="0"/>
        <w:jc w:val="left"/>
        <w:rPr>
          <w:lang w:val="lv-LV"/>
        </w:rPr>
      </w:pPr>
      <w:r w:rsidRPr="00944B60">
        <w:rPr>
          <w:rStyle w:val="FootnoteReference"/>
        </w:rPr>
        <w:footnoteRef/>
      </w:r>
      <w:r w:rsidRPr="00944B60">
        <w:rPr>
          <w:lang w:val="lv-LV"/>
        </w:rPr>
        <w:t xml:space="preserve"> 2019.</w:t>
      </w:r>
      <w:r>
        <w:rPr>
          <w:lang w:val="lv-LV"/>
        </w:rPr>
        <w:t> </w:t>
      </w:r>
      <w:r w:rsidRPr="00944B60">
        <w:rPr>
          <w:lang w:val="lv-LV"/>
        </w:rPr>
        <w:t>gada 15.</w:t>
      </w:r>
      <w:r>
        <w:rPr>
          <w:lang w:val="lv-LV"/>
        </w:rPr>
        <w:t> </w:t>
      </w:r>
      <w:r w:rsidRPr="00944B60">
        <w:rPr>
          <w:lang w:val="lv-LV"/>
        </w:rPr>
        <w:t>marta klimata gājiens pulcēja ap 650 dalībnieku, 12.</w:t>
      </w:r>
      <w:r>
        <w:rPr>
          <w:lang w:val="lv-LV"/>
        </w:rPr>
        <w:t> </w:t>
      </w:r>
      <w:r w:rsidRPr="00944B60">
        <w:rPr>
          <w:lang w:val="lv-LV"/>
        </w:rPr>
        <w:t>aprīļa Baltijas Klimata ceļa akcijai pie Ministru kabineta pievienojās ap 250 cilvēku un 24. maija gājienā piedalījās ap 300 cilvēku.</w:t>
      </w:r>
    </w:p>
  </w:footnote>
  <w:footnote w:id="20">
    <w:p w14:paraId="7D58D6BD" w14:textId="77777777" w:rsidR="009E11B5" w:rsidRPr="00944B60" w:rsidRDefault="009E11B5" w:rsidP="00944B60">
      <w:pPr>
        <w:pStyle w:val="FootnoteText"/>
        <w:ind w:firstLine="0"/>
      </w:pPr>
      <w:r w:rsidRPr="00944B60">
        <w:rPr>
          <w:rStyle w:val="FootnoteReference"/>
        </w:rPr>
        <w:footnoteRef/>
      </w:r>
      <w:r w:rsidRPr="00944B60">
        <w:rPr>
          <w:lang w:val="lv-LV"/>
        </w:rPr>
        <w:t xml:space="preserve"> Saskaņā ar Eurofound pētījumu Enerģētikas scenāriji: Parīzes nolīguma sekas uz nodarbinātību, Latvijai ir ļoti augsts potenciāls IKOP paaugstināšanā, īstenojot Parīzes nolīgumā nospraustos mērķus. </w:t>
      </w:r>
      <w:r w:rsidRPr="00944B60">
        <w:t>Pieejams tiešsaistē: </w:t>
      </w:r>
    </w:p>
    <w:p w14:paraId="5433197A" w14:textId="77777777" w:rsidR="009E11B5" w:rsidRPr="00944B60" w:rsidRDefault="009E11B5" w:rsidP="00944B60">
      <w:pPr>
        <w:pStyle w:val="FootnoteText"/>
        <w:ind w:firstLine="0"/>
      </w:pPr>
      <w:r w:rsidRPr="00944B60">
        <w:t>https://www.eurofound.europa.eu/sites/default/files/ef_publication/field_ef_document/fomeef18003en.pdf</w:t>
      </w:r>
    </w:p>
  </w:footnote>
  <w:footnote w:id="21">
    <w:p w14:paraId="4765513C" w14:textId="77777777" w:rsidR="009E11B5" w:rsidRPr="00944B60" w:rsidRDefault="009E11B5" w:rsidP="00944B60">
      <w:pPr>
        <w:pStyle w:val="FootnoteText"/>
        <w:ind w:firstLine="0"/>
      </w:pPr>
      <w:r w:rsidRPr="00944B60">
        <w:rPr>
          <w:rStyle w:val="FootnoteReference"/>
        </w:rPr>
        <w:footnoteRef/>
      </w:r>
      <w:r w:rsidRPr="00944B60">
        <w:t> European Commission. In-depth analysis in support of the commission Communication COM(2018) 773. A Clean Planet for all A European long-term strategic vision for a prosperous, modern, competitive and climate neutral economy, 2018. Pieejams tiešsaistē: </w:t>
      </w:r>
      <w:r w:rsidRPr="00944B60">
        <w:rPr>
          <w:rStyle w:val="Hyperlink"/>
          <w:color w:val="auto"/>
          <w:u w:val="none"/>
        </w:rPr>
        <w:t xml:space="preserve">https://ec.europa.eu/clima/policies/strategies/2050_en </w:t>
      </w:r>
    </w:p>
  </w:footnote>
  <w:footnote w:id="22">
    <w:p w14:paraId="14EA4490" w14:textId="77777777" w:rsidR="009E11B5" w:rsidRPr="00944B60" w:rsidRDefault="009E11B5" w:rsidP="00944B60">
      <w:pPr>
        <w:pStyle w:val="FootnoteText"/>
        <w:ind w:firstLine="0"/>
      </w:pPr>
      <w:r w:rsidRPr="00944B60">
        <w:rPr>
          <w:rStyle w:val="FootnoteReference"/>
        </w:rPr>
        <w:footnoteRef/>
      </w:r>
      <w:r w:rsidRPr="00944B60">
        <w:t> Eiropas Komisija, Komisijas paziņojums Eiropas Parlamentam, Eiropadomei, Padomei, Eiropas Ekonomikas un sociālo lietu komitejai, Reģionu komitejai un Eiropas Investīciju bankai. Tīru planētu</w:t>
      </w:r>
      <w:r>
        <w:t> </w:t>
      </w:r>
      <w:r>
        <w:rPr>
          <w:rFonts w:eastAsia="Calibri"/>
          <w:lang w:eastAsia="en-US"/>
        </w:rPr>
        <w:t xml:space="preserve">– </w:t>
      </w:r>
      <w:r w:rsidRPr="00944B60">
        <w:t>visiem! Stratēģisks Eiropas ilgtermiņa redzējums par pārticīgu, modernu, konkurētspējīgu un klimatneitrālu ekonomiku, 2018. Pieejams tiešsaistē: </w:t>
      </w:r>
      <w:hyperlink r:id="rId8" w:history="1">
        <w:r w:rsidRPr="00944B60">
          <w:rPr>
            <w:rStyle w:val="Hyperlink"/>
            <w:color w:val="auto"/>
            <w:u w:val="none"/>
          </w:rPr>
          <w:t>https://eur-lex.europa.eu/LexUriServ/LexUriServ.do?uri=COM:2018:0773:FIN:LV:PDF</w:t>
        </w:r>
      </w:hyperlink>
      <w:r w:rsidRPr="00944B60">
        <w:t xml:space="preserve"> </w:t>
      </w:r>
    </w:p>
  </w:footnote>
  <w:footnote w:id="23">
    <w:p w14:paraId="7A551303" w14:textId="77777777" w:rsidR="009E11B5" w:rsidRPr="00944B60" w:rsidRDefault="009E11B5" w:rsidP="00944B60">
      <w:pPr>
        <w:pStyle w:val="FootnoteText"/>
        <w:ind w:firstLine="0"/>
        <w:rPr>
          <w:lang w:val="fr-FR"/>
        </w:rPr>
      </w:pPr>
      <w:r w:rsidRPr="00944B60">
        <w:rPr>
          <w:rStyle w:val="FootnoteReference"/>
        </w:rPr>
        <w:footnoteRef/>
      </w:r>
      <w:r w:rsidRPr="00944B60">
        <w:rPr>
          <w:lang w:val="fr-FR"/>
        </w:rPr>
        <w:t> </w:t>
      </w:r>
      <w:r w:rsidRPr="00A31E76">
        <w:rPr>
          <w:lang w:val="fr-FR"/>
        </w:rPr>
        <w:t>Turpat</w:t>
      </w:r>
      <w:r w:rsidRPr="00490A05">
        <w:rPr>
          <w:lang w:val="fr-FR"/>
        </w:rPr>
        <w:t>.</w:t>
      </w:r>
      <w:r w:rsidRPr="00944B60">
        <w:rPr>
          <w:lang w:val="fr-FR"/>
        </w:rPr>
        <w:t xml:space="preserve"> </w:t>
      </w:r>
    </w:p>
  </w:footnote>
  <w:footnote w:id="24">
    <w:p w14:paraId="2CC75DF7" w14:textId="77777777" w:rsidR="009E11B5" w:rsidRPr="00944B60" w:rsidRDefault="009E11B5" w:rsidP="00327535">
      <w:pPr>
        <w:ind w:firstLine="0"/>
        <w:jc w:val="left"/>
        <w:rPr>
          <w:sz w:val="20"/>
          <w:szCs w:val="20"/>
        </w:rPr>
      </w:pPr>
      <w:r w:rsidRPr="00944B60">
        <w:rPr>
          <w:rStyle w:val="FootnoteReference"/>
          <w:sz w:val="20"/>
          <w:szCs w:val="20"/>
        </w:rPr>
        <w:footnoteRef/>
      </w:r>
      <w:r w:rsidRPr="00944B60">
        <w:rPr>
          <w:sz w:val="20"/>
          <w:szCs w:val="20"/>
        </w:rPr>
        <w:t> Procesu analīzes un izpētes centrs. Risku un ievainojamības novērtējums un pielāgošanās pasākumu identificēšana</w:t>
      </w:r>
    </w:p>
    <w:p w14:paraId="776C9A94" w14:textId="77777777" w:rsidR="009E11B5" w:rsidRPr="00944B60" w:rsidRDefault="009E11B5" w:rsidP="00327535">
      <w:pPr>
        <w:ind w:firstLine="0"/>
        <w:jc w:val="left"/>
        <w:rPr>
          <w:sz w:val="20"/>
          <w:szCs w:val="20"/>
        </w:rPr>
      </w:pPr>
      <w:r>
        <w:rPr>
          <w:sz w:val="20"/>
          <w:szCs w:val="20"/>
        </w:rPr>
        <w:t>C</w:t>
      </w:r>
      <w:r w:rsidRPr="00944B60">
        <w:rPr>
          <w:sz w:val="20"/>
          <w:szCs w:val="20"/>
        </w:rPr>
        <w:t>ivilās aizsardzības un ārkārtas palīdzības jomā. Pieejams tiešsaistē: </w:t>
      </w:r>
      <w:hyperlink r:id="rId9" w:history="1">
        <w:r w:rsidRPr="00944B60">
          <w:rPr>
            <w:rStyle w:val="Hyperlink"/>
            <w:color w:val="auto"/>
            <w:sz w:val="20"/>
            <w:szCs w:val="20"/>
            <w:u w:val="none"/>
          </w:rPr>
          <w:t>http://petijumi.mk.gov.lv/sites/default/files/title_file/petijums_varam_2016_2017_risk_un_ievain_novert_un_pielag_pasak_identific_civilas_aizsardz_arkart_palidz_joma.pdf</w:t>
        </w:r>
      </w:hyperlink>
      <w:r w:rsidRPr="00944B60">
        <w:rPr>
          <w:sz w:val="20"/>
          <w:szCs w:val="20"/>
        </w:rPr>
        <w:t xml:space="preserve">  </w:t>
      </w:r>
    </w:p>
  </w:footnote>
  <w:footnote w:id="25">
    <w:p w14:paraId="1C731568" w14:textId="77777777" w:rsidR="009E11B5" w:rsidRPr="00944B60" w:rsidRDefault="009E11B5" w:rsidP="00327535">
      <w:pPr>
        <w:pStyle w:val="Title"/>
        <w:spacing w:after="120"/>
        <w:jc w:val="left"/>
        <w:rPr>
          <w:rFonts w:eastAsia="Calibri" w:cs="Times New Roman"/>
          <w:caps/>
          <w:color w:val="auto"/>
          <w:sz w:val="20"/>
          <w:szCs w:val="20"/>
          <w:lang w:eastAsia="en-US"/>
        </w:rPr>
      </w:pPr>
      <w:r w:rsidRPr="00944B60">
        <w:rPr>
          <w:rStyle w:val="FootnoteReference"/>
          <w:rFonts w:cs="Times New Roman"/>
          <w:color w:val="auto"/>
          <w:sz w:val="20"/>
          <w:szCs w:val="20"/>
        </w:rPr>
        <w:footnoteRef/>
      </w:r>
      <w:r w:rsidRPr="00944B60">
        <w:rPr>
          <w:rFonts w:cs="Times New Roman"/>
          <w:color w:val="auto"/>
          <w:sz w:val="20"/>
          <w:szCs w:val="20"/>
        </w:rPr>
        <w:t xml:space="preserve"> Risku un ievainojamības novērtējums un pielāgošanās pasākumu identificēšana būvniecības un infrastruktūras jomā, gala ziņojums, biedrība "Zaļā brīvība", 2017. Pieejams tiešsaistē: </w:t>
      </w:r>
      <w:hyperlink r:id="rId10" w:history="1">
        <w:r w:rsidRPr="00944B60">
          <w:rPr>
            <w:rFonts w:eastAsia="Calibri" w:cs="Times New Roman"/>
            <w:color w:val="auto"/>
            <w:sz w:val="20"/>
            <w:szCs w:val="20"/>
            <w:lang w:eastAsia="en-US"/>
          </w:rPr>
          <w:t>http://www.varam.gov.lv/lat/publ/petijumi/petijumi_klimata_parmainu_joma/?doc=23668</w:t>
        </w:r>
      </w:hyperlink>
      <w:r w:rsidRPr="00944B60">
        <w:rPr>
          <w:rFonts w:eastAsia="Calibri" w:cs="Times New Roman"/>
          <w:color w:val="auto"/>
          <w:sz w:val="20"/>
          <w:szCs w:val="20"/>
          <w:lang w:eastAsia="en-US"/>
        </w:rPr>
        <w:t xml:space="preserve">  </w:t>
      </w:r>
    </w:p>
  </w:footnote>
  <w:footnote w:id="26">
    <w:p w14:paraId="0608F127" w14:textId="77777777" w:rsidR="009E11B5" w:rsidRPr="00944B60" w:rsidRDefault="009E11B5" w:rsidP="00327535">
      <w:pPr>
        <w:pStyle w:val="FootnoteText"/>
        <w:ind w:left="142" w:hanging="142"/>
        <w:jc w:val="left"/>
        <w:rPr>
          <w:lang w:val="lv-LV"/>
        </w:rPr>
      </w:pPr>
      <w:r w:rsidRPr="00944B60">
        <w:rPr>
          <w:rStyle w:val="FootnoteReference"/>
        </w:rPr>
        <w:footnoteRef/>
      </w:r>
      <w:r>
        <w:rPr>
          <w:lang w:val="lv-LV"/>
        </w:rPr>
        <w:t> </w:t>
      </w:r>
      <w:r w:rsidRPr="00944B60">
        <w:rPr>
          <w:lang w:val="lv-LV"/>
        </w:rPr>
        <w:t>Parīzes Nolīguma 4.</w:t>
      </w:r>
      <w:r>
        <w:rPr>
          <w:lang w:val="lv-LV"/>
        </w:rPr>
        <w:t> </w:t>
      </w:r>
      <w:r w:rsidRPr="00944B60">
        <w:rPr>
          <w:lang w:val="lv-LV"/>
        </w:rPr>
        <w:t>pants, 19.</w:t>
      </w:r>
      <w:r>
        <w:rPr>
          <w:lang w:val="lv-LV"/>
        </w:rPr>
        <w:t> </w:t>
      </w:r>
      <w:r w:rsidRPr="00944B60">
        <w:rPr>
          <w:lang w:val="lv-LV"/>
        </w:rPr>
        <w:t>apakšpunkts.</w:t>
      </w:r>
    </w:p>
  </w:footnote>
  <w:footnote w:id="27">
    <w:p w14:paraId="20182BC1" w14:textId="77777777" w:rsidR="009E11B5" w:rsidRPr="00944B60" w:rsidRDefault="009E11B5" w:rsidP="00327535">
      <w:pPr>
        <w:pStyle w:val="FootnoteText"/>
        <w:ind w:firstLine="0"/>
        <w:jc w:val="left"/>
        <w:rPr>
          <w:lang w:val="lv-LV"/>
        </w:rPr>
      </w:pPr>
      <w:r w:rsidRPr="00944B60">
        <w:rPr>
          <w:rStyle w:val="FootnoteReference"/>
        </w:rPr>
        <w:footnoteRef/>
      </w:r>
      <w:r>
        <w:rPr>
          <w:lang w:val="lv-LV"/>
        </w:rPr>
        <w:t> </w:t>
      </w:r>
      <w:r w:rsidRPr="00944B60">
        <w:rPr>
          <w:lang w:val="lv-LV"/>
        </w:rPr>
        <w:t>Eiropadomes 2019.</w:t>
      </w:r>
      <w:r>
        <w:rPr>
          <w:lang w:val="lv-LV"/>
        </w:rPr>
        <w:t> gada 20. jūnija</w:t>
      </w:r>
      <w:r w:rsidRPr="00944B60">
        <w:rPr>
          <w:lang w:val="lv-LV"/>
        </w:rPr>
        <w:t xml:space="preserve"> secinājumi. </w:t>
      </w:r>
      <w:r w:rsidRPr="00944B60">
        <w:rPr>
          <w:rStyle w:val="Hyperlink"/>
          <w:color w:val="auto"/>
          <w:u w:val="none"/>
          <w:lang w:val="lv-LV"/>
        </w:rPr>
        <w:t xml:space="preserve">Pieejams tiešsaistē: </w:t>
      </w:r>
      <w:hyperlink r:id="rId11" w:history="1">
        <w:r w:rsidRPr="00944B60">
          <w:rPr>
            <w:rStyle w:val="Hyperlink"/>
            <w:lang w:val="lv-LV"/>
          </w:rPr>
          <w:t>https://www.consilium.europa.eu/media/39953/20-21-euco-final-conclusions-lv.pdf</w:t>
        </w:r>
      </w:hyperlink>
      <w:r w:rsidRPr="00944B60">
        <w:rPr>
          <w:lang w:val="lv-LV"/>
        </w:rPr>
        <w:t xml:space="preserve"> </w:t>
      </w:r>
    </w:p>
  </w:footnote>
  <w:footnote w:id="28">
    <w:p w14:paraId="5A5342A2" w14:textId="77777777" w:rsidR="009E11B5" w:rsidRPr="00944B60" w:rsidRDefault="009E11B5" w:rsidP="00327535">
      <w:pPr>
        <w:pStyle w:val="FootnoteText"/>
        <w:ind w:firstLine="0"/>
        <w:jc w:val="left"/>
        <w:rPr>
          <w:lang w:val="lv-LV"/>
        </w:rPr>
      </w:pPr>
      <w:r w:rsidRPr="00944B60">
        <w:rPr>
          <w:rStyle w:val="FootnoteReference"/>
        </w:rPr>
        <w:footnoteRef/>
      </w:r>
      <w:r>
        <w:rPr>
          <w:lang w:val="lv-LV"/>
        </w:rPr>
        <w:t> </w:t>
      </w:r>
      <w:r w:rsidRPr="00944B60">
        <w:rPr>
          <w:lang w:val="lv-LV"/>
        </w:rPr>
        <w:t>Ārlietu Padomes 2019.</w:t>
      </w:r>
      <w:r>
        <w:rPr>
          <w:lang w:val="lv-LV"/>
        </w:rPr>
        <w:t> gada 18. decembra</w:t>
      </w:r>
      <w:r w:rsidRPr="00944B60">
        <w:rPr>
          <w:lang w:val="lv-LV"/>
        </w:rPr>
        <w:t xml:space="preserve"> secinājumi. </w:t>
      </w:r>
      <w:r w:rsidRPr="00944B60">
        <w:rPr>
          <w:rStyle w:val="Hyperlink"/>
          <w:color w:val="auto"/>
          <w:u w:val="none"/>
          <w:lang w:val="lv-LV"/>
        </w:rPr>
        <w:t xml:space="preserve">Pieejams tiešsaistē: </w:t>
      </w:r>
      <w:hyperlink r:id="rId12" w:history="1">
        <w:r w:rsidRPr="00944B60">
          <w:rPr>
            <w:rStyle w:val="Hyperlink"/>
            <w:lang w:val="lv-LV"/>
          </w:rPr>
          <w:t>http://data.consilium.europa.eu/doc/document/ST-6153-2019-INIT/en/pdf</w:t>
        </w:r>
      </w:hyperlink>
      <w:r w:rsidRPr="00944B60">
        <w:rPr>
          <w:lang w:val="lv-LV"/>
        </w:rPr>
        <w:t xml:space="preserve"> </w:t>
      </w:r>
    </w:p>
  </w:footnote>
  <w:footnote w:id="29">
    <w:p w14:paraId="4730318B" w14:textId="77777777" w:rsidR="009E11B5" w:rsidRPr="00944B60" w:rsidRDefault="009E11B5" w:rsidP="00327535">
      <w:pPr>
        <w:pStyle w:val="FootnoteText"/>
        <w:ind w:left="142" w:hanging="142"/>
        <w:jc w:val="left"/>
        <w:rPr>
          <w:lang w:val="lv-LV"/>
        </w:rPr>
      </w:pPr>
      <w:r w:rsidRPr="00944B60">
        <w:rPr>
          <w:rStyle w:val="FootnoteReference"/>
        </w:rPr>
        <w:footnoteRef/>
      </w:r>
      <w:r>
        <w:rPr>
          <w:lang w:val="lv-LV"/>
        </w:rPr>
        <w:t> </w:t>
      </w:r>
      <w:r w:rsidRPr="00944B60">
        <w:rPr>
          <w:lang w:val="lv-LV"/>
        </w:rPr>
        <w:t>Eiropas Parlamenta un Padomes 2013.</w:t>
      </w:r>
      <w:r>
        <w:rPr>
          <w:lang w:val="lv-LV"/>
        </w:rPr>
        <w:t> </w:t>
      </w:r>
      <w:r w:rsidRPr="00944B60">
        <w:rPr>
          <w:lang w:val="lv-LV"/>
        </w:rPr>
        <w:t>gada 21.</w:t>
      </w:r>
      <w:r>
        <w:rPr>
          <w:lang w:val="lv-LV"/>
        </w:rPr>
        <w:t> </w:t>
      </w:r>
      <w:r w:rsidRPr="00944B60">
        <w:rPr>
          <w:lang w:val="lv-LV"/>
        </w:rPr>
        <w:t>maija regula (ES) Nr.</w:t>
      </w:r>
      <w:r>
        <w:rPr>
          <w:lang w:val="lv-LV"/>
        </w:rPr>
        <w:t> </w:t>
      </w:r>
      <w:r w:rsidRPr="00944B60">
        <w:rPr>
          <w:lang w:val="lv-LV"/>
        </w:rPr>
        <w:t>525/2013 “Par mehānismu siltumnīcefekta gāzu emisiju pārraudzībai un ziņošanai un citas informācijas ziņošanai valstu un Savienības līmenī saistībā ar klimata pārmaiņām un par Lēmuma Nr. 280/2004/EK atcelšanu”</w:t>
      </w:r>
    </w:p>
  </w:footnote>
  <w:footnote w:id="30">
    <w:p w14:paraId="1EE98288" w14:textId="77777777" w:rsidR="009E11B5" w:rsidRPr="00944B60" w:rsidRDefault="009E11B5" w:rsidP="00327535">
      <w:pPr>
        <w:pStyle w:val="FootnoteText"/>
        <w:ind w:firstLine="0"/>
        <w:jc w:val="left"/>
        <w:rPr>
          <w:lang w:val="lv-LV"/>
        </w:rPr>
      </w:pPr>
      <w:r w:rsidRPr="00944B60">
        <w:rPr>
          <w:rStyle w:val="FootnoteReference"/>
          <w:lang w:val="lv-LV"/>
        </w:rPr>
        <w:footnoteRef/>
      </w:r>
      <w:r>
        <w:rPr>
          <w:lang w:val="lv-LV"/>
        </w:rPr>
        <w:t> </w:t>
      </w:r>
      <w:r w:rsidRPr="00944B60">
        <w:rPr>
          <w:lang w:val="lv-LV"/>
        </w:rPr>
        <w:t>ne-ETS – ES ETS neiekļautie procesi - mazā enerģētika, ES ETS neiekļautie rūpnieciskie procesi (izejvielu izmantošana) un šķīdinātāju un ozona slāni noārdošo vielu izmantošana (fluorētās gāzes), transports, lauksaimniecība, atkritumu apsaimniekošana</w:t>
      </w:r>
    </w:p>
  </w:footnote>
  <w:footnote w:id="31">
    <w:p w14:paraId="7F41577F" w14:textId="77777777" w:rsidR="009E11B5" w:rsidRPr="0078501A" w:rsidRDefault="009E11B5" w:rsidP="00327535">
      <w:pPr>
        <w:pStyle w:val="FootnoteText"/>
        <w:ind w:firstLine="0"/>
        <w:jc w:val="left"/>
        <w:rPr>
          <w:lang w:val="lv-LV"/>
        </w:rPr>
      </w:pPr>
      <w:r w:rsidRPr="0078501A">
        <w:rPr>
          <w:rStyle w:val="FootnoteReference"/>
        </w:rPr>
        <w:footnoteRef/>
      </w:r>
      <w:r w:rsidRPr="00696696">
        <w:rPr>
          <w:lang w:val="lv-LV"/>
        </w:rPr>
        <w:t xml:space="preserve"> Eiropa kustībā: Komisija papildina savu darba kārtību attiecībā uz drošu, tīru un savienojumspējīgu mobilitāti. </w:t>
      </w:r>
      <w:hyperlink r:id="rId13" w:history="1">
        <w:r w:rsidRPr="0078501A">
          <w:rPr>
            <w:rStyle w:val="Hyperlink"/>
          </w:rPr>
          <w:t>https://ec.europa.eu/latvia/news/eiropa-kust%C4%ABb%C4%81-komisija-papildina-savu-darba-k%C4%81rt%C4%ABbu-attiec%C4%ABb%C4%81-uz-dro%C5%A1u-t%C4%ABru-un_lv</w:t>
        </w:r>
      </w:hyperlink>
      <w:r w:rsidRPr="0078501A">
        <w:t xml:space="preserve">  </w:t>
      </w:r>
    </w:p>
  </w:footnote>
  <w:footnote w:id="32">
    <w:p w14:paraId="08C696E8" w14:textId="77777777" w:rsidR="009E11B5" w:rsidRPr="0078501A" w:rsidRDefault="009E11B5" w:rsidP="00327535">
      <w:pPr>
        <w:pStyle w:val="FootnoteText"/>
        <w:ind w:firstLine="0"/>
        <w:jc w:val="left"/>
        <w:rPr>
          <w:lang w:val="lv-LV"/>
        </w:rPr>
      </w:pPr>
      <w:r w:rsidRPr="0078501A">
        <w:rPr>
          <w:rStyle w:val="FootnoteReference"/>
        </w:rPr>
        <w:footnoteRef/>
      </w:r>
      <w:r w:rsidRPr="00DA2D2F">
        <w:rPr>
          <w:lang w:val="lv-LV"/>
        </w:rPr>
        <w:t xml:space="preserve"> Par aprites ekonomikas paketi. </w:t>
      </w:r>
      <w:r w:rsidRPr="0078501A">
        <w:rPr>
          <w:rStyle w:val="Hyperlink"/>
          <w:color w:val="auto"/>
          <w:u w:val="none"/>
          <w:lang w:val="lv-LV"/>
        </w:rPr>
        <w:t>Pieejams tiešsaistē:</w:t>
      </w:r>
      <w:hyperlink r:id="rId14" w:history="1">
        <w:r w:rsidRPr="00DA2D2F">
          <w:rPr>
            <w:rStyle w:val="Hyperlink"/>
            <w:lang w:val="lv-LV"/>
          </w:rPr>
          <w:t>https://europa.eu/rapid/press-release_MEMO-15-6204_lv.htm</w:t>
        </w:r>
      </w:hyperlink>
      <w:r w:rsidRPr="00DA2D2F">
        <w:rPr>
          <w:lang w:val="lv-LV"/>
        </w:rPr>
        <w:t xml:space="preserve"> </w:t>
      </w:r>
      <w:r w:rsidRPr="0078501A">
        <w:rPr>
          <w:rStyle w:val="Hyperlink"/>
          <w:color w:val="auto"/>
          <w:u w:val="none"/>
          <w:lang w:val="lv-LV"/>
        </w:rPr>
        <w:t>Pieejams tiešsaistē:</w:t>
      </w:r>
    </w:p>
  </w:footnote>
  <w:footnote w:id="33">
    <w:p w14:paraId="4597E7D2" w14:textId="77777777" w:rsidR="009E11B5" w:rsidRPr="0078501A" w:rsidRDefault="009E11B5" w:rsidP="00327535">
      <w:pPr>
        <w:pStyle w:val="FootnoteText"/>
        <w:ind w:firstLine="0"/>
        <w:jc w:val="left"/>
        <w:rPr>
          <w:lang w:val="lv-LV"/>
        </w:rPr>
      </w:pPr>
      <w:r w:rsidRPr="0078501A">
        <w:rPr>
          <w:rStyle w:val="FootnoteReference"/>
        </w:rPr>
        <w:footnoteRef/>
      </w:r>
      <w:r w:rsidRPr="00696696">
        <w:rPr>
          <w:lang w:val="lv-LV"/>
        </w:rPr>
        <w:t xml:space="preserve"> Ilgtspējīgs finansējums: Komisijas rīcības plāns zaļākai un tīrākai ekonomikai. </w:t>
      </w:r>
      <w:r w:rsidRPr="0078501A">
        <w:rPr>
          <w:rStyle w:val="Hyperlink"/>
          <w:color w:val="auto"/>
          <w:u w:val="none"/>
          <w:lang w:val="lv-LV"/>
        </w:rPr>
        <w:t>Pieejams tiešsaistē:</w:t>
      </w:r>
      <w:r w:rsidRPr="00DA2D2F">
        <w:rPr>
          <w:lang w:val="lv-LV"/>
        </w:rPr>
        <w:t xml:space="preserve"> </w:t>
      </w:r>
      <w:hyperlink r:id="rId15" w:history="1">
        <w:r w:rsidRPr="00DA2D2F">
          <w:rPr>
            <w:rStyle w:val="Hyperlink"/>
            <w:lang w:val="lv-LV"/>
          </w:rPr>
          <w:t>https://europa.eu/rapid/press-release_IP-18-1404_lv.htm</w:t>
        </w:r>
      </w:hyperlink>
      <w:r w:rsidRPr="00DA2D2F">
        <w:rPr>
          <w:lang w:val="lv-LV"/>
        </w:rPr>
        <w:t xml:space="preserve"> </w:t>
      </w:r>
    </w:p>
  </w:footnote>
  <w:footnote w:id="34">
    <w:p w14:paraId="6FA53D33" w14:textId="77777777" w:rsidR="009E11B5" w:rsidRPr="00E008BC" w:rsidRDefault="009E11B5" w:rsidP="00327535">
      <w:pPr>
        <w:pStyle w:val="FootnoteText"/>
        <w:ind w:firstLine="0"/>
        <w:jc w:val="left"/>
        <w:rPr>
          <w:lang w:val="lv-LV"/>
        </w:rPr>
      </w:pPr>
      <w:r w:rsidRPr="0078501A">
        <w:rPr>
          <w:rStyle w:val="FootnoteReference"/>
        </w:rPr>
        <w:footnoteRef/>
      </w:r>
      <w:r w:rsidRPr="00DA2D2F">
        <w:rPr>
          <w:lang w:val="lv-LV"/>
        </w:rPr>
        <w:t xml:space="preserve"> Tīra enerģija visiem Eiropas iedzīvotājiem — Eiropas izaugsmes potenciāla realizēšana. </w:t>
      </w:r>
      <w:hyperlink r:id="rId16" w:history="1">
        <w:r w:rsidRPr="005C3E19">
          <w:rPr>
            <w:rStyle w:val="Hyperlink"/>
          </w:rPr>
          <w:t>https://ec.europa.eu/latvia/news/t%C4%ABra-ener%C4%A3ija-visiem-eiropas-iedz%C4%ABvot%C4%81jiem-%E2%80%94-eiropas-izaugsmes-potenci%C4%81la-realiz%C4%93%C5%A1ana-0_lv</w:t>
        </w:r>
      </w:hyperlink>
      <w:r>
        <w:t xml:space="preserve"> </w:t>
      </w:r>
    </w:p>
  </w:footnote>
  <w:footnote w:id="35">
    <w:p w14:paraId="3129CC88"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2019.</w:t>
      </w:r>
      <w:r>
        <w:rPr>
          <w:lang w:val="lv-LV"/>
        </w:rPr>
        <w:t> </w:t>
      </w:r>
      <w:r w:rsidRPr="00944B60">
        <w:rPr>
          <w:lang w:val="lv-LV"/>
        </w:rPr>
        <w:t xml:space="preserve">gada SEG inventarizācija, iesniegta </w:t>
      </w:r>
      <w:r>
        <w:rPr>
          <w:lang w:val="lv-LV"/>
        </w:rPr>
        <w:t>Konvencijas</w:t>
      </w:r>
      <w:r w:rsidRPr="00944B60">
        <w:rPr>
          <w:lang w:val="lv-LV"/>
        </w:rPr>
        <w:t xml:space="preserve"> un Kioto protokola ietvaros. </w:t>
      </w:r>
      <w:r w:rsidRPr="00944B60">
        <w:rPr>
          <w:rStyle w:val="Hyperlink"/>
          <w:color w:val="auto"/>
          <w:u w:val="none"/>
          <w:lang w:val="lv-LV"/>
        </w:rPr>
        <w:t xml:space="preserve">Pieejams tiešsaistē: </w:t>
      </w:r>
      <w:r w:rsidRPr="00944B60">
        <w:rPr>
          <w:lang w:val="lv-LV"/>
        </w:rPr>
        <w:t xml:space="preserve"> </w:t>
      </w:r>
      <w:hyperlink r:id="rId17" w:history="1">
        <w:r w:rsidRPr="007B6446">
          <w:rPr>
            <w:rStyle w:val="Hyperlink"/>
            <w:lang w:val="lv-LV"/>
          </w:rPr>
          <w:t>https://unfccc.int/process-and-meetings/transparency-and-reporting/reporting-and-review-under-the-convention/greenhouse-gas-inventories-annex-i-parties/national-inventory-submissions-2019</w:t>
        </w:r>
      </w:hyperlink>
    </w:p>
  </w:footnote>
  <w:footnote w:id="36">
    <w:p w14:paraId="2B9852C0"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shd w:val="clear" w:color="auto" w:fill="FFFFFF"/>
          <w:lang w:val="lv-LV"/>
        </w:rPr>
        <w:t>Lai dažādu valstu statistika būtu salīdzināma, ES</w:t>
      </w:r>
      <w:r>
        <w:rPr>
          <w:shd w:val="clear" w:color="auto" w:fill="FFFFFF"/>
          <w:lang w:val="lv-LV"/>
        </w:rPr>
        <w:t xml:space="preserve"> </w:t>
      </w:r>
      <w:r w:rsidRPr="00944B60">
        <w:rPr>
          <w:shd w:val="clear" w:color="auto" w:fill="FFFFFF"/>
          <w:lang w:val="lv-LV"/>
        </w:rPr>
        <w:t>ir spēkā divas klasifikācijas sistēmas</w:t>
      </w:r>
      <w:r>
        <w:rPr>
          <w:shd w:val="clear" w:color="auto" w:fill="FFFFFF"/>
          <w:lang w:val="lv-LV"/>
        </w:rPr>
        <w:t> </w:t>
      </w:r>
      <w:r w:rsidRPr="00944B60">
        <w:rPr>
          <w:shd w:val="clear" w:color="auto" w:fill="FFFFFF"/>
          <w:lang w:val="lv-LV"/>
        </w:rPr>
        <w:t>–</w:t>
      </w:r>
      <w:r>
        <w:rPr>
          <w:shd w:val="clear" w:color="auto" w:fill="FFFFFF"/>
          <w:lang w:val="lv-LV"/>
        </w:rPr>
        <w:t> </w:t>
      </w:r>
      <w:r w:rsidRPr="00944B60">
        <w:rPr>
          <w:shd w:val="clear" w:color="auto" w:fill="FFFFFF"/>
          <w:lang w:val="lv-LV"/>
        </w:rPr>
        <w:t>Eiropas Kontu sistēma 1995 (EKS 95) un ES Saimniecisko darbību statistiskā klasifikācija (NACE), – saskaņā ar kurām iespējams klasificēt institucionālās vienības un tautsaimniecības sektorus.</w:t>
      </w:r>
    </w:p>
  </w:footnote>
  <w:footnote w:id="37">
    <w:p w14:paraId="0DAB6552"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2019.</w:t>
      </w:r>
      <w:r>
        <w:rPr>
          <w:lang w:val="lv-LV"/>
        </w:rPr>
        <w:t> </w:t>
      </w:r>
      <w:r w:rsidRPr="00944B60">
        <w:rPr>
          <w:lang w:val="lv-LV"/>
        </w:rPr>
        <w:t xml:space="preserve">gada SEG inventarizācija, iesniegta </w:t>
      </w:r>
      <w:r>
        <w:rPr>
          <w:lang w:val="lv-LV"/>
        </w:rPr>
        <w:t>Konvencijas</w:t>
      </w:r>
      <w:r w:rsidRPr="00944B60">
        <w:rPr>
          <w:lang w:val="lv-LV"/>
        </w:rPr>
        <w:t xml:space="preserve"> un Kioto protokola ietvaros. </w:t>
      </w:r>
      <w:r w:rsidRPr="00944B60">
        <w:rPr>
          <w:rStyle w:val="Hyperlink"/>
          <w:color w:val="auto"/>
          <w:u w:val="none"/>
          <w:lang w:val="lv-LV"/>
        </w:rPr>
        <w:t>Pieejams tiešsaistē:</w:t>
      </w:r>
      <w:r w:rsidRPr="00944B60">
        <w:rPr>
          <w:lang w:val="lv-LV"/>
        </w:rPr>
        <w:t xml:space="preserve"> </w:t>
      </w:r>
      <w:hyperlink r:id="rId18" w:history="1">
        <w:r w:rsidRPr="007B6446">
          <w:rPr>
            <w:rStyle w:val="Hyperlink"/>
            <w:lang w:val="lv-LV"/>
          </w:rPr>
          <w:t>https://unfccc.int/process-and-meetings/transparency-and-reporting/reporting-and-review-under-the-convention/greenhouse-gas-inventories-annex-i-parties/national-inventory-submissions-2019</w:t>
        </w:r>
      </w:hyperlink>
    </w:p>
  </w:footnote>
  <w:footnote w:id="38">
    <w:p w14:paraId="035ABEE7"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2019.</w:t>
      </w:r>
      <w:r>
        <w:rPr>
          <w:lang w:val="lv-LV"/>
        </w:rPr>
        <w:t> </w:t>
      </w:r>
      <w:r w:rsidRPr="00944B60">
        <w:rPr>
          <w:lang w:val="lv-LV"/>
        </w:rPr>
        <w:t xml:space="preserve">gada SEG inventarizācija, iesniegta </w:t>
      </w:r>
      <w:r>
        <w:rPr>
          <w:lang w:val="lv-LV"/>
        </w:rPr>
        <w:t>Konvencijas</w:t>
      </w:r>
      <w:r w:rsidRPr="00944B60">
        <w:rPr>
          <w:lang w:val="lv-LV"/>
        </w:rPr>
        <w:t xml:space="preserve"> un Kioto protokola ietvaros un ekspertu novērtējums. </w:t>
      </w:r>
      <w:r w:rsidRPr="00944B60">
        <w:rPr>
          <w:rStyle w:val="Hyperlink"/>
          <w:color w:val="auto"/>
          <w:u w:val="none"/>
          <w:lang w:val="lv-LV"/>
        </w:rPr>
        <w:t xml:space="preserve">Pieejams tiešsaistē: </w:t>
      </w:r>
      <w:r w:rsidRPr="00944B60">
        <w:rPr>
          <w:lang w:val="lv-LV"/>
        </w:rPr>
        <w:t xml:space="preserve"> </w:t>
      </w:r>
      <w:hyperlink r:id="rId19" w:history="1">
        <w:r w:rsidRPr="00944B60">
          <w:rPr>
            <w:rStyle w:val="Hyperlink"/>
            <w:lang w:val="lv-LV"/>
          </w:rPr>
          <w:t>https://unfccc.int/process-and-meetings/transparency-and-reporting/reporting-and-review-under-the-convention/greenhouse-gas-inventories-annex-i-parties/national-inventory-submissions-2019</w:t>
        </w:r>
      </w:hyperlink>
      <w:r w:rsidRPr="00944B60">
        <w:rPr>
          <w:lang w:val="lv-LV"/>
        </w:rPr>
        <w:t xml:space="preserve">) </w:t>
      </w:r>
    </w:p>
    <w:p w14:paraId="4B5A5BAA" w14:textId="77777777" w:rsidR="009E11B5" w:rsidRPr="00944B60" w:rsidRDefault="009E11B5" w:rsidP="00E379E7">
      <w:pPr>
        <w:pStyle w:val="FootnoteText"/>
        <w:jc w:val="left"/>
        <w:rPr>
          <w:lang w:val="lv-LV"/>
        </w:rPr>
      </w:pPr>
    </w:p>
  </w:footnote>
  <w:footnote w:id="39">
    <w:p w14:paraId="647B67FD"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 xml:space="preserve">Enerģētikas sektors ietver emisiju avotus ar </w:t>
      </w:r>
      <w:r w:rsidRPr="00944B60">
        <w:rPr>
          <w:shd w:val="clear" w:color="auto" w:fill="FFFFFF"/>
          <w:lang w:val="lv-LV"/>
        </w:rPr>
        <w:t>NACE</w:t>
      </w:r>
      <w:r w:rsidRPr="00944B60">
        <w:rPr>
          <w:lang w:val="lv-LV"/>
        </w:rPr>
        <w:t xml:space="preserve"> </w:t>
      </w:r>
      <w:r w:rsidRPr="00944B60">
        <w:rPr>
          <w:bCs/>
          <w:lang w:val="lv-LV"/>
        </w:rPr>
        <w:t xml:space="preserve">nozares kodu: </w:t>
      </w:r>
      <w:r w:rsidRPr="00944B60">
        <w:rPr>
          <w:shd w:val="clear" w:color="auto" w:fill="FFFFFF"/>
          <w:lang w:val="lv-LV"/>
        </w:rPr>
        <w:t xml:space="preserve">05, 06, 07.21, 08.92, 09.1, 19.20, 35., 33., 36.–39., 45.–47., 52.–96., 99. t.i., </w:t>
      </w:r>
      <w:r w:rsidRPr="00944B60">
        <w:rPr>
          <w:color w:val="000000"/>
          <w:lang w:val="lv-LV"/>
        </w:rPr>
        <w:t>publiskā elektroenerģija un siltumenerģijas ražošana, cietā kurināmā ražošana un citas enerģētikas nozares, rūpniecības nozares un būvniecība, tai skaitā dzelzs un tērauda ražošana, krāsaino metālu ražošana, ķīmisko vielu ražošana, celulozes un papīra ražošana, poligrāfijā, pārtikas pārstrāde, dzērienu un tabakas ražošana, nemetālisko minerālu ražošana, koksnes, koka un korķa izstrādājumu (izņemot mēbeles) ražošana, salmu un pīto izstrādājumu ražošana, komerciālais un institucionālais sektors, mājsaimniecības, lauksaimniecība, mežsaimniecība, zivsaimniecība, militārais transports un difūzās emisijas no naftas un dabasgāzes</w:t>
      </w:r>
    </w:p>
  </w:footnote>
  <w:footnote w:id="40">
    <w:p w14:paraId="6D514FF1" w14:textId="77777777" w:rsidR="009E11B5" w:rsidRPr="00944B60" w:rsidRDefault="009E11B5" w:rsidP="00944B60">
      <w:pPr>
        <w:pStyle w:val="FootnoteText"/>
        <w:ind w:firstLine="0"/>
        <w:rPr>
          <w:lang w:val="lv-LV"/>
        </w:rPr>
      </w:pPr>
      <w:r w:rsidRPr="00944B60">
        <w:rPr>
          <w:rStyle w:val="FootnoteReference"/>
        </w:rPr>
        <w:footnoteRef/>
      </w:r>
      <w:r>
        <w:rPr>
          <w:lang w:val="lv-LV"/>
        </w:rPr>
        <w:t> </w:t>
      </w:r>
      <w:r w:rsidRPr="00944B60">
        <w:rPr>
          <w:lang w:val="lv-LV"/>
        </w:rPr>
        <w:t>Siltumenerģijas patēriņš rūpniecības nozarēs 2017.</w:t>
      </w:r>
      <w:r>
        <w:rPr>
          <w:lang w:val="lv-LV"/>
        </w:rPr>
        <w:t> </w:t>
      </w:r>
      <w:r w:rsidRPr="00944B60">
        <w:rPr>
          <w:lang w:val="lv-LV"/>
        </w:rPr>
        <w:t>gadā ir tikai 11</w:t>
      </w:r>
      <w:r>
        <w:rPr>
          <w:lang w:val="lv-LV"/>
        </w:rPr>
        <w:t> </w:t>
      </w:r>
      <w:r w:rsidRPr="00944B60">
        <w:rPr>
          <w:lang w:val="lv-LV"/>
        </w:rPr>
        <w:t>% no kopējā siltumenerģijas patēriņa valstī.</w:t>
      </w:r>
    </w:p>
  </w:footnote>
  <w:footnote w:id="41">
    <w:p w14:paraId="6374B421"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 xml:space="preserve">Transporta sektors ietver emisiju avotus ar </w:t>
      </w:r>
      <w:r w:rsidRPr="00944B60">
        <w:rPr>
          <w:bCs/>
          <w:lang w:val="lv-LV"/>
        </w:rPr>
        <w:t xml:space="preserve">NACE nozares kodu: 49., 50., 51., 52., 53, t.i., </w:t>
      </w:r>
      <w:r w:rsidRPr="00944B60">
        <w:rPr>
          <w:color w:val="000000"/>
          <w:lang w:val="lv-LV"/>
        </w:rPr>
        <w:t>iekšzemes aviācija, autotransports, dzelzceļš, iekšzemes kuģniecība</w:t>
      </w:r>
      <w:r>
        <w:rPr>
          <w:color w:val="000000"/>
          <w:lang w:val="lv-LV"/>
        </w:rPr>
        <w:t>.</w:t>
      </w:r>
    </w:p>
  </w:footnote>
  <w:footnote w:id="42">
    <w:p w14:paraId="0F2F3F44"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 xml:space="preserve">Rūpniecisko procesu un produktu izmantošanas sektors ietver emisiju avotus ar </w:t>
      </w:r>
      <w:r w:rsidRPr="00944B60">
        <w:rPr>
          <w:bCs/>
          <w:lang w:val="lv-LV"/>
        </w:rPr>
        <w:t>NACE nozares kodu: 23,</w:t>
      </w:r>
      <w:r w:rsidRPr="00944B60">
        <w:rPr>
          <w:lang w:val="lv-LV"/>
        </w:rPr>
        <w:t xml:space="preserve"> </w:t>
      </w:r>
      <w:r w:rsidRPr="00944B60">
        <w:rPr>
          <w:bCs/>
          <w:lang w:val="lv-LV"/>
        </w:rPr>
        <w:t xml:space="preserve">24,27, 28, 35, 43,45, t.i., </w:t>
      </w:r>
      <w:r w:rsidRPr="00944B60">
        <w:rPr>
          <w:color w:val="000000"/>
          <w:lang w:val="lv-LV"/>
        </w:rPr>
        <w:t>minerālu rūpniecība (ietver cementa, kaļķa, stikla, ķieģeļu un keramikas flīžu ražošanu), ķīmiskā rūpniecība, metālrūpniecība (ietver dzelzs un tērauda ražošanu), kurināmā izmantošana neenerģētiskām vajadzībām (ietver smērvielu, parafīna vasku, karbamīda izmantošanu, ceļu asfaltēšanu un jumtu piķošanu), šķīdinātāju izmantošana, elektronikas rūpniecība, ozona slāni noārdošo vielu aizvietošanai izmantotie produkti (ietver fluorēto gāzu lietošanu dzesēšanas un gaisa kondicionēšanas iekārtās,</w:t>
      </w:r>
      <w:r w:rsidRPr="00944B60">
        <w:rPr>
          <w:lang w:val="lv-LV"/>
        </w:rPr>
        <w:t xml:space="preserve"> </w:t>
      </w:r>
      <w:r w:rsidRPr="00944B60">
        <w:rPr>
          <w:color w:val="000000"/>
          <w:lang w:val="lv-LV"/>
        </w:rPr>
        <w:t>putu radītājvielas, ugunsdrošības līdzekļus, aerosolus un šķīdinātājus, kuru sastāvā ir fluorētās gāzes), citu produktu ražošana un izmantošana (ietver sēra heksafluorīda izmantošanu elektriskajās iekārtās un slāpekļa oksīda izmantošanu medicīnā).</w:t>
      </w:r>
    </w:p>
  </w:footnote>
  <w:footnote w:id="43">
    <w:p w14:paraId="229ACF0C" w14:textId="77777777" w:rsidR="009E11B5" w:rsidRPr="00944B60" w:rsidRDefault="009E11B5" w:rsidP="00944B60">
      <w:pPr>
        <w:pStyle w:val="FootnoteText"/>
        <w:ind w:firstLine="0"/>
        <w:rPr>
          <w:lang w:val="lv-LV"/>
        </w:rPr>
      </w:pPr>
      <w:r w:rsidRPr="00944B60">
        <w:rPr>
          <w:rStyle w:val="FootnoteReference"/>
        </w:rPr>
        <w:footnoteRef/>
      </w:r>
      <w:r>
        <w:rPr>
          <w:lang w:val="lv-LV"/>
        </w:rPr>
        <w:t> </w:t>
      </w:r>
      <w:r w:rsidRPr="00944B60">
        <w:rPr>
          <w:lang w:val="lv-LV"/>
        </w:rPr>
        <w:t>Fluorētās siltumnīcefekta gāzes</w:t>
      </w:r>
      <w:r>
        <w:rPr>
          <w:lang w:val="lv-LV"/>
        </w:rPr>
        <w:t> </w:t>
      </w:r>
      <w:r w:rsidRPr="00944B60">
        <w:rPr>
          <w:lang w:val="lv-LV"/>
        </w:rPr>
        <w:t>–</w:t>
      </w:r>
      <w:r>
        <w:rPr>
          <w:lang w:val="lv-LV"/>
        </w:rPr>
        <w:t> </w:t>
      </w:r>
      <w:r w:rsidRPr="00944B60">
        <w:rPr>
          <w:lang w:val="lv-LV"/>
        </w:rPr>
        <w:t>fluorogļūdeņraži, perfluorogļūdeņraži, sēra heksafluorīds un citas siltumnīcefekta gāzes, kas satur fluoru, vai maisījumi, kas satur jebkuru no minētajām vielām</w:t>
      </w:r>
      <w:r>
        <w:rPr>
          <w:lang w:val="lv-LV"/>
        </w:rPr>
        <w:t>.</w:t>
      </w:r>
    </w:p>
  </w:footnote>
  <w:footnote w:id="44">
    <w:p w14:paraId="2805D3CE" w14:textId="77777777" w:rsidR="009E11B5" w:rsidRPr="00944B60" w:rsidRDefault="009E11B5" w:rsidP="00944B60">
      <w:pPr>
        <w:pStyle w:val="FootnoteText"/>
        <w:ind w:left="142" w:hanging="142"/>
        <w:rPr>
          <w:bCs/>
          <w:lang w:val="lv-LV"/>
        </w:rPr>
      </w:pPr>
      <w:r w:rsidRPr="00944B60">
        <w:rPr>
          <w:rStyle w:val="FootnoteReference"/>
        </w:rPr>
        <w:footnoteRef/>
      </w:r>
      <w:r>
        <w:rPr>
          <w:lang w:val="lv-LV"/>
        </w:rPr>
        <w:t> </w:t>
      </w:r>
      <w:r w:rsidRPr="00944B60">
        <w:rPr>
          <w:lang w:val="lv-LV"/>
        </w:rPr>
        <w:t xml:space="preserve">Lauksaimniecības sektors ietver emisiju avotus ar </w:t>
      </w:r>
      <w:r w:rsidRPr="00944B60">
        <w:rPr>
          <w:bCs/>
          <w:lang w:val="lv-LV"/>
        </w:rPr>
        <w:t xml:space="preserve">NACE nozares kodu: 0.1 - </w:t>
      </w:r>
      <w:r w:rsidRPr="00944B60">
        <w:rPr>
          <w:color w:val="000000"/>
          <w:lang w:val="lv-LV"/>
        </w:rPr>
        <w:t>Lauksaimniecības dzīvnieku radītās emisijas (tai skaitā, fermentācija gremošanas traktā, kūtsmēslu apsaimniekošana), lauksaimniecības augšņu apstrāde, kaļķošana un karbamīda izmantošana</w:t>
      </w:r>
      <w:r>
        <w:rPr>
          <w:color w:val="000000"/>
          <w:lang w:val="lv-LV"/>
        </w:rPr>
        <w:t>.</w:t>
      </w:r>
    </w:p>
  </w:footnote>
  <w:footnote w:id="45">
    <w:p w14:paraId="029B5484" w14:textId="77777777" w:rsidR="009E11B5" w:rsidRPr="00944B60" w:rsidRDefault="009E11B5" w:rsidP="00944B60">
      <w:pPr>
        <w:pStyle w:val="FootnoteText"/>
        <w:ind w:left="142" w:hanging="142"/>
        <w:rPr>
          <w:lang w:val="lv-LV"/>
        </w:rPr>
      </w:pPr>
      <w:r w:rsidRPr="00944B60">
        <w:rPr>
          <w:rStyle w:val="FootnoteReference"/>
        </w:rPr>
        <w:footnoteRef/>
      </w:r>
      <w:r>
        <w:rPr>
          <w:lang w:val="lv-LV"/>
        </w:rPr>
        <w:t> </w:t>
      </w:r>
      <w:r w:rsidRPr="00944B60">
        <w:rPr>
          <w:lang w:val="lv-LV"/>
        </w:rPr>
        <w:t xml:space="preserve">Atkritumu sektors ietver emisiju avotus ar </w:t>
      </w:r>
      <w:r w:rsidRPr="00944B60">
        <w:rPr>
          <w:bCs/>
          <w:lang w:val="lv-LV"/>
        </w:rPr>
        <w:t>NACE nozares kodu: 38</w:t>
      </w:r>
      <w:r>
        <w:rPr>
          <w:bCs/>
          <w:lang w:val="lv-LV"/>
        </w:rPr>
        <w:t xml:space="preserve"> - </w:t>
      </w:r>
      <w:r w:rsidRPr="00944B60">
        <w:rPr>
          <w:color w:val="000000"/>
          <w:lang w:val="lv-LV"/>
        </w:rPr>
        <w:t>Cieto atkritumu apglabāšana, cieto atkritumu bioloģiska apstrāde, atkritumu dedzināšana, notekūdeņu attīrīšana un novadīšana</w:t>
      </w:r>
      <w:r w:rsidRPr="00944B60">
        <w:rPr>
          <w:bCs/>
          <w:lang w:val="lv-LV"/>
        </w:rPr>
        <w:t>.</w:t>
      </w:r>
    </w:p>
  </w:footnote>
  <w:footnote w:id="46">
    <w:p w14:paraId="1C05F4CB" w14:textId="77777777" w:rsidR="009E11B5" w:rsidRPr="00944B60" w:rsidRDefault="009E11B5" w:rsidP="00E379E7">
      <w:pPr>
        <w:pStyle w:val="FootnoteText"/>
        <w:ind w:left="142" w:hanging="142"/>
        <w:jc w:val="left"/>
        <w:rPr>
          <w:lang w:val="lv-LV"/>
        </w:rPr>
      </w:pPr>
      <w:r w:rsidRPr="00944B60">
        <w:rPr>
          <w:rStyle w:val="FootnoteReference"/>
        </w:rPr>
        <w:footnoteRef/>
      </w:r>
      <w:r>
        <w:rPr>
          <w:lang w:val="lv-LV"/>
        </w:rPr>
        <w:t> </w:t>
      </w:r>
      <w:r w:rsidRPr="00944B60">
        <w:rPr>
          <w:lang w:val="lv-LV"/>
        </w:rPr>
        <w:t>201</w:t>
      </w:r>
      <w:r>
        <w:rPr>
          <w:lang w:val="lv-LV"/>
        </w:rPr>
        <w:t>9</w:t>
      </w:r>
      <w:r w:rsidRPr="00944B60">
        <w:rPr>
          <w:lang w:val="lv-LV"/>
        </w:rPr>
        <w:t>.</w:t>
      </w:r>
      <w:r>
        <w:rPr>
          <w:lang w:val="lv-LV"/>
        </w:rPr>
        <w:t> </w:t>
      </w:r>
      <w:r w:rsidRPr="00944B60">
        <w:rPr>
          <w:lang w:val="lv-LV"/>
        </w:rPr>
        <w:t xml:space="preserve">gada SEG inventarizācija, iesniegta </w:t>
      </w:r>
      <w:r>
        <w:rPr>
          <w:lang w:val="lv-LV"/>
        </w:rPr>
        <w:t>Konvencijas</w:t>
      </w:r>
      <w:r w:rsidRPr="00944B60">
        <w:rPr>
          <w:lang w:val="lv-LV"/>
        </w:rPr>
        <w:t xml:space="preserve"> un Kioto protokola ietvaros</w:t>
      </w:r>
      <w:r>
        <w:rPr>
          <w:lang w:val="lv-LV"/>
        </w:rPr>
        <w:t>,</w:t>
      </w:r>
      <w:r w:rsidRPr="00944B60">
        <w:rPr>
          <w:lang w:val="lv-LV"/>
        </w:rPr>
        <w:t xml:space="preserve"> un ekspertu novērtējums. Atspoguļotie SEG mērķi ietver gan ETS, gan ne-ETS emisijas. Pieejams tiešsaistē: </w:t>
      </w:r>
      <w:hyperlink r:id="rId20" w:history="1">
        <w:r w:rsidRPr="00B75B51">
          <w:rPr>
            <w:rStyle w:val="Hyperlink"/>
            <w:lang w:val="lv-LV"/>
          </w:rPr>
          <w:t>https://unfccc.int/process-and-meetings/transparency-and-reporting/reporting-and-review-under-the-convention/greenhouse-gas-inventories-annex-i-parties/national-inventory-submissions-2019</w:t>
        </w:r>
      </w:hyperlink>
      <w:r w:rsidRPr="00944B60">
        <w:rPr>
          <w:lang w:val="lv-LV"/>
        </w:rPr>
        <w:t>; 2017.</w:t>
      </w:r>
      <w:r>
        <w:rPr>
          <w:lang w:val="lv-LV"/>
        </w:rPr>
        <w:t> </w:t>
      </w:r>
      <w:r w:rsidRPr="00944B60">
        <w:rPr>
          <w:lang w:val="lv-LV"/>
        </w:rPr>
        <w:t xml:space="preserve">gada EK iesniegtais ziņojums par politikām, pasākumiem un SEG prognozēm. </w:t>
      </w:r>
      <w:r w:rsidRPr="00944B60">
        <w:rPr>
          <w:rStyle w:val="Hyperlink"/>
          <w:color w:val="auto"/>
          <w:u w:val="none"/>
          <w:lang w:val="lv-LV"/>
        </w:rPr>
        <w:t xml:space="preserve">Pieejams tiešsaistē: </w:t>
      </w:r>
      <w:r w:rsidRPr="00944B60">
        <w:rPr>
          <w:lang w:val="lv-LV"/>
        </w:rPr>
        <w:t xml:space="preserve"> </w:t>
      </w:r>
      <w:hyperlink r:id="rId21" w:history="1">
        <w:r w:rsidRPr="00944B60">
          <w:rPr>
            <w:rStyle w:val="Hyperlink"/>
            <w:lang w:val="lv-LV"/>
          </w:rPr>
          <w:t>https://cdr.eionet.europa.eu/lv/eu/mmr/art04-13-14_lcds_pams_projections/projections/envws0bea/</w:t>
        </w:r>
      </w:hyperlink>
      <w:r w:rsidRPr="00944B60">
        <w:rPr>
          <w:lang w:val="lv-LV"/>
        </w:rPr>
        <w:t>.</w:t>
      </w:r>
    </w:p>
  </w:footnote>
  <w:footnote w:id="47">
    <w:p w14:paraId="2B8CC300" w14:textId="77777777" w:rsidR="009E11B5" w:rsidRPr="008A5B10" w:rsidRDefault="009E11B5" w:rsidP="00944B60">
      <w:pPr>
        <w:pStyle w:val="FootnoteText"/>
        <w:ind w:left="142" w:hanging="142"/>
        <w:rPr>
          <w:lang w:val="lv-LV"/>
        </w:rPr>
      </w:pPr>
      <w:r w:rsidRPr="00944B60">
        <w:rPr>
          <w:rStyle w:val="FootnoteReference"/>
        </w:rPr>
        <w:footnoteRef/>
      </w:r>
      <w:r w:rsidRPr="00944B60">
        <w:rPr>
          <w:lang w:val="lv-LV"/>
        </w:rPr>
        <w:t xml:space="preserve"> 201</w:t>
      </w:r>
      <w:r>
        <w:rPr>
          <w:lang w:val="lv-LV"/>
        </w:rPr>
        <w:t>9</w:t>
      </w:r>
      <w:r w:rsidRPr="00944B60">
        <w:rPr>
          <w:lang w:val="lv-LV"/>
        </w:rPr>
        <w:t>.</w:t>
      </w:r>
      <w:r>
        <w:rPr>
          <w:lang w:val="lv-LV"/>
        </w:rPr>
        <w:t> </w:t>
      </w:r>
      <w:r w:rsidRPr="00944B60">
        <w:rPr>
          <w:lang w:val="lv-LV"/>
        </w:rPr>
        <w:t xml:space="preserve">gada SEG inventarizācija, iesniegta </w:t>
      </w:r>
      <w:r>
        <w:rPr>
          <w:lang w:val="lv-LV"/>
        </w:rPr>
        <w:t>Konvencijas</w:t>
      </w:r>
      <w:r w:rsidRPr="00944B60">
        <w:rPr>
          <w:lang w:val="lv-LV"/>
        </w:rPr>
        <w:t xml:space="preserve"> un Kioto protokola ietvaros. Pieejams tiešsaistē: </w:t>
      </w:r>
      <w:hyperlink r:id="rId22" w:history="1">
        <w:r w:rsidRPr="008A5B10">
          <w:rPr>
            <w:rStyle w:val="Hyperlink"/>
            <w:lang w:val="lv-LV"/>
          </w:rPr>
          <w:t>https://unfccc.int/documents/194812</w:t>
        </w:r>
      </w:hyperlink>
    </w:p>
    <w:p w14:paraId="5221AAC5" w14:textId="77777777" w:rsidR="009E11B5" w:rsidRPr="00944B60" w:rsidRDefault="009E11B5" w:rsidP="00944B60">
      <w:pPr>
        <w:pStyle w:val="FootnoteText"/>
        <w:ind w:left="142" w:hanging="142"/>
        <w:rPr>
          <w:lang w:val="lv-LV"/>
        </w:rPr>
      </w:pPr>
    </w:p>
  </w:footnote>
  <w:footnote w:id="48">
    <w:p w14:paraId="70A12440" w14:textId="77777777" w:rsidR="009E11B5" w:rsidRDefault="009E11B5" w:rsidP="004E3649">
      <w:pPr>
        <w:pStyle w:val="FootnoteText"/>
        <w:ind w:left="142" w:hanging="142"/>
        <w:rPr>
          <w:lang w:val="lv-LV"/>
        </w:rPr>
      </w:pPr>
      <w:r w:rsidRPr="00944B60">
        <w:rPr>
          <w:rStyle w:val="FootnoteReference"/>
        </w:rPr>
        <w:footnoteRef/>
      </w:r>
      <w:r w:rsidRPr="00944B60">
        <w:rPr>
          <w:lang w:val="lv-LV"/>
        </w:rPr>
        <w:t xml:space="preserve"> </w:t>
      </w:r>
    </w:p>
    <w:p w14:paraId="70F89F89" w14:textId="77777777" w:rsidR="009E11B5" w:rsidRPr="00160CEF" w:rsidRDefault="009E11B5" w:rsidP="00DA2D2F">
      <w:pPr>
        <w:pStyle w:val="FootnoteText"/>
        <w:ind w:firstLine="0"/>
        <w:rPr>
          <w:lang w:val="lv-LV"/>
        </w:rPr>
      </w:pPr>
      <w:r w:rsidRPr="00944B60">
        <w:rPr>
          <w:lang w:val="lv-LV"/>
        </w:rPr>
        <w:t>201</w:t>
      </w:r>
      <w:r>
        <w:rPr>
          <w:lang w:val="lv-LV"/>
        </w:rPr>
        <w:t>9</w:t>
      </w:r>
      <w:r w:rsidRPr="00944B60">
        <w:rPr>
          <w:lang w:val="lv-LV"/>
        </w:rPr>
        <w:t>.</w:t>
      </w:r>
      <w:r>
        <w:rPr>
          <w:lang w:val="lv-LV"/>
        </w:rPr>
        <w:t> </w:t>
      </w:r>
      <w:r w:rsidRPr="00944B60">
        <w:rPr>
          <w:lang w:val="lv-LV"/>
        </w:rPr>
        <w:t>gada EK iesniegtais ziņojums par politikām, pasākumiem un SEG prognozēm</w:t>
      </w:r>
      <w:r>
        <w:rPr>
          <w:lang w:val="lv-LV"/>
        </w:rPr>
        <w:t xml:space="preserve">. Pieejams tiešsaistē: </w:t>
      </w:r>
      <w:hyperlink r:id="rId23" w:history="1">
        <w:r w:rsidRPr="00DA2D2F">
          <w:rPr>
            <w:rStyle w:val="Hyperlink"/>
            <w:lang w:val="lv-LV"/>
          </w:rPr>
          <w:t>https://cdr.eionet.europa.eu/lv/eu/mmr/art04-13-14_lcds_pams_projections/projections/envxk3aeq/</w:t>
        </w:r>
      </w:hyperlink>
      <w:r>
        <w:rPr>
          <w:lang w:val="lv-LV"/>
        </w:rPr>
        <w:t xml:space="preserve"> </w:t>
      </w:r>
      <w:r w:rsidRPr="00DA2D2F">
        <w:rPr>
          <w:lang w:val="lv-LV"/>
        </w:rPr>
        <w:t>un ekspertu novērtējums.</w:t>
      </w:r>
    </w:p>
    <w:p w14:paraId="0D0D4761" w14:textId="77777777" w:rsidR="009E11B5" w:rsidRPr="00944B60" w:rsidRDefault="009E11B5" w:rsidP="00944B60">
      <w:pPr>
        <w:pStyle w:val="FootnoteText"/>
        <w:ind w:left="142" w:hanging="142"/>
        <w:rPr>
          <w:lang w:val="lv-LV"/>
        </w:rPr>
      </w:pPr>
    </w:p>
  </w:footnote>
  <w:footnote w:id="49">
    <w:p w14:paraId="51780A69" w14:textId="77777777" w:rsidR="009E11B5" w:rsidRPr="00160CEF" w:rsidRDefault="009E11B5" w:rsidP="00475CF5">
      <w:pPr>
        <w:pStyle w:val="FootnoteText"/>
        <w:ind w:firstLine="0"/>
        <w:rPr>
          <w:lang w:val="lv-LV"/>
        </w:rPr>
      </w:pPr>
      <w:r w:rsidRPr="00944B60">
        <w:rPr>
          <w:rStyle w:val="FootnoteReference"/>
        </w:rPr>
        <w:footnoteRef/>
      </w:r>
      <w:r>
        <w:rPr>
          <w:lang w:val="lv-LV"/>
        </w:rPr>
        <w:t> </w:t>
      </w:r>
      <w:r w:rsidRPr="00944B60">
        <w:rPr>
          <w:lang w:val="lv-LV"/>
        </w:rPr>
        <w:t xml:space="preserve"> 201</w:t>
      </w:r>
      <w:r>
        <w:rPr>
          <w:lang w:val="lv-LV"/>
        </w:rPr>
        <w:t>9</w:t>
      </w:r>
      <w:r w:rsidRPr="00944B60">
        <w:rPr>
          <w:lang w:val="lv-LV"/>
        </w:rPr>
        <w:t>.</w:t>
      </w:r>
      <w:r>
        <w:rPr>
          <w:lang w:val="lv-LV"/>
        </w:rPr>
        <w:t> </w:t>
      </w:r>
      <w:r w:rsidRPr="00944B60">
        <w:rPr>
          <w:lang w:val="lv-LV"/>
        </w:rPr>
        <w:t>gada EK iesniegtais ziņojums par politikām, pasākumiem un SEG prognozēm</w:t>
      </w:r>
      <w:r>
        <w:rPr>
          <w:lang w:val="lv-LV"/>
        </w:rPr>
        <w:t xml:space="preserve">. Pieejams tiešsaistē: </w:t>
      </w:r>
      <w:hyperlink r:id="rId24" w:history="1">
        <w:r w:rsidRPr="00DA2D2F">
          <w:rPr>
            <w:rStyle w:val="Hyperlink"/>
            <w:lang w:val="lv-LV"/>
          </w:rPr>
          <w:t>https://cdr.eionet.europa.eu/lv/eu/mmr/art04-13-14_lcds_pams_projections/projections/envxk3aeq/</w:t>
        </w:r>
      </w:hyperlink>
      <w:r w:rsidRPr="00DA2D2F">
        <w:rPr>
          <w:lang w:val="lv-LV"/>
        </w:rPr>
        <w:t xml:space="preserve"> un ekspertu novērtējums.</w:t>
      </w:r>
    </w:p>
    <w:p w14:paraId="05344480" w14:textId="77777777" w:rsidR="009E11B5" w:rsidRPr="00944B60" w:rsidRDefault="009E11B5" w:rsidP="00944B60">
      <w:pPr>
        <w:pStyle w:val="FootnoteText"/>
        <w:ind w:left="142" w:hanging="142"/>
        <w:rPr>
          <w:lang w:val="lv-LV"/>
        </w:rPr>
      </w:pPr>
    </w:p>
  </w:footnote>
  <w:footnote w:id="50">
    <w:p w14:paraId="41349A9F" w14:textId="77777777" w:rsidR="009E11B5" w:rsidRPr="001E00AA" w:rsidRDefault="009E11B5" w:rsidP="004371C2">
      <w:pPr>
        <w:pStyle w:val="FootnoteText"/>
        <w:ind w:firstLine="0"/>
        <w:rPr>
          <w:lang w:val="lv-LV"/>
        </w:rPr>
      </w:pPr>
      <w:r>
        <w:rPr>
          <w:rStyle w:val="FootnoteReference"/>
        </w:rPr>
        <w:footnoteRef/>
      </w:r>
      <w:r w:rsidRPr="008A5B10">
        <w:rPr>
          <w:lang w:val="lv-LV"/>
        </w:rPr>
        <w:t xml:space="preserve"> </w:t>
      </w:r>
      <w:r>
        <w:rPr>
          <w:lang w:val="lv-LV"/>
        </w:rPr>
        <w:t>Fizikālā enerģētikas institūta pētījuma „</w:t>
      </w:r>
      <w:r w:rsidRPr="001E00AA">
        <w:rPr>
          <w:lang w:val="lv-LV"/>
        </w:rPr>
        <w:t>Latvijas tautsaimniecības attīstības iespējamo scenāriju līdz 2050.gadam izstrāde atbilstoši Eiropas Savienības ilgtermiņa attīstības redzējumam</w:t>
      </w:r>
      <w:r>
        <w:rPr>
          <w:lang w:val="lv-LV"/>
        </w:rPr>
        <w:t xml:space="preserve">” sākotnējais izvērtējums, 2019.gada novembris. </w:t>
      </w:r>
    </w:p>
  </w:footnote>
  <w:footnote w:id="51">
    <w:p w14:paraId="1A1CA17A" w14:textId="77777777" w:rsidR="009E11B5" w:rsidRPr="00944B60" w:rsidRDefault="009E11B5" w:rsidP="00DA2D2F">
      <w:pPr>
        <w:pStyle w:val="FootnoteText"/>
        <w:ind w:firstLine="0"/>
        <w:rPr>
          <w:lang w:val="lv-LV"/>
        </w:rPr>
      </w:pPr>
      <w:r w:rsidRPr="00944B60">
        <w:rPr>
          <w:rStyle w:val="FootnoteReference"/>
        </w:rPr>
        <w:footnoteRef/>
      </w:r>
      <w:r w:rsidRPr="00944B60">
        <w:rPr>
          <w:lang w:val="lv-LV"/>
        </w:rPr>
        <w:t xml:space="preserve"> Eiropas Komisijas veidotais Eiropas Inovāciju reitings ietver 10 dimensijas, ņemot vērā 27 inovāciju ietekmējošus indikatorus tādās jomās kā cilvēkresursi, pievilcīga pētniecības sistēma, inovācijai labvēlīga vide, finanses un atbalsts, uzņēmumu investīcijas, uzņēmumu inovētspēja, sadarbība starp zinātni un uzņēmējdarbību, intelektuālie aktīvi, inovācijas ietekme uz nodarbinātību un inovācijas ietekme uz pārdošanu.</w:t>
      </w:r>
    </w:p>
  </w:footnote>
  <w:footnote w:id="52">
    <w:p w14:paraId="576B8562" w14:textId="77777777" w:rsidR="009E11B5" w:rsidRPr="00DA2D2F" w:rsidRDefault="009E11B5" w:rsidP="00DA2D2F">
      <w:pPr>
        <w:pStyle w:val="FootnoteText"/>
        <w:ind w:firstLine="0"/>
        <w:rPr>
          <w:lang w:val="lv-LV"/>
        </w:rPr>
      </w:pPr>
      <w:r w:rsidRPr="00551B92">
        <w:rPr>
          <w:rStyle w:val="FootnoteReference"/>
          <w:rFonts w:asciiTheme="minorHAnsi" w:hAnsiTheme="minorHAnsi" w:cstheme="minorHAnsi"/>
        </w:rPr>
        <w:footnoteRef/>
      </w:r>
      <w:r w:rsidRPr="00DA2D2F">
        <w:rPr>
          <w:rFonts w:asciiTheme="minorHAnsi" w:hAnsiTheme="minorHAnsi" w:cstheme="minorHAnsi"/>
          <w:lang w:val="lv-LV"/>
        </w:rPr>
        <w:t xml:space="preserve"> </w:t>
      </w:r>
      <w:r w:rsidRPr="00DA2D2F">
        <w:rPr>
          <w:lang w:val="lv-LV"/>
        </w:rPr>
        <w:t>Valsts zemes dienesta sniegtie Nekustamā īpašuma valsts kadastra informācijas sistēmas dati uz 2017.gada 1.janvāri.</w:t>
      </w:r>
    </w:p>
  </w:footnote>
  <w:footnote w:id="53">
    <w:p w14:paraId="52E8E60E" w14:textId="77777777" w:rsidR="009E11B5" w:rsidRPr="00B4504E" w:rsidRDefault="009E11B5" w:rsidP="00CB7217">
      <w:pPr>
        <w:pStyle w:val="FootnoteText"/>
        <w:rPr>
          <w:lang w:val="lv-LV"/>
        </w:rPr>
      </w:pPr>
      <w:r>
        <w:rPr>
          <w:rStyle w:val="FootnoteReference"/>
        </w:rPr>
        <w:footnoteRef/>
      </w:r>
      <w:r w:rsidRPr="00DA2D2F">
        <w:rPr>
          <w:lang w:val="lv-LV"/>
        </w:rPr>
        <w:t xml:space="preserve"> </w:t>
      </w:r>
      <w:r>
        <w:rPr>
          <w:lang w:val="lv-LV"/>
        </w:rPr>
        <w:t>ERAF līdzfinansētā projekta ietvaros.</w:t>
      </w:r>
    </w:p>
  </w:footnote>
  <w:footnote w:id="54">
    <w:p w14:paraId="4BCE7EAD" w14:textId="77777777" w:rsidR="009E11B5" w:rsidRPr="00944B60" w:rsidRDefault="009E11B5" w:rsidP="00E379E7">
      <w:pPr>
        <w:pStyle w:val="FootnoteText"/>
        <w:jc w:val="left"/>
        <w:rPr>
          <w:lang w:val="lv-LV"/>
        </w:rPr>
      </w:pPr>
      <w:r w:rsidRPr="00944B60">
        <w:rPr>
          <w:rStyle w:val="FootnoteReference"/>
        </w:rPr>
        <w:footnoteRef/>
      </w:r>
      <w:r>
        <w:rPr>
          <w:lang w:val="lv-LV"/>
        </w:rPr>
        <w:t> </w:t>
      </w:r>
      <w:r w:rsidRPr="00944B60">
        <w:rPr>
          <w:lang w:val="lv-LV"/>
        </w:rPr>
        <w:t>INTERREG EUROPE ir starpreģionu sadarbības programmas BIO4ECO projekta rezultāti.</w:t>
      </w:r>
    </w:p>
  </w:footnote>
  <w:footnote w:id="55">
    <w:p w14:paraId="4BDE99A6" w14:textId="30DA15FD" w:rsidR="009E11B5" w:rsidRPr="00944B60" w:rsidRDefault="009E11B5" w:rsidP="00E379E7">
      <w:pPr>
        <w:pStyle w:val="FootnoteText"/>
        <w:jc w:val="left"/>
        <w:rPr>
          <w:lang w:val="lv-LV"/>
        </w:rPr>
      </w:pPr>
      <w:r w:rsidRPr="00944B60">
        <w:rPr>
          <w:rStyle w:val="FootnoteReference"/>
        </w:rPr>
        <w:footnoteRef/>
      </w:r>
      <w:r>
        <w:rPr>
          <w:lang w:val="lv-LV"/>
        </w:rPr>
        <w:t> </w:t>
      </w:r>
      <w:r w:rsidRPr="00944B60">
        <w:rPr>
          <w:lang w:val="lv-LV"/>
        </w:rPr>
        <w:t>Nacionālā mežu monitoringa dati par 201</w:t>
      </w:r>
      <w:r>
        <w:rPr>
          <w:lang w:val="lv-LV"/>
        </w:rPr>
        <w:t>8</w:t>
      </w:r>
      <w:r w:rsidRPr="00944B60">
        <w:rPr>
          <w:lang w:val="lv-LV"/>
        </w:rPr>
        <w:t>. gadu</w:t>
      </w:r>
    </w:p>
  </w:footnote>
  <w:footnote w:id="56">
    <w:p w14:paraId="35B9573D" w14:textId="77777777" w:rsidR="009E11B5" w:rsidRPr="00944B60" w:rsidRDefault="009E11B5" w:rsidP="00E379E7">
      <w:pPr>
        <w:pStyle w:val="FootnoteText"/>
        <w:jc w:val="left"/>
        <w:rPr>
          <w:lang w:val="lv-LV"/>
        </w:rPr>
      </w:pPr>
      <w:r w:rsidRPr="00944B60">
        <w:rPr>
          <w:rStyle w:val="FootnoteReference"/>
        </w:rPr>
        <w:footnoteRef/>
      </w:r>
      <w:r>
        <w:rPr>
          <w:lang w:val="lv-LV"/>
        </w:rPr>
        <w:t> </w:t>
      </w:r>
      <w:r w:rsidRPr="00944B60">
        <w:rPr>
          <w:lang w:val="lv-LV"/>
        </w:rPr>
        <w:t>Par meža zemēm tiek uzskatīti arī daļa mitrāju (piemēram, purvs, kurā ir koki vismaz 5 m augstumā) un krūmāji vai virsāji.</w:t>
      </w:r>
    </w:p>
  </w:footnote>
  <w:footnote w:id="57">
    <w:p w14:paraId="12F7AAF6" w14:textId="77777777" w:rsidR="009E11B5" w:rsidRPr="00696696" w:rsidRDefault="009E11B5" w:rsidP="005D7784">
      <w:pPr>
        <w:pStyle w:val="FootnoteText"/>
        <w:ind w:firstLine="0"/>
        <w:rPr>
          <w:lang w:val="lv-LV"/>
        </w:rPr>
      </w:pPr>
      <w:r>
        <w:rPr>
          <w:rStyle w:val="FootnoteReference"/>
        </w:rPr>
        <w:footnoteRef/>
      </w:r>
      <w:r w:rsidRPr="00696696">
        <w:rPr>
          <w:lang w:val="lv-LV"/>
        </w:rPr>
        <w:t xml:space="preserve"> Fosilās enerģijas materiāli/nesēji - ogles, lignīts (brūnogles), akmeņogles, degslāneklis un bitumensmiltis, kūdra, nafta un dabasgāze.</w:t>
      </w:r>
    </w:p>
    <w:p w14:paraId="42666713" w14:textId="77777777" w:rsidR="009E11B5" w:rsidRPr="00696696" w:rsidRDefault="009E11B5" w:rsidP="005D7784">
      <w:pPr>
        <w:pStyle w:val="FootnoteText"/>
        <w:ind w:firstLine="0"/>
        <w:rPr>
          <w:lang w:val="lv-LV"/>
        </w:rPr>
      </w:pPr>
      <w:r w:rsidRPr="00696696">
        <w:rPr>
          <w:lang w:val="lv-LV"/>
        </w:rPr>
        <w:t>Nemetālu minerāli - marmors, granīts, smilšakmens, porfīrs, bazalts, citi dekoratīvie vai būvniecības akmeņi (izņemot slānekli), krīts un dolomīts, slāneklis, ķīmiskie minerāli un minerālmēsli, sāls, kaļķakmens un ģipšakmens, māli un kaolīns, smiltis un grants u.c. citur neklasificētie nemetāla minerāli.</w:t>
      </w:r>
    </w:p>
    <w:p w14:paraId="6D8D1738" w14:textId="77777777" w:rsidR="009E11B5" w:rsidRPr="00696696" w:rsidRDefault="009E11B5" w:rsidP="005D7784">
      <w:pPr>
        <w:pStyle w:val="FootnoteText"/>
        <w:ind w:firstLine="0"/>
        <w:rPr>
          <w:lang w:val="lv-LV"/>
        </w:rPr>
      </w:pPr>
      <w:r w:rsidRPr="00696696">
        <w:rPr>
          <w:lang w:val="lv-LV"/>
        </w:rPr>
        <w:t>Biomasa un biomasas produkti (šeit) – kultūraugi, kultūraugu atliekas (izmantotas), koks un koka produkti, zivju zveja un citi ūdens dzīvnieki, pārējie dzīvnieki un dzīvnieku produkti (gala, piens, olas, medus).</w:t>
      </w:r>
    </w:p>
  </w:footnote>
  <w:footnote w:id="58">
    <w:p w14:paraId="58C0BEF2" w14:textId="77777777" w:rsidR="009E11B5" w:rsidRPr="00944B60" w:rsidRDefault="009E11B5" w:rsidP="005D7784">
      <w:pPr>
        <w:pStyle w:val="FootnoteText"/>
        <w:ind w:firstLine="0"/>
        <w:jc w:val="left"/>
        <w:rPr>
          <w:lang w:val="lv-LV"/>
        </w:rPr>
      </w:pPr>
      <w:r w:rsidRPr="00944B60">
        <w:rPr>
          <w:rStyle w:val="FootnoteReference"/>
        </w:rPr>
        <w:footnoteRef/>
      </w:r>
      <w:r>
        <w:rPr>
          <w:lang w:val="lv-LV"/>
        </w:rPr>
        <w:t> </w:t>
      </w:r>
      <w:r w:rsidRPr="00944B60">
        <w:rPr>
          <w:lang w:val="lv-LV"/>
        </w:rPr>
        <w:t xml:space="preserve">Centrālās statistikas pārvaldes datu bāzes. </w:t>
      </w:r>
      <w:r w:rsidRPr="00DA2D2F">
        <w:rPr>
          <w:rStyle w:val="hierarchicaltableinformationtitle"/>
          <w:lang w:val="fr-FR"/>
        </w:rPr>
        <w:t xml:space="preserve">Materiālu plūsmas konti - indikatori (tūkst. tonnu). </w:t>
      </w:r>
      <w:r w:rsidRPr="00944B60">
        <w:rPr>
          <w:rStyle w:val="hierarchicaltableinformationtitle"/>
        </w:rPr>
        <w:t>Pieejams tiešsaistē:</w:t>
      </w:r>
      <w:r w:rsidRPr="00944B60">
        <w:rPr>
          <w:lang w:val="lv-LV"/>
        </w:rPr>
        <w:t xml:space="preserve"> </w:t>
      </w:r>
      <w:hyperlink r:id="rId25" w:history="1">
        <w:r w:rsidRPr="006F5504">
          <w:rPr>
            <w:rStyle w:val="Hyperlink"/>
            <w:lang w:val="lv-LV"/>
          </w:rPr>
          <w:t>https://data1.csb.gov.lv/pxweb/lv/vide/vide__vide__ikgad/VIG100.px/chart/chartViewLine/</w:t>
        </w:r>
      </w:hyperlink>
      <w:r>
        <w:rPr>
          <w:lang w:val="lv-LV"/>
        </w:rPr>
        <w:t xml:space="preserve"> </w:t>
      </w:r>
    </w:p>
  </w:footnote>
  <w:footnote w:id="59">
    <w:p w14:paraId="6B53A027" w14:textId="77777777" w:rsidR="009E11B5" w:rsidRPr="00944B60" w:rsidRDefault="009E11B5" w:rsidP="00E379E7">
      <w:pPr>
        <w:pStyle w:val="FootnoteText"/>
        <w:ind w:firstLine="0"/>
        <w:jc w:val="left"/>
      </w:pPr>
      <w:r w:rsidRPr="00944B60">
        <w:rPr>
          <w:rStyle w:val="FootnoteReference"/>
        </w:rPr>
        <w:footnoteRef/>
      </w:r>
      <w:r>
        <w:rPr>
          <w:lang w:val="lv-LV"/>
        </w:rPr>
        <w:t> </w:t>
      </w:r>
      <w:r w:rsidRPr="00E008BC">
        <w:rPr>
          <w:i/>
        </w:rPr>
        <w:t>European Commission. In-depth analysis in support of the commission Communication COM(2018) 773. A Clean Planet for all A European long-term strategic vision for a prosperous, modern, competitive and climate neutral economy, 2018</w:t>
      </w:r>
      <w:r w:rsidRPr="00944B60">
        <w:t>. Pieejams tiešsaistē: </w:t>
      </w:r>
      <w:hyperlink r:id="rId26" w:history="1">
        <w:r w:rsidRPr="00944B60">
          <w:rPr>
            <w:rStyle w:val="Hyperlink"/>
          </w:rPr>
          <w:t>https://ec.europa.eu/clima/policies/strategies/2050_en</w:t>
        </w:r>
      </w:hyperlink>
    </w:p>
  </w:footnote>
  <w:footnote w:id="60">
    <w:p w14:paraId="0233E38B" w14:textId="77777777" w:rsidR="009E11B5" w:rsidRPr="00DA2D2F" w:rsidRDefault="009E11B5" w:rsidP="00DA2D2F">
      <w:pPr>
        <w:pStyle w:val="FootnoteText"/>
        <w:ind w:firstLine="0"/>
        <w:rPr>
          <w:lang w:val="lv-LV"/>
        </w:rPr>
      </w:pPr>
      <w:r>
        <w:rPr>
          <w:rStyle w:val="FootnoteReference"/>
        </w:rPr>
        <w:footnoteRef/>
      </w:r>
      <w:r>
        <w:t xml:space="preserve"> Saskaņā ar </w:t>
      </w:r>
      <w:r w:rsidRPr="00476CF8">
        <w:t xml:space="preserve">Ministru kabineta noteikumu Nr.280 “Noteikumi par Latvijas būvnormatīvu LBN 002-19 </w:t>
      </w:r>
      <w:r>
        <w:t>“</w:t>
      </w:r>
      <w:r w:rsidRPr="00476CF8">
        <w:t>Ēku norobežojošo konstrukciju siltumtehnika</w:t>
      </w:r>
      <w:r>
        <w:t>”</w:t>
      </w:r>
      <w:r w:rsidRPr="00476CF8">
        <w:t xml:space="preserve"> 8.punkta un pielikuma 1.tabulas prasīb</w:t>
      </w:r>
      <w:r>
        <w:t xml:space="preserve">ām </w:t>
      </w:r>
      <w:r w:rsidRPr="00476CF8">
        <w:t>no 2021.gada</w:t>
      </w:r>
      <w:r>
        <w:t xml:space="preserve"> visām jaunām ēkām jāatbilst </w:t>
      </w:r>
      <w:r w:rsidRPr="00DA2D2F">
        <w:rPr>
          <w:i/>
        </w:rPr>
        <w:t>gandrīz</w:t>
      </w:r>
      <w:r>
        <w:t xml:space="preserve"> nulles enerģijas patēriņa ēku prasībām.</w:t>
      </w:r>
    </w:p>
  </w:footnote>
  <w:footnote w:id="61">
    <w:p w14:paraId="3D63A005" w14:textId="77777777" w:rsidR="009E11B5" w:rsidRPr="001E00AA" w:rsidRDefault="009E11B5" w:rsidP="00D9200C">
      <w:pPr>
        <w:pStyle w:val="FootnoteText"/>
        <w:rPr>
          <w:lang w:val="lv-LV"/>
        </w:rPr>
      </w:pPr>
      <w:r>
        <w:rPr>
          <w:rStyle w:val="FootnoteReference"/>
        </w:rPr>
        <w:footnoteRef/>
      </w:r>
      <w:r w:rsidRPr="008A5B10">
        <w:rPr>
          <w:lang w:val="lv-LV"/>
        </w:rPr>
        <w:t xml:space="preserve"> </w:t>
      </w:r>
      <w:r>
        <w:rPr>
          <w:lang w:val="lv-LV"/>
        </w:rPr>
        <w:t>Fizikālā enerģētikas institūta pētījuma „</w:t>
      </w:r>
      <w:r w:rsidRPr="001E00AA">
        <w:rPr>
          <w:lang w:val="lv-LV"/>
        </w:rPr>
        <w:t>Latvijas tautsaimniecības attīstības iespējamo scenāriju līdz 2050.gadam izstrāde atbilstoši Eiropas Savienības ilgtermiņa attīstības redzējumam</w:t>
      </w:r>
      <w:r>
        <w:rPr>
          <w:lang w:val="lv-LV"/>
        </w:rPr>
        <w:t xml:space="preserve">” sākotnējais izvērtējums, 2019.gada novembris. </w:t>
      </w:r>
    </w:p>
  </w:footnote>
  <w:footnote w:id="62">
    <w:p w14:paraId="586D94BB" w14:textId="77777777" w:rsidR="009E11B5" w:rsidRPr="00944B60" w:rsidRDefault="009E11B5" w:rsidP="00E379E7">
      <w:pPr>
        <w:pStyle w:val="FootnoteText"/>
        <w:ind w:left="142" w:hanging="142"/>
        <w:jc w:val="left"/>
        <w:rPr>
          <w:lang w:val="lv-LV"/>
        </w:rPr>
      </w:pPr>
      <w:r w:rsidRPr="00944B60">
        <w:rPr>
          <w:rStyle w:val="FootnoteReference"/>
        </w:rPr>
        <w:footnoteRef/>
      </w:r>
      <w:r>
        <w:rPr>
          <w:lang w:val="lv-LV"/>
        </w:rPr>
        <w:t> </w:t>
      </w:r>
      <w:r w:rsidRPr="00944B60">
        <w:rPr>
          <w:lang w:val="lv-LV"/>
        </w:rPr>
        <w:t>TEN-T</w:t>
      </w:r>
      <w:r>
        <w:rPr>
          <w:lang w:val="lv-LV"/>
        </w:rPr>
        <w:t> </w:t>
      </w:r>
      <w:r w:rsidRPr="00944B60">
        <w:rPr>
          <w:lang w:val="lv-LV"/>
        </w:rPr>
        <w:t>–</w:t>
      </w:r>
      <w:r>
        <w:rPr>
          <w:lang w:val="lv-LV"/>
        </w:rPr>
        <w:t> </w:t>
      </w:r>
      <w:r w:rsidRPr="00944B60">
        <w:rPr>
          <w:lang w:val="lv-LV"/>
        </w:rPr>
        <w:t>Eiropas transporta tīkls</w:t>
      </w:r>
    </w:p>
  </w:footnote>
  <w:footnote w:id="63">
    <w:p w14:paraId="7EEFB5FA" w14:textId="4D85FD57" w:rsidR="009E11B5" w:rsidRPr="00944B60" w:rsidRDefault="009E11B5" w:rsidP="00E008BC">
      <w:pPr>
        <w:ind w:firstLine="0"/>
        <w:jc w:val="left"/>
      </w:pPr>
      <w:r w:rsidRPr="00944B60">
        <w:rPr>
          <w:rStyle w:val="FootnoteReference"/>
          <w:sz w:val="20"/>
          <w:szCs w:val="20"/>
        </w:rPr>
        <w:footnoteRef/>
      </w:r>
      <w:r>
        <w:rPr>
          <w:sz w:val="20"/>
          <w:szCs w:val="20"/>
        </w:rPr>
        <w:t> Intelektiskajās</w:t>
      </w:r>
      <w:r w:rsidRPr="00944B60">
        <w:rPr>
          <w:sz w:val="20"/>
          <w:szCs w:val="20"/>
        </w:rPr>
        <w:t xml:space="preserve"> transporta sistēmas</w:t>
      </w:r>
      <w:r>
        <w:rPr>
          <w:sz w:val="20"/>
          <w:szCs w:val="20"/>
        </w:rPr>
        <w:t> </w:t>
      </w:r>
      <w:r w:rsidRPr="00944B60">
        <w:rPr>
          <w:sz w:val="20"/>
          <w:szCs w:val="20"/>
        </w:rPr>
        <w:t>–</w:t>
      </w:r>
      <w:r>
        <w:rPr>
          <w:sz w:val="20"/>
          <w:szCs w:val="20"/>
        </w:rPr>
        <w:t> </w:t>
      </w:r>
      <w:r w:rsidRPr="00944B60">
        <w:rPr>
          <w:sz w:val="20"/>
          <w:szCs w:val="20"/>
        </w:rPr>
        <w:t xml:space="preserve">transporta sistēmas, kurās, transporta efektivitātes un drošības uzlabošanai, tiek izmantotas informācijas un komunikāciju tehnoloģijas. Piemēram, izmantojot Globālās Navigācijas Satelītu sistēmas (GNSS), ģeogrāfisko informācijas sistēmu (GIS), datu apstrādi, bezvadu datu pārraidi un sensorus (ceļu meteostacijas, videokameras, satiksmes skaitītājus u.tml.), </w:t>
      </w:r>
      <w:r>
        <w:rPr>
          <w:sz w:val="20"/>
          <w:szCs w:val="20"/>
        </w:rPr>
        <w:t>intelektisk</w:t>
      </w:r>
      <w:r w:rsidRPr="00944B60">
        <w:rPr>
          <w:sz w:val="20"/>
          <w:szCs w:val="20"/>
        </w:rPr>
        <w:t>ās transporta sistēmas var izplatīt satiksmes informāciju (braukšanas apstākļi, satiksmes ierobežojumi un traucējumi), kā arī veikt adaptīvu satiksmes vadību (luksofori, elektroniskās ceļa zīmes) un</w:t>
      </w:r>
      <w:r>
        <w:rPr>
          <w:sz w:val="20"/>
          <w:szCs w:val="20"/>
        </w:rPr>
        <w:t xml:space="preserve"> </w:t>
      </w:r>
      <w:r w:rsidRPr="00944B60">
        <w:rPr>
          <w:sz w:val="20"/>
          <w:szCs w:val="20"/>
        </w:rPr>
        <w:t xml:space="preserve">kontroli. Globālās tendences </w:t>
      </w:r>
      <w:r>
        <w:rPr>
          <w:sz w:val="20"/>
          <w:szCs w:val="20"/>
        </w:rPr>
        <w:t>intelektisk</w:t>
      </w:r>
      <w:r w:rsidRPr="00944B60">
        <w:rPr>
          <w:sz w:val="20"/>
          <w:szCs w:val="20"/>
        </w:rPr>
        <w:t xml:space="preserve">o transporta sistēmu attīstībā virzās uz autonomu transportlīdzekļu ieviešanu. </w:t>
      </w:r>
    </w:p>
  </w:footnote>
  <w:footnote w:id="64">
    <w:p w14:paraId="4D25352D" w14:textId="77777777" w:rsidR="009E11B5" w:rsidRPr="00944B60" w:rsidRDefault="009E11B5" w:rsidP="00A15A9D">
      <w:pPr>
        <w:pStyle w:val="FootnoteText"/>
        <w:ind w:firstLine="0"/>
        <w:rPr>
          <w:lang w:val="lv-LV"/>
        </w:rPr>
      </w:pPr>
      <w:r w:rsidRPr="00944B60">
        <w:rPr>
          <w:rStyle w:val="FootnoteReference"/>
        </w:rPr>
        <w:footnoteRef/>
      </w:r>
      <w:r>
        <w:rPr>
          <w:lang w:val="fr-FR"/>
        </w:rPr>
        <w:t> </w:t>
      </w:r>
      <w:r w:rsidRPr="00E008BC">
        <w:rPr>
          <w:lang w:val="lv-LV"/>
        </w:rPr>
        <w:t>Komodalitāte - viena vai vairāku transporta veidu kombinēšana, lai optimāli un ilgtspējīgi izmantotu resursus</w:t>
      </w:r>
    </w:p>
  </w:footnote>
  <w:footnote w:id="65">
    <w:p w14:paraId="2775D4D8" w14:textId="77777777" w:rsidR="009E11B5" w:rsidRPr="00944B60" w:rsidRDefault="009E11B5" w:rsidP="00327535">
      <w:pPr>
        <w:ind w:firstLine="0"/>
        <w:jc w:val="left"/>
        <w:rPr>
          <w:sz w:val="20"/>
          <w:szCs w:val="20"/>
        </w:rPr>
      </w:pPr>
      <w:r w:rsidRPr="00944B60">
        <w:rPr>
          <w:rStyle w:val="FootnoteReference"/>
          <w:sz w:val="20"/>
          <w:szCs w:val="20"/>
        </w:rPr>
        <w:footnoteRef/>
      </w:r>
      <w:r>
        <w:rPr>
          <w:sz w:val="20"/>
          <w:szCs w:val="20"/>
        </w:rPr>
        <w:t> </w:t>
      </w:r>
      <w:r w:rsidRPr="00944B60">
        <w:rPr>
          <w:sz w:val="20"/>
          <w:szCs w:val="20"/>
        </w:rPr>
        <w:t>Vienas un tās pašas kravas partijas pārvadājums ar dažāda veida transportu pēc vienas kopējas pavadzīmes. Krava tiek pārkrauta no viena veida transporta uz citu, transporta ķēdes dažādos punktos, piemēram, nosūtītājs</w:t>
      </w:r>
      <w:r>
        <w:rPr>
          <w:sz w:val="20"/>
          <w:szCs w:val="20"/>
        </w:rPr>
        <w:t> </w:t>
      </w:r>
      <w:r w:rsidRPr="00944B60">
        <w:rPr>
          <w:sz w:val="20"/>
          <w:szCs w:val="20"/>
        </w:rPr>
        <w:t>-</w:t>
      </w:r>
      <w:r>
        <w:rPr>
          <w:sz w:val="20"/>
          <w:szCs w:val="20"/>
        </w:rPr>
        <w:t> </w:t>
      </w:r>
      <w:r w:rsidRPr="00944B60">
        <w:rPr>
          <w:sz w:val="20"/>
          <w:szCs w:val="20"/>
        </w:rPr>
        <w:t>autotransports</w:t>
      </w:r>
      <w:r>
        <w:rPr>
          <w:sz w:val="20"/>
          <w:szCs w:val="20"/>
        </w:rPr>
        <w:t> </w:t>
      </w:r>
      <w:r w:rsidRPr="00944B60">
        <w:rPr>
          <w:sz w:val="20"/>
          <w:szCs w:val="20"/>
        </w:rPr>
        <w:t>–</w:t>
      </w:r>
      <w:r>
        <w:rPr>
          <w:sz w:val="20"/>
          <w:szCs w:val="20"/>
        </w:rPr>
        <w:t> </w:t>
      </w:r>
      <w:r w:rsidRPr="00944B60">
        <w:rPr>
          <w:sz w:val="20"/>
          <w:szCs w:val="20"/>
        </w:rPr>
        <w:t>noliktava</w:t>
      </w:r>
      <w:r>
        <w:rPr>
          <w:sz w:val="20"/>
          <w:szCs w:val="20"/>
        </w:rPr>
        <w:t> </w:t>
      </w:r>
      <w:r w:rsidRPr="00944B60">
        <w:rPr>
          <w:sz w:val="20"/>
          <w:szCs w:val="20"/>
        </w:rPr>
        <w:t>–</w:t>
      </w:r>
      <w:r>
        <w:rPr>
          <w:sz w:val="20"/>
          <w:szCs w:val="20"/>
        </w:rPr>
        <w:t> </w:t>
      </w:r>
      <w:r w:rsidRPr="00944B60">
        <w:rPr>
          <w:sz w:val="20"/>
          <w:szCs w:val="20"/>
        </w:rPr>
        <w:t>dzelzceļa transports</w:t>
      </w:r>
      <w:r>
        <w:rPr>
          <w:sz w:val="20"/>
          <w:szCs w:val="20"/>
        </w:rPr>
        <w:t> </w:t>
      </w:r>
      <w:r w:rsidRPr="00944B60">
        <w:rPr>
          <w:sz w:val="20"/>
          <w:szCs w:val="20"/>
        </w:rPr>
        <w:t>–</w:t>
      </w:r>
      <w:r>
        <w:rPr>
          <w:sz w:val="20"/>
          <w:szCs w:val="20"/>
        </w:rPr>
        <w:t> </w:t>
      </w:r>
      <w:r w:rsidRPr="00944B60">
        <w:rPr>
          <w:sz w:val="20"/>
          <w:szCs w:val="20"/>
        </w:rPr>
        <w:t>noliktava</w:t>
      </w:r>
      <w:r>
        <w:rPr>
          <w:sz w:val="20"/>
          <w:szCs w:val="20"/>
        </w:rPr>
        <w:t> </w:t>
      </w:r>
      <w:r w:rsidRPr="00944B60">
        <w:rPr>
          <w:sz w:val="20"/>
          <w:szCs w:val="20"/>
        </w:rPr>
        <w:t>–</w:t>
      </w:r>
      <w:r>
        <w:rPr>
          <w:sz w:val="20"/>
          <w:szCs w:val="20"/>
        </w:rPr>
        <w:t> </w:t>
      </w:r>
      <w:r w:rsidRPr="00944B60">
        <w:rPr>
          <w:sz w:val="20"/>
          <w:szCs w:val="20"/>
        </w:rPr>
        <w:t>konteiners</w:t>
      </w:r>
      <w:r>
        <w:rPr>
          <w:sz w:val="20"/>
          <w:szCs w:val="20"/>
        </w:rPr>
        <w:t> </w:t>
      </w:r>
      <w:r w:rsidRPr="00944B60">
        <w:rPr>
          <w:sz w:val="20"/>
          <w:szCs w:val="20"/>
        </w:rPr>
        <w:t>–</w:t>
      </w:r>
      <w:r>
        <w:rPr>
          <w:sz w:val="20"/>
          <w:szCs w:val="20"/>
        </w:rPr>
        <w:t> </w:t>
      </w:r>
      <w:r w:rsidRPr="00944B60">
        <w:rPr>
          <w:sz w:val="20"/>
          <w:szCs w:val="20"/>
        </w:rPr>
        <w:t>konteinera kuģis</w:t>
      </w:r>
      <w:r>
        <w:rPr>
          <w:sz w:val="20"/>
          <w:szCs w:val="20"/>
        </w:rPr>
        <w:t> </w:t>
      </w:r>
      <w:r w:rsidRPr="00944B60">
        <w:rPr>
          <w:sz w:val="20"/>
          <w:szCs w:val="20"/>
        </w:rPr>
        <w:t>-</w:t>
      </w:r>
      <w:r>
        <w:rPr>
          <w:sz w:val="20"/>
          <w:szCs w:val="20"/>
        </w:rPr>
        <w:t> </w:t>
      </w:r>
      <w:r w:rsidRPr="00944B60">
        <w:rPr>
          <w:sz w:val="20"/>
          <w:szCs w:val="20"/>
        </w:rPr>
        <w:t>Saņēmējs.</w:t>
      </w:r>
    </w:p>
  </w:footnote>
  <w:footnote w:id="66">
    <w:p w14:paraId="6E731F9C" w14:textId="77777777" w:rsidR="009E11B5" w:rsidRPr="00944B60" w:rsidRDefault="009E11B5" w:rsidP="00E379E7">
      <w:pPr>
        <w:pStyle w:val="FootnoteText"/>
        <w:ind w:firstLine="0"/>
        <w:jc w:val="left"/>
        <w:rPr>
          <w:lang w:val="lv-LV"/>
        </w:rPr>
      </w:pPr>
      <w:r w:rsidRPr="00944B60">
        <w:rPr>
          <w:rStyle w:val="FootnoteReference"/>
        </w:rPr>
        <w:footnoteRef/>
      </w:r>
      <w:r>
        <w:rPr>
          <w:lang w:val="lv-LV"/>
        </w:rPr>
        <w:t> </w:t>
      </w:r>
      <w:r w:rsidRPr="00944B60">
        <w:rPr>
          <w:lang w:val="lv-LV"/>
        </w:rPr>
        <w:t>Ilgtspējīga mežu vecumstruktūra</w:t>
      </w:r>
      <w:r>
        <w:rPr>
          <w:lang w:val="lv-LV"/>
        </w:rPr>
        <w:t> </w:t>
      </w:r>
      <w:r w:rsidRPr="00944B60">
        <w:rPr>
          <w:lang w:val="lv-LV"/>
        </w:rPr>
        <w:t>-</w:t>
      </w:r>
      <w:r>
        <w:rPr>
          <w:lang w:val="lv-LV"/>
        </w:rPr>
        <w:t> </w:t>
      </w:r>
      <w:r w:rsidRPr="00944B60">
        <w:rPr>
          <w:lang w:val="lv-LV"/>
        </w:rPr>
        <w:t>izlīdzināta vecumstruktūra, kad pieaugušo audžu, vidēja vecuma audžu un jaunaudžu platības īpatsvars saimnieciski nozīmīgāko sugu griezumā ir vienāds.</w:t>
      </w:r>
    </w:p>
  </w:footnote>
  <w:footnote w:id="67">
    <w:p w14:paraId="519085E7" w14:textId="77777777" w:rsidR="009E11B5" w:rsidRPr="00944B60" w:rsidRDefault="009E11B5" w:rsidP="00E008BC">
      <w:pPr>
        <w:pStyle w:val="FootnoteText"/>
        <w:ind w:firstLine="0"/>
        <w:rPr>
          <w:lang w:val="lv-LV"/>
        </w:rPr>
      </w:pPr>
      <w:r w:rsidRPr="00944B60">
        <w:rPr>
          <w:rStyle w:val="FootnoteReference"/>
        </w:rPr>
        <w:footnoteRef/>
      </w:r>
      <w:r>
        <w:rPr>
          <w:lang w:val="lv-LV"/>
        </w:rPr>
        <w:t> </w:t>
      </w:r>
      <w:r w:rsidRPr="00944B60">
        <w:rPr>
          <w:lang w:val="lv-LV"/>
        </w:rPr>
        <w:t>Dabas līdzsvara, netraucētas resursu atjaunošanās un klimata pārmaiņu novēršanas nolūkos (pieņemot, ka jānodrošina pasaules vidējās temperatūras palielinājuma stabilizēšana 2°C robežās ar tālejošu mērķi 1,5°C robežās) „oglekļa pēda” uz vienu iedzīvotāju nedrīkst pārsniegt 3 t CO</w:t>
      </w:r>
      <w:r w:rsidRPr="00944B60">
        <w:rPr>
          <w:vertAlign w:val="subscript"/>
          <w:lang w:val="lv-LV"/>
        </w:rPr>
        <w:t>2 ekv</w:t>
      </w:r>
      <w:r w:rsidRPr="00944B60">
        <w:rPr>
          <w:lang w:val="lv-LV"/>
        </w:rPr>
        <w:t>.</w:t>
      </w:r>
    </w:p>
  </w:footnote>
  <w:footnote w:id="68">
    <w:p w14:paraId="306DCDDA" w14:textId="77777777" w:rsidR="009E11B5" w:rsidRPr="00944B60" w:rsidRDefault="009E11B5" w:rsidP="00E379E7">
      <w:pPr>
        <w:pStyle w:val="FootnoteText"/>
        <w:ind w:left="142" w:hanging="142"/>
        <w:jc w:val="left"/>
        <w:rPr>
          <w:lang w:val="lv-LV"/>
        </w:rPr>
      </w:pPr>
      <w:r w:rsidRPr="00944B60">
        <w:rPr>
          <w:rStyle w:val="FootnoteReference"/>
        </w:rPr>
        <w:footnoteRef/>
      </w:r>
      <w:r>
        <w:t> </w:t>
      </w:r>
      <w:r w:rsidRPr="00944B60">
        <w:t>Piemēram, Mēru Pakts (</w:t>
      </w:r>
      <w:r w:rsidRPr="00E008BC">
        <w:rPr>
          <w:i/>
        </w:rPr>
        <w:t>Compact of Mayors</w:t>
      </w:r>
      <w:r w:rsidRPr="00944B60">
        <w:t>), Mēru Nolīgums (</w:t>
      </w:r>
      <w:r w:rsidRPr="00E008BC">
        <w:rPr>
          <w:i/>
        </w:rPr>
        <w:t>Covenant of Mayors</w:t>
      </w:r>
      <w:r w:rsidRPr="00944B60">
        <w:t>), NAZCA (</w:t>
      </w:r>
      <w:r w:rsidRPr="00E008BC">
        <w:rPr>
          <w:i/>
        </w:rPr>
        <w:t>Non-state Actor Zone for Climate Action</w:t>
      </w:r>
      <w:r w:rsidRPr="00944B60">
        <w:t>)</w:t>
      </w:r>
      <w:r>
        <w:t>.</w:t>
      </w:r>
    </w:p>
  </w:footnote>
  <w:footnote w:id="69">
    <w:p w14:paraId="7F7F035A" w14:textId="77777777" w:rsidR="009E11B5" w:rsidRPr="007010C0" w:rsidRDefault="009E11B5" w:rsidP="00944B60">
      <w:pPr>
        <w:pStyle w:val="FootnoteText"/>
        <w:ind w:firstLine="0"/>
        <w:rPr>
          <w:lang w:val="lv-LV"/>
        </w:rPr>
      </w:pPr>
      <w:r w:rsidRPr="00944B60">
        <w:rPr>
          <w:rStyle w:val="FootnoteReference"/>
        </w:rPr>
        <w:footnoteRef/>
      </w:r>
      <w:r w:rsidRPr="00DA2D2F">
        <w:rPr>
          <w:lang w:val="lv-LV"/>
        </w:rPr>
        <w:t xml:space="preserve"> IPCC, Climate Change 2014: Synthesis Report, 2014. Pieejams tiešsaistē:  https://www.ipcc.ch/pdf/assessment-report/ar5/syr/SYR_AR5_FINAL_full.pdf</w:t>
      </w:r>
    </w:p>
  </w:footnote>
  <w:footnote w:id="70">
    <w:p w14:paraId="093371BD" w14:textId="1D7BBAFA" w:rsidR="009E11B5" w:rsidRPr="00960982" w:rsidRDefault="009E11B5" w:rsidP="00960982">
      <w:pPr>
        <w:pStyle w:val="FootnoteText"/>
        <w:ind w:firstLine="0"/>
        <w:rPr>
          <w:lang w:val="lv-LV"/>
        </w:rPr>
      </w:pPr>
      <w:r>
        <w:rPr>
          <w:rStyle w:val="FootnoteReference"/>
        </w:rPr>
        <w:footnoteRef/>
      </w:r>
      <w:r>
        <w:t xml:space="preserve"> Fizikālā enerģētikas institūta pētījuma „Latvijas tautsaimniecības attīstības iespējamo scenāriju līdz 2050.gadam izstrāde atbilstoši Eiropas Savienības ilgtermiņa attīstības redzējumam” sākotnējais izvērtējums, 2019.gada decembris.</w:t>
      </w:r>
    </w:p>
  </w:footnote>
  <w:footnote w:id="71">
    <w:p w14:paraId="7688930A" w14:textId="198A616D" w:rsidR="009E11B5" w:rsidRPr="00960982" w:rsidRDefault="009E11B5" w:rsidP="00960982">
      <w:pPr>
        <w:pStyle w:val="FootnoteText"/>
        <w:ind w:firstLine="0"/>
        <w:rPr>
          <w:lang w:val="lv-LV"/>
        </w:rPr>
      </w:pPr>
      <w:r>
        <w:rPr>
          <w:rStyle w:val="FootnoteReference"/>
        </w:rPr>
        <w:footnoteRef/>
      </w:r>
      <w:r>
        <w:t xml:space="preserve"> Fizikālā enerģētikas institūta pētījuma „Latvijas tautsaimniecības attīstības iespējamo scenāriju līdz 2050.gadam izstrāde atbilstoši Eiropas Savienības ilgtermiņa attīstības redzējumam” sākotnējais izvērtējums, 2019.gada decembris.</w:t>
      </w:r>
    </w:p>
  </w:footnote>
  <w:footnote w:id="72">
    <w:p w14:paraId="7F2120EC" w14:textId="6DBBB98C" w:rsidR="009E11B5" w:rsidRPr="00442BD6" w:rsidRDefault="009E11B5" w:rsidP="00442BD6">
      <w:pPr>
        <w:pStyle w:val="FootnoteText"/>
        <w:ind w:firstLine="0"/>
        <w:rPr>
          <w:lang w:val="lv-LV"/>
        </w:rPr>
      </w:pPr>
      <w:r>
        <w:rPr>
          <w:rStyle w:val="FootnoteReference"/>
        </w:rPr>
        <w:footnoteRef/>
      </w:r>
      <w:r>
        <w:t xml:space="preserve"> </w:t>
      </w:r>
      <w:r w:rsidRPr="00442BD6">
        <w:t xml:space="preserve">Nākamais </w:t>
      </w:r>
      <w:r>
        <w:t>Stratēģijas</w:t>
      </w:r>
      <w:r w:rsidRPr="00442BD6">
        <w:t xml:space="preserve"> pārskats</w:t>
      </w:r>
      <w:r>
        <w:t xml:space="preserve"> ir jāiesniedz Eiropas Komisijā</w:t>
      </w:r>
      <w:r w:rsidRPr="00442BD6">
        <w:t xml:space="preserve"> līdz 2029.gada 1.janvārim.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06DE" w14:textId="77777777" w:rsidR="009E11B5" w:rsidRDefault="009E1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FEF2" w14:textId="77777777" w:rsidR="009E11B5" w:rsidRPr="00CD1126" w:rsidRDefault="009E11B5">
    <w:pPr>
      <w:pStyle w:val="Header"/>
      <w:jc w:val="center"/>
      <w:rPr>
        <w:szCs w:val="24"/>
      </w:rPr>
    </w:pPr>
    <w:r w:rsidRPr="00CD1126">
      <w:rPr>
        <w:szCs w:val="24"/>
      </w:rPr>
      <w:fldChar w:fldCharType="begin"/>
    </w:r>
    <w:r w:rsidRPr="00CD1126">
      <w:rPr>
        <w:szCs w:val="24"/>
      </w:rPr>
      <w:instrText xml:space="preserve"> PAGE   \* MERGEFORMAT </w:instrText>
    </w:r>
    <w:r w:rsidRPr="00CD1126">
      <w:rPr>
        <w:szCs w:val="24"/>
      </w:rPr>
      <w:fldChar w:fldCharType="separate"/>
    </w:r>
    <w:r w:rsidR="00B81632">
      <w:rPr>
        <w:noProof/>
        <w:szCs w:val="24"/>
      </w:rPr>
      <w:t>21</w:t>
    </w:r>
    <w:r w:rsidRPr="00CD1126">
      <w:rPr>
        <w:noProof/>
        <w:szCs w:val="24"/>
      </w:rPr>
      <w:fldChar w:fldCharType="end"/>
    </w:r>
  </w:p>
  <w:p w14:paraId="6DFC6E64" w14:textId="77777777" w:rsidR="009E11B5" w:rsidRDefault="009E1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AC83" w14:textId="77777777" w:rsidR="009E11B5" w:rsidRDefault="009E1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0CC"/>
    <w:multiLevelType w:val="hybridMultilevel"/>
    <w:tmpl w:val="3434321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2" w15:restartNumberingAfterBreak="0">
    <w:nsid w:val="26E9747E"/>
    <w:multiLevelType w:val="hybridMultilevel"/>
    <w:tmpl w:val="C8FE3A0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270531F5"/>
    <w:multiLevelType w:val="hybridMultilevel"/>
    <w:tmpl w:val="1504B9F4"/>
    <w:lvl w:ilvl="0" w:tplc="04260011">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4"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FA9149E"/>
    <w:multiLevelType w:val="hybridMultilevel"/>
    <w:tmpl w:val="444EE0B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612760B"/>
    <w:multiLevelType w:val="hybridMultilevel"/>
    <w:tmpl w:val="A644FFA2"/>
    <w:lvl w:ilvl="0" w:tplc="04260003">
      <w:start w:val="1"/>
      <w:numFmt w:val="bullet"/>
      <w:lvlText w:val="o"/>
      <w:lvlJc w:val="left"/>
      <w:pPr>
        <w:ind w:left="1211" w:hanging="360"/>
      </w:pPr>
      <w:rPr>
        <w:rFonts w:ascii="Courier New" w:hAnsi="Courier New" w:cs="Courier New" w:hint="default"/>
        <w:color w:val="auto"/>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7" w15:restartNumberingAfterBreak="0">
    <w:nsid w:val="4D7C558D"/>
    <w:multiLevelType w:val="hybridMultilevel"/>
    <w:tmpl w:val="52E694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3E1955"/>
    <w:multiLevelType w:val="hybridMultilevel"/>
    <w:tmpl w:val="1228F614"/>
    <w:lvl w:ilvl="0" w:tplc="04260003">
      <w:start w:val="1"/>
      <w:numFmt w:val="bullet"/>
      <w:lvlText w:val="o"/>
      <w:lvlJc w:val="left"/>
      <w:pPr>
        <w:ind w:left="1287" w:hanging="360"/>
      </w:pPr>
      <w:rPr>
        <w:rFonts w:ascii="Courier New" w:hAnsi="Courier New" w:cs="Courier New" w:hint="default"/>
      </w:rPr>
    </w:lvl>
    <w:lvl w:ilvl="1" w:tplc="C226CBEC">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640F723E"/>
    <w:multiLevelType w:val="multilevel"/>
    <w:tmpl w:val="A75026C2"/>
    <w:lvl w:ilvl="0">
      <w:start w:val="1"/>
      <w:numFmt w:val="decimal"/>
      <w:pStyle w:val="Heading1"/>
      <w:lvlText w:val="%1."/>
      <w:lvlJc w:val="left"/>
      <w:pPr>
        <w:ind w:left="928" w:hanging="360"/>
      </w:pPr>
      <w:rPr>
        <w:rFonts w:hint="default"/>
      </w:rPr>
    </w:lvl>
    <w:lvl w:ilvl="1">
      <w:start w:val="1"/>
      <w:numFmt w:val="decimal"/>
      <w:isLgl/>
      <w:lvlText w:val="2.%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0" w15:restartNumberingAfterBreak="0">
    <w:nsid w:val="7D602FB1"/>
    <w:multiLevelType w:val="hybridMultilevel"/>
    <w:tmpl w:val="9BFE07E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7"/>
  </w:num>
  <w:num w:numId="3">
    <w:abstractNumId w:val="1"/>
  </w:num>
  <w:num w:numId="4">
    <w:abstractNumId w:val="2"/>
  </w:num>
  <w:num w:numId="5">
    <w:abstractNumId w:val="0"/>
  </w:num>
  <w:num w:numId="6">
    <w:abstractNumId w:val="5"/>
  </w:num>
  <w:num w:numId="7">
    <w:abstractNumId w:val="3"/>
  </w:num>
  <w:num w:numId="8">
    <w:abstractNumId w:val="10"/>
  </w:num>
  <w:num w:numId="9">
    <w:abstractNumId w:val="8"/>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09"/>
    <w:rsid w:val="00000227"/>
    <w:rsid w:val="00000487"/>
    <w:rsid w:val="00000650"/>
    <w:rsid w:val="00001058"/>
    <w:rsid w:val="00001FCC"/>
    <w:rsid w:val="00003CD2"/>
    <w:rsid w:val="00004C8B"/>
    <w:rsid w:val="00004D69"/>
    <w:rsid w:val="00004EF2"/>
    <w:rsid w:val="00005C76"/>
    <w:rsid w:val="0000645F"/>
    <w:rsid w:val="00006881"/>
    <w:rsid w:val="00006AB0"/>
    <w:rsid w:val="00010169"/>
    <w:rsid w:val="00011453"/>
    <w:rsid w:val="00011E58"/>
    <w:rsid w:val="00011F59"/>
    <w:rsid w:val="00012513"/>
    <w:rsid w:val="00012A28"/>
    <w:rsid w:val="00012E11"/>
    <w:rsid w:val="00013107"/>
    <w:rsid w:val="0001440F"/>
    <w:rsid w:val="00015B55"/>
    <w:rsid w:val="00016142"/>
    <w:rsid w:val="000162DD"/>
    <w:rsid w:val="00017788"/>
    <w:rsid w:val="000204C9"/>
    <w:rsid w:val="00020B98"/>
    <w:rsid w:val="00020BA8"/>
    <w:rsid w:val="00020ED8"/>
    <w:rsid w:val="000226B5"/>
    <w:rsid w:val="00023B62"/>
    <w:rsid w:val="00023C26"/>
    <w:rsid w:val="00024365"/>
    <w:rsid w:val="000246AA"/>
    <w:rsid w:val="00026A16"/>
    <w:rsid w:val="00026C26"/>
    <w:rsid w:val="0002758E"/>
    <w:rsid w:val="000321E3"/>
    <w:rsid w:val="000327DE"/>
    <w:rsid w:val="0003286A"/>
    <w:rsid w:val="00033EE6"/>
    <w:rsid w:val="000352B5"/>
    <w:rsid w:val="000356E1"/>
    <w:rsid w:val="00036623"/>
    <w:rsid w:val="0003686E"/>
    <w:rsid w:val="00037F67"/>
    <w:rsid w:val="00040045"/>
    <w:rsid w:val="00041120"/>
    <w:rsid w:val="000435A4"/>
    <w:rsid w:val="000439DE"/>
    <w:rsid w:val="00043C91"/>
    <w:rsid w:val="00043E30"/>
    <w:rsid w:val="000456E4"/>
    <w:rsid w:val="0004675C"/>
    <w:rsid w:val="000467B4"/>
    <w:rsid w:val="00047346"/>
    <w:rsid w:val="00047366"/>
    <w:rsid w:val="000473A9"/>
    <w:rsid w:val="00047DF9"/>
    <w:rsid w:val="000500AC"/>
    <w:rsid w:val="00050180"/>
    <w:rsid w:val="0005031F"/>
    <w:rsid w:val="000518DB"/>
    <w:rsid w:val="000526F2"/>
    <w:rsid w:val="00052C52"/>
    <w:rsid w:val="0005384C"/>
    <w:rsid w:val="00053ED5"/>
    <w:rsid w:val="00053F04"/>
    <w:rsid w:val="00054CC4"/>
    <w:rsid w:val="0005736E"/>
    <w:rsid w:val="000574EC"/>
    <w:rsid w:val="00057656"/>
    <w:rsid w:val="00057E8A"/>
    <w:rsid w:val="0006049B"/>
    <w:rsid w:val="000614C2"/>
    <w:rsid w:val="00061D79"/>
    <w:rsid w:val="00062519"/>
    <w:rsid w:val="00062A36"/>
    <w:rsid w:val="00062A6F"/>
    <w:rsid w:val="00062C89"/>
    <w:rsid w:val="00062D24"/>
    <w:rsid w:val="00062F70"/>
    <w:rsid w:val="00063F18"/>
    <w:rsid w:val="00065AE1"/>
    <w:rsid w:val="00067C37"/>
    <w:rsid w:val="00070013"/>
    <w:rsid w:val="00070408"/>
    <w:rsid w:val="000707A9"/>
    <w:rsid w:val="0007150E"/>
    <w:rsid w:val="000716EB"/>
    <w:rsid w:val="00073473"/>
    <w:rsid w:val="00077108"/>
    <w:rsid w:val="00077B68"/>
    <w:rsid w:val="00081047"/>
    <w:rsid w:val="00084C47"/>
    <w:rsid w:val="0008571C"/>
    <w:rsid w:val="000859AB"/>
    <w:rsid w:val="000864EB"/>
    <w:rsid w:val="00086EA6"/>
    <w:rsid w:val="000900D5"/>
    <w:rsid w:val="00090527"/>
    <w:rsid w:val="000905CC"/>
    <w:rsid w:val="0009136A"/>
    <w:rsid w:val="0009188E"/>
    <w:rsid w:val="000923CD"/>
    <w:rsid w:val="0009270D"/>
    <w:rsid w:val="000930A7"/>
    <w:rsid w:val="00093575"/>
    <w:rsid w:val="00093940"/>
    <w:rsid w:val="00093A0D"/>
    <w:rsid w:val="00094214"/>
    <w:rsid w:val="000952D9"/>
    <w:rsid w:val="00096BBC"/>
    <w:rsid w:val="00096E84"/>
    <w:rsid w:val="000A0427"/>
    <w:rsid w:val="000A1595"/>
    <w:rsid w:val="000A167D"/>
    <w:rsid w:val="000A1D7D"/>
    <w:rsid w:val="000A23F8"/>
    <w:rsid w:val="000A3255"/>
    <w:rsid w:val="000A35A1"/>
    <w:rsid w:val="000A35C3"/>
    <w:rsid w:val="000A423E"/>
    <w:rsid w:val="000A4914"/>
    <w:rsid w:val="000A4E4C"/>
    <w:rsid w:val="000A5049"/>
    <w:rsid w:val="000A6099"/>
    <w:rsid w:val="000A6E8F"/>
    <w:rsid w:val="000B0039"/>
    <w:rsid w:val="000B0CFC"/>
    <w:rsid w:val="000B1FD0"/>
    <w:rsid w:val="000B233C"/>
    <w:rsid w:val="000B23C5"/>
    <w:rsid w:val="000B3BB7"/>
    <w:rsid w:val="000B4335"/>
    <w:rsid w:val="000B49F7"/>
    <w:rsid w:val="000B4B45"/>
    <w:rsid w:val="000B54F9"/>
    <w:rsid w:val="000B5EB9"/>
    <w:rsid w:val="000B6BAB"/>
    <w:rsid w:val="000B6F96"/>
    <w:rsid w:val="000C1686"/>
    <w:rsid w:val="000C1817"/>
    <w:rsid w:val="000C1890"/>
    <w:rsid w:val="000C2139"/>
    <w:rsid w:val="000C2794"/>
    <w:rsid w:val="000C3297"/>
    <w:rsid w:val="000C5352"/>
    <w:rsid w:val="000C5E1D"/>
    <w:rsid w:val="000C5F8F"/>
    <w:rsid w:val="000D0072"/>
    <w:rsid w:val="000D04CC"/>
    <w:rsid w:val="000D0E35"/>
    <w:rsid w:val="000D1B80"/>
    <w:rsid w:val="000D38FA"/>
    <w:rsid w:val="000D3DFB"/>
    <w:rsid w:val="000D44C8"/>
    <w:rsid w:val="000D5AB1"/>
    <w:rsid w:val="000D6D81"/>
    <w:rsid w:val="000D6FEA"/>
    <w:rsid w:val="000D7CB5"/>
    <w:rsid w:val="000E0089"/>
    <w:rsid w:val="000E01EB"/>
    <w:rsid w:val="000E0630"/>
    <w:rsid w:val="000E0987"/>
    <w:rsid w:val="000E1075"/>
    <w:rsid w:val="000E1556"/>
    <w:rsid w:val="000E1C80"/>
    <w:rsid w:val="000E245E"/>
    <w:rsid w:val="000E2D59"/>
    <w:rsid w:val="000E301F"/>
    <w:rsid w:val="000E4823"/>
    <w:rsid w:val="000E650C"/>
    <w:rsid w:val="000E6C5F"/>
    <w:rsid w:val="000F0313"/>
    <w:rsid w:val="000F11F5"/>
    <w:rsid w:val="000F18A4"/>
    <w:rsid w:val="000F284D"/>
    <w:rsid w:val="000F2DBC"/>
    <w:rsid w:val="000F2E71"/>
    <w:rsid w:val="000F34E4"/>
    <w:rsid w:val="000F3999"/>
    <w:rsid w:val="000F3BD5"/>
    <w:rsid w:val="000F41CC"/>
    <w:rsid w:val="000F4509"/>
    <w:rsid w:val="000F57CB"/>
    <w:rsid w:val="000F63EB"/>
    <w:rsid w:val="000F64C0"/>
    <w:rsid w:val="000F6FBD"/>
    <w:rsid w:val="000F7927"/>
    <w:rsid w:val="0010078F"/>
    <w:rsid w:val="00100AB5"/>
    <w:rsid w:val="00101263"/>
    <w:rsid w:val="001016CD"/>
    <w:rsid w:val="001026F8"/>
    <w:rsid w:val="001028B8"/>
    <w:rsid w:val="00104539"/>
    <w:rsid w:val="0010639B"/>
    <w:rsid w:val="00107A48"/>
    <w:rsid w:val="00110E2B"/>
    <w:rsid w:val="001112E8"/>
    <w:rsid w:val="00111E79"/>
    <w:rsid w:val="0011218E"/>
    <w:rsid w:val="001135EB"/>
    <w:rsid w:val="00113956"/>
    <w:rsid w:val="0011555F"/>
    <w:rsid w:val="001156EF"/>
    <w:rsid w:val="00115945"/>
    <w:rsid w:val="00115ACF"/>
    <w:rsid w:val="00116257"/>
    <w:rsid w:val="00116779"/>
    <w:rsid w:val="00120653"/>
    <w:rsid w:val="00120CE7"/>
    <w:rsid w:val="00121BBD"/>
    <w:rsid w:val="00122BD3"/>
    <w:rsid w:val="00124DF1"/>
    <w:rsid w:val="00125171"/>
    <w:rsid w:val="00125B24"/>
    <w:rsid w:val="00126B6F"/>
    <w:rsid w:val="00126E9F"/>
    <w:rsid w:val="00130022"/>
    <w:rsid w:val="00130662"/>
    <w:rsid w:val="001319AF"/>
    <w:rsid w:val="00132BFD"/>
    <w:rsid w:val="001333D7"/>
    <w:rsid w:val="00133ED6"/>
    <w:rsid w:val="00134FC5"/>
    <w:rsid w:val="00135C2F"/>
    <w:rsid w:val="00137087"/>
    <w:rsid w:val="001370D9"/>
    <w:rsid w:val="001374DD"/>
    <w:rsid w:val="00140DE4"/>
    <w:rsid w:val="00143B36"/>
    <w:rsid w:val="001471E3"/>
    <w:rsid w:val="00147C5A"/>
    <w:rsid w:val="001507B3"/>
    <w:rsid w:val="00150906"/>
    <w:rsid w:val="0015098B"/>
    <w:rsid w:val="0015122C"/>
    <w:rsid w:val="001529AA"/>
    <w:rsid w:val="00152A3C"/>
    <w:rsid w:val="00153186"/>
    <w:rsid w:val="001533F0"/>
    <w:rsid w:val="0015384D"/>
    <w:rsid w:val="00154294"/>
    <w:rsid w:val="0015466E"/>
    <w:rsid w:val="0015572F"/>
    <w:rsid w:val="00155932"/>
    <w:rsid w:val="00156998"/>
    <w:rsid w:val="00160CEF"/>
    <w:rsid w:val="00160FD3"/>
    <w:rsid w:val="00161D2C"/>
    <w:rsid w:val="00162162"/>
    <w:rsid w:val="00162612"/>
    <w:rsid w:val="00162951"/>
    <w:rsid w:val="00163B2A"/>
    <w:rsid w:val="00165AFB"/>
    <w:rsid w:val="00165FB4"/>
    <w:rsid w:val="0016749C"/>
    <w:rsid w:val="00167A46"/>
    <w:rsid w:val="001708FD"/>
    <w:rsid w:val="00170A91"/>
    <w:rsid w:val="00170BA3"/>
    <w:rsid w:val="00170E63"/>
    <w:rsid w:val="00171BEA"/>
    <w:rsid w:val="00171CA3"/>
    <w:rsid w:val="00172141"/>
    <w:rsid w:val="001724A4"/>
    <w:rsid w:val="00172514"/>
    <w:rsid w:val="00172A57"/>
    <w:rsid w:val="00172CD8"/>
    <w:rsid w:val="001732FD"/>
    <w:rsid w:val="0017335C"/>
    <w:rsid w:val="00173D64"/>
    <w:rsid w:val="00175C75"/>
    <w:rsid w:val="00176723"/>
    <w:rsid w:val="0017679F"/>
    <w:rsid w:val="00176BE1"/>
    <w:rsid w:val="001803F7"/>
    <w:rsid w:val="001809EC"/>
    <w:rsid w:val="001815A8"/>
    <w:rsid w:val="00181875"/>
    <w:rsid w:val="00181CBB"/>
    <w:rsid w:val="0018251B"/>
    <w:rsid w:val="001841FD"/>
    <w:rsid w:val="00185280"/>
    <w:rsid w:val="00185C2B"/>
    <w:rsid w:val="00185C9D"/>
    <w:rsid w:val="0018605F"/>
    <w:rsid w:val="001864F9"/>
    <w:rsid w:val="00190F97"/>
    <w:rsid w:val="00191768"/>
    <w:rsid w:val="00191DC9"/>
    <w:rsid w:val="0019227C"/>
    <w:rsid w:val="001924DD"/>
    <w:rsid w:val="00192A92"/>
    <w:rsid w:val="00192F3D"/>
    <w:rsid w:val="0019356F"/>
    <w:rsid w:val="00194C24"/>
    <w:rsid w:val="00194D0D"/>
    <w:rsid w:val="00195006"/>
    <w:rsid w:val="00196A18"/>
    <w:rsid w:val="00197CE1"/>
    <w:rsid w:val="001A15E0"/>
    <w:rsid w:val="001A166C"/>
    <w:rsid w:val="001A1CB9"/>
    <w:rsid w:val="001A3702"/>
    <w:rsid w:val="001A3E42"/>
    <w:rsid w:val="001A5573"/>
    <w:rsid w:val="001A5BFF"/>
    <w:rsid w:val="001A614D"/>
    <w:rsid w:val="001A6415"/>
    <w:rsid w:val="001A6627"/>
    <w:rsid w:val="001A72FA"/>
    <w:rsid w:val="001B0BE5"/>
    <w:rsid w:val="001B0D92"/>
    <w:rsid w:val="001B165D"/>
    <w:rsid w:val="001B367E"/>
    <w:rsid w:val="001B3A64"/>
    <w:rsid w:val="001B435D"/>
    <w:rsid w:val="001B43E6"/>
    <w:rsid w:val="001B706E"/>
    <w:rsid w:val="001B7792"/>
    <w:rsid w:val="001C0222"/>
    <w:rsid w:val="001C0C3E"/>
    <w:rsid w:val="001C1F7F"/>
    <w:rsid w:val="001C20EA"/>
    <w:rsid w:val="001C367D"/>
    <w:rsid w:val="001C47AC"/>
    <w:rsid w:val="001C5133"/>
    <w:rsid w:val="001C520A"/>
    <w:rsid w:val="001C5852"/>
    <w:rsid w:val="001C58BF"/>
    <w:rsid w:val="001C5D80"/>
    <w:rsid w:val="001C74F6"/>
    <w:rsid w:val="001C7B26"/>
    <w:rsid w:val="001D00E9"/>
    <w:rsid w:val="001D0503"/>
    <w:rsid w:val="001D47F8"/>
    <w:rsid w:val="001D74B7"/>
    <w:rsid w:val="001E00AA"/>
    <w:rsid w:val="001E0739"/>
    <w:rsid w:val="001E1112"/>
    <w:rsid w:val="001E11CC"/>
    <w:rsid w:val="001E1271"/>
    <w:rsid w:val="001E175D"/>
    <w:rsid w:val="001E24A9"/>
    <w:rsid w:val="001E36FF"/>
    <w:rsid w:val="001F0B1B"/>
    <w:rsid w:val="001F18C9"/>
    <w:rsid w:val="001F2414"/>
    <w:rsid w:val="001F2FB5"/>
    <w:rsid w:val="001F36ED"/>
    <w:rsid w:val="001F38FB"/>
    <w:rsid w:val="001F3DA5"/>
    <w:rsid w:val="001F634C"/>
    <w:rsid w:val="001F73E1"/>
    <w:rsid w:val="002002D6"/>
    <w:rsid w:val="00203657"/>
    <w:rsid w:val="002049CE"/>
    <w:rsid w:val="00204B4A"/>
    <w:rsid w:val="00205044"/>
    <w:rsid w:val="00206EA6"/>
    <w:rsid w:val="0020745E"/>
    <w:rsid w:val="002103AA"/>
    <w:rsid w:val="0021260E"/>
    <w:rsid w:val="00212707"/>
    <w:rsid w:val="00212A5E"/>
    <w:rsid w:val="00213DAA"/>
    <w:rsid w:val="00213E48"/>
    <w:rsid w:val="00216352"/>
    <w:rsid w:val="00216BFE"/>
    <w:rsid w:val="00217165"/>
    <w:rsid w:val="002172DB"/>
    <w:rsid w:val="00217978"/>
    <w:rsid w:val="0022085B"/>
    <w:rsid w:val="00220A36"/>
    <w:rsid w:val="00220D06"/>
    <w:rsid w:val="00222243"/>
    <w:rsid w:val="002241E0"/>
    <w:rsid w:val="002243C7"/>
    <w:rsid w:val="00225838"/>
    <w:rsid w:val="00227245"/>
    <w:rsid w:val="00227868"/>
    <w:rsid w:val="002303DB"/>
    <w:rsid w:val="002314EF"/>
    <w:rsid w:val="00231813"/>
    <w:rsid w:val="00231FDB"/>
    <w:rsid w:val="002328B6"/>
    <w:rsid w:val="00234BDE"/>
    <w:rsid w:val="00235B00"/>
    <w:rsid w:val="0023725C"/>
    <w:rsid w:val="0023746E"/>
    <w:rsid w:val="0023765D"/>
    <w:rsid w:val="00240D8B"/>
    <w:rsid w:val="00241519"/>
    <w:rsid w:val="00241B69"/>
    <w:rsid w:val="00241E71"/>
    <w:rsid w:val="0024484A"/>
    <w:rsid w:val="002452A4"/>
    <w:rsid w:val="00246950"/>
    <w:rsid w:val="0025008D"/>
    <w:rsid w:val="00250150"/>
    <w:rsid w:val="00251053"/>
    <w:rsid w:val="00251621"/>
    <w:rsid w:val="002529E0"/>
    <w:rsid w:val="00253268"/>
    <w:rsid w:val="00254630"/>
    <w:rsid w:val="00254C4F"/>
    <w:rsid w:val="002559A2"/>
    <w:rsid w:val="00255AD3"/>
    <w:rsid w:val="002560F0"/>
    <w:rsid w:val="00256C10"/>
    <w:rsid w:val="002571FA"/>
    <w:rsid w:val="0025721F"/>
    <w:rsid w:val="0026018C"/>
    <w:rsid w:val="002601B4"/>
    <w:rsid w:val="0026090D"/>
    <w:rsid w:val="00260B13"/>
    <w:rsid w:val="002614B0"/>
    <w:rsid w:val="00262A17"/>
    <w:rsid w:val="00264E35"/>
    <w:rsid w:val="0026522C"/>
    <w:rsid w:val="00265595"/>
    <w:rsid w:val="00265C23"/>
    <w:rsid w:val="00265D3C"/>
    <w:rsid w:val="0026687E"/>
    <w:rsid w:val="00266BBD"/>
    <w:rsid w:val="002707A6"/>
    <w:rsid w:val="002708D1"/>
    <w:rsid w:val="00271557"/>
    <w:rsid w:val="002737A4"/>
    <w:rsid w:val="00274246"/>
    <w:rsid w:val="002744AC"/>
    <w:rsid w:val="0027492A"/>
    <w:rsid w:val="0027514A"/>
    <w:rsid w:val="00275A2A"/>
    <w:rsid w:val="00277CF8"/>
    <w:rsid w:val="00277F9E"/>
    <w:rsid w:val="002804E4"/>
    <w:rsid w:val="00280981"/>
    <w:rsid w:val="00281DC4"/>
    <w:rsid w:val="00282904"/>
    <w:rsid w:val="00284098"/>
    <w:rsid w:val="00284E1F"/>
    <w:rsid w:val="002852A6"/>
    <w:rsid w:val="002855BA"/>
    <w:rsid w:val="002866FC"/>
    <w:rsid w:val="00286E61"/>
    <w:rsid w:val="002870E6"/>
    <w:rsid w:val="00287D8E"/>
    <w:rsid w:val="0029054A"/>
    <w:rsid w:val="00290AB8"/>
    <w:rsid w:val="00290B91"/>
    <w:rsid w:val="002929CB"/>
    <w:rsid w:val="00293BA7"/>
    <w:rsid w:val="002945B4"/>
    <w:rsid w:val="00294690"/>
    <w:rsid w:val="00294A15"/>
    <w:rsid w:val="00294A36"/>
    <w:rsid w:val="00295191"/>
    <w:rsid w:val="002953FC"/>
    <w:rsid w:val="00295DBE"/>
    <w:rsid w:val="00296289"/>
    <w:rsid w:val="00296FCD"/>
    <w:rsid w:val="002976C9"/>
    <w:rsid w:val="002A169D"/>
    <w:rsid w:val="002A1774"/>
    <w:rsid w:val="002A20E1"/>
    <w:rsid w:val="002A3FFA"/>
    <w:rsid w:val="002A4793"/>
    <w:rsid w:val="002A4F4D"/>
    <w:rsid w:val="002A7C1B"/>
    <w:rsid w:val="002B042E"/>
    <w:rsid w:val="002B116B"/>
    <w:rsid w:val="002B1476"/>
    <w:rsid w:val="002B2B8E"/>
    <w:rsid w:val="002B3A2F"/>
    <w:rsid w:val="002B3AB1"/>
    <w:rsid w:val="002B418A"/>
    <w:rsid w:val="002B455D"/>
    <w:rsid w:val="002B48C7"/>
    <w:rsid w:val="002B567C"/>
    <w:rsid w:val="002B5E25"/>
    <w:rsid w:val="002B6D25"/>
    <w:rsid w:val="002C00AE"/>
    <w:rsid w:val="002C0432"/>
    <w:rsid w:val="002C08D6"/>
    <w:rsid w:val="002C0DD8"/>
    <w:rsid w:val="002C11E8"/>
    <w:rsid w:val="002C1D74"/>
    <w:rsid w:val="002C2199"/>
    <w:rsid w:val="002C2898"/>
    <w:rsid w:val="002C2A8D"/>
    <w:rsid w:val="002C32BD"/>
    <w:rsid w:val="002C40AB"/>
    <w:rsid w:val="002C41F7"/>
    <w:rsid w:val="002C4527"/>
    <w:rsid w:val="002C5940"/>
    <w:rsid w:val="002C61EF"/>
    <w:rsid w:val="002C62F8"/>
    <w:rsid w:val="002C78F7"/>
    <w:rsid w:val="002C7AE9"/>
    <w:rsid w:val="002C7EC5"/>
    <w:rsid w:val="002D03AF"/>
    <w:rsid w:val="002D1F48"/>
    <w:rsid w:val="002D345D"/>
    <w:rsid w:val="002D39B4"/>
    <w:rsid w:val="002D3B5E"/>
    <w:rsid w:val="002D3FD1"/>
    <w:rsid w:val="002D4527"/>
    <w:rsid w:val="002D499F"/>
    <w:rsid w:val="002D542B"/>
    <w:rsid w:val="002D5AF7"/>
    <w:rsid w:val="002D62AA"/>
    <w:rsid w:val="002D75B1"/>
    <w:rsid w:val="002D79DC"/>
    <w:rsid w:val="002D7CFB"/>
    <w:rsid w:val="002E09B2"/>
    <w:rsid w:val="002E0F93"/>
    <w:rsid w:val="002E2113"/>
    <w:rsid w:val="002E2B76"/>
    <w:rsid w:val="002E3097"/>
    <w:rsid w:val="002E3909"/>
    <w:rsid w:val="002E444E"/>
    <w:rsid w:val="002E530D"/>
    <w:rsid w:val="002E5E63"/>
    <w:rsid w:val="002E6423"/>
    <w:rsid w:val="002E7C65"/>
    <w:rsid w:val="002F05F0"/>
    <w:rsid w:val="002F07FE"/>
    <w:rsid w:val="002F14DE"/>
    <w:rsid w:val="002F1579"/>
    <w:rsid w:val="002F32D0"/>
    <w:rsid w:val="002F44C4"/>
    <w:rsid w:val="002F4D4E"/>
    <w:rsid w:val="002F55CA"/>
    <w:rsid w:val="002F5658"/>
    <w:rsid w:val="0030019F"/>
    <w:rsid w:val="003004E1"/>
    <w:rsid w:val="00300CC0"/>
    <w:rsid w:val="00301C25"/>
    <w:rsid w:val="00301CB7"/>
    <w:rsid w:val="00302AEE"/>
    <w:rsid w:val="003038E1"/>
    <w:rsid w:val="00304495"/>
    <w:rsid w:val="00305EB8"/>
    <w:rsid w:val="003066AB"/>
    <w:rsid w:val="00306BF7"/>
    <w:rsid w:val="003070AF"/>
    <w:rsid w:val="00307537"/>
    <w:rsid w:val="00310579"/>
    <w:rsid w:val="00311697"/>
    <w:rsid w:val="0031388F"/>
    <w:rsid w:val="003140E0"/>
    <w:rsid w:val="00314E3D"/>
    <w:rsid w:val="00315669"/>
    <w:rsid w:val="003157D8"/>
    <w:rsid w:val="00315C85"/>
    <w:rsid w:val="003166A4"/>
    <w:rsid w:val="00316CB1"/>
    <w:rsid w:val="00316DBF"/>
    <w:rsid w:val="0031729C"/>
    <w:rsid w:val="00317694"/>
    <w:rsid w:val="00317EED"/>
    <w:rsid w:val="00317F5A"/>
    <w:rsid w:val="0032010F"/>
    <w:rsid w:val="00320120"/>
    <w:rsid w:val="00321F66"/>
    <w:rsid w:val="00323B76"/>
    <w:rsid w:val="00326525"/>
    <w:rsid w:val="00326E89"/>
    <w:rsid w:val="003274C1"/>
    <w:rsid w:val="00327535"/>
    <w:rsid w:val="00327624"/>
    <w:rsid w:val="00330357"/>
    <w:rsid w:val="00330938"/>
    <w:rsid w:val="00330AC6"/>
    <w:rsid w:val="00330B29"/>
    <w:rsid w:val="00330C0E"/>
    <w:rsid w:val="0033235A"/>
    <w:rsid w:val="00332376"/>
    <w:rsid w:val="00332710"/>
    <w:rsid w:val="003332C3"/>
    <w:rsid w:val="003334F9"/>
    <w:rsid w:val="00335643"/>
    <w:rsid w:val="00336805"/>
    <w:rsid w:val="00336DEE"/>
    <w:rsid w:val="00337DA0"/>
    <w:rsid w:val="0034022C"/>
    <w:rsid w:val="00340C0E"/>
    <w:rsid w:val="00341062"/>
    <w:rsid w:val="003415D3"/>
    <w:rsid w:val="00341705"/>
    <w:rsid w:val="00342131"/>
    <w:rsid w:val="00342648"/>
    <w:rsid w:val="003427D8"/>
    <w:rsid w:val="0034301A"/>
    <w:rsid w:val="003444D5"/>
    <w:rsid w:val="00345302"/>
    <w:rsid w:val="00346AA0"/>
    <w:rsid w:val="00346D98"/>
    <w:rsid w:val="003476AA"/>
    <w:rsid w:val="00347B1C"/>
    <w:rsid w:val="00350340"/>
    <w:rsid w:val="00353D5D"/>
    <w:rsid w:val="00353EED"/>
    <w:rsid w:val="00354880"/>
    <w:rsid w:val="00356A53"/>
    <w:rsid w:val="003612A2"/>
    <w:rsid w:val="003618E5"/>
    <w:rsid w:val="0036211F"/>
    <w:rsid w:val="00362DF3"/>
    <w:rsid w:val="00363119"/>
    <w:rsid w:val="00363455"/>
    <w:rsid w:val="00363D98"/>
    <w:rsid w:val="003642F9"/>
    <w:rsid w:val="00364804"/>
    <w:rsid w:val="00366B19"/>
    <w:rsid w:val="0036764F"/>
    <w:rsid w:val="00367B69"/>
    <w:rsid w:val="0037006F"/>
    <w:rsid w:val="00370DF6"/>
    <w:rsid w:val="003716B4"/>
    <w:rsid w:val="00372F51"/>
    <w:rsid w:val="00374FE3"/>
    <w:rsid w:val="003767A6"/>
    <w:rsid w:val="003770D7"/>
    <w:rsid w:val="00377D27"/>
    <w:rsid w:val="003801B3"/>
    <w:rsid w:val="00380524"/>
    <w:rsid w:val="00380B0A"/>
    <w:rsid w:val="00381561"/>
    <w:rsid w:val="00381728"/>
    <w:rsid w:val="00382CCE"/>
    <w:rsid w:val="003831D1"/>
    <w:rsid w:val="00384A4F"/>
    <w:rsid w:val="00384C70"/>
    <w:rsid w:val="00385F81"/>
    <w:rsid w:val="0038710B"/>
    <w:rsid w:val="0038765F"/>
    <w:rsid w:val="00390064"/>
    <w:rsid w:val="003904AD"/>
    <w:rsid w:val="00390AE3"/>
    <w:rsid w:val="00391D8F"/>
    <w:rsid w:val="00391F6D"/>
    <w:rsid w:val="00391FD2"/>
    <w:rsid w:val="00392E8A"/>
    <w:rsid w:val="00393652"/>
    <w:rsid w:val="00394CE0"/>
    <w:rsid w:val="00395C24"/>
    <w:rsid w:val="00395FC1"/>
    <w:rsid w:val="003968DF"/>
    <w:rsid w:val="00396E7E"/>
    <w:rsid w:val="003975AA"/>
    <w:rsid w:val="003A1882"/>
    <w:rsid w:val="003A1E8B"/>
    <w:rsid w:val="003A31D2"/>
    <w:rsid w:val="003A32FB"/>
    <w:rsid w:val="003A4124"/>
    <w:rsid w:val="003A5286"/>
    <w:rsid w:val="003A6299"/>
    <w:rsid w:val="003A6A0B"/>
    <w:rsid w:val="003A6A75"/>
    <w:rsid w:val="003A71F4"/>
    <w:rsid w:val="003A78FA"/>
    <w:rsid w:val="003A7AE1"/>
    <w:rsid w:val="003A7FD5"/>
    <w:rsid w:val="003B09E0"/>
    <w:rsid w:val="003B1651"/>
    <w:rsid w:val="003B1C1A"/>
    <w:rsid w:val="003B1E91"/>
    <w:rsid w:val="003B39EF"/>
    <w:rsid w:val="003B4C0B"/>
    <w:rsid w:val="003B4DCD"/>
    <w:rsid w:val="003B5A03"/>
    <w:rsid w:val="003B5F2A"/>
    <w:rsid w:val="003B6292"/>
    <w:rsid w:val="003B6A63"/>
    <w:rsid w:val="003B70CD"/>
    <w:rsid w:val="003C02DC"/>
    <w:rsid w:val="003C0FED"/>
    <w:rsid w:val="003C2653"/>
    <w:rsid w:val="003C2C5D"/>
    <w:rsid w:val="003C2C83"/>
    <w:rsid w:val="003C3142"/>
    <w:rsid w:val="003C3DCF"/>
    <w:rsid w:val="003C5838"/>
    <w:rsid w:val="003C5B75"/>
    <w:rsid w:val="003C6122"/>
    <w:rsid w:val="003D0A99"/>
    <w:rsid w:val="003D0B8E"/>
    <w:rsid w:val="003D15ED"/>
    <w:rsid w:val="003D17AC"/>
    <w:rsid w:val="003D19EA"/>
    <w:rsid w:val="003D1C00"/>
    <w:rsid w:val="003D1D36"/>
    <w:rsid w:val="003D2670"/>
    <w:rsid w:val="003D2991"/>
    <w:rsid w:val="003D3CB6"/>
    <w:rsid w:val="003D3E96"/>
    <w:rsid w:val="003D42F7"/>
    <w:rsid w:val="003D4577"/>
    <w:rsid w:val="003D4903"/>
    <w:rsid w:val="003D4E17"/>
    <w:rsid w:val="003D53E3"/>
    <w:rsid w:val="003D7101"/>
    <w:rsid w:val="003D744B"/>
    <w:rsid w:val="003E06B7"/>
    <w:rsid w:val="003E08C0"/>
    <w:rsid w:val="003E1E2B"/>
    <w:rsid w:val="003E2CC5"/>
    <w:rsid w:val="003E2DE3"/>
    <w:rsid w:val="003E2DEC"/>
    <w:rsid w:val="003E2F77"/>
    <w:rsid w:val="003E434C"/>
    <w:rsid w:val="003E488C"/>
    <w:rsid w:val="003E4CBC"/>
    <w:rsid w:val="003E5531"/>
    <w:rsid w:val="003E5575"/>
    <w:rsid w:val="003E5BB8"/>
    <w:rsid w:val="003E79AD"/>
    <w:rsid w:val="003E7B76"/>
    <w:rsid w:val="003F036C"/>
    <w:rsid w:val="003F1271"/>
    <w:rsid w:val="003F22D5"/>
    <w:rsid w:val="003F30A2"/>
    <w:rsid w:val="003F4AB9"/>
    <w:rsid w:val="003F5F0F"/>
    <w:rsid w:val="003F612F"/>
    <w:rsid w:val="003F73C9"/>
    <w:rsid w:val="003F78C9"/>
    <w:rsid w:val="003F7A38"/>
    <w:rsid w:val="00400088"/>
    <w:rsid w:val="004011F2"/>
    <w:rsid w:val="004023C1"/>
    <w:rsid w:val="004033F7"/>
    <w:rsid w:val="00403874"/>
    <w:rsid w:val="00403F4D"/>
    <w:rsid w:val="00405991"/>
    <w:rsid w:val="00405E49"/>
    <w:rsid w:val="00406C3A"/>
    <w:rsid w:val="004072FE"/>
    <w:rsid w:val="004079CC"/>
    <w:rsid w:val="004079EA"/>
    <w:rsid w:val="00407ABE"/>
    <w:rsid w:val="0041069F"/>
    <w:rsid w:val="004112AF"/>
    <w:rsid w:val="00411EBF"/>
    <w:rsid w:val="00414061"/>
    <w:rsid w:val="004147AB"/>
    <w:rsid w:val="00414C08"/>
    <w:rsid w:val="00415685"/>
    <w:rsid w:val="004162AC"/>
    <w:rsid w:val="0041650B"/>
    <w:rsid w:val="00416A5D"/>
    <w:rsid w:val="0041728F"/>
    <w:rsid w:val="00420813"/>
    <w:rsid w:val="00420DBF"/>
    <w:rsid w:val="00423A4C"/>
    <w:rsid w:val="00424A2A"/>
    <w:rsid w:val="00426C1F"/>
    <w:rsid w:val="00426E98"/>
    <w:rsid w:val="00432D30"/>
    <w:rsid w:val="0043351E"/>
    <w:rsid w:val="0043411E"/>
    <w:rsid w:val="00435664"/>
    <w:rsid w:val="004359BC"/>
    <w:rsid w:val="0043690E"/>
    <w:rsid w:val="004371C2"/>
    <w:rsid w:val="00437D0D"/>
    <w:rsid w:val="0044077C"/>
    <w:rsid w:val="004412D4"/>
    <w:rsid w:val="00442BD6"/>
    <w:rsid w:val="00442CC2"/>
    <w:rsid w:val="004433F4"/>
    <w:rsid w:val="004454B3"/>
    <w:rsid w:val="00450792"/>
    <w:rsid w:val="00450CDA"/>
    <w:rsid w:val="00452D37"/>
    <w:rsid w:val="00453875"/>
    <w:rsid w:val="004561AE"/>
    <w:rsid w:val="004575E7"/>
    <w:rsid w:val="00457A1B"/>
    <w:rsid w:val="00460642"/>
    <w:rsid w:val="00460E87"/>
    <w:rsid w:val="00461CEE"/>
    <w:rsid w:val="00462362"/>
    <w:rsid w:val="00462CED"/>
    <w:rsid w:val="004633C3"/>
    <w:rsid w:val="0046382C"/>
    <w:rsid w:val="00463C29"/>
    <w:rsid w:val="004653EF"/>
    <w:rsid w:val="00465905"/>
    <w:rsid w:val="00465928"/>
    <w:rsid w:val="00465B3F"/>
    <w:rsid w:val="00467B04"/>
    <w:rsid w:val="00467E5D"/>
    <w:rsid w:val="0047057E"/>
    <w:rsid w:val="00471142"/>
    <w:rsid w:val="004715E3"/>
    <w:rsid w:val="00471890"/>
    <w:rsid w:val="004730EC"/>
    <w:rsid w:val="004732D0"/>
    <w:rsid w:val="00474143"/>
    <w:rsid w:val="00475590"/>
    <w:rsid w:val="00475CF5"/>
    <w:rsid w:val="004767E0"/>
    <w:rsid w:val="00476C15"/>
    <w:rsid w:val="00476CF8"/>
    <w:rsid w:val="00477FD1"/>
    <w:rsid w:val="00477FF9"/>
    <w:rsid w:val="004805D2"/>
    <w:rsid w:val="004818C2"/>
    <w:rsid w:val="00481C62"/>
    <w:rsid w:val="0048304E"/>
    <w:rsid w:val="004833D0"/>
    <w:rsid w:val="00483ED3"/>
    <w:rsid w:val="00484B44"/>
    <w:rsid w:val="004867EC"/>
    <w:rsid w:val="004869B7"/>
    <w:rsid w:val="00487BE9"/>
    <w:rsid w:val="00487E99"/>
    <w:rsid w:val="004909D7"/>
    <w:rsid w:val="00490A05"/>
    <w:rsid w:val="0049137E"/>
    <w:rsid w:val="004917D3"/>
    <w:rsid w:val="004919E8"/>
    <w:rsid w:val="00492292"/>
    <w:rsid w:val="00493317"/>
    <w:rsid w:val="004934F5"/>
    <w:rsid w:val="00493D0C"/>
    <w:rsid w:val="0049523F"/>
    <w:rsid w:val="00495292"/>
    <w:rsid w:val="004965DB"/>
    <w:rsid w:val="00496B97"/>
    <w:rsid w:val="00496CEE"/>
    <w:rsid w:val="00497E6C"/>
    <w:rsid w:val="004A33C7"/>
    <w:rsid w:val="004A6386"/>
    <w:rsid w:val="004A6B7C"/>
    <w:rsid w:val="004A7C32"/>
    <w:rsid w:val="004B0C87"/>
    <w:rsid w:val="004B3897"/>
    <w:rsid w:val="004B4125"/>
    <w:rsid w:val="004B4D95"/>
    <w:rsid w:val="004B51B5"/>
    <w:rsid w:val="004B572E"/>
    <w:rsid w:val="004B7EBE"/>
    <w:rsid w:val="004B7FCB"/>
    <w:rsid w:val="004C121D"/>
    <w:rsid w:val="004C128C"/>
    <w:rsid w:val="004C1770"/>
    <w:rsid w:val="004C190D"/>
    <w:rsid w:val="004C2A45"/>
    <w:rsid w:val="004C2D2D"/>
    <w:rsid w:val="004C4D7B"/>
    <w:rsid w:val="004C5877"/>
    <w:rsid w:val="004C5F1B"/>
    <w:rsid w:val="004C6E34"/>
    <w:rsid w:val="004C7A52"/>
    <w:rsid w:val="004D0EFA"/>
    <w:rsid w:val="004D4491"/>
    <w:rsid w:val="004D5EE5"/>
    <w:rsid w:val="004D5F11"/>
    <w:rsid w:val="004E0853"/>
    <w:rsid w:val="004E0A4D"/>
    <w:rsid w:val="004E0C02"/>
    <w:rsid w:val="004E0D3E"/>
    <w:rsid w:val="004E153F"/>
    <w:rsid w:val="004E1BC9"/>
    <w:rsid w:val="004E1FB6"/>
    <w:rsid w:val="004E256D"/>
    <w:rsid w:val="004E2C28"/>
    <w:rsid w:val="004E3649"/>
    <w:rsid w:val="004E430B"/>
    <w:rsid w:val="004E4C05"/>
    <w:rsid w:val="004E546B"/>
    <w:rsid w:val="004E6398"/>
    <w:rsid w:val="004E6A7D"/>
    <w:rsid w:val="004E6A9A"/>
    <w:rsid w:val="004E6C92"/>
    <w:rsid w:val="004F0CC1"/>
    <w:rsid w:val="004F0DBC"/>
    <w:rsid w:val="004F1127"/>
    <w:rsid w:val="004F1916"/>
    <w:rsid w:val="004F3E8D"/>
    <w:rsid w:val="004F4183"/>
    <w:rsid w:val="004F5223"/>
    <w:rsid w:val="004F5545"/>
    <w:rsid w:val="004F55B0"/>
    <w:rsid w:val="004F67D0"/>
    <w:rsid w:val="004F7609"/>
    <w:rsid w:val="004F7D7E"/>
    <w:rsid w:val="005011E5"/>
    <w:rsid w:val="00501917"/>
    <w:rsid w:val="00502856"/>
    <w:rsid w:val="005028DB"/>
    <w:rsid w:val="00502EE4"/>
    <w:rsid w:val="00502F5A"/>
    <w:rsid w:val="00503DB5"/>
    <w:rsid w:val="0050549F"/>
    <w:rsid w:val="005054C6"/>
    <w:rsid w:val="0050619A"/>
    <w:rsid w:val="00507812"/>
    <w:rsid w:val="00507BD6"/>
    <w:rsid w:val="005108FF"/>
    <w:rsid w:val="005112C3"/>
    <w:rsid w:val="005115D0"/>
    <w:rsid w:val="00511B8D"/>
    <w:rsid w:val="00511C54"/>
    <w:rsid w:val="005120C4"/>
    <w:rsid w:val="0051265E"/>
    <w:rsid w:val="00513074"/>
    <w:rsid w:val="00513E8D"/>
    <w:rsid w:val="0051471C"/>
    <w:rsid w:val="005153A8"/>
    <w:rsid w:val="00515901"/>
    <w:rsid w:val="00515D20"/>
    <w:rsid w:val="005162A8"/>
    <w:rsid w:val="00516786"/>
    <w:rsid w:val="005167B4"/>
    <w:rsid w:val="0051723C"/>
    <w:rsid w:val="0052002D"/>
    <w:rsid w:val="00520FEE"/>
    <w:rsid w:val="00521890"/>
    <w:rsid w:val="005219B6"/>
    <w:rsid w:val="00521BEC"/>
    <w:rsid w:val="00521F4A"/>
    <w:rsid w:val="00522086"/>
    <w:rsid w:val="00522BB5"/>
    <w:rsid w:val="00522FC4"/>
    <w:rsid w:val="00523D12"/>
    <w:rsid w:val="00523EDB"/>
    <w:rsid w:val="00526A13"/>
    <w:rsid w:val="00526FE0"/>
    <w:rsid w:val="00530704"/>
    <w:rsid w:val="005314A4"/>
    <w:rsid w:val="0053217F"/>
    <w:rsid w:val="005324A9"/>
    <w:rsid w:val="00532925"/>
    <w:rsid w:val="00532A51"/>
    <w:rsid w:val="00533190"/>
    <w:rsid w:val="00533350"/>
    <w:rsid w:val="005340F0"/>
    <w:rsid w:val="00534BF7"/>
    <w:rsid w:val="00535CC9"/>
    <w:rsid w:val="00537162"/>
    <w:rsid w:val="005375F4"/>
    <w:rsid w:val="0053793E"/>
    <w:rsid w:val="00541828"/>
    <w:rsid w:val="00544A51"/>
    <w:rsid w:val="00544C0E"/>
    <w:rsid w:val="00544D36"/>
    <w:rsid w:val="00545575"/>
    <w:rsid w:val="005455E9"/>
    <w:rsid w:val="00546380"/>
    <w:rsid w:val="0054736E"/>
    <w:rsid w:val="005477F3"/>
    <w:rsid w:val="00550CCA"/>
    <w:rsid w:val="005518C1"/>
    <w:rsid w:val="00551BD2"/>
    <w:rsid w:val="005524C1"/>
    <w:rsid w:val="0055357F"/>
    <w:rsid w:val="005546F1"/>
    <w:rsid w:val="005550AC"/>
    <w:rsid w:val="0055562C"/>
    <w:rsid w:val="005556D4"/>
    <w:rsid w:val="005571B7"/>
    <w:rsid w:val="00560D37"/>
    <w:rsid w:val="00561E92"/>
    <w:rsid w:val="00562AF6"/>
    <w:rsid w:val="00563D21"/>
    <w:rsid w:val="00564BE4"/>
    <w:rsid w:val="00565682"/>
    <w:rsid w:val="00565C90"/>
    <w:rsid w:val="00566020"/>
    <w:rsid w:val="00566493"/>
    <w:rsid w:val="0056737B"/>
    <w:rsid w:val="00567D66"/>
    <w:rsid w:val="00571865"/>
    <w:rsid w:val="0057194D"/>
    <w:rsid w:val="005722F3"/>
    <w:rsid w:val="00574363"/>
    <w:rsid w:val="0057545E"/>
    <w:rsid w:val="00575AD7"/>
    <w:rsid w:val="00575F2E"/>
    <w:rsid w:val="00576FA4"/>
    <w:rsid w:val="00577D0E"/>
    <w:rsid w:val="00580158"/>
    <w:rsid w:val="0058179F"/>
    <w:rsid w:val="005838F3"/>
    <w:rsid w:val="00583934"/>
    <w:rsid w:val="00584B73"/>
    <w:rsid w:val="00584E35"/>
    <w:rsid w:val="00585193"/>
    <w:rsid w:val="00586E35"/>
    <w:rsid w:val="005872C3"/>
    <w:rsid w:val="00587462"/>
    <w:rsid w:val="00590862"/>
    <w:rsid w:val="0059167E"/>
    <w:rsid w:val="005926E8"/>
    <w:rsid w:val="00592BB8"/>
    <w:rsid w:val="005931F8"/>
    <w:rsid w:val="00593CE6"/>
    <w:rsid w:val="00593D9A"/>
    <w:rsid w:val="0059468D"/>
    <w:rsid w:val="0059515D"/>
    <w:rsid w:val="005968F7"/>
    <w:rsid w:val="005970D7"/>
    <w:rsid w:val="00597126"/>
    <w:rsid w:val="00597C00"/>
    <w:rsid w:val="005A0978"/>
    <w:rsid w:val="005A0F66"/>
    <w:rsid w:val="005A0FBB"/>
    <w:rsid w:val="005A1A16"/>
    <w:rsid w:val="005A2EFC"/>
    <w:rsid w:val="005A3B7D"/>
    <w:rsid w:val="005A47E1"/>
    <w:rsid w:val="005A51FF"/>
    <w:rsid w:val="005A7E03"/>
    <w:rsid w:val="005A7E24"/>
    <w:rsid w:val="005B0F6D"/>
    <w:rsid w:val="005B1F0E"/>
    <w:rsid w:val="005B2AD5"/>
    <w:rsid w:val="005B3331"/>
    <w:rsid w:val="005B34D5"/>
    <w:rsid w:val="005B3A75"/>
    <w:rsid w:val="005B426D"/>
    <w:rsid w:val="005B4E1E"/>
    <w:rsid w:val="005B52D0"/>
    <w:rsid w:val="005B5865"/>
    <w:rsid w:val="005B713A"/>
    <w:rsid w:val="005C1AED"/>
    <w:rsid w:val="005C1B8F"/>
    <w:rsid w:val="005C240E"/>
    <w:rsid w:val="005C249B"/>
    <w:rsid w:val="005C4056"/>
    <w:rsid w:val="005C4B35"/>
    <w:rsid w:val="005C6B28"/>
    <w:rsid w:val="005C6BBD"/>
    <w:rsid w:val="005C78BF"/>
    <w:rsid w:val="005C793B"/>
    <w:rsid w:val="005D034B"/>
    <w:rsid w:val="005D0DEC"/>
    <w:rsid w:val="005D0FCD"/>
    <w:rsid w:val="005D1B3B"/>
    <w:rsid w:val="005D2962"/>
    <w:rsid w:val="005D3042"/>
    <w:rsid w:val="005D31BD"/>
    <w:rsid w:val="005D3F5D"/>
    <w:rsid w:val="005D416D"/>
    <w:rsid w:val="005D4382"/>
    <w:rsid w:val="005D49AD"/>
    <w:rsid w:val="005D5B6E"/>
    <w:rsid w:val="005D5B9F"/>
    <w:rsid w:val="005D5F52"/>
    <w:rsid w:val="005D5FFF"/>
    <w:rsid w:val="005D6931"/>
    <w:rsid w:val="005D6ED3"/>
    <w:rsid w:val="005D75D7"/>
    <w:rsid w:val="005D7784"/>
    <w:rsid w:val="005E0260"/>
    <w:rsid w:val="005E2BD2"/>
    <w:rsid w:val="005E2D7E"/>
    <w:rsid w:val="005E4320"/>
    <w:rsid w:val="005E4BD9"/>
    <w:rsid w:val="005E5830"/>
    <w:rsid w:val="005E72CA"/>
    <w:rsid w:val="005E7AA7"/>
    <w:rsid w:val="005E7F06"/>
    <w:rsid w:val="005F003B"/>
    <w:rsid w:val="005F05DF"/>
    <w:rsid w:val="005F0C1F"/>
    <w:rsid w:val="005F167F"/>
    <w:rsid w:val="005F1971"/>
    <w:rsid w:val="005F1FEF"/>
    <w:rsid w:val="005F2265"/>
    <w:rsid w:val="005F2544"/>
    <w:rsid w:val="005F3312"/>
    <w:rsid w:val="005F35AB"/>
    <w:rsid w:val="005F403B"/>
    <w:rsid w:val="005F41BF"/>
    <w:rsid w:val="005F4AEC"/>
    <w:rsid w:val="005F5565"/>
    <w:rsid w:val="005F6123"/>
    <w:rsid w:val="005F6BD2"/>
    <w:rsid w:val="005F7155"/>
    <w:rsid w:val="005F7A52"/>
    <w:rsid w:val="00600845"/>
    <w:rsid w:val="006009D0"/>
    <w:rsid w:val="00601798"/>
    <w:rsid w:val="00601D02"/>
    <w:rsid w:val="006023A3"/>
    <w:rsid w:val="0060285C"/>
    <w:rsid w:val="00603182"/>
    <w:rsid w:val="006038AF"/>
    <w:rsid w:val="006043BE"/>
    <w:rsid w:val="0060474D"/>
    <w:rsid w:val="00604838"/>
    <w:rsid w:val="00605DC3"/>
    <w:rsid w:val="00606D55"/>
    <w:rsid w:val="006071E4"/>
    <w:rsid w:val="006109C9"/>
    <w:rsid w:val="00611676"/>
    <w:rsid w:val="006117D4"/>
    <w:rsid w:val="00611D6A"/>
    <w:rsid w:val="00612111"/>
    <w:rsid w:val="00612123"/>
    <w:rsid w:val="006122D9"/>
    <w:rsid w:val="00613234"/>
    <w:rsid w:val="00613C39"/>
    <w:rsid w:val="00613D85"/>
    <w:rsid w:val="0061452D"/>
    <w:rsid w:val="0061491B"/>
    <w:rsid w:val="006156F1"/>
    <w:rsid w:val="0062007E"/>
    <w:rsid w:val="00621FFC"/>
    <w:rsid w:val="00624451"/>
    <w:rsid w:val="00624BF8"/>
    <w:rsid w:val="00624EA3"/>
    <w:rsid w:val="00625202"/>
    <w:rsid w:val="00625208"/>
    <w:rsid w:val="00630066"/>
    <w:rsid w:val="00632AC1"/>
    <w:rsid w:val="006330ED"/>
    <w:rsid w:val="00634A87"/>
    <w:rsid w:val="00634EF0"/>
    <w:rsid w:val="00634FEE"/>
    <w:rsid w:val="00636402"/>
    <w:rsid w:val="00636426"/>
    <w:rsid w:val="00636722"/>
    <w:rsid w:val="00637846"/>
    <w:rsid w:val="00640C15"/>
    <w:rsid w:val="00641061"/>
    <w:rsid w:val="00641A37"/>
    <w:rsid w:val="00641E81"/>
    <w:rsid w:val="00642824"/>
    <w:rsid w:val="006434AF"/>
    <w:rsid w:val="006442A5"/>
    <w:rsid w:val="00645C37"/>
    <w:rsid w:val="0064616A"/>
    <w:rsid w:val="006474CC"/>
    <w:rsid w:val="00647FD5"/>
    <w:rsid w:val="0065006F"/>
    <w:rsid w:val="00650BEA"/>
    <w:rsid w:val="0065112F"/>
    <w:rsid w:val="006511F9"/>
    <w:rsid w:val="00651483"/>
    <w:rsid w:val="0065308B"/>
    <w:rsid w:val="00653D8D"/>
    <w:rsid w:val="0065406B"/>
    <w:rsid w:val="00654286"/>
    <w:rsid w:val="00654DCB"/>
    <w:rsid w:val="006553EC"/>
    <w:rsid w:val="00655E5B"/>
    <w:rsid w:val="00656B76"/>
    <w:rsid w:val="0065753B"/>
    <w:rsid w:val="006579C2"/>
    <w:rsid w:val="00657A6A"/>
    <w:rsid w:val="00657F9B"/>
    <w:rsid w:val="00660168"/>
    <w:rsid w:val="00662BE8"/>
    <w:rsid w:val="006637A9"/>
    <w:rsid w:val="00663AE3"/>
    <w:rsid w:val="00663EB4"/>
    <w:rsid w:val="00664812"/>
    <w:rsid w:val="006651B9"/>
    <w:rsid w:val="00666199"/>
    <w:rsid w:val="006662D7"/>
    <w:rsid w:val="006669C6"/>
    <w:rsid w:val="00666E12"/>
    <w:rsid w:val="00667792"/>
    <w:rsid w:val="0066796D"/>
    <w:rsid w:val="006702F5"/>
    <w:rsid w:val="006706C0"/>
    <w:rsid w:val="00670AED"/>
    <w:rsid w:val="00670E72"/>
    <w:rsid w:val="00671409"/>
    <w:rsid w:val="006717E2"/>
    <w:rsid w:val="006722D7"/>
    <w:rsid w:val="00673A9F"/>
    <w:rsid w:val="006743D6"/>
    <w:rsid w:val="006746A9"/>
    <w:rsid w:val="00676CBB"/>
    <w:rsid w:val="006776CD"/>
    <w:rsid w:val="006806AD"/>
    <w:rsid w:val="0068077E"/>
    <w:rsid w:val="00680CC2"/>
    <w:rsid w:val="006814AF"/>
    <w:rsid w:val="0068263A"/>
    <w:rsid w:val="0068273C"/>
    <w:rsid w:val="006827F1"/>
    <w:rsid w:val="00684C7E"/>
    <w:rsid w:val="006853EA"/>
    <w:rsid w:val="0068540B"/>
    <w:rsid w:val="00686343"/>
    <w:rsid w:val="006876F7"/>
    <w:rsid w:val="00687BCE"/>
    <w:rsid w:val="006904D0"/>
    <w:rsid w:val="006908F4"/>
    <w:rsid w:val="00690E24"/>
    <w:rsid w:val="00692A95"/>
    <w:rsid w:val="00694CB1"/>
    <w:rsid w:val="0069549D"/>
    <w:rsid w:val="00695C55"/>
    <w:rsid w:val="00696696"/>
    <w:rsid w:val="0069733B"/>
    <w:rsid w:val="00697C78"/>
    <w:rsid w:val="00697EAB"/>
    <w:rsid w:val="00697F79"/>
    <w:rsid w:val="006A02C0"/>
    <w:rsid w:val="006A10DD"/>
    <w:rsid w:val="006A1CED"/>
    <w:rsid w:val="006A379E"/>
    <w:rsid w:val="006A3EA2"/>
    <w:rsid w:val="006A40F2"/>
    <w:rsid w:val="006A48AF"/>
    <w:rsid w:val="006A5B2D"/>
    <w:rsid w:val="006A6848"/>
    <w:rsid w:val="006A6948"/>
    <w:rsid w:val="006A7707"/>
    <w:rsid w:val="006A7849"/>
    <w:rsid w:val="006B08BF"/>
    <w:rsid w:val="006B21FF"/>
    <w:rsid w:val="006B269F"/>
    <w:rsid w:val="006B4CB8"/>
    <w:rsid w:val="006B634F"/>
    <w:rsid w:val="006B675A"/>
    <w:rsid w:val="006C2879"/>
    <w:rsid w:val="006C2B9A"/>
    <w:rsid w:val="006C3217"/>
    <w:rsid w:val="006C3301"/>
    <w:rsid w:val="006C3838"/>
    <w:rsid w:val="006C5255"/>
    <w:rsid w:val="006C58AA"/>
    <w:rsid w:val="006C5C8B"/>
    <w:rsid w:val="006C5FCA"/>
    <w:rsid w:val="006C7B47"/>
    <w:rsid w:val="006C7DAF"/>
    <w:rsid w:val="006D2047"/>
    <w:rsid w:val="006D2076"/>
    <w:rsid w:val="006D278A"/>
    <w:rsid w:val="006D27E0"/>
    <w:rsid w:val="006D2AF6"/>
    <w:rsid w:val="006D37D6"/>
    <w:rsid w:val="006D390D"/>
    <w:rsid w:val="006D393D"/>
    <w:rsid w:val="006D48A2"/>
    <w:rsid w:val="006D5C18"/>
    <w:rsid w:val="006D5D9D"/>
    <w:rsid w:val="006D6228"/>
    <w:rsid w:val="006D675F"/>
    <w:rsid w:val="006D72C7"/>
    <w:rsid w:val="006D7512"/>
    <w:rsid w:val="006D7B72"/>
    <w:rsid w:val="006E3740"/>
    <w:rsid w:val="006E3B3E"/>
    <w:rsid w:val="006E45B1"/>
    <w:rsid w:val="006E54B4"/>
    <w:rsid w:val="006E5C39"/>
    <w:rsid w:val="006E7581"/>
    <w:rsid w:val="006E7CA4"/>
    <w:rsid w:val="006F2466"/>
    <w:rsid w:val="006F2479"/>
    <w:rsid w:val="006F2A7B"/>
    <w:rsid w:val="006F3472"/>
    <w:rsid w:val="006F4999"/>
    <w:rsid w:val="006F519A"/>
    <w:rsid w:val="006F5CE7"/>
    <w:rsid w:val="006F5EBD"/>
    <w:rsid w:val="006F6185"/>
    <w:rsid w:val="006F66C1"/>
    <w:rsid w:val="006F6C8A"/>
    <w:rsid w:val="006F73B4"/>
    <w:rsid w:val="006F7732"/>
    <w:rsid w:val="007000FB"/>
    <w:rsid w:val="007010C0"/>
    <w:rsid w:val="0070333E"/>
    <w:rsid w:val="0070394D"/>
    <w:rsid w:val="00706BAE"/>
    <w:rsid w:val="00707E95"/>
    <w:rsid w:val="00710393"/>
    <w:rsid w:val="007111F0"/>
    <w:rsid w:val="00711DAA"/>
    <w:rsid w:val="00712223"/>
    <w:rsid w:val="007137B0"/>
    <w:rsid w:val="00714161"/>
    <w:rsid w:val="0071542C"/>
    <w:rsid w:val="007159FA"/>
    <w:rsid w:val="00716D83"/>
    <w:rsid w:val="00717249"/>
    <w:rsid w:val="007201F5"/>
    <w:rsid w:val="00720F2D"/>
    <w:rsid w:val="007211BE"/>
    <w:rsid w:val="0072282A"/>
    <w:rsid w:val="00724276"/>
    <w:rsid w:val="007243DA"/>
    <w:rsid w:val="00724660"/>
    <w:rsid w:val="0072727D"/>
    <w:rsid w:val="00727594"/>
    <w:rsid w:val="0073065C"/>
    <w:rsid w:val="00730953"/>
    <w:rsid w:val="00730B78"/>
    <w:rsid w:val="00731C62"/>
    <w:rsid w:val="00732168"/>
    <w:rsid w:val="00732F9D"/>
    <w:rsid w:val="007338F3"/>
    <w:rsid w:val="00735610"/>
    <w:rsid w:val="00735AFB"/>
    <w:rsid w:val="00736A69"/>
    <w:rsid w:val="00737E38"/>
    <w:rsid w:val="00737FA6"/>
    <w:rsid w:val="007419B3"/>
    <w:rsid w:val="00741BAD"/>
    <w:rsid w:val="00741FE9"/>
    <w:rsid w:val="00742543"/>
    <w:rsid w:val="00742BCE"/>
    <w:rsid w:val="00744071"/>
    <w:rsid w:val="007448EC"/>
    <w:rsid w:val="00745914"/>
    <w:rsid w:val="00745DB6"/>
    <w:rsid w:val="007465AA"/>
    <w:rsid w:val="00747FF6"/>
    <w:rsid w:val="00751737"/>
    <w:rsid w:val="0075177C"/>
    <w:rsid w:val="00751B5B"/>
    <w:rsid w:val="00751FD9"/>
    <w:rsid w:val="00752A92"/>
    <w:rsid w:val="007541D0"/>
    <w:rsid w:val="00754EF5"/>
    <w:rsid w:val="00756860"/>
    <w:rsid w:val="00756A01"/>
    <w:rsid w:val="007570B4"/>
    <w:rsid w:val="007576AA"/>
    <w:rsid w:val="007613AF"/>
    <w:rsid w:val="007618D0"/>
    <w:rsid w:val="00761A09"/>
    <w:rsid w:val="00762634"/>
    <w:rsid w:val="00765370"/>
    <w:rsid w:val="00765FCB"/>
    <w:rsid w:val="00767072"/>
    <w:rsid w:val="00767574"/>
    <w:rsid w:val="00770683"/>
    <w:rsid w:val="0077162B"/>
    <w:rsid w:val="0077196D"/>
    <w:rsid w:val="00771A45"/>
    <w:rsid w:val="00771B6A"/>
    <w:rsid w:val="00771F88"/>
    <w:rsid w:val="007722EB"/>
    <w:rsid w:val="00772F6C"/>
    <w:rsid w:val="00774695"/>
    <w:rsid w:val="00774D75"/>
    <w:rsid w:val="00775007"/>
    <w:rsid w:val="00775B9D"/>
    <w:rsid w:val="00775E0D"/>
    <w:rsid w:val="0077728A"/>
    <w:rsid w:val="00777DD2"/>
    <w:rsid w:val="00780628"/>
    <w:rsid w:val="00780B63"/>
    <w:rsid w:val="00781222"/>
    <w:rsid w:val="007814C1"/>
    <w:rsid w:val="007818D6"/>
    <w:rsid w:val="00781D8D"/>
    <w:rsid w:val="00782899"/>
    <w:rsid w:val="00782AFA"/>
    <w:rsid w:val="007834CB"/>
    <w:rsid w:val="00783688"/>
    <w:rsid w:val="00783A9F"/>
    <w:rsid w:val="0078500A"/>
    <w:rsid w:val="0078501A"/>
    <w:rsid w:val="0078529B"/>
    <w:rsid w:val="00785B0A"/>
    <w:rsid w:val="00786C5D"/>
    <w:rsid w:val="00792635"/>
    <w:rsid w:val="00793E59"/>
    <w:rsid w:val="00795064"/>
    <w:rsid w:val="00795073"/>
    <w:rsid w:val="00795369"/>
    <w:rsid w:val="00795AA4"/>
    <w:rsid w:val="00796B56"/>
    <w:rsid w:val="007A00AD"/>
    <w:rsid w:val="007A02D1"/>
    <w:rsid w:val="007A0BE3"/>
    <w:rsid w:val="007A0DDA"/>
    <w:rsid w:val="007A125C"/>
    <w:rsid w:val="007A1AF2"/>
    <w:rsid w:val="007A1E22"/>
    <w:rsid w:val="007A3E8A"/>
    <w:rsid w:val="007A42F4"/>
    <w:rsid w:val="007A4C69"/>
    <w:rsid w:val="007A4F87"/>
    <w:rsid w:val="007A54FB"/>
    <w:rsid w:val="007A56B8"/>
    <w:rsid w:val="007A67C6"/>
    <w:rsid w:val="007A6CF0"/>
    <w:rsid w:val="007A7113"/>
    <w:rsid w:val="007A733E"/>
    <w:rsid w:val="007B0379"/>
    <w:rsid w:val="007B0BBD"/>
    <w:rsid w:val="007B0C1A"/>
    <w:rsid w:val="007B0C8F"/>
    <w:rsid w:val="007B0FC4"/>
    <w:rsid w:val="007B25B7"/>
    <w:rsid w:val="007B3859"/>
    <w:rsid w:val="007B39A6"/>
    <w:rsid w:val="007B3FBF"/>
    <w:rsid w:val="007B4253"/>
    <w:rsid w:val="007B42F7"/>
    <w:rsid w:val="007B6C41"/>
    <w:rsid w:val="007C0675"/>
    <w:rsid w:val="007C085B"/>
    <w:rsid w:val="007C10CB"/>
    <w:rsid w:val="007C1452"/>
    <w:rsid w:val="007C2490"/>
    <w:rsid w:val="007C2D42"/>
    <w:rsid w:val="007C3A9A"/>
    <w:rsid w:val="007C5266"/>
    <w:rsid w:val="007C5D41"/>
    <w:rsid w:val="007C6A23"/>
    <w:rsid w:val="007C7FEC"/>
    <w:rsid w:val="007D0A34"/>
    <w:rsid w:val="007D0AA8"/>
    <w:rsid w:val="007D0D54"/>
    <w:rsid w:val="007D2A69"/>
    <w:rsid w:val="007D3734"/>
    <w:rsid w:val="007D3E49"/>
    <w:rsid w:val="007D62DD"/>
    <w:rsid w:val="007D6833"/>
    <w:rsid w:val="007D71B0"/>
    <w:rsid w:val="007D7210"/>
    <w:rsid w:val="007D790B"/>
    <w:rsid w:val="007E136D"/>
    <w:rsid w:val="007E2291"/>
    <w:rsid w:val="007E2BAD"/>
    <w:rsid w:val="007E2CAF"/>
    <w:rsid w:val="007E42D0"/>
    <w:rsid w:val="007E4F9F"/>
    <w:rsid w:val="007E6276"/>
    <w:rsid w:val="007E74A1"/>
    <w:rsid w:val="007E76B9"/>
    <w:rsid w:val="007E7F05"/>
    <w:rsid w:val="007F07ED"/>
    <w:rsid w:val="007F21E7"/>
    <w:rsid w:val="007F25DA"/>
    <w:rsid w:val="007F4BAD"/>
    <w:rsid w:val="007F4ECD"/>
    <w:rsid w:val="007F5AE0"/>
    <w:rsid w:val="007F61E2"/>
    <w:rsid w:val="007F7748"/>
    <w:rsid w:val="007F78AA"/>
    <w:rsid w:val="007F7A72"/>
    <w:rsid w:val="007F7D96"/>
    <w:rsid w:val="008009B6"/>
    <w:rsid w:val="00800A16"/>
    <w:rsid w:val="008024E0"/>
    <w:rsid w:val="00802E1A"/>
    <w:rsid w:val="00803D42"/>
    <w:rsid w:val="00805B41"/>
    <w:rsid w:val="00806E3D"/>
    <w:rsid w:val="008077BE"/>
    <w:rsid w:val="00807A4A"/>
    <w:rsid w:val="00811FAB"/>
    <w:rsid w:val="0081248A"/>
    <w:rsid w:val="0081310E"/>
    <w:rsid w:val="00813514"/>
    <w:rsid w:val="00813B3E"/>
    <w:rsid w:val="00814602"/>
    <w:rsid w:val="00814852"/>
    <w:rsid w:val="00816C02"/>
    <w:rsid w:val="00817017"/>
    <w:rsid w:val="0081733F"/>
    <w:rsid w:val="00820F80"/>
    <w:rsid w:val="00821068"/>
    <w:rsid w:val="00821D84"/>
    <w:rsid w:val="008223BC"/>
    <w:rsid w:val="008226AA"/>
    <w:rsid w:val="00822E71"/>
    <w:rsid w:val="00823FA6"/>
    <w:rsid w:val="0082430C"/>
    <w:rsid w:val="00824AE1"/>
    <w:rsid w:val="008258F8"/>
    <w:rsid w:val="0082716D"/>
    <w:rsid w:val="00831194"/>
    <w:rsid w:val="008315CD"/>
    <w:rsid w:val="0083273D"/>
    <w:rsid w:val="008328C1"/>
    <w:rsid w:val="00832B86"/>
    <w:rsid w:val="00832CCA"/>
    <w:rsid w:val="0083322A"/>
    <w:rsid w:val="008334CA"/>
    <w:rsid w:val="00833B59"/>
    <w:rsid w:val="00833C31"/>
    <w:rsid w:val="0083452B"/>
    <w:rsid w:val="00834DC0"/>
    <w:rsid w:val="00835F85"/>
    <w:rsid w:val="008360A9"/>
    <w:rsid w:val="008365E7"/>
    <w:rsid w:val="008375B5"/>
    <w:rsid w:val="0083791A"/>
    <w:rsid w:val="00837F7F"/>
    <w:rsid w:val="00840D00"/>
    <w:rsid w:val="008412DD"/>
    <w:rsid w:val="00843D98"/>
    <w:rsid w:val="008464C0"/>
    <w:rsid w:val="008467AC"/>
    <w:rsid w:val="0084731E"/>
    <w:rsid w:val="00851E7E"/>
    <w:rsid w:val="00852B2C"/>
    <w:rsid w:val="00852C48"/>
    <w:rsid w:val="008553AA"/>
    <w:rsid w:val="00857DF9"/>
    <w:rsid w:val="008606B8"/>
    <w:rsid w:val="00861584"/>
    <w:rsid w:val="00861F08"/>
    <w:rsid w:val="00862735"/>
    <w:rsid w:val="008630D9"/>
    <w:rsid w:val="008631C1"/>
    <w:rsid w:val="0086329C"/>
    <w:rsid w:val="008632B0"/>
    <w:rsid w:val="008633EE"/>
    <w:rsid w:val="00863CB8"/>
    <w:rsid w:val="0086466C"/>
    <w:rsid w:val="00864B07"/>
    <w:rsid w:val="00864F8C"/>
    <w:rsid w:val="00865A78"/>
    <w:rsid w:val="00865B73"/>
    <w:rsid w:val="0086707E"/>
    <w:rsid w:val="008670FF"/>
    <w:rsid w:val="00867ABA"/>
    <w:rsid w:val="00870085"/>
    <w:rsid w:val="0087245B"/>
    <w:rsid w:val="0087296E"/>
    <w:rsid w:val="0087338B"/>
    <w:rsid w:val="00873A9C"/>
    <w:rsid w:val="0087600F"/>
    <w:rsid w:val="008767F8"/>
    <w:rsid w:val="00877E63"/>
    <w:rsid w:val="00880479"/>
    <w:rsid w:val="00880994"/>
    <w:rsid w:val="008809CF"/>
    <w:rsid w:val="008820C0"/>
    <w:rsid w:val="00882BE4"/>
    <w:rsid w:val="00883501"/>
    <w:rsid w:val="00883DCD"/>
    <w:rsid w:val="00885289"/>
    <w:rsid w:val="0088549B"/>
    <w:rsid w:val="00885FD3"/>
    <w:rsid w:val="00887225"/>
    <w:rsid w:val="0089047A"/>
    <w:rsid w:val="008918B3"/>
    <w:rsid w:val="00892DE4"/>
    <w:rsid w:val="008960BF"/>
    <w:rsid w:val="008967F7"/>
    <w:rsid w:val="00896C62"/>
    <w:rsid w:val="00896CAF"/>
    <w:rsid w:val="00897344"/>
    <w:rsid w:val="00897CC9"/>
    <w:rsid w:val="00897F9D"/>
    <w:rsid w:val="008A037F"/>
    <w:rsid w:val="008A22D2"/>
    <w:rsid w:val="008A2CDE"/>
    <w:rsid w:val="008A41BB"/>
    <w:rsid w:val="008A4589"/>
    <w:rsid w:val="008A49F2"/>
    <w:rsid w:val="008A53BC"/>
    <w:rsid w:val="008A5B10"/>
    <w:rsid w:val="008A620C"/>
    <w:rsid w:val="008A7097"/>
    <w:rsid w:val="008A7507"/>
    <w:rsid w:val="008A7BB6"/>
    <w:rsid w:val="008B0156"/>
    <w:rsid w:val="008B0E99"/>
    <w:rsid w:val="008B1304"/>
    <w:rsid w:val="008B3034"/>
    <w:rsid w:val="008B4721"/>
    <w:rsid w:val="008B56FC"/>
    <w:rsid w:val="008B5A8B"/>
    <w:rsid w:val="008B5E09"/>
    <w:rsid w:val="008B7D58"/>
    <w:rsid w:val="008C1571"/>
    <w:rsid w:val="008C1AAF"/>
    <w:rsid w:val="008C2258"/>
    <w:rsid w:val="008C3042"/>
    <w:rsid w:val="008C33F1"/>
    <w:rsid w:val="008C5375"/>
    <w:rsid w:val="008C5447"/>
    <w:rsid w:val="008C55C6"/>
    <w:rsid w:val="008C5987"/>
    <w:rsid w:val="008C5C43"/>
    <w:rsid w:val="008C7C61"/>
    <w:rsid w:val="008C7D0F"/>
    <w:rsid w:val="008D0491"/>
    <w:rsid w:val="008D110B"/>
    <w:rsid w:val="008D225B"/>
    <w:rsid w:val="008D29A8"/>
    <w:rsid w:val="008D317F"/>
    <w:rsid w:val="008D4344"/>
    <w:rsid w:val="008D49C0"/>
    <w:rsid w:val="008D5CA3"/>
    <w:rsid w:val="008E000F"/>
    <w:rsid w:val="008E240D"/>
    <w:rsid w:val="008E3219"/>
    <w:rsid w:val="008E57B7"/>
    <w:rsid w:val="008E5933"/>
    <w:rsid w:val="008E639B"/>
    <w:rsid w:val="008F056F"/>
    <w:rsid w:val="008F0B20"/>
    <w:rsid w:val="008F11AC"/>
    <w:rsid w:val="008F142A"/>
    <w:rsid w:val="008F1958"/>
    <w:rsid w:val="008F323E"/>
    <w:rsid w:val="008F3C95"/>
    <w:rsid w:val="008F5100"/>
    <w:rsid w:val="008F5796"/>
    <w:rsid w:val="008F63B9"/>
    <w:rsid w:val="008F6AB3"/>
    <w:rsid w:val="008F728F"/>
    <w:rsid w:val="008F72E4"/>
    <w:rsid w:val="008F72EF"/>
    <w:rsid w:val="00900E21"/>
    <w:rsid w:val="009026C4"/>
    <w:rsid w:val="00902B1F"/>
    <w:rsid w:val="00903B4C"/>
    <w:rsid w:val="00903B4E"/>
    <w:rsid w:val="00905C45"/>
    <w:rsid w:val="00907253"/>
    <w:rsid w:val="0090775E"/>
    <w:rsid w:val="009078AD"/>
    <w:rsid w:val="00907B94"/>
    <w:rsid w:val="00907DE8"/>
    <w:rsid w:val="00910317"/>
    <w:rsid w:val="00910EC7"/>
    <w:rsid w:val="00911B16"/>
    <w:rsid w:val="009124F4"/>
    <w:rsid w:val="00912D3E"/>
    <w:rsid w:val="009141ED"/>
    <w:rsid w:val="00914E08"/>
    <w:rsid w:val="009159E8"/>
    <w:rsid w:val="00915FC4"/>
    <w:rsid w:val="0091622A"/>
    <w:rsid w:val="00916323"/>
    <w:rsid w:val="00916BC3"/>
    <w:rsid w:val="00917892"/>
    <w:rsid w:val="00920DD3"/>
    <w:rsid w:val="009210D5"/>
    <w:rsid w:val="00921199"/>
    <w:rsid w:val="00922256"/>
    <w:rsid w:val="00923C0B"/>
    <w:rsid w:val="00924CEB"/>
    <w:rsid w:val="0092530B"/>
    <w:rsid w:val="00925905"/>
    <w:rsid w:val="009267EF"/>
    <w:rsid w:val="009273BA"/>
    <w:rsid w:val="00930301"/>
    <w:rsid w:val="009317C7"/>
    <w:rsid w:val="00931EDB"/>
    <w:rsid w:val="00932259"/>
    <w:rsid w:val="009324E5"/>
    <w:rsid w:val="009328FF"/>
    <w:rsid w:val="00932D51"/>
    <w:rsid w:val="00933678"/>
    <w:rsid w:val="00936C13"/>
    <w:rsid w:val="00936FEE"/>
    <w:rsid w:val="009374A1"/>
    <w:rsid w:val="00940840"/>
    <w:rsid w:val="0094109F"/>
    <w:rsid w:val="00941EC3"/>
    <w:rsid w:val="0094287A"/>
    <w:rsid w:val="0094465B"/>
    <w:rsid w:val="00944B60"/>
    <w:rsid w:val="00945F1D"/>
    <w:rsid w:val="009464A6"/>
    <w:rsid w:val="0094713E"/>
    <w:rsid w:val="00947DA3"/>
    <w:rsid w:val="00950047"/>
    <w:rsid w:val="009504C0"/>
    <w:rsid w:val="00950A05"/>
    <w:rsid w:val="00950B81"/>
    <w:rsid w:val="00951354"/>
    <w:rsid w:val="00952583"/>
    <w:rsid w:val="009527AB"/>
    <w:rsid w:val="00952B91"/>
    <w:rsid w:val="00952D04"/>
    <w:rsid w:val="009532F4"/>
    <w:rsid w:val="00953B38"/>
    <w:rsid w:val="00953F95"/>
    <w:rsid w:val="00954966"/>
    <w:rsid w:val="00954F0F"/>
    <w:rsid w:val="00955AF0"/>
    <w:rsid w:val="00955B07"/>
    <w:rsid w:val="009563AA"/>
    <w:rsid w:val="00956ADC"/>
    <w:rsid w:val="0095776E"/>
    <w:rsid w:val="00960334"/>
    <w:rsid w:val="009606C4"/>
    <w:rsid w:val="00960716"/>
    <w:rsid w:val="00960982"/>
    <w:rsid w:val="00960A69"/>
    <w:rsid w:val="00960B10"/>
    <w:rsid w:val="009616B1"/>
    <w:rsid w:val="00963641"/>
    <w:rsid w:val="0096382B"/>
    <w:rsid w:val="00964CFF"/>
    <w:rsid w:val="00965624"/>
    <w:rsid w:val="0096564E"/>
    <w:rsid w:val="00965F51"/>
    <w:rsid w:val="00966237"/>
    <w:rsid w:val="0097013C"/>
    <w:rsid w:val="00972016"/>
    <w:rsid w:val="00973173"/>
    <w:rsid w:val="00974499"/>
    <w:rsid w:val="009757BA"/>
    <w:rsid w:val="009765A8"/>
    <w:rsid w:val="00976BC2"/>
    <w:rsid w:val="00977252"/>
    <w:rsid w:val="00977BCE"/>
    <w:rsid w:val="00977E35"/>
    <w:rsid w:val="00980C62"/>
    <w:rsid w:val="00980E3D"/>
    <w:rsid w:val="0098261E"/>
    <w:rsid w:val="009844D4"/>
    <w:rsid w:val="0098452C"/>
    <w:rsid w:val="009845C5"/>
    <w:rsid w:val="0098469E"/>
    <w:rsid w:val="00985490"/>
    <w:rsid w:val="0098686A"/>
    <w:rsid w:val="00990960"/>
    <w:rsid w:val="00990C0A"/>
    <w:rsid w:val="00991028"/>
    <w:rsid w:val="009919B6"/>
    <w:rsid w:val="00991A86"/>
    <w:rsid w:val="00991EE5"/>
    <w:rsid w:val="009920AE"/>
    <w:rsid w:val="00992990"/>
    <w:rsid w:val="00992B1D"/>
    <w:rsid w:val="00993D07"/>
    <w:rsid w:val="00994105"/>
    <w:rsid w:val="009944A4"/>
    <w:rsid w:val="00994C73"/>
    <w:rsid w:val="009951A0"/>
    <w:rsid w:val="00996FB9"/>
    <w:rsid w:val="009A06AE"/>
    <w:rsid w:val="009A0774"/>
    <w:rsid w:val="009A12B8"/>
    <w:rsid w:val="009A188B"/>
    <w:rsid w:val="009A1B60"/>
    <w:rsid w:val="009A429C"/>
    <w:rsid w:val="009A4A33"/>
    <w:rsid w:val="009A5AD8"/>
    <w:rsid w:val="009A67E0"/>
    <w:rsid w:val="009A6B6C"/>
    <w:rsid w:val="009A7BB9"/>
    <w:rsid w:val="009A7DBF"/>
    <w:rsid w:val="009B037D"/>
    <w:rsid w:val="009B0722"/>
    <w:rsid w:val="009B0C53"/>
    <w:rsid w:val="009B1C39"/>
    <w:rsid w:val="009B1C3E"/>
    <w:rsid w:val="009B23A0"/>
    <w:rsid w:val="009B2A14"/>
    <w:rsid w:val="009B3038"/>
    <w:rsid w:val="009B41BF"/>
    <w:rsid w:val="009B56AB"/>
    <w:rsid w:val="009B614B"/>
    <w:rsid w:val="009B6172"/>
    <w:rsid w:val="009B6E78"/>
    <w:rsid w:val="009B7017"/>
    <w:rsid w:val="009B7584"/>
    <w:rsid w:val="009C14F7"/>
    <w:rsid w:val="009C1A80"/>
    <w:rsid w:val="009C201E"/>
    <w:rsid w:val="009C2679"/>
    <w:rsid w:val="009C3B98"/>
    <w:rsid w:val="009C3ED2"/>
    <w:rsid w:val="009C42B2"/>
    <w:rsid w:val="009C4AE4"/>
    <w:rsid w:val="009C5EA9"/>
    <w:rsid w:val="009C6A6C"/>
    <w:rsid w:val="009C6D84"/>
    <w:rsid w:val="009C7338"/>
    <w:rsid w:val="009C77FE"/>
    <w:rsid w:val="009C786D"/>
    <w:rsid w:val="009D07F3"/>
    <w:rsid w:val="009D081A"/>
    <w:rsid w:val="009D220A"/>
    <w:rsid w:val="009D2473"/>
    <w:rsid w:val="009D25DD"/>
    <w:rsid w:val="009D26D6"/>
    <w:rsid w:val="009D368D"/>
    <w:rsid w:val="009D38FD"/>
    <w:rsid w:val="009D3F6B"/>
    <w:rsid w:val="009D4499"/>
    <w:rsid w:val="009D4B3B"/>
    <w:rsid w:val="009D60C9"/>
    <w:rsid w:val="009D69A7"/>
    <w:rsid w:val="009D6BAD"/>
    <w:rsid w:val="009D7576"/>
    <w:rsid w:val="009E0A96"/>
    <w:rsid w:val="009E1180"/>
    <w:rsid w:val="009E11B5"/>
    <w:rsid w:val="009E1FD4"/>
    <w:rsid w:val="009E26AF"/>
    <w:rsid w:val="009E2E3C"/>
    <w:rsid w:val="009E3BAB"/>
    <w:rsid w:val="009E4682"/>
    <w:rsid w:val="009E5273"/>
    <w:rsid w:val="009E55F9"/>
    <w:rsid w:val="009E7CE9"/>
    <w:rsid w:val="009F2A74"/>
    <w:rsid w:val="009F59A8"/>
    <w:rsid w:val="009F616B"/>
    <w:rsid w:val="009F6F4D"/>
    <w:rsid w:val="009F79E7"/>
    <w:rsid w:val="009F7DF7"/>
    <w:rsid w:val="00A00CBB"/>
    <w:rsid w:val="00A011CB"/>
    <w:rsid w:val="00A014E2"/>
    <w:rsid w:val="00A01B7F"/>
    <w:rsid w:val="00A02A90"/>
    <w:rsid w:val="00A03EEF"/>
    <w:rsid w:val="00A041D0"/>
    <w:rsid w:val="00A05791"/>
    <w:rsid w:val="00A05AEA"/>
    <w:rsid w:val="00A05FAB"/>
    <w:rsid w:val="00A06B4F"/>
    <w:rsid w:val="00A06DBB"/>
    <w:rsid w:val="00A07107"/>
    <w:rsid w:val="00A07F89"/>
    <w:rsid w:val="00A110FF"/>
    <w:rsid w:val="00A11B73"/>
    <w:rsid w:val="00A11C97"/>
    <w:rsid w:val="00A1250E"/>
    <w:rsid w:val="00A13235"/>
    <w:rsid w:val="00A15A9D"/>
    <w:rsid w:val="00A15E3D"/>
    <w:rsid w:val="00A1601E"/>
    <w:rsid w:val="00A16FA4"/>
    <w:rsid w:val="00A17133"/>
    <w:rsid w:val="00A17727"/>
    <w:rsid w:val="00A17896"/>
    <w:rsid w:val="00A17AFD"/>
    <w:rsid w:val="00A207BB"/>
    <w:rsid w:val="00A2083E"/>
    <w:rsid w:val="00A20BB2"/>
    <w:rsid w:val="00A2111E"/>
    <w:rsid w:val="00A21814"/>
    <w:rsid w:val="00A222FE"/>
    <w:rsid w:val="00A22471"/>
    <w:rsid w:val="00A23724"/>
    <w:rsid w:val="00A2478F"/>
    <w:rsid w:val="00A24AC1"/>
    <w:rsid w:val="00A26014"/>
    <w:rsid w:val="00A26598"/>
    <w:rsid w:val="00A26BC6"/>
    <w:rsid w:val="00A27C6D"/>
    <w:rsid w:val="00A27E35"/>
    <w:rsid w:val="00A30098"/>
    <w:rsid w:val="00A309E3"/>
    <w:rsid w:val="00A30E1B"/>
    <w:rsid w:val="00A310F0"/>
    <w:rsid w:val="00A31BA9"/>
    <w:rsid w:val="00A31E76"/>
    <w:rsid w:val="00A3212C"/>
    <w:rsid w:val="00A33C13"/>
    <w:rsid w:val="00A34A41"/>
    <w:rsid w:val="00A357CB"/>
    <w:rsid w:val="00A376D0"/>
    <w:rsid w:val="00A402E3"/>
    <w:rsid w:val="00A411FC"/>
    <w:rsid w:val="00A416AB"/>
    <w:rsid w:val="00A41E0B"/>
    <w:rsid w:val="00A42334"/>
    <w:rsid w:val="00A44821"/>
    <w:rsid w:val="00A461C9"/>
    <w:rsid w:val="00A46A00"/>
    <w:rsid w:val="00A46CC4"/>
    <w:rsid w:val="00A47121"/>
    <w:rsid w:val="00A47D06"/>
    <w:rsid w:val="00A514D3"/>
    <w:rsid w:val="00A52F09"/>
    <w:rsid w:val="00A54D16"/>
    <w:rsid w:val="00A54E85"/>
    <w:rsid w:val="00A5542F"/>
    <w:rsid w:val="00A568E2"/>
    <w:rsid w:val="00A57825"/>
    <w:rsid w:val="00A57E9D"/>
    <w:rsid w:val="00A615DA"/>
    <w:rsid w:val="00A61D65"/>
    <w:rsid w:val="00A6209D"/>
    <w:rsid w:val="00A63552"/>
    <w:rsid w:val="00A63811"/>
    <w:rsid w:val="00A64498"/>
    <w:rsid w:val="00A64747"/>
    <w:rsid w:val="00A64EBD"/>
    <w:rsid w:val="00A652BF"/>
    <w:rsid w:val="00A65511"/>
    <w:rsid w:val="00A6580F"/>
    <w:rsid w:val="00A65EEE"/>
    <w:rsid w:val="00A66484"/>
    <w:rsid w:val="00A66CB9"/>
    <w:rsid w:val="00A66D91"/>
    <w:rsid w:val="00A7046C"/>
    <w:rsid w:val="00A7191C"/>
    <w:rsid w:val="00A71CE6"/>
    <w:rsid w:val="00A727E5"/>
    <w:rsid w:val="00A72E83"/>
    <w:rsid w:val="00A73595"/>
    <w:rsid w:val="00A735B1"/>
    <w:rsid w:val="00A74595"/>
    <w:rsid w:val="00A74C79"/>
    <w:rsid w:val="00A75EB8"/>
    <w:rsid w:val="00A8094A"/>
    <w:rsid w:val="00A80BFC"/>
    <w:rsid w:val="00A812D9"/>
    <w:rsid w:val="00A815DA"/>
    <w:rsid w:val="00A823AA"/>
    <w:rsid w:val="00A832E6"/>
    <w:rsid w:val="00A83BC3"/>
    <w:rsid w:val="00A84564"/>
    <w:rsid w:val="00A847F2"/>
    <w:rsid w:val="00A857A8"/>
    <w:rsid w:val="00A86A8C"/>
    <w:rsid w:val="00A86F6A"/>
    <w:rsid w:val="00A8700D"/>
    <w:rsid w:val="00A873F9"/>
    <w:rsid w:val="00A90830"/>
    <w:rsid w:val="00A90CCE"/>
    <w:rsid w:val="00A90FAF"/>
    <w:rsid w:val="00A91AB7"/>
    <w:rsid w:val="00A91D81"/>
    <w:rsid w:val="00A9565E"/>
    <w:rsid w:val="00A956C1"/>
    <w:rsid w:val="00A96849"/>
    <w:rsid w:val="00A96C51"/>
    <w:rsid w:val="00A96DDC"/>
    <w:rsid w:val="00AA1864"/>
    <w:rsid w:val="00AA1F83"/>
    <w:rsid w:val="00AA2CB3"/>
    <w:rsid w:val="00AA2CE0"/>
    <w:rsid w:val="00AA2CEF"/>
    <w:rsid w:val="00AA3682"/>
    <w:rsid w:val="00AA4432"/>
    <w:rsid w:val="00AA4BB5"/>
    <w:rsid w:val="00AA6258"/>
    <w:rsid w:val="00AA715A"/>
    <w:rsid w:val="00AA7C08"/>
    <w:rsid w:val="00AA7CBC"/>
    <w:rsid w:val="00AB0241"/>
    <w:rsid w:val="00AB03FD"/>
    <w:rsid w:val="00AB0B34"/>
    <w:rsid w:val="00AB1051"/>
    <w:rsid w:val="00AB10F8"/>
    <w:rsid w:val="00AB110D"/>
    <w:rsid w:val="00AB12A7"/>
    <w:rsid w:val="00AB18D1"/>
    <w:rsid w:val="00AB257F"/>
    <w:rsid w:val="00AB2702"/>
    <w:rsid w:val="00AB2F37"/>
    <w:rsid w:val="00AB2FDA"/>
    <w:rsid w:val="00AB4237"/>
    <w:rsid w:val="00AB465E"/>
    <w:rsid w:val="00AB4C48"/>
    <w:rsid w:val="00AB4D8D"/>
    <w:rsid w:val="00AB5B6F"/>
    <w:rsid w:val="00AB5CE9"/>
    <w:rsid w:val="00AB5F5D"/>
    <w:rsid w:val="00AB6BCC"/>
    <w:rsid w:val="00AB76AB"/>
    <w:rsid w:val="00AC00F7"/>
    <w:rsid w:val="00AC020A"/>
    <w:rsid w:val="00AC0254"/>
    <w:rsid w:val="00AC04A9"/>
    <w:rsid w:val="00AC0DA3"/>
    <w:rsid w:val="00AC18CB"/>
    <w:rsid w:val="00AC1A3D"/>
    <w:rsid w:val="00AC1AD2"/>
    <w:rsid w:val="00AC449F"/>
    <w:rsid w:val="00AC54BB"/>
    <w:rsid w:val="00AC73A8"/>
    <w:rsid w:val="00AD0F0F"/>
    <w:rsid w:val="00AD290A"/>
    <w:rsid w:val="00AD29A4"/>
    <w:rsid w:val="00AD4C29"/>
    <w:rsid w:val="00AD6532"/>
    <w:rsid w:val="00AD6BDA"/>
    <w:rsid w:val="00AD6DD9"/>
    <w:rsid w:val="00AD7375"/>
    <w:rsid w:val="00AD7396"/>
    <w:rsid w:val="00AD78AE"/>
    <w:rsid w:val="00AD7CD2"/>
    <w:rsid w:val="00AE13BD"/>
    <w:rsid w:val="00AE1B72"/>
    <w:rsid w:val="00AE2C82"/>
    <w:rsid w:val="00AE4337"/>
    <w:rsid w:val="00AE433F"/>
    <w:rsid w:val="00AE5B07"/>
    <w:rsid w:val="00AE5B36"/>
    <w:rsid w:val="00AE5D83"/>
    <w:rsid w:val="00AE7060"/>
    <w:rsid w:val="00AE727A"/>
    <w:rsid w:val="00AE76C2"/>
    <w:rsid w:val="00AE7844"/>
    <w:rsid w:val="00AE7E53"/>
    <w:rsid w:val="00AF244E"/>
    <w:rsid w:val="00AF2950"/>
    <w:rsid w:val="00AF2FD4"/>
    <w:rsid w:val="00AF30DB"/>
    <w:rsid w:val="00AF3239"/>
    <w:rsid w:val="00AF51B9"/>
    <w:rsid w:val="00AF560C"/>
    <w:rsid w:val="00AF6141"/>
    <w:rsid w:val="00AF66CE"/>
    <w:rsid w:val="00AF680B"/>
    <w:rsid w:val="00B0010E"/>
    <w:rsid w:val="00B00ECE"/>
    <w:rsid w:val="00B0145C"/>
    <w:rsid w:val="00B02FB6"/>
    <w:rsid w:val="00B03478"/>
    <w:rsid w:val="00B047E9"/>
    <w:rsid w:val="00B060D2"/>
    <w:rsid w:val="00B06774"/>
    <w:rsid w:val="00B107B9"/>
    <w:rsid w:val="00B12174"/>
    <w:rsid w:val="00B12313"/>
    <w:rsid w:val="00B13C11"/>
    <w:rsid w:val="00B14A86"/>
    <w:rsid w:val="00B14F41"/>
    <w:rsid w:val="00B15918"/>
    <w:rsid w:val="00B15CB7"/>
    <w:rsid w:val="00B16EA9"/>
    <w:rsid w:val="00B1776D"/>
    <w:rsid w:val="00B2025D"/>
    <w:rsid w:val="00B22D38"/>
    <w:rsid w:val="00B22D6A"/>
    <w:rsid w:val="00B233AF"/>
    <w:rsid w:val="00B23B1A"/>
    <w:rsid w:val="00B243BB"/>
    <w:rsid w:val="00B2503D"/>
    <w:rsid w:val="00B263D4"/>
    <w:rsid w:val="00B266AF"/>
    <w:rsid w:val="00B279AD"/>
    <w:rsid w:val="00B27A45"/>
    <w:rsid w:val="00B27B9A"/>
    <w:rsid w:val="00B3014A"/>
    <w:rsid w:val="00B30266"/>
    <w:rsid w:val="00B304AB"/>
    <w:rsid w:val="00B31E3C"/>
    <w:rsid w:val="00B3242A"/>
    <w:rsid w:val="00B3254D"/>
    <w:rsid w:val="00B32605"/>
    <w:rsid w:val="00B3298A"/>
    <w:rsid w:val="00B32E22"/>
    <w:rsid w:val="00B339A8"/>
    <w:rsid w:val="00B33A2A"/>
    <w:rsid w:val="00B33DC9"/>
    <w:rsid w:val="00B34A25"/>
    <w:rsid w:val="00B35135"/>
    <w:rsid w:val="00B35F54"/>
    <w:rsid w:val="00B36609"/>
    <w:rsid w:val="00B36A5C"/>
    <w:rsid w:val="00B36B9A"/>
    <w:rsid w:val="00B37BF2"/>
    <w:rsid w:val="00B401FE"/>
    <w:rsid w:val="00B412F4"/>
    <w:rsid w:val="00B41C97"/>
    <w:rsid w:val="00B43181"/>
    <w:rsid w:val="00B4390E"/>
    <w:rsid w:val="00B43CC7"/>
    <w:rsid w:val="00B4495F"/>
    <w:rsid w:val="00B44A62"/>
    <w:rsid w:val="00B44B73"/>
    <w:rsid w:val="00B45148"/>
    <w:rsid w:val="00B451B3"/>
    <w:rsid w:val="00B45ABE"/>
    <w:rsid w:val="00B460DC"/>
    <w:rsid w:val="00B46BEA"/>
    <w:rsid w:val="00B47825"/>
    <w:rsid w:val="00B478B7"/>
    <w:rsid w:val="00B5237C"/>
    <w:rsid w:val="00B52633"/>
    <w:rsid w:val="00B54298"/>
    <w:rsid w:val="00B5481B"/>
    <w:rsid w:val="00B5579D"/>
    <w:rsid w:val="00B557CD"/>
    <w:rsid w:val="00B55A50"/>
    <w:rsid w:val="00B5643D"/>
    <w:rsid w:val="00B56BDE"/>
    <w:rsid w:val="00B56D07"/>
    <w:rsid w:val="00B56D16"/>
    <w:rsid w:val="00B608D3"/>
    <w:rsid w:val="00B60FAC"/>
    <w:rsid w:val="00B614CB"/>
    <w:rsid w:val="00B61B9A"/>
    <w:rsid w:val="00B6215E"/>
    <w:rsid w:val="00B62227"/>
    <w:rsid w:val="00B62A88"/>
    <w:rsid w:val="00B62EF2"/>
    <w:rsid w:val="00B637E0"/>
    <w:rsid w:val="00B63CF2"/>
    <w:rsid w:val="00B63E5A"/>
    <w:rsid w:val="00B64742"/>
    <w:rsid w:val="00B65307"/>
    <w:rsid w:val="00B65705"/>
    <w:rsid w:val="00B6599B"/>
    <w:rsid w:val="00B65D48"/>
    <w:rsid w:val="00B676F8"/>
    <w:rsid w:val="00B6773E"/>
    <w:rsid w:val="00B677C4"/>
    <w:rsid w:val="00B67C09"/>
    <w:rsid w:val="00B70C57"/>
    <w:rsid w:val="00B71133"/>
    <w:rsid w:val="00B717E0"/>
    <w:rsid w:val="00B7223A"/>
    <w:rsid w:val="00B72901"/>
    <w:rsid w:val="00B72A43"/>
    <w:rsid w:val="00B72B4F"/>
    <w:rsid w:val="00B72D7C"/>
    <w:rsid w:val="00B737FF"/>
    <w:rsid w:val="00B757AC"/>
    <w:rsid w:val="00B761CA"/>
    <w:rsid w:val="00B7763C"/>
    <w:rsid w:val="00B8071E"/>
    <w:rsid w:val="00B81632"/>
    <w:rsid w:val="00B818FE"/>
    <w:rsid w:val="00B81BC3"/>
    <w:rsid w:val="00B8202D"/>
    <w:rsid w:val="00B831C5"/>
    <w:rsid w:val="00B833FC"/>
    <w:rsid w:val="00B83478"/>
    <w:rsid w:val="00B83B5E"/>
    <w:rsid w:val="00B842B4"/>
    <w:rsid w:val="00B84AD2"/>
    <w:rsid w:val="00B8569A"/>
    <w:rsid w:val="00B86E64"/>
    <w:rsid w:val="00B87444"/>
    <w:rsid w:val="00B87E6B"/>
    <w:rsid w:val="00B90D53"/>
    <w:rsid w:val="00B91633"/>
    <w:rsid w:val="00B916C5"/>
    <w:rsid w:val="00B91813"/>
    <w:rsid w:val="00B93A0C"/>
    <w:rsid w:val="00B93E1F"/>
    <w:rsid w:val="00B94269"/>
    <w:rsid w:val="00B94AEF"/>
    <w:rsid w:val="00B94BA7"/>
    <w:rsid w:val="00B95EBA"/>
    <w:rsid w:val="00B95ED3"/>
    <w:rsid w:val="00B97E8D"/>
    <w:rsid w:val="00BA040E"/>
    <w:rsid w:val="00BA08D1"/>
    <w:rsid w:val="00BA0A83"/>
    <w:rsid w:val="00BA0AE8"/>
    <w:rsid w:val="00BA1926"/>
    <w:rsid w:val="00BA32C7"/>
    <w:rsid w:val="00BA3468"/>
    <w:rsid w:val="00BA5012"/>
    <w:rsid w:val="00BA5078"/>
    <w:rsid w:val="00BA593C"/>
    <w:rsid w:val="00BA61A1"/>
    <w:rsid w:val="00BA6E94"/>
    <w:rsid w:val="00BA7937"/>
    <w:rsid w:val="00BB00A2"/>
    <w:rsid w:val="00BB052B"/>
    <w:rsid w:val="00BB0872"/>
    <w:rsid w:val="00BB33AC"/>
    <w:rsid w:val="00BB3456"/>
    <w:rsid w:val="00BB34C5"/>
    <w:rsid w:val="00BB36F3"/>
    <w:rsid w:val="00BB396B"/>
    <w:rsid w:val="00BB3D63"/>
    <w:rsid w:val="00BB4583"/>
    <w:rsid w:val="00BB46A3"/>
    <w:rsid w:val="00BB4930"/>
    <w:rsid w:val="00BB5492"/>
    <w:rsid w:val="00BB555E"/>
    <w:rsid w:val="00BB5B37"/>
    <w:rsid w:val="00BB5C52"/>
    <w:rsid w:val="00BB5EF9"/>
    <w:rsid w:val="00BB63CC"/>
    <w:rsid w:val="00BB72B9"/>
    <w:rsid w:val="00BB75F6"/>
    <w:rsid w:val="00BC0634"/>
    <w:rsid w:val="00BC07BC"/>
    <w:rsid w:val="00BC0E7F"/>
    <w:rsid w:val="00BC12F8"/>
    <w:rsid w:val="00BC3EE8"/>
    <w:rsid w:val="00BC3F8F"/>
    <w:rsid w:val="00BC62BA"/>
    <w:rsid w:val="00BC63E1"/>
    <w:rsid w:val="00BC6538"/>
    <w:rsid w:val="00BC768B"/>
    <w:rsid w:val="00BC7786"/>
    <w:rsid w:val="00BC7A93"/>
    <w:rsid w:val="00BC7D24"/>
    <w:rsid w:val="00BD05FD"/>
    <w:rsid w:val="00BD168F"/>
    <w:rsid w:val="00BD1D03"/>
    <w:rsid w:val="00BD1D42"/>
    <w:rsid w:val="00BD2872"/>
    <w:rsid w:val="00BD3BCF"/>
    <w:rsid w:val="00BD4691"/>
    <w:rsid w:val="00BD4714"/>
    <w:rsid w:val="00BD64C0"/>
    <w:rsid w:val="00BD76A4"/>
    <w:rsid w:val="00BE01F3"/>
    <w:rsid w:val="00BE0FD4"/>
    <w:rsid w:val="00BE1236"/>
    <w:rsid w:val="00BE20F3"/>
    <w:rsid w:val="00BE2464"/>
    <w:rsid w:val="00BE2C2F"/>
    <w:rsid w:val="00BE321C"/>
    <w:rsid w:val="00BE35D9"/>
    <w:rsid w:val="00BE3A6E"/>
    <w:rsid w:val="00BE463D"/>
    <w:rsid w:val="00BE56C8"/>
    <w:rsid w:val="00BE658A"/>
    <w:rsid w:val="00BE6D8E"/>
    <w:rsid w:val="00BE71D2"/>
    <w:rsid w:val="00BE7BD0"/>
    <w:rsid w:val="00BE7F71"/>
    <w:rsid w:val="00BF0C62"/>
    <w:rsid w:val="00BF0DE8"/>
    <w:rsid w:val="00BF1092"/>
    <w:rsid w:val="00BF10E7"/>
    <w:rsid w:val="00BF20B2"/>
    <w:rsid w:val="00BF2AA5"/>
    <w:rsid w:val="00BF4F78"/>
    <w:rsid w:val="00BF5567"/>
    <w:rsid w:val="00BF58F1"/>
    <w:rsid w:val="00BF5B91"/>
    <w:rsid w:val="00BF63A8"/>
    <w:rsid w:val="00BF63B0"/>
    <w:rsid w:val="00BF6732"/>
    <w:rsid w:val="00BF6E61"/>
    <w:rsid w:val="00C0054A"/>
    <w:rsid w:val="00C006B8"/>
    <w:rsid w:val="00C010FE"/>
    <w:rsid w:val="00C02A7D"/>
    <w:rsid w:val="00C037F6"/>
    <w:rsid w:val="00C03A9C"/>
    <w:rsid w:val="00C03EB8"/>
    <w:rsid w:val="00C054A0"/>
    <w:rsid w:val="00C0594F"/>
    <w:rsid w:val="00C07134"/>
    <w:rsid w:val="00C10DEF"/>
    <w:rsid w:val="00C1275E"/>
    <w:rsid w:val="00C12ADB"/>
    <w:rsid w:val="00C13002"/>
    <w:rsid w:val="00C1372C"/>
    <w:rsid w:val="00C138A6"/>
    <w:rsid w:val="00C14552"/>
    <w:rsid w:val="00C14E20"/>
    <w:rsid w:val="00C15A36"/>
    <w:rsid w:val="00C1730B"/>
    <w:rsid w:val="00C20335"/>
    <w:rsid w:val="00C208B0"/>
    <w:rsid w:val="00C209DA"/>
    <w:rsid w:val="00C20F09"/>
    <w:rsid w:val="00C216E2"/>
    <w:rsid w:val="00C21D44"/>
    <w:rsid w:val="00C222E4"/>
    <w:rsid w:val="00C22479"/>
    <w:rsid w:val="00C23D03"/>
    <w:rsid w:val="00C240A3"/>
    <w:rsid w:val="00C24D87"/>
    <w:rsid w:val="00C2514E"/>
    <w:rsid w:val="00C2519B"/>
    <w:rsid w:val="00C25977"/>
    <w:rsid w:val="00C27B8C"/>
    <w:rsid w:val="00C3041A"/>
    <w:rsid w:val="00C309B5"/>
    <w:rsid w:val="00C30E15"/>
    <w:rsid w:val="00C318B2"/>
    <w:rsid w:val="00C322C0"/>
    <w:rsid w:val="00C327CB"/>
    <w:rsid w:val="00C3308A"/>
    <w:rsid w:val="00C337DD"/>
    <w:rsid w:val="00C33E4A"/>
    <w:rsid w:val="00C3429C"/>
    <w:rsid w:val="00C343DF"/>
    <w:rsid w:val="00C34EFB"/>
    <w:rsid w:val="00C3577B"/>
    <w:rsid w:val="00C362FA"/>
    <w:rsid w:val="00C363D1"/>
    <w:rsid w:val="00C36800"/>
    <w:rsid w:val="00C36EF1"/>
    <w:rsid w:val="00C373DC"/>
    <w:rsid w:val="00C37507"/>
    <w:rsid w:val="00C37EC2"/>
    <w:rsid w:val="00C405C5"/>
    <w:rsid w:val="00C41677"/>
    <w:rsid w:val="00C42080"/>
    <w:rsid w:val="00C420D5"/>
    <w:rsid w:val="00C43D62"/>
    <w:rsid w:val="00C4408C"/>
    <w:rsid w:val="00C442BC"/>
    <w:rsid w:val="00C44E84"/>
    <w:rsid w:val="00C45856"/>
    <w:rsid w:val="00C4640B"/>
    <w:rsid w:val="00C467B4"/>
    <w:rsid w:val="00C4692E"/>
    <w:rsid w:val="00C46E9B"/>
    <w:rsid w:val="00C479A1"/>
    <w:rsid w:val="00C47E5C"/>
    <w:rsid w:val="00C5053A"/>
    <w:rsid w:val="00C50745"/>
    <w:rsid w:val="00C50D78"/>
    <w:rsid w:val="00C51C67"/>
    <w:rsid w:val="00C52730"/>
    <w:rsid w:val="00C54E88"/>
    <w:rsid w:val="00C56225"/>
    <w:rsid w:val="00C563BF"/>
    <w:rsid w:val="00C569C3"/>
    <w:rsid w:val="00C5730A"/>
    <w:rsid w:val="00C60CC1"/>
    <w:rsid w:val="00C60EB1"/>
    <w:rsid w:val="00C613F7"/>
    <w:rsid w:val="00C6186B"/>
    <w:rsid w:val="00C61970"/>
    <w:rsid w:val="00C62F6E"/>
    <w:rsid w:val="00C632DC"/>
    <w:rsid w:val="00C65807"/>
    <w:rsid w:val="00C67285"/>
    <w:rsid w:val="00C704ED"/>
    <w:rsid w:val="00C70F06"/>
    <w:rsid w:val="00C7169E"/>
    <w:rsid w:val="00C71C17"/>
    <w:rsid w:val="00C71C2B"/>
    <w:rsid w:val="00C724D7"/>
    <w:rsid w:val="00C732D5"/>
    <w:rsid w:val="00C73F63"/>
    <w:rsid w:val="00C745D3"/>
    <w:rsid w:val="00C74C2E"/>
    <w:rsid w:val="00C75394"/>
    <w:rsid w:val="00C75624"/>
    <w:rsid w:val="00C75A7B"/>
    <w:rsid w:val="00C75AC9"/>
    <w:rsid w:val="00C76262"/>
    <w:rsid w:val="00C76E37"/>
    <w:rsid w:val="00C77F9A"/>
    <w:rsid w:val="00C802CD"/>
    <w:rsid w:val="00C8059F"/>
    <w:rsid w:val="00C80C52"/>
    <w:rsid w:val="00C81076"/>
    <w:rsid w:val="00C81A78"/>
    <w:rsid w:val="00C81E7A"/>
    <w:rsid w:val="00C82396"/>
    <w:rsid w:val="00C82B05"/>
    <w:rsid w:val="00C82B06"/>
    <w:rsid w:val="00C83B93"/>
    <w:rsid w:val="00C85742"/>
    <w:rsid w:val="00C85FEC"/>
    <w:rsid w:val="00C868EA"/>
    <w:rsid w:val="00C87136"/>
    <w:rsid w:val="00C8781F"/>
    <w:rsid w:val="00C9077C"/>
    <w:rsid w:val="00C90970"/>
    <w:rsid w:val="00C909B0"/>
    <w:rsid w:val="00C92CB1"/>
    <w:rsid w:val="00C9363E"/>
    <w:rsid w:val="00C940CC"/>
    <w:rsid w:val="00C942C7"/>
    <w:rsid w:val="00C946CF"/>
    <w:rsid w:val="00C94F9E"/>
    <w:rsid w:val="00C95177"/>
    <w:rsid w:val="00C9529F"/>
    <w:rsid w:val="00C958A7"/>
    <w:rsid w:val="00C9659E"/>
    <w:rsid w:val="00C968AB"/>
    <w:rsid w:val="00C96E0F"/>
    <w:rsid w:val="00C9795A"/>
    <w:rsid w:val="00CA115A"/>
    <w:rsid w:val="00CA1377"/>
    <w:rsid w:val="00CA23E5"/>
    <w:rsid w:val="00CA2744"/>
    <w:rsid w:val="00CA3872"/>
    <w:rsid w:val="00CA55F3"/>
    <w:rsid w:val="00CA57AD"/>
    <w:rsid w:val="00CA5A6C"/>
    <w:rsid w:val="00CA5EE0"/>
    <w:rsid w:val="00CA6BBC"/>
    <w:rsid w:val="00CA7007"/>
    <w:rsid w:val="00CA7704"/>
    <w:rsid w:val="00CB0EEE"/>
    <w:rsid w:val="00CB24E5"/>
    <w:rsid w:val="00CB2B6D"/>
    <w:rsid w:val="00CB34AA"/>
    <w:rsid w:val="00CB5E9E"/>
    <w:rsid w:val="00CB6908"/>
    <w:rsid w:val="00CB6D8E"/>
    <w:rsid w:val="00CB6E91"/>
    <w:rsid w:val="00CB7217"/>
    <w:rsid w:val="00CC0B90"/>
    <w:rsid w:val="00CC125D"/>
    <w:rsid w:val="00CC1830"/>
    <w:rsid w:val="00CC1B1C"/>
    <w:rsid w:val="00CC29CA"/>
    <w:rsid w:val="00CC2FB4"/>
    <w:rsid w:val="00CC3C12"/>
    <w:rsid w:val="00CC484D"/>
    <w:rsid w:val="00CC4B90"/>
    <w:rsid w:val="00CC50E7"/>
    <w:rsid w:val="00CC5433"/>
    <w:rsid w:val="00CC5CB4"/>
    <w:rsid w:val="00CC5DAB"/>
    <w:rsid w:val="00CC6C8F"/>
    <w:rsid w:val="00CC7DBC"/>
    <w:rsid w:val="00CD02FA"/>
    <w:rsid w:val="00CD0457"/>
    <w:rsid w:val="00CD1126"/>
    <w:rsid w:val="00CD18B0"/>
    <w:rsid w:val="00CD1E46"/>
    <w:rsid w:val="00CD36E6"/>
    <w:rsid w:val="00CD4146"/>
    <w:rsid w:val="00CD4EA1"/>
    <w:rsid w:val="00CD5BA1"/>
    <w:rsid w:val="00CD6AA5"/>
    <w:rsid w:val="00CD701B"/>
    <w:rsid w:val="00CD7524"/>
    <w:rsid w:val="00CE0124"/>
    <w:rsid w:val="00CE0C2A"/>
    <w:rsid w:val="00CE2052"/>
    <w:rsid w:val="00CE2165"/>
    <w:rsid w:val="00CE2333"/>
    <w:rsid w:val="00CE24AA"/>
    <w:rsid w:val="00CE329E"/>
    <w:rsid w:val="00CE463F"/>
    <w:rsid w:val="00CE5181"/>
    <w:rsid w:val="00CE51DC"/>
    <w:rsid w:val="00CE54D1"/>
    <w:rsid w:val="00CE5502"/>
    <w:rsid w:val="00CE7080"/>
    <w:rsid w:val="00CE7155"/>
    <w:rsid w:val="00CF0574"/>
    <w:rsid w:val="00CF12C6"/>
    <w:rsid w:val="00CF17B7"/>
    <w:rsid w:val="00CF18DC"/>
    <w:rsid w:val="00CF1984"/>
    <w:rsid w:val="00CF1FCB"/>
    <w:rsid w:val="00CF2509"/>
    <w:rsid w:val="00CF2A66"/>
    <w:rsid w:val="00CF3BE9"/>
    <w:rsid w:val="00CF432E"/>
    <w:rsid w:val="00CF4E4E"/>
    <w:rsid w:val="00CF5426"/>
    <w:rsid w:val="00CF574C"/>
    <w:rsid w:val="00CF5B6C"/>
    <w:rsid w:val="00CF5DA6"/>
    <w:rsid w:val="00CF6DEF"/>
    <w:rsid w:val="00CF7FCF"/>
    <w:rsid w:val="00D004BF"/>
    <w:rsid w:val="00D01919"/>
    <w:rsid w:val="00D0333C"/>
    <w:rsid w:val="00D03C0F"/>
    <w:rsid w:val="00D04C62"/>
    <w:rsid w:val="00D05068"/>
    <w:rsid w:val="00D05538"/>
    <w:rsid w:val="00D05BAE"/>
    <w:rsid w:val="00D06F34"/>
    <w:rsid w:val="00D070A2"/>
    <w:rsid w:val="00D070FE"/>
    <w:rsid w:val="00D075EB"/>
    <w:rsid w:val="00D07DFD"/>
    <w:rsid w:val="00D11200"/>
    <w:rsid w:val="00D12BCA"/>
    <w:rsid w:val="00D13AB1"/>
    <w:rsid w:val="00D13F8B"/>
    <w:rsid w:val="00D14170"/>
    <w:rsid w:val="00D14AAB"/>
    <w:rsid w:val="00D1570F"/>
    <w:rsid w:val="00D15D24"/>
    <w:rsid w:val="00D163F1"/>
    <w:rsid w:val="00D1740C"/>
    <w:rsid w:val="00D202C8"/>
    <w:rsid w:val="00D20908"/>
    <w:rsid w:val="00D2147A"/>
    <w:rsid w:val="00D2266E"/>
    <w:rsid w:val="00D23ABC"/>
    <w:rsid w:val="00D23F00"/>
    <w:rsid w:val="00D25C47"/>
    <w:rsid w:val="00D25C8A"/>
    <w:rsid w:val="00D26398"/>
    <w:rsid w:val="00D2796A"/>
    <w:rsid w:val="00D27B12"/>
    <w:rsid w:val="00D27D7C"/>
    <w:rsid w:val="00D27FC5"/>
    <w:rsid w:val="00D304D3"/>
    <w:rsid w:val="00D307C7"/>
    <w:rsid w:val="00D30A26"/>
    <w:rsid w:val="00D30B33"/>
    <w:rsid w:val="00D31F37"/>
    <w:rsid w:val="00D32999"/>
    <w:rsid w:val="00D32B08"/>
    <w:rsid w:val="00D330AF"/>
    <w:rsid w:val="00D34568"/>
    <w:rsid w:val="00D349BB"/>
    <w:rsid w:val="00D36457"/>
    <w:rsid w:val="00D36BFF"/>
    <w:rsid w:val="00D37771"/>
    <w:rsid w:val="00D37F33"/>
    <w:rsid w:val="00D40568"/>
    <w:rsid w:val="00D4189F"/>
    <w:rsid w:val="00D427BD"/>
    <w:rsid w:val="00D42A09"/>
    <w:rsid w:val="00D44131"/>
    <w:rsid w:val="00D447D2"/>
    <w:rsid w:val="00D44BBD"/>
    <w:rsid w:val="00D45098"/>
    <w:rsid w:val="00D45E66"/>
    <w:rsid w:val="00D46F1F"/>
    <w:rsid w:val="00D47588"/>
    <w:rsid w:val="00D4771A"/>
    <w:rsid w:val="00D50877"/>
    <w:rsid w:val="00D5184C"/>
    <w:rsid w:val="00D52972"/>
    <w:rsid w:val="00D533C2"/>
    <w:rsid w:val="00D539E7"/>
    <w:rsid w:val="00D54270"/>
    <w:rsid w:val="00D542D0"/>
    <w:rsid w:val="00D55813"/>
    <w:rsid w:val="00D55C80"/>
    <w:rsid w:val="00D55E7E"/>
    <w:rsid w:val="00D5720F"/>
    <w:rsid w:val="00D604D2"/>
    <w:rsid w:val="00D60DE2"/>
    <w:rsid w:val="00D60E04"/>
    <w:rsid w:val="00D625B3"/>
    <w:rsid w:val="00D630CE"/>
    <w:rsid w:val="00D636B9"/>
    <w:rsid w:val="00D63861"/>
    <w:rsid w:val="00D63BA6"/>
    <w:rsid w:val="00D644CF"/>
    <w:rsid w:val="00D648CD"/>
    <w:rsid w:val="00D64A46"/>
    <w:rsid w:val="00D65015"/>
    <w:rsid w:val="00D6531B"/>
    <w:rsid w:val="00D6619E"/>
    <w:rsid w:val="00D705BE"/>
    <w:rsid w:val="00D712A0"/>
    <w:rsid w:val="00D72898"/>
    <w:rsid w:val="00D72BFB"/>
    <w:rsid w:val="00D72C3B"/>
    <w:rsid w:val="00D731B6"/>
    <w:rsid w:val="00D7375E"/>
    <w:rsid w:val="00D73C57"/>
    <w:rsid w:val="00D73E1E"/>
    <w:rsid w:val="00D73F9D"/>
    <w:rsid w:val="00D73FBA"/>
    <w:rsid w:val="00D742D1"/>
    <w:rsid w:val="00D74E07"/>
    <w:rsid w:val="00D75128"/>
    <w:rsid w:val="00D7578C"/>
    <w:rsid w:val="00D769F5"/>
    <w:rsid w:val="00D77B2A"/>
    <w:rsid w:val="00D80F60"/>
    <w:rsid w:val="00D8202C"/>
    <w:rsid w:val="00D828D2"/>
    <w:rsid w:val="00D834B3"/>
    <w:rsid w:val="00D8454C"/>
    <w:rsid w:val="00D85B50"/>
    <w:rsid w:val="00D86858"/>
    <w:rsid w:val="00D8690A"/>
    <w:rsid w:val="00D87939"/>
    <w:rsid w:val="00D9200C"/>
    <w:rsid w:val="00D922CD"/>
    <w:rsid w:val="00D92601"/>
    <w:rsid w:val="00D93BDE"/>
    <w:rsid w:val="00D93C26"/>
    <w:rsid w:val="00D93D17"/>
    <w:rsid w:val="00D93FAD"/>
    <w:rsid w:val="00D943C6"/>
    <w:rsid w:val="00D94D54"/>
    <w:rsid w:val="00D96DB1"/>
    <w:rsid w:val="00D97985"/>
    <w:rsid w:val="00DA1DCA"/>
    <w:rsid w:val="00DA2695"/>
    <w:rsid w:val="00DA2D2F"/>
    <w:rsid w:val="00DA5525"/>
    <w:rsid w:val="00DA5BB6"/>
    <w:rsid w:val="00DA5CDB"/>
    <w:rsid w:val="00DA5E83"/>
    <w:rsid w:val="00DA7200"/>
    <w:rsid w:val="00DA74F6"/>
    <w:rsid w:val="00DA798A"/>
    <w:rsid w:val="00DB01A2"/>
    <w:rsid w:val="00DB0920"/>
    <w:rsid w:val="00DB106C"/>
    <w:rsid w:val="00DB2709"/>
    <w:rsid w:val="00DB272E"/>
    <w:rsid w:val="00DB3712"/>
    <w:rsid w:val="00DB3AAC"/>
    <w:rsid w:val="00DB3BAB"/>
    <w:rsid w:val="00DB43F4"/>
    <w:rsid w:val="00DB52F3"/>
    <w:rsid w:val="00DB5C15"/>
    <w:rsid w:val="00DB607E"/>
    <w:rsid w:val="00DB6942"/>
    <w:rsid w:val="00DB69DD"/>
    <w:rsid w:val="00DC0386"/>
    <w:rsid w:val="00DC0855"/>
    <w:rsid w:val="00DC14B6"/>
    <w:rsid w:val="00DC1F0B"/>
    <w:rsid w:val="00DC22A3"/>
    <w:rsid w:val="00DC2AD5"/>
    <w:rsid w:val="00DC541B"/>
    <w:rsid w:val="00DC5B65"/>
    <w:rsid w:val="00DC6CAE"/>
    <w:rsid w:val="00DC76A7"/>
    <w:rsid w:val="00DD06F6"/>
    <w:rsid w:val="00DD4609"/>
    <w:rsid w:val="00DD4FCF"/>
    <w:rsid w:val="00DD53E8"/>
    <w:rsid w:val="00DD549B"/>
    <w:rsid w:val="00DD6704"/>
    <w:rsid w:val="00DD6755"/>
    <w:rsid w:val="00DD6864"/>
    <w:rsid w:val="00DE0FAF"/>
    <w:rsid w:val="00DE1EAD"/>
    <w:rsid w:val="00DE23FC"/>
    <w:rsid w:val="00DE2D18"/>
    <w:rsid w:val="00DE2EAC"/>
    <w:rsid w:val="00DE453B"/>
    <w:rsid w:val="00DE45D2"/>
    <w:rsid w:val="00DE537A"/>
    <w:rsid w:val="00DE5383"/>
    <w:rsid w:val="00DE5577"/>
    <w:rsid w:val="00DE5C57"/>
    <w:rsid w:val="00DE6849"/>
    <w:rsid w:val="00DE69EC"/>
    <w:rsid w:val="00DE6FB2"/>
    <w:rsid w:val="00DE7B10"/>
    <w:rsid w:val="00DE7D1F"/>
    <w:rsid w:val="00DF06F0"/>
    <w:rsid w:val="00DF10A9"/>
    <w:rsid w:val="00DF1D0C"/>
    <w:rsid w:val="00DF2CF6"/>
    <w:rsid w:val="00DF4067"/>
    <w:rsid w:val="00DF46C5"/>
    <w:rsid w:val="00DF4F79"/>
    <w:rsid w:val="00DF54BF"/>
    <w:rsid w:val="00DF5880"/>
    <w:rsid w:val="00DF5CD3"/>
    <w:rsid w:val="00DF6E6C"/>
    <w:rsid w:val="00DF74A8"/>
    <w:rsid w:val="00DF770C"/>
    <w:rsid w:val="00DF7771"/>
    <w:rsid w:val="00E0034E"/>
    <w:rsid w:val="00E008BC"/>
    <w:rsid w:val="00E00AD5"/>
    <w:rsid w:val="00E00D22"/>
    <w:rsid w:val="00E00E4C"/>
    <w:rsid w:val="00E01063"/>
    <w:rsid w:val="00E017A3"/>
    <w:rsid w:val="00E028FA"/>
    <w:rsid w:val="00E02B6C"/>
    <w:rsid w:val="00E03BF5"/>
    <w:rsid w:val="00E042A4"/>
    <w:rsid w:val="00E05AC5"/>
    <w:rsid w:val="00E05CAE"/>
    <w:rsid w:val="00E05EE6"/>
    <w:rsid w:val="00E10F5F"/>
    <w:rsid w:val="00E114EF"/>
    <w:rsid w:val="00E11717"/>
    <w:rsid w:val="00E11AFD"/>
    <w:rsid w:val="00E1262A"/>
    <w:rsid w:val="00E12EF7"/>
    <w:rsid w:val="00E12F63"/>
    <w:rsid w:val="00E1388E"/>
    <w:rsid w:val="00E13C24"/>
    <w:rsid w:val="00E13D4F"/>
    <w:rsid w:val="00E1538D"/>
    <w:rsid w:val="00E1550B"/>
    <w:rsid w:val="00E16AF8"/>
    <w:rsid w:val="00E16F6E"/>
    <w:rsid w:val="00E200C3"/>
    <w:rsid w:val="00E214D1"/>
    <w:rsid w:val="00E2246C"/>
    <w:rsid w:val="00E22CC4"/>
    <w:rsid w:val="00E236B3"/>
    <w:rsid w:val="00E24542"/>
    <w:rsid w:val="00E2491E"/>
    <w:rsid w:val="00E250BF"/>
    <w:rsid w:val="00E25145"/>
    <w:rsid w:val="00E256B4"/>
    <w:rsid w:val="00E25B30"/>
    <w:rsid w:val="00E25DBE"/>
    <w:rsid w:val="00E25E26"/>
    <w:rsid w:val="00E273F0"/>
    <w:rsid w:val="00E2784F"/>
    <w:rsid w:val="00E27A26"/>
    <w:rsid w:val="00E3066F"/>
    <w:rsid w:val="00E3068D"/>
    <w:rsid w:val="00E30F8F"/>
    <w:rsid w:val="00E3188A"/>
    <w:rsid w:val="00E31DBC"/>
    <w:rsid w:val="00E32352"/>
    <w:rsid w:val="00E32831"/>
    <w:rsid w:val="00E32A1A"/>
    <w:rsid w:val="00E32CF2"/>
    <w:rsid w:val="00E333AA"/>
    <w:rsid w:val="00E3365E"/>
    <w:rsid w:val="00E33990"/>
    <w:rsid w:val="00E349F3"/>
    <w:rsid w:val="00E35F62"/>
    <w:rsid w:val="00E36231"/>
    <w:rsid w:val="00E3653C"/>
    <w:rsid w:val="00E36897"/>
    <w:rsid w:val="00E37008"/>
    <w:rsid w:val="00E379E7"/>
    <w:rsid w:val="00E37C18"/>
    <w:rsid w:val="00E40099"/>
    <w:rsid w:val="00E4098F"/>
    <w:rsid w:val="00E409FF"/>
    <w:rsid w:val="00E40B78"/>
    <w:rsid w:val="00E4114E"/>
    <w:rsid w:val="00E41502"/>
    <w:rsid w:val="00E416DD"/>
    <w:rsid w:val="00E41AE4"/>
    <w:rsid w:val="00E42CD6"/>
    <w:rsid w:val="00E4310A"/>
    <w:rsid w:val="00E434A9"/>
    <w:rsid w:val="00E44F77"/>
    <w:rsid w:val="00E45F5B"/>
    <w:rsid w:val="00E46C03"/>
    <w:rsid w:val="00E47C12"/>
    <w:rsid w:val="00E500C4"/>
    <w:rsid w:val="00E500D0"/>
    <w:rsid w:val="00E50EA1"/>
    <w:rsid w:val="00E51A8C"/>
    <w:rsid w:val="00E5210E"/>
    <w:rsid w:val="00E52599"/>
    <w:rsid w:val="00E52A88"/>
    <w:rsid w:val="00E53A78"/>
    <w:rsid w:val="00E54C30"/>
    <w:rsid w:val="00E550A4"/>
    <w:rsid w:val="00E5522C"/>
    <w:rsid w:val="00E553A1"/>
    <w:rsid w:val="00E554CF"/>
    <w:rsid w:val="00E55BC1"/>
    <w:rsid w:val="00E55BE8"/>
    <w:rsid w:val="00E55F86"/>
    <w:rsid w:val="00E565DB"/>
    <w:rsid w:val="00E567BE"/>
    <w:rsid w:val="00E57FD2"/>
    <w:rsid w:val="00E60909"/>
    <w:rsid w:val="00E60DEE"/>
    <w:rsid w:val="00E615EB"/>
    <w:rsid w:val="00E616C5"/>
    <w:rsid w:val="00E62469"/>
    <w:rsid w:val="00E632E1"/>
    <w:rsid w:val="00E639A9"/>
    <w:rsid w:val="00E63E12"/>
    <w:rsid w:val="00E64703"/>
    <w:rsid w:val="00E647E4"/>
    <w:rsid w:val="00E65303"/>
    <w:rsid w:val="00E66AFF"/>
    <w:rsid w:val="00E67A3F"/>
    <w:rsid w:val="00E701B8"/>
    <w:rsid w:val="00E7202F"/>
    <w:rsid w:val="00E73F6E"/>
    <w:rsid w:val="00E74936"/>
    <w:rsid w:val="00E7572C"/>
    <w:rsid w:val="00E75CA3"/>
    <w:rsid w:val="00E766A2"/>
    <w:rsid w:val="00E76F78"/>
    <w:rsid w:val="00E77213"/>
    <w:rsid w:val="00E773F8"/>
    <w:rsid w:val="00E77765"/>
    <w:rsid w:val="00E80202"/>
    <w:rsid w:val="00E808FA"/>
    <w:rsid w:val="00E80B6D"/>
    <w:rsid w:val="00E8146B"/>
    <w:rsid w:val="00E826C6"/>
    <w:rsid w:val="00E82D60"/>
    <w:rsid w:val="00E83F8F"/>
    <w:rsid w:val="00E84221"/>
    <w:rsid w:val="00E847B8"/>
    <w:rsid w:val="00E847CE"/>
    <w:rsid w:val="00E84C39"/>
    <w:rsid w:val="00E84E7F"/>
    <w:rsid w:val="00E8668C"/>
    <w:rsid w:val="00E87698"/>
    <w:rsid w:val="00E87BD5"/>
    <w:rsid w:val="00E87CAE"/>
    <w:rsid w:val="00E911A3"/>
    <w:rsid w:val="00E9191D"/>
    <w:rsid w:val="00E91B1E"/>
    <w:rsid w:val="00E91DF8"/>
    <w:rsid w:val="00E927DA"/>
    <w:rsid w:val="00E96BC1"/>
    <w:rsid w:val="00E96D8D"/>
    <w:rsid w:val="00E96E70"/>
    <w:rsid w:val="00E97224"/>
    <w:rsid w:val="00EA09F2"/>
    <w:rsid w:val="00EA1719"/>
    <w:rsid w:val="00EA25D6"/>
    <w:rsid w:val="00EA2637"/>
    <w:rsid w:val="00EA2B7B"/>
    <w:rsid w:val="00EA2E3E"/>
    <w:rsid w:val="00EA513B"/>
    <w:rsid w:val="00EA5A99"/>
    <w:rsid w:val="00EA5BCA"/>
    <w:rsid w:val="00EA665A"/>
    <w:rsid w:val="00EA7367"/>
    <w:rsid w:val="00EA7FF1"/>
    <w:rsid w:val="00EB02E9"/>
    <w:rsid w:val="00EB08B6"/>
    <w:rsid w:val="00EB09FA"/>
    <w:rsid w:val="00EB0C11"/>
    <w:rsid w:val="00EB0F54"/>
    <w:rsid w:val="00EB2020"/>
    <w:rsid w:val="00EB3874"/>
    <w:rsid w:val="00EB38BC"/>
    <w:rsid w:val="00EB3C64"/>
    <w:rsid w:val="00EB4791"/>
    <w:rsid w:val="00EB488B"/>
    <w:rsid w:val="00EB4D7C"/>
    <w:rsid w:val="00EB5542"/>
    <w:rsid w:val="00EB5684"/>
    <w:rsid w:val="00EB5CED"/>
    <w:rsid w:val="00EB639E"/>
    <w:rsid w:val="00EB68D2"/>
    <w:rsid w:val="00EB6942"/>
    <w:rsid w:val="00EB6DF9"/>
    <w:rsid w:val="00EB712A"/>
    <w:rsid w:val="00EB7843"/>
    <w:rsid w:val="00EB7C10"/>
    <w:rsid w:val="00EC04AA"/>
    <w:rsid w:val="00EC178C"/>
    <w:rsid w:val="00EC2238"/>
    <w:rsid w:val="00EC2506"/>
    <w:rsid w:val="00EC252A"/>
    <w:rsid w:val="00EC3B90"/>
    <w:rsid w:val="00EC3D83"/>
    <w:rsid w:val="00EC4635"/>
    <w:rsid w:val="00EC4C08"/>
    <w:rsid w:val="00EC52A5"/>
    <w:rsid w:val="00ED09B9"/>
    <w:rsid w:val="00ED0E9D"/>
    <w:rsid w:val="00ED1B2B"/>
    <w:rsid w:val="00ED1DFA"/>
    <w:rsid w:val="00ED47B8"/>
    <w:rsid w:val="00ED4E09"/>
    <w:rsid w:val="00ED53B7"/>
    <w:rsid w:val="00ED58F2"/>
    <w:rsid w:val="00ED5A98"/>
    <w:rsid w:val="00ED5B44"/>
    <w:rsid w:val="00ED6AF2"/>
    <w:rsid w:val="00ED6FD7"/>
    <w:rsid w:val="00ED773A"/>
    <w:rsid w:val="00ED7B3B"/>
    <w:rsid w:val="00ED7E85"/>
    <w:rsid w:val="00ED7F2C"/>
    <w:rsid w:val="00EE0094"/>
    <w:rsid w:val="00EE0B87"/>
    <w:rsid w:val="00EE124D"/>
    <w:rsid w:val="00EE2FEE"/>
    <w:rsid w:val="00EE3619"/>
    <w:rsid w:val="00EE39EA"/>
    <w:rsid w:val="00EE5A9F"/>
    <w:rsid w:val="00EE5FF0"/>
    <w:rsid w:val="00EE6097"/>
    <w:rsid w:val="00EE6C3F"/>
    <w:rsid w:val="00EE7561"/>
    <w:rsid w:val="00EE7DB1"/>
    <w:rsid w:val="00EE7EDF"/>
    <w:rsid w:val="00EF0079"/>
    <w:rsid w:val="00EF077E"/>
    <w:rsid w:val="00EF123F"/>
    <w:rsid w:val="00EF414C"/>
    <w:rsid w:val="00EF42BC"/>
    <w:rsid w:val="00EF4D88"/>
    <w:rsid w:val="00EF4E24"/>
    <w:rsid w:val="00EF5895"/>
    <w:rsid w:val="00EF5D8C"/>
    <w:rsid w:val="00EF79E1"/>
    <w:rsid w:val="00F00915"/>
    <w:rsid w:val="00F00AC2"/>
    <w:rsid w:val="00F016A4"/>
    <w:rsid w:val="00F028BB"/>
    <w:rsid w:val="00F02A17"/>
    <w:rsid w:val="00F02D0B"/>
    <w:rsid w:val="00F035A4"/>
    <w:rsid w:val="00F06415"/>
    <w:rsid w:val="00F068FC"/>
    <w:rsid w:val="00F06E56"/>
    <w:rsid w:val="00F079A7"/>
    <w:rsid w:val="00F10097"/>
    <w:rsid w:val="00F115B2"/>
    <w:rsid w:val="00F116CE"/>
    <w:rsid w:val="00F11B50"/>
    <w:rsid w:val="00F122F0"/>
    <w:rsid w:val="00F12B66"/>
    <w:rsid w:val="00F12C1F"/>
    <w:rsid w:val="00F13348"/>
    <w:rsid w:val="00F13A23"/>
    <w:rsid w:val="00F142BE"/>
    <w:rsid w:val="00F14986"/>
    <w:rsid w:val="00F14B5E"/>
    <w:rsid w:val="00F14CC8"/>
    <w:rsid w:val="00F15370"/>
    <w:rsid w:val="00F166C8"/>
    <w:rsid w:val="00F16B05"/>
    <w:rsid w:val="00F16D18"/>
    <w:rsid w:val="00F16F96"/>
    <w:rsid w:val="00F2061A"/>
    <w:rsid w:val="00F20D9C"/>
    <w:rsid w:val="00F21129"/>
    <w:rsid w:val="00F212A3"/>
    <w:rsid w:val="00F238A2"/>
    <w:rsid w:val="00F247CF"/>
    <w:rsid w:val="00F257DF"/>
    <w:rsid w:val="00F258FD"/>
    <w:rsid w:val="00F25962"/>
    <w:rsid w:val="00F25B32"/>
    <w:rsid w:val="00F26CEE"/>
    <w:rsid w:val="00F26DD8"/>
    <w:rsid w:val="00F27656"/>
    <w:rsid w:val="00F2791B"/>
    <w:rsid w:val="00F3141C"/>
    <w:rsid w:val="00F31FEB"/>
    <w:rsid w:val="00F32271"/>
    <w:rsid w:val="00F32799"/>
    <w:rsid w:val="00F3294F"/>
    <w:rsid w:val="00F32D14"/>
    <w:rsid w:val="00F33B9D"/>
    <w:rsid w:val="00F33ED0"/>
    <w:rsid w:val="00F34458"/>
    <w:rsid w:val="00F35965"/>
    <w:rsid w:val="00F35E2E"/>
    <w:rsid w:val="00F36296"/>
    <w:rsid w:val="00F365DE"/>
    <w:rsid w:val="00F3770B"/>
    <w:rsid w:val="00F37EEF"/>
    <w:rsid w:val="00F4083F"/>
    <w:rsid w:val="00F41238"/>
    <w:rsid w:val="00F43D45"/>
    <w:rsid w:val="00F43D46"/>
    <w:rsid w:val="00F44843"/>
    <w:rsid w:val="00F4499D"/>
    <w:rsid w:val="00F44ACE"/>
    <w:rsid w:val="00F44B4E"/>
    <w:rsid w:val="00F4535C"/>
    <w:rsid w:val="00F456B1"/>
    <w:rsid w:val="00F4594A"/>
    <w:rsid w:val="00F46B90"/>
    <w:rsid w:val="00F4721D"/>
    <w:rsid w:val="00F47352"/>
    <w:rsid w:val="00F47871"/>
    <w:rsid w:val="00F47DD2"/>
    <w:rsid w:val="00F47E7D"/>
    <w:rsid w:val="00F519A5"/>
    <w:rsid w:val="00F51A18"/>
    <w:rsid w:val="00F52009"/>
    <w:rsid w:val="00F520A2"/>
    <w:rsid w:val="00F521F5"/>
    <w:rsid w:val="00F522B1"/>
    <w:rsid w:val="00F5312B"/>
    <w:rsid w:val="00F5319C"/>
    <w:rsid w:val="00F53B33"/>
    <w:rsid w:val="00F53D39"/>
    <w:rsid w:val="00F54748"/>
    <w:rsid w:val="00F54AE1"/>
    <w:rsid w:val="00F54C5E"/>
    <w:rsid w:val="00F5680B"/>
    <w:rsid w:val="00F571B5"/>
    <w:rsid w:val="00F576F4"/>
    <w:rsid w:val="00F607A8"/>
    <w:rsid w:val="00F60B56"/>
    <w:rsid w:val="00F61448"/>
    <w:rsid w:val="00F62531"/>
    <w:rsid w:val="00F626E0"/>
    <w:rsid w:val="00F62711"/>
    <w:rsid w:val="00F62FC2"/>
    <w:rsid w:val="00F638F6"/>
    <w:rsid w:val="00F6442D"/>
    <w:rsid w:val="00F64992"/>
    <w:rsid w:val="00F64F8B"/>
    <w:rsid w:val="00F66F45"/>
    <w:rsid w:val="00F67D1B"/>
    <w:rsid w:val="00F71C37"/>
    <w:rsid w:val="00F7209A"/>
    <w:rsid w:val="00F72E2F"/>
    <w:rsid w:val="00F73265"/>
    <w:rsid w:val="00F733D4"/>
    <w:rsid w:val="00F74059"/>
    <w:rsid w:val="00F74A19"/>
    <w:rsid w:val="00F751D6"/>
    <w:rsid w:val="00F7614D"/>
    <w:rsid w:val="00F7687F"/>
    <w:rsid w:val="00F777F8"/>
    <w:rsid w:val="00F8038F"/>
    <w:rsid w:val="00F807A8"/>
    <w:rsid w:val="00F81B44"/>
    <w:rsid w:val="00F81BB4"/>
    <w:rsid w:val="00F81BF7"/>
    <w:rsid w:val="00F81DFC"/>
    <w:rsid w:val="00F82762"/>
    <w:rsid w:val="00F82EA3"/>
    <w:rsid w:val="00F82F67"/>
    <w:rsid w:val="00F82FD1"/>
    <w:rsid w:val="00F831F3"/>
    <w:rsid w:val="00F8354B"/>
    <w:rsid w:val="00F836C5"/>
    <w:rsid w:val="00F83ABD"/>
    <w:rsid w:val="00F84917"/>
    <w:rsid w:val="00F8647D"/>
    <w:rsid w:val="00F867B1"/>
    <w:rsid w:val="00F86E23"/>
    <w:rsid w:val="00F87EAE"/>
    <w:rsid w:val="00F9006C"/>
    <w:rsid w:val="00F90107"/>
    <w:rsid w:val="00F9024A"/>
    <w:rsid w:val="00F904E6"/>
    <w:rsid w:val="00F91AB7"/>
    <w:rsid w:val="00F9320C"/>
    <w:rsid w:val="00F932BA"/>
    <w:rsid w:val="00F94B1C"/>
    <w:rsid w:val="00F94BB6"/>
    <w:rsid w:val="00FA09FD"/>
    <w:rsid w:val="00FA21FA"/>
    <w:rsid w:val="00FA3015"/>
    <w:rsid w:val="00FA33C4"/>
    <w:rsid w:val="00FA38FC"/>
    <w:rsid w:val="00FA3CF5"/>
    <w:rsid w:val="00FA4444"/>
    <w:rsid w:val="00FA4656"/>
    <w:rsid w:val="00FA4B74"/>
    <w:rsid w:val="00FA528A"/>
    <w:rsid w:val="00FA587A"/>
    <w:rsid w:val="00FA6777"/>
    <w:rsid w:val="00FA7281"/>
    <w:rsid w:val="00FB054D"/>
    <w:rsid w:val="00FB0D25"/>
    <w:rsid w:val="00FB2605"/>
    <w:rsid w:val="00FB29F6"/>
    <w:rsid w:val="00FB2A0A"/>
    <w:rsid w:val="00FB3AC7"/>
    <w:rsid w:val="00FB3D62"/>
    <w:rsid w:val="00FB4ADE"/>
    <w:rsid w:val="00FB4DD8"/>
    <w:rsid w:val="00FB6668"/>
    <w:rsid w:val="00FB668D"/>
    <w:rsid w:val="00FB6760"/>
    <w:rsid w:val="00FB748F"/>
    <w:rsid w:val="00FB7ADB"/>
    <w:rsid w:val="00FB7F86"/>
    <w:rsid w:val="00FC01F5"/>
    <w:rsid w:val="00FC1530"/>
    <w:rsid w:val="00FC239B"/>
    <w:rsid w:val="00FC2E88"/>
    <w:rsid w:val="00FC311B"/>
    <w:rsid w:val="00FC3188"/>
    <w:rsid w:val="00FC40A3"/>
    <w:rsid w:val="00FC4A02"/>
    <w:rsid w:val="00FC5EA7"/>
    <w:rsid w:val="00FC5FDD"/>
    <w:rsid w:val="00FC72FE"/>
    <w:rsid w:val="00FC7B7A"/>
    <w:rsid w:val="00FD0071"/>
    <w:rsid w:val="00FD04E4"/>
    <w:rsid w:val="00FD25C3"/>
    <w:rsid w:val="00FD4715"/>
    <w:rsid w:val="00FD633D"/>
    <w:rsid w:val="00FD6935"/>
    <w:rsid w:val="00FD6C88"/>
    <w:rsid w:val="00FD6F4F"/>
    <w:rsid w:val="00FD7054"/>
    <w:rsid w:val="00FD761D"/>
    <w:rsid w:val="00FD78DD"/>
    <w:rsid w:val="00FD7A4D"/>
    <w:rsid w:val="00FD7C74"/>
    <w:rsid w:val="00FE0749"/>
    <w:rsid w:val="00FE1070"/>
    <w:rsid w:val="00FE1918"/>
    <w:rsid w:val="00FE196F"/>
    <w:rsid w:val="00FE2AD5"/>
    <w:rsid w:val="00FE2FB1"/>
    <w:rsid w:val="00FE4E50"/>
    <w:rsid w:val="00FE5200"/>
    <w:rsid w:val="00FE572B"/>
    <w:rsid w:val="00FE5A78"/>
    <w:rsid w:val="00FE6D0A"/>
    <w:rsid w:val="00FE79C2"/>
    <w:rsid w:val="00FF0977"/>
    <w:rsid w:val="00FF0D03"/>
    <w:rsid w:val="00FF0E74"/>
    <w:rsid w:val="00FF11E4"/>
    <w:rsid w:val="00FF19A3"/>
    <w:rsid w:val="00FF1E53"/>
    <w:rsid w:val="00FF25FE"/>
    <w:rsid w:val="00FF276E"/>
    <w:rsid w:val="00FF3E54"/>
    <w:rsid w:val="00FF3F81"/>
    <w:rsid w:val="00FF5262"/>
    <w:rsid w:val="00FF5F13"/>
    <w:rsid w:val="00FF623C"/>
    <w:rsid w:val="00FF6D36"/>
    <w:rsid w:val="00FF6DAD"/>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B15DF"/>
  <w15:docId w15:val="{602EE0E8-A04F-4DD0-BE46-35AD7DEA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E8"/>
    <w:pPr>
      <w:ind w:firstLine="567"/>
      <w:jc w:val="both"/>
    </w:pPr>
    <w:rPr>
      <w:rFonts w:ascii="Times New Roman" w:hAnsi="Times New Roman"/>
      <w:sz w:val="24"/>
      <w:szCs w:val="22"/>
      <w:lang w:val="lv-LV" w:eastAsia="lv-LV"/>
    </w:rPr>
  </w:style>
  <w:style w:type="paragraph" w:styleId="Heading1">
    <w:name w:val="heading 1"/>
    <w:basedOn w:val="Normal"/>
    <w:next w:val="Normal"/>
    <w:link w:val="Heading1Char"/>
    <w:uiPriority w:val="9"/>
    <w:qFormat/>
    <w:rsid w:val="00CD1126"/>
    <w:pPr>
      <w:keepNext/>
      <w:keepLines/>
      <w:numPr>
        <w:numId w:val="1"/>
      </w:numPr>
      <w:spacing w:after="360"/>
      <w:jc w:val="center"/>
      <w:outlineLvl w:val="0"/>
    </w:pPr>
    <w:rPr>
      <w:b/>
      <w:bCs/>
      <w:sz w:val="28"/>
      <w:szCs w:val="28"/>
    </w:rPr>
  </w:style>
  <w:style w:type="paragraph" w:styleId="Heading2">
    <w:name w:val="heading 2"/>
    <w:basedOn w:val="Normal"/>
    <w:next w:val="Normal"/>
    <w:link w:val="Heading2Char"/>
    <w:uiPriority w:val="9"/>
    <w:qFormat/>
    <w:rsid w:val="00D93C26"/>
    <w:pPr>
      <w:keepNext/>
      <w:keepLines/>
      <w:spacing w:before="240" w:after="120"/>
      <w:ind w:firstLine="0"/>
      <w:jc w:val="left"/>
      <w:outlineLvl w:val="1"/>
    </w:pPr>
    <w:rPr>
      <w:b/>
      <w:bCs/>
      <w:sz w:val="26"/>
      <w:szCs w:val="26"/>
    </w:rPr>
  </w:style>
  <w:style w:type="paragraph" w:styleId="Heading3">
    <w:name w:val="heading 3"/>
    <w:basedOn w:val="Normal"/>
    <w:next w:val="Normal"/>
    <w:link w:val="Heading3Char"/>
    <w:uiPriority w:val="9"/>
    <w:qFormat/>
    <w:rsid w:val="006717E2"/>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F00A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E3909"/>
    <w:pPr>
      <w:ind w:left="720"/>
      <w:contextualSpacing/>
    </w:p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FB4DD8"/>
    <w:rPr>
      <w:vertAlign w:val="superscript"/>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FB4DD8"/>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qFormat/>
    <w:rsid w:val="00FB4DD8"/>
    <w:rPr>
      <w:rFonts w:ascii="Times New Roman" w:eastAsia="Times New Roman" w:hAnsi="Times New Roman" w:cs="Times New Roman"/>
      <w:sz w:val="20"/>
      <w:szCs w:val="20"/>
      <w:lang w:val="en-GB"/>
    </w:rPr>
  </w:style>
  <w:style w:type="character" w:customStyle="1" w:styleId="italic1">
    <w:name w:val="italic1"/>
    <w:rsid w:val="00FB4DD8"/>
    <w:rPr>
      <w:rFonts w:cs="Times New Roman"/>
      <w:i/>
      <w:iCs/>
    </w:rPr>
  </w:style>
  <w:style w:type="character" w:styleId="Strong">
    <w:name w:val="Strong"/>
    <w:uiPriority w:val="22"/>
    <w:qFormat/>
    <w:rsid w:val="00FB4DD8"/>
    <w:rPr>
      <w:b/>
      <w:bCs/>
    </w:rPr>
  </w:style>
  <w:style w:type="paragraph" w:customStyle="1" w:styleId="Default">
    <w:name w:val="Default"/>
    <w:link w:val="DefaultChar"/>
    <w:rsid w:val="00FB4DD8"/>
    <w:pPr>
      <w:autoSpaceDE w:val="0"/>
      <w:autoSpaceDN w:val="0"/>
      <w:adjustRightInd w:val="0"/>
    </w:pPr>
    <w:rPr>
      <w:rFonts w:ascii="Times New Roman" w:hAnsi="Times New Roman"/>
      <w:color w:val="000000"/>
      <w:sz w:val="24"/>
      <w:szCs w:val="24"/>
      <w:lang w:val="lv-LV" w:eastAsia="lv-LV"/>
    </w:rPr>
  </w:style>
  <w:style w:type="character" w:styleId="Hyperlink">
    <w:name w:val="Hyperlink"/>
    <w:uiPriority w:val="99"/>
    <w:unhideWhenUsed/>
    <w:rsid w:val="00FB4DD8"/>
    <w:rPr>
      <w:color w:val="0000FF"/>
      <w:u w:val="single"/>
    </w:rPr>
  </w:style>
  <w:style w:type="character" w:customStyle="1" w:styleId="Hyperlink0">
    <w:name w:val="Hyperlink.0"/>
    <w:rsid w:val="00FB4DD8"/>
    <w:rPr>
      <w:color w:val="0000FF"/>
      <w:u w:val="single"/>
    </w:rPr>
  </w:style>
  <w:style w:type="paragraph" w:styleId="BalloonText">
    <w:name w:val="Balloon Text"/>
    <w:basedOn w:val="Normal"/>
    <w:link w:val="BalloonTextChar"/>
    <w:uiPriority w:val="99"/>
    <w:semiHidden/>
    <w:unhideWhenUsed/>
    <w:rsid w:val="00D13F8B"/>
    <w:rPr>
      <w:sz w:val="20"/>
      <w:szCs w:val="16"/>
    </w:rPr>
  </w:style>
  <w:style w:type="character" w:customStyle="1" w:styleId="BalloonTextChar">
    <w:name w:val="Balloon Text Char"/>
    <w:link w:val="BalloonText"/>
    <w:uiPriority w:val="99"/>
    <w:semiHidden/>
    <w:rsid w:val="00D13F8B"/>
    <w:rPr>
      <w:rFonts w:cs="Tahoma"/>
      <w:szCs w:val="16"/>
    </w:rPr>
  </w:style>
  <w:style w:type="character" w:styleId="CommentReference">
    <w:name w:val="annotation reference"/>
    <w:unhideWhenUsed/>
    <w:rsid w:val="001A72FA"/>
    <w:rPr>
      <w:sz w:val="16"/>
      <w:szCs w:val="16"/>
    </w:rPr>
  </w:style>
  <w:style w:type="paragraph" w:styleId="CommentText">
    <w:name w:val="annotation text"/>
    <w:basedOn w:val="Normal"/>
    <w:link w:val="CommentTextChar"/>
    <w:uiPriority w:val="99"/>
    <w:unhideWhenUsed/>
    <w:rsid w:val="001A72FA"/>
    <w:rPr>
      <w:sz w:val="20"/>
      <w:szCs w:val="20"/>
    </w:rPr>
  </w:style>
  <w:style w:type="character" w:customStyle="1" w:styleId="CommentTextChar">
    <w:name w:val="Comment Text Char"/>
    <w:link w:val="CommentText"/>
    <w:uiPriority w:val="99"/>
    <w:rsid w:val="001A72FA"/>
    <w:rPr>
      <w:sz w:val="20"/>
      <w:szCs w:val="20"/>
    </w:rPr>
  </w:style>
  <w:style w:type="paragraph" w:styleId="CommentSubject">
    <w:name w:val="annotation subject"/>
    <w:basedOn w:val="CommentText"/>
    <w:next w:val="CommentText"/>
    <w:link w:val="CommentSubjectChar"/>
    <w:uiPriority w:val="99"/>
    <w:semiHidden/>
    <w:unhideWhenUsed/>
    <w:rsid w:val="001A72FA"/>
    <w:rPr>
      <w:b/>
      <w:bCs/>
    </w:rPr>
  </w:style>
  <w:style w:type="character" w:customStyle="1" w:styleId="CommentSubjectChar">
    <w:name w:val="Comment Subject Char"/>
    <w:link w:val="CommentSubject"/>
    <w:uiPriority w:val="99"/>
    <w:semiHidden/>
    <w:rsid w:val="001A72FA"/>
    <w:rPr>
      <w:b/>
      <w:bCs/>
      <w:sz w:val="20"/>
      <w:szCs w:val="20"/>
    </w:rPr>
  </w:style>
  <w:style w:type="table" w:styleId="TableGrid">
    <w:name w:val="Table Grid"/>
    <w:basedOn w:val="TableNormal"/>
    <w:uiPriority w:val="59"/>
    <w:rsid w:val="00BD1D03"/>
    <w:pPr>
      <w:spacing w:after="12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2 Virsrakstiņš"/>
    <w:basedOn w:val="Normal"/>
    <w:next w:val="Normal"/>
    <w:uiPriority w:val="35"/>
    <w:qFormat/>
    <w:rsid w:val="00DC541B"/>
    <w:pPr>
      <w:keepNext/>
      <w:spacing w:before="120" w:after="60"/>
      <w:jc w:val="left"/>
    </w:pPr>
    <w:rPr>
      <w:bCs/>
      <w:i/>
      <w:sz w:val="26"/>
      <w:szCs w:val="24"/>
    </w:rPr>
  </w:style>
  <w:style w:type="character" w:customStyle="1" w:styleId="NormalIPChar">
    <w:name w:val="Normal _IP Char"/>
    <w:link w:val="NormalIP"/>
    <w:uiPriority w:val="99"/>
    <w:locked/>
    <w:rsid w:val="001E24A9"/>
    <w:rPr>
      <w:rFonts w:ascii="Times New Roman" w:eastAsia="Times New Roman" w:hAnsi="Times New Roman" w:cs="Times New Roman"/>
      <w:sz w:val="24"/>
      <w:szCs w:val="24"/>
      <w:lang w:eastAsia="en-US"/>
    </w:rPr>
  </w:style>
  <w:style w:type="paragraph" w:customStyle="1" w:styleId="NormalIP">
    <w:name w:val="Normal _IP"/>
    <w:basedOn w:val="Normal"/>
    <w:link w:val="NormalIPChar"/>
    <w:uiPriority w:val="99"/>
    <w:rsid w:val="001E24A9"/>
    <w:pPr>
      <w:spacing w:before="80" w:after="80"/>
    </w:pPr>
    <w:rPr>
      <w:szCs w:val="24"/>
      <w:lang w:eastAsia="en-US"/>
    </w:rPr>
  </w:style>
  <w:style w:type="paragraph" w:styleId="NormalWeb">
    <w:name w:val="Normal (Web)"/>
    <w:basedOn w:val="Normal"/>
    <w:uiPriority w:val="99"/>
    <w:unhideWhenUsed/>
    <w:rsid w:val="00BD64C0"/>
    <w:pPr>
      <w:spacing w:before="100" w:beforeAutospacing="1" w:after="100" w:afterAutospacing="1"/>
    </w:pPr>
    <w:rPr>
      <w:szCs w:val="24"/>
    </w:rPr>
  </w:style>
  <w:style w:type="paragraph" w:styleId="Header">
    <w:name w:val="header"/>
    <w:basedOn w:val="Normal"/>
    <w:link w:val="HeaderChar"/>
    <w:uiPriority w:val="99"/>
    <w:unhideWhenUsed/>
    <w:rsid w:val="00BD64C0"/>
    <w:pPr>
      <w:tabs>
        <w:tab w:val="center" w:pos="4153"/>
        <w:tab w:val="right" w:pos="8306"/>
      </w:tabs>
    </w:pPr>
  </w:style>
  <w:style w:type="character" w:customStyle="1" w:styleId="HeaderChar">
    <w:name w:val="Header Char"/>
    <w:basedOn w:val="DefaultParagraphFont"/>
    <w:link w:val="Header"/>
    <w:uiPriority w:val="99"/>
    <w:rsid w:val="00BD64C0"/>
  </w:style>
  <w:style w:type="paragraph" w:styleId="Footer">
    <w:name w:val="footer"/>
    <w:basedOn w:val="Normal"/>
    <w:link w:val="FooterChar"/>
    <w:uiPriority w:val="99"/>
    <w:unhideWhenUsed/>
    <w:rsid w:val="00BD64C0"/>
    <w:pPr>
      <w:tabs>
        <w:tab w:val="center" w:pos="4153"/>
        <w:tab w:val="right" w:pos="8306"/>
      </w:tabs>
    </w:pPr>
  </w:style>
  <w:style w:type="character" w:customStyle="1" w:styleId="FooterChar">
    <w:name w:val="Footer Char"/>
    <w:basedOn w:val="DefaultParagraphFont"/>
    <w:link w:val="Footer"/>
    <w:uiPriority w:val="99"/>
    <w:rsid w:val="00BD64C0"/>
  </w:style>
  <w:style w:type="paragraph" w:styleId="DocumentMap">
    <w:name w:val="Document Map"/>
    <w:basedOn w:val="Normal"/>
    <w:link w:val="DocumentMapChar"/>
    <w:uiPriority w:val="99"/>
    <w:semiHidden/>
    <w:unhideWhenUsed/>
    <w:rsid w:val="00B4390E"/>
    <w:rPr>
      <w:szCs w:val="24"/>
    </w:rPr>
  </w:style>
  <w:style w:type="character" w:customStyle="1" w:styleId="DocumentMapChar">
    <w:name w:val="Document Map Char"/>
    <w:link w:val="DocumentMap"/>
    <w:uiPriority w:val="99"/>
    <w:semiHidden/>
    <w:rsid w:val="00B4390E"/>
    <w:rPr>
      <w:rFonts w:ascii="Times New Roman" w:hAnsi="Times New Roman" w:cs="Times New Roman"/>
      <w:sz w:val="24"/>
      <w:szCs w:val="24"/>
    </w:rPr>
  </w:style>
  <w:style w:type="character" w:customStyle="1" w:styleId="Heading2Char">
    <w:name w:val="Heading 2 Char"/>
    <w:link w:val="Heading2"/>
    <w:uiPriority w:val="9"/>
    <w:rsid w:val="00D93C26"/>
    <w:rPr>
      <w:rFonts w:ascii="Times New Roman" w:hAnsi="Times New Roman"/>
      <w:b/>
      <w:bCs/>
      <w:sz w:val="26"/>
      <w:szCs w:val="26"/>
    </w:rPr>
  </w:style>
  <w:style w:type="character" w:customStyle="1" w:styleId="Heading1Char">
    <w:name w:val="Heading 1 Char"/>
    <w:link w:val="Heading1"/>
    <w:uiPriority w:val="9"/>
    <w:rsid w:val="00CD1126"/>
    <w:rPr>
      <w:rFonts w:ascii="Times New Roman" w:hAnsi="Times New Roman"/>
      <w:b/>
      <w:bCs/>
      <w:sz w:val="28"/>
      <w:szCs w:val="28"/>
      <w:lang w:val="lv-LV" w:eastAsia="lv-LV"/>
    </w:rPr>
  </w:style>
  <w:style w:type="character" w:customStyle="1" w:styleId="Heading3Char">
    <w:name w:val="Heading 3 Char"/>
    <w:link w:val="Heading3"/>
    <w:uiPriority w:val="9"/>
    <w:rsid w:val="006717E2"/>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6717E2"/>
    <w:pPr>
      <w:numPr>
        <w:numId w:val="0"/>
      </w:numPr>
      <w:outlineLvl w:val="9"/>
    </w:pPr>
    <w:rPr>
      <w:rFonts w:ascii="Cambria" w:hAnsi="Cambria"/>
      <w:color w:val="365F91"/>
      <w:lang w:val="en-US" w:eastAsia="en-US"/>
    </w:rPr>
  </w:style>
  <w:style w:type="paragraph" w:styleId="TOC1">
    <w:name w:val="toc 1"/>
    <w:basedOn w:val="Normal"/>
    <w:next w:val="Normal"/>
    <w:autoRedefine/>
    <w:uiPriority w:val="39"/>
    <w:unhideWhenUsed/>
    <w:rsid w:val="00523EDB"/>
    <w:pPr>
      <w:tabs>
        <w:tab w:val="left" w:pos="284"/>
        <w:tab w:val="right" w:leader="dot" w:pos="9344"/>
      </w:tabs>
      <w:spacing w:after="100"/>
      <w:ind w:firstLine="0"/>
      <w:jc w:val="left"/>
    </w:pPr>
  </w:style>
  <w:style w:type="paragraph" w:styleId="TOC2">
    <w:name w:val="toc 2"/>
    <w:basedOn w:val="Normal"/>
    <w:next w:val="Normal"/>
    <w:autoRedefine/>
    <w:uiPriority w:val="39"/>
    <w:unhideWhenUsed/>
    <w:rsid w:val="00CD1126"/>
    <w:pPr>
      <w:tabs>
        <w:tab w:val="right" w:leader="dot" w:pos="9344"/>
      </w:tabs>
      <w:spacing w:after="100"/>
      <w:ind w:left="220" w:firstLine="206"/>
    </w:pPr>
  </w:style>
  <w:style w:type="paragraph" w:styleId="TOC3">
    <w:name w:val="toc 3"/>
    <w:basedOn w:val="Normal"/>
    <w:next w:val="Normal"/>
    <w:autoRedefine/>
    <w:uiPriority w:val="39"/>
    <w:unhideWhenUsed/>
    <w:rsid w:val="00D34568"/>
    <w:pPr>
      <w:tabs>
        <w:tab w:val="right" w:leader="dot" w:pos="9344"/>
      </w:tabs>
      <w:spacing w:after="100"/>
      <w:ind w:left="284"/>
    </w:pPr>
  </w:style>
  <w:style w:type="paragraph" w:customStyle="1" w:styleId="ColorfulShading-Accent11">
    <w:name w:val="Colorful Shading - Accent 11"/>
    <w:hidden/>
    <w:uiPriority w:val="99"/>
    <w:semiHidden/>
    <w:rsid w:val="002A20E1"/>
    <w:rPr>
      <w:sz w:val="22"/>
      <w:szCs w:val="22"/>
      <w:lang w:val="lv-LV" w:eastAsia="lv-LV"/>
    </w:rPr>
  </w:style>
  <w:style w:type="character" w:styleId="FollowedHyperlink">
    <w:name w:val="FollowedHyperlink"/>
    <w:uiPriority w:val="99"/>
    <w:semiHidden/>
    <w:unhideWhenUsed/>
    <w:rsid w:val="00F4083F"/>
    <w:rPr>
      <w:color w:val="800080"/>
      <w:u w:val="single"/>
    </w:rPr>
  </w:style>
  <w:style w:type="character" w:customStyle="1" w:styleId="Corpsdutexte">
    <w:name w:val="Corps du texte_"/>
    <w:link w:val="Corpsdutexte0"/>
    <w:rsid w:val="00A72E83"/>
    <w:rPr>
      <w:sz w:val="18"/>
      <w:szCs w:val="18"/>
      <w:shd w:val="clear" w:color="auto" w:fill="FFFFFF"/>
    </w:rPr>
  </w:style>
  <w:style w:type="paragraph" w:customStyle="1" w:styleId="Corpsdutexte0">
    <w:name w:val="Corps du texte"/>
    <w:basedOn w:val="Normal"/>
    <w:link w:val="Corpsdutexte"/>
    <w:rsid w:val="00A72E83"/>
    <w:pPr>
      <w:widowControl w:val="0"/>
      <w:shd w:val="clear" w:color="auto" w:fill="FFFFFF"/>
      <w:spacing w:before="180" w:after="60" w:line="230" w:lineRule="exact"/>
    </w:pPr>
    <w:rPr>
      <w:sz w:val="18"/>
      <w:szCs w:val="18"/>
    </w:rPr>
  </w:style>
  <w:style w:type="paragraph" w:customStyle="1" w:styleId="FootnoteRefernece">
    <w:name w:val="Footnote Refernece"/>
    <w:aliases w:val="ftref,Odwołanie przypisu,Footnotes refss,Ref,de nota al pie,E,E FNZ"/>
    <w:basedOn w:val="Normal"/>
    <w:next w:val="Normal"/>
    <w:link w:val="FootnoteReference"/>
    <w:uiPriority w:val="99"/>
    <w:rsid w:val="00B94BA7"/>
    <w:pPr>
      <w:spacing w:after="160" w:line="240" w:lineRule="exact"/>
      <w:textAlignment w:val="baseline"/>
    </w:pPr>
    <w:rPr>
      <w:sz w:val="20"/>
      <w:szCs w:val="20"/>
      <w:vertAlign w:val="superscript"/>
    </w:rPr>
  </w:style>
  <w:style w:type="character" w:customStyle="1" w:styleId="sub">
    <w:name w:val="sub"/>
    <w:rsid w:val="00B94BA7"/>
  </w:style>
  <w:style w:type="character" w:customStyle="1" w:styleId="st">
    <w:name w:val="st"/>
    <w:basedOn w:val="DefaultParagraphFont"/>
    <w:rsid w:val="00662BE8"/>
  </w:style>
  <w:style w:type="character" w:styleId="Emphasis">
    <w:name w:val="Emphasis"/>
    <w:basedOn w:val="DefaultParagraphFont"/>
    <w:uiPriority w:val="20"/>
    <w:qFormat/>
    <w:rsid w:val="00662BE8"/>
    <w:rPr>
      <w:i/>
      <w:iCs/>
    </w:rPr>
  </w:style>
  <w:style w:type="paragraph" w:styleId="Title">
    <w:name w:val="Title"/>
    <w:aliases w:val="Attēls"/>
    <w:basedOn w:val="Normal"/>
    <w:next w:val="Normal"/>
    <w:link w:val="TitleChar"/>
    <w:uiPriority w:val="10"/>
    <w:qFormat/>
    <w:rsid w:val="00662BE8"/>
    <w:pPr>
      <w:spacing w:after="240"/>
      <w:ind w:firstLine="0"/>
      <w:contextualSpacing/>
      <w:jc w:val="center"/>
    </w:pPr>
    <w:rPr>
      <w:rFonts w:eastAsiaTheme="majorEastAsia" w:cstheme="majorBidi"/>
      <w:color w:val="000000" w:themeColor="text1"/>
      <w:kern w:val="28"/>
      <w:szCs w:val="52"/>
    </w:rPr>
  </w:style>
  <w:style w:type="character" w:customStyle="1" w:styleId="TitleChar">
    <w:name w:val="Title Char"/>
    <w:aliases w:val="Attēls Char"/>
    <w:basedOn w:val="DefaultParagraphFont"/>
    <w:link w:val="Title"/>
    <w:uiPriority w:val="10"/>
    <w:rsid w:val="00662BE8"/>
    <w:rPr>
      <w:rFonts w:ascii="Times New Roman" w:eastAsiaTheme="majorEastAsia" w:hAnsi="Times New Roman" w:cstheme="majorBidi"/>
      <w:color w:val="000000" w:themeColor="text1"/>
      <w:kern w:val="28"/>
      <w:sz w:val="24"/>
      <w:szCs w:val="52"/>
      <w:lang w:val="lv-LV" w:eastAsia="lv-LV"/>
    </w:rPr>
  </w:style>
  <w:style w:type="paragraph" w:styleId="Subtitle">
    <w:name w:val="Subtitle"/>
    <w:aliases w:val="1 Virsrakstiņš"/>
    <w:basedOn w:val="Normal"/>
    <w:next w:val="Normal"/>
    <w:link w:val="SubtitleChar"/>
    <w:uiPriority w:val="11"/>
    <w:qFormat/>
    <w:rsid w:val="009B037D"/>
    <w:pPr>
      <w:numPr>
        <w:ilvl w:val="1"/>
      </w:numPr>
      <w:spacing w:before="120" w:after="60"/>
      <w:ind w:firstLine="567"/>
    </w:pPr>
    <w:rPr>
      <w:rFonts w:eastAsiaTheme="majorEastAsia" w:cstheme="majorBidi"/>
      <w:b/>
      <w:iCs/>
      <w:szCs w:val="24"/>
    </w:rPr>
  </w:style>
  <w:style w:type="character" w:customStyle="1" w:styleId="SubtitleChar">
    <w:name w:val="Subtitle Char"/>
    <w:aliases w:val="1 Virsrakstiņš Char"/>
    <w:basedOn w:val="DefaultParagraphFont"/>
    <w:link w:val="Subtitle"/>
    <w:uiPriority w:val="11"/>
    <w:rsid w:val="009B037D"/>
    <w:rPr>
      <w:rFonts w:ascii="Times New Roman" w:eastAsiaTheme="majorEastAsia" w:hAnsi="Times New Roman" w:cstheme="majorBidi"/>
      <w:b/>
      <w:iCs/>
      <w:sz w:val="24"/>
      <w:szCs w:val="24"/>
      <w:lang w:val="lv-LV" w:eastAsia="lv-LV"/>
    </w:rPr>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793E59"/>
    <w:pPr>
      <w:ind w:left="720"/>
      <w:contextualSpacing/>
    </w:pPr>
  </w:style>
  <w:style w:type="paragraph" w:customStyle="1" w:styleId="CharCharCharChar">
    <w:name w:val="Char Char Char Char"/>
    <w:aliases w:val="Char2"/>
    <w:basedOn w:val="Normal"/>
    <w:next w:val="Normal"/>
    <w:uiPriority w:val="99"/>
    <w:rsid w:val="00016142"/>
    <w:pPr>
      <w:widowControl w:val="0"/>
      <w:autoSpaceDE w:val="0"/>
      <w:autoSpaceDN w:val="0"/>
      <w:adjustRightInd w:val="0"/>
      <w:spacing w:after="160" w:line="240" w:lineRule="exact"/>
      <w:ind w:firstLine="0"/>
    </w:pPr>
    <w:rPr>
      <w:rFonts w:ascii="Calibri" w:hAnsi="Calibri"/>
      <w:sz w:val="20"/>
      <w:szCs w:val="20"/>
      <w:vertAlign w:val="superscript"/>
    </w:rPr>
  </w:style>
  <w:style w:type="paragraph" w:customStyle="1" w:styleId="Body">
    <w:name w:val="Body"/>
    <w:rsid w:val="00DF06F0"/>
    <w:rPr>
      <w:rFonts w:ascii="Helvetica" w:eastAsia="ヒラギノ角ゴ Pro W3" w:hAnsi="Helvetica"/>
      <w:color w:val="000000"/>
      <w:sz w:val="24"/>
      <w:lang w:val="lv-LV" w:eastAsia="en-US"/>
    </w:rPr>
  </w:style>
  <w:style w:type="paragraph" w:styleId="BodyText2">
    <w:name w:val="Body Text 2"/>
    <w:basedOn w:val="Normal"/>
    <w:link w:val="BodyText2Char"/>
    <w:rsid w:val="005D5B6E"/>
    <w:pPr>
      <w:ind w:firstLine="0"/>
      <w:jc w:val="center"/>
    </w:pPr>
    <w:rPr>
      <w:szCs w:val="24"/>
      <w:lang w:eastAsia="en-US"/>
    </w:rPr>
  </w:style>
  <w:style w:type="character" w:customStyle="1" w:styleId="BodyText2Char">
    <w:name w:val="Body Text 2 Char"/>
    <w:basedOn w:val="DefaultParagraphFont"/>
    <w:link w:val="BodyText2"/>
    <w:rsid w:val="005D5B6E"/>
    <w:rPr>
      <w:rFonts w:ascii="Times New Roman" w:hAnsi="Times New Roman"/>
      <w:sz w:val="24"/>
      <w:szCs w:val="24"/>
      <w:lang w:val="lv-LV" w:eastAsia="en-US"/>
    </w:rPr>
  </w:style>
  <w:style w:type="paragraph" w:styleId="BodyText">
    <w:name w:val="Body Text"/>
    <w:basedOn w:val="Normal"/>
    <w:link w:val="BodyTextChar"/>
    <w:uiPriority w:val="99"/>
    <w:unhideWhenUsed/>
    <w:rsid w:val="00DB01A2"/>
    <w:pPr>
      <w:spacing w:after="120"/>
      <w:ind w:firstLine="0"/>
      <w:jc w:val="left"/>
    </w:pPr>
    <w:rPr>
      <w:szCs w:val="24"/>
      <w:lang w:eastAsia="en-US"/>
    </w:rPr>
  </w:style>
  <w:style w:type="character" w:customStyle="1" w:styleId="BodyTextChar">
    <w:name w:val="Body Text Char"/>
    <w:basedOn w:val="DefaultParagraphFont"/>
    <w:link w:val="BodyText"/>
    <w:uiPriority w:val="99"/>
    <w:rsid w:val="00DB01A2"/>
    <w:rPr>
      <w:rFonts w:ascii="Times New Roman" w:hAnsi="Times New Roman"/>
      <w:sz w:val="24"/>
      <w:szCs w:val="24"/>
      <w:lang w:val="lv-LV" w:eastAsia="en-US"/>
    </w:rPr>
  </w:style>
  <w:style w:type="character" w:customStyle="1" w:styleId="DefaultChar">
    <w:name w:val="Default Char"/>
    <w:link w:val="Default"/>
    <w:rsid w:val="00D4189F"/>
    <w:rPr>
      <w:rFonts w:ascii="Times New Roman" w:hAnsi="Times New Roman"/>
      <w:color w:val="000000"/>
      <w:sz w:val="24"/>
      <w:szCs w:val="24"/>
      <w:lang w:val="lv-LV" w:eastAsia="lv-LV"/>
    </w:rPr>
  </w:style>
  <w:style w:type="paragraph" w:customStyle="1" w:styleId="CoverTitle">
    <w:name w:val="CoverTitle"/>
    <w:basedOn w:val="CoverNormal"/>
    <w:link w:val="CoverTitleChar"/>
    <w:rsid w:val="006F4999"/>
    <w:pPr>
      <w:spacing w:after="240"/>
    </w:pPr>
    <w:rPr>
      <w:b/>
      <w:sz w:val="24"/>
    </w:rPr>
  </w:style>
  <w:style w:type="paragraph" w:customStyle="1" w:styleId="CoverSubTitle">
    <w:name w:val="CoverSubTitle"/>
    <w:basedOn w:val="CoverNormal"/>
    <w:link w:val="CoverSubTitleChar"/>
    <w:rsid w:val="006F4999"/>
    <w:rPr>
      <w:b/>
    </w:rPr>
  </w:style>
  <w:style w:type="character" w:customStyle="1" w:styleId="CoverTitleChar">
    <w:name w:val="CoverTitle Char"/>
    <w:basedOn w:val="DefaultParagraphFont"/>
    <w:link w:val="CoverTitle"/>
    <w:rsid w:val="006F4999"/>
    <w:rPr>
      <w:rFonts w:ascii="Times New Roman" w:eastAsia="SimSun" w:hAnsi="Times New Roman"/>
      <w:b/>
      <w:sz w:val="24"/>
      <w:lang w:eastAsia="en-US"/>
    </w:rPr>
  </w:style>
  <w:style w:type="character" w:customStyle="1" w:styleId="CoverSubTitleChar">
    <w:name w:val="CoverSubTitle Char"/>
    <w:basedOn w:val="DefaultParagraphFont"/>
    <w:link w:val="CoverSubTitle"/>
    <w:rsid w:val="006F4999"/>
    <w:rPr>
      <w:rFonts w:ascii="Times New Roman" w:eastAsia="SimSun" w:hAnsi="Times New Roman"/>
      <w:b/>
      <w:sz w:val="22"/>
      <w:lang w:eastAsia="en-US"/>
    </w:rPr>
  </w:style>
  <w:style w:type="paragraph" w:customStyle="1" w:styleId="CoverNormal">
    <w:name w:val="CoverNormal"/>
    <w:basedOn w:val="Normal"/>
    <w:link w:val="CoverNormalChar"/>
    <w:rsid w:val="006F4999"/>
    <w:pPr>
      <w:ind w:firstLine="0"/>
      <w:jc w:val="left"/>
    </w:pPr>
    <w:rPr>
      <w:rFonts w:eastAsia="SimSun"/>
      <w:sz w:val="22"/>
      <w:szCs w:val="20"/>
      <w:lang w:val="en-GB" w:eastAsia="en-US"/>
    </w:rPr>
  </w:style>
  <w:style w:type="character" w:customStyle="1" w:styleId="CoverNormalChar">
    <w:name w:val="CoverNormal Char"/>
    <w:basedOn w:val="DefaultParagraphFont"/>
    <w:link w:val="CoverNormal"/>
    <w:rsid w:val="006F4999"/>
    <w:rPr>
      <w:rFonts w:ascii="Times New Roman" w:eastAsia="SimSun" w:hAnsi="Times New Roman"/>
      <w:sz w:val="22"/>
      <w:lang w:eastAsia="en-US"/>
    </w:rPr>
  </w:style>
  <w:style w:type="paragraph" w:customStyle="1" w:styleId="CoverInformation">
    <w:name w:val="CoverInformation"/>
    <w:basedOn w:val="CoverSubTitle"/>
    <w:rsid w:val="006F4999"/>
  </w:style>
  <w:style w:type="paragraph" w:customStyle="1" w:styleId="TableCell">
    <w:name w:val="Table Cell"/>
    <w:basedOn w:val="Normal"/>
    <w:uiPriority w:val="10"/>
    <w:qFormat/>
    <w:rsid w:val="006F4999"/>
    <w:pPr>
      <w:keepNext/>
      <w:keepLines/>
      <w:tabs>
        <w:tab w:val="left" w:pos="340"/>
        <w:tab w:val="left" w:pos="680"/>
      </w:tabs>
      <w:spacing w:before="20" w:after="20"/>
      <w:ind w:firstLine="0"/>
      <w:jc w:val="right"/>
    </w:pPr>
    <w:rPr>
      <w:rFonts w:ascii="Arial Narrow" w:eastAsia="SimSun" w:hAnsi="Arial Narrow" w:cs="Arial"/>
      <w:sz w:val="17"/>
      <w:szCs w:val="18"/>
      <w:lang w:val="en-GB" w:eastAsia="en-US"/>
    </w:rPr>
  </w:style>
  <w:style w:type="paragraph" w:customStyle="1" w:styleId="Sourcenotes">
    <w:name w:val="Source &amp; notes"/>
    <w:basedOn w:val="Normal"/>
    <w:qFormat/>
    <w:rsid w:val="006F4999"/>
    <w:pPr>
      <w:keepLines/>
      <w:spacing w:before="120" w:after="240"/>
      <w:ind w:left="680" w:right="680" w:firstLine="0"/>
      <w:contextualSpacing/>
    </w:pPr>
    <w:rPr>
      <w:rFonts w:eastAsia="SimSun" w:cs="Arial"/>
      <w:sz w:val="18"/>
      <w:szCs w:val="18"/>
      <w:lang w:val="en-GB" w:eastAsia="en-US"/>
    </w:rPr>
  </w:style>
  <w:style w:type="paragraph" w:customStyle="1" w:styleId="Para">
    <w:name w:val="Para #"/>
    <w:basedOn w:val="Normal"/>
    <w:link w:val="ParaChar"/>
    <w:uiPriority w:val="4"/>
    <w:qFormat/>
    <w:rsid w:val="006F4999"/>
    <w:pPr>
      <w:numPr>
        <w:numId w:val="3"/>
      </w:numPr>
      <w:tabs>
        <w:tab w:val="left" w:pos="1361"/>
      </w:tabs>
      <w:spacing w:before="120" w:after="120"/>
      <w:ind w:right="680"/>
    </w:pPr>
    <w:rPr>
      <w:rFonts w:eastAsia="SimSun"/>
      <w:sz w:val="22"/>
      <w:szCs w:val="20"/>
      <w:lang w:val="en-GB" w:eastAsia="en-US"/>
    </w:rPr>
  </w:style>
  <w:style w:type="character" w:customStyle="1" w:styleId="ParaChar">
    <w:name w:val="Para # Char"/>
    <w:basedOn w:val="DefaultParagraphFont"/>
    <w:link w:val="Para"/>
    <w:uiPriority w:val="4"/>
    <w:rsid w:val="006F4999"/>
    <w:rPr>
      <w:rFonts w:ascii="Times New Roman" w:eastAsia="SimSun" w:hAnsi="Times New Roman"/>
      <w:sz w:val="22"/>
      <w:lang w:eastAsia="en-US"/>
    </w:rPr>
  </w:style>
  <w:style w:type="paragraph" w:customStyle="1" w:styleId="TableRow">
    <w:name w:val="Table Row"/>
    <w:basedOn w:val="TableCell"/>
    <w:uiPriority w:val="10"/>
    <w:qFormat/>
    <w:rsid w:val="006F4999"/>
    <w:pPr>
      <w:jc w:val="left"/>
    </w:pPr>
  </w:style>
  <w:style w:type="paragraph" w:customStyle="1" w:styleId="TableColumn">
    <w:name w:val="Table Column"/>
    <w:basedOn w:val="TableRow"/>
    <w:uiPriority w:val="10"/>
    <w:qFormat/>
    <w:rsid w:val="006F4999"/>
    <w:pPr>
      <w:jc w:val="center"/>
    </w:pPr>
  </w:style>
  <w:style w:type="table" w:customStyle="1" w:styleId="GridTable2-Accent12">
    <w:name w:val="Grid Table 2 - Accent 12"/>
    <w:basedOn w:val="TableNormal"/>
    <w:uiPriority w:val="47"/>
    <w:rsid w:val="006F4999"/>
    <w:rPr>
      <w:rFonts w:ascii="Georgia" w:eastAsiaTheme="minorHAnsi" w:hAnsi="Georgia"/>
      <w:lang w:val="en-US"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FootnoteText"/>
    <w:link w:val="EndnoteTextChar"/>
    <w:uiPriority w:val="99"/>
    <w:rsid w:val="001C47AC"/>
    <w:pPr>
      <w:spacing w:after="120"/>
      <w:ind w:left="680" w:right="680" w:firstLine="0"/>
    </w:pPr>
    <w:rPr>
      <w:rFonts w:eastAsia="SimSun"/>
      <w:lang w:eastAsia="en-US"/>
    </w:rPr>
  </w:style>
  <w:style w:type="character" w:customStyle="1" w:styleId="EndnoteTextChar">
    <w:name w:val="Endnote Text Char"/>
    <w:basedOn w:val="DefaultParagraphFont"/>
    <w:link w:val="EndnoteText"/>
    <w:uiPriority w:val="99"/>
    <w:rsid w:val="001C47AC"/>
    <w:rPr>
      <w:rFonts w:ascii="Times New Roman" w:eastAsia="SimSun" w:hAnsi="Times New Roman"/>
      <w:lang w:eastAsia="en-US"/>
    </w:rPr>
  </w:style>
  <w:style w:type="character" w:styleId="EndnoteReference">
    <w:name w:val="endnote reference"/>
    <w:basedOn w:val="DefaultParagraphFont"/>
    <w:uiPriority w:val="99"/>
    <w:unhideWhenUsed/>
    <w:rsid w:val="001C47AC"/>
    <w:rPr>
      <w:rFonts w:ascii="Times New Roman" w:hAnsi="Times New Roman"/>
      <w:i w:val="0"/>
      <w:position w:val="0"/>
      <w:sz w:val="22"/>
      <w:vertAlign w:val="superscript"/>
    </w:rPr>
  </w:style>
  <w:style w:type="table" w:customStyle="1" w:styleId="OECD">
    <w:name w:val="OECD"/>
    <w:basedOn w:val="LightShading-Accent11"/>
    <w:uiPriority w:val="99"/>
    <w:rsid w:val="00783A9F"/>
    <w:rPr>
      <w:rFonts w:ascii="Georgia" w:eastAsiaTheme="minorHAnsi" w:hAnsi="Georgia"/>
      <w:lang w:val="en-US" w:eastAsia="en-US"/>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customStyle="1" w:styleId="LightShading-Accent11">
    <w:name w:val="Light Shading - Accent 11"/>
    <w:basedOn w:val="TableNormal"/>
    <w:uiPriority w:val="30"/>
    <w:qFormat/>
    <w:rsid w:val="00783A9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67"/>
    <w:rsid w:val="005A7E03"/>
    <w:rPr>
      <w:color w:val="808080"/>
    </w:rPr>
  </w:style>
  <w:style w:type="paragraph" w:customStyle="1" w:styleId="Pamatteksts">
    <w:name w:val="Pamatteksts"/>
    <w:basedOn w:val="NoSpacing"/>
    <w:qFormat/>
    <w:rsid w:val="00405991"/>
    <w:pPr>
      <w:spacing w:after="120" w:line="276" w:lineRule="auto"/>
      <w:ind w:firstLine="720"/>
    </w:pPr>
    <w:rPr>
      <w:rFonts w:eastAsiaTheme="minorHAnsi" w:cstheme="minorBidi"/>
      <w:lang w:eastAsia="en-US"/>
    </w:rPr>
  </w:style>
  <w:style w:type="paragraph" w:styleId="NoSpacing">
    <w:name w:val="No Spacing"/>
    <w:uiPriority w:val="68"/>
    <w:rsid w:val="00405991"/>
    <w:pPr>
      <w:ind w:firstLine="567"/>
      <w:jc w:val="both"/>
    </w:pPr>
    <w:rPr>
      <w:rFonts w:ascii="Times New Roman" w:hAnsi="Times New Roman"/>
      <w:sz w:val="24"/>
      <w:szCs w:val="22"/>
      <w:lang w:val="lv-LV" w:eastAsia="lv-LV"/>
    </w:rPr>
  </w:style>
  <w:style w:type="paragraph" w:customStyle="1" w:styleId="paragraph">
    <w:name w:val="paragraph"/>
    <w:basedOn w:val="Normal"/>
    <w:rsid w:val="00811FAB"/>
    <w:pPr>
      <w:spacing w:before="100" w:beforeAutospacing="1" w:after="100" w:afterAutospacing="1"/>
      <w:ind w:firstLine="0"/>
      <w:jc w:val="left"/>
    </w:pPr>
    <w:rPr>
      <w:szCs w:val="24"/>
    </w:rPr>
  </w:style>
  <w:style w:type="paragraph" w:customStyle="1" w:styleId="parasts">
    <w:name w:val="parasts"/>
    <w:basedOn w:val="Normal"/>
    <w:rsid w:val="00A15E3D"/>
    <w:pPr>
      <w:tabs>
        <w:tab w:val="num" w:pos="0"/>
      </w:tabs>
      <w:ind w:left="794" w:hanging="794"/>
      <w:jc w:val="left"/>
    </w:pPr>
    <w:rPr>
      <w:szCs w:val="24"/>
    </w:rPr>
  </w:style>
  <w:style w:type="paragraph" w:styleId="Revision">
    <w:name w:val="Revision"/>
    <w:hidden/>
    <w:uiPriority w:val="71"/>
    <w:rsid w:val="00A15E3D"/>
    <w:rPr>
      <w:rFonts w:ascii="Times New Roman" w:hAnsi="Times New Roman"/>
      <w:sz w:val="24"/>
      <w:szCs w:val="22"/>
      <w:lang w:val="lv-LV" w:eastAsia="lv-LV"/>
    </w:rPr>
  </w:style>
  <w:style w:type="paragraph" w:customStyle="1" w:styleId="naisc">
    <w:name w:val="naisc"/>
    <w:basedOn w:val="Normal"/>
    <w:rsid w:val="00132BFD"/>
    <w:pPr>
      <w:spacing w:before="75" w:after="75"/>
      <w:ind w:firstLine="0"/>
      <w:jc w:val="center"/>
    </w:pPr>
    <w:rPr>
      <w:szCs w:val="24"/>
    </w:rPr>
  </w:style>
  <w:style w:type="paragraph" w:customStyle="1" w:styleId="tvhtml">
    <w:name w:val="tv_html"/>
    <w:basedOn w:val="Normal"/>
    <w:rsid w:val="00612123"/>
    <w:pPr>
      <w:spacing w:before="100" w:beforeAutospacing="1" w:after="100" w:afterAutospacing="1"/>
      <w:ind w:firstLine="0"/>
      <w:jc w:val="left"/>
    </w:pPr>
    <w:rPr>
      <w:szCs w:val="24"/>
    </w:rPr>
  </w:style>
  <w:style w:type="paragraph" w:customStyle="1" w:styleId="text-align-justify">
    <w:name w:val="text-align-justify"/>
    <w:basedOn w:val="Normal"/>
    <w:rsid w:val="004732D0"/>
    <w:pPr>
      <w:spacing w:before="100" w:beforeAutospacing="1" w:after="100" w:afterAutospacing="1"/>
      <w:ind w:firstLine="0"/>
      <w:jc w:val="left"/>
    </w:pPr>
    <w:rPr>
      <w:szCs w:val="24"/>
    </w:r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uiPriority w:val="34"/>
    <w:qFormat/>
    <w:rsid w:val="00BE71D2"/>
    <w:rPr>
      <w:rFonts w:ascii="Times New Roman" w:hAnsi="Times New Roman"/>
      <w:sz w:val="24"/>
      <w:szCs w:val="22"/>
      <w:lang w:val="lv-LV" w:eastAsia="lv-LV"/>
    </w:rPr>
  </w:style>
  <w:style w:type="character" w:customStyle="1" w:styleId="tlid-translation">
    <w:name w:val="tlid-translation"/>
    <w:basedOn w:val="DefaultParagraphFont"/>
    <w:rsid w:val="00A652BF"/>
  </w:style>
  <w:style w:type="paragraph" w:customStyle="1" w:styleId="Normal1">
    <w:name w:val="Normal1"/>
    <w:basedOn w:val="Normal"/>
    <w:rsid w:val="00C20F09"/>
    <w:pPr>
      <w:spacing w:before="100" w:beforeAutospacing="1" w:after="100" w:afterAutospacing="1"/>
      <w:ind w:firstLine="0"/>
      <w:jc w:val="left"/>
    </w:pPr>
    <w:rPr>
      <w:szCs w:val="24"/>
    </w:rPr>
  </w:style>
  <w:style w:type="character" w:customStyle="1" w:styleId="italic">
    <w:name w:val="italic"/>
    <w:basedOn w:val="DefaultParagraphFont"/>
    <w:rsid w:val="00C20F09"/>
  </w:style>
  <w:style w:type="character" w:customStyle="1" w:styleId="hierarchicaltableinformationtitle">
    <w:name w:val="hierarchical_tableinformation_title"/>
    <w:basedOn w:val="DefaultParagraphFont"/>
    <w:rsid w:val="009B0C53"/>
  </w:style>
  <w:style w:type="character" w:customStyle="1" w:styleId="Heading4Char">
    <w:name w:val="Heading 4 Char"/>
    <w:basedOn w:val="DefaultParagraphFont"/>
    <w:link w:val="Heading4"/>
    <w:uiPriority w:val="9"/>
    <w:semiHidden/>
    <w:rsid w:val="00F00AC2"/>
    <w:rPr>
      <w:rFonts w:asciiTheme="majorHAnsi" w:eastAsiaTheme="majorEastAsia" w:hAnsiTheme="majorHAnsi" w:cstheme="majorBidi"/>
      <w:i/>
      <w:iCs/>
      <w:color w:val="2E74B5" w:themeColor="accent1" w:themeShade="BF"/>
      <w:sz w:val="24"/>
      <w:szCs w:val="22"/>
      <w:lang w:val="lv-LV" w:eastAsia="lv-LV"/>
    </w:rPr>
  </w:style>
  <w:style w:type="character" w:customStyle="1" w:styleId="highlight">
    <w:name w:val="highlight"/>
    <w:basedOn w:val="DefaultParagraphFont"/>
    <w:rsid w:val="002E6423"/>
  </w:style>
  <w:style w:type="paragraph" w:customStyle="1" w:styleId="mt-translation">
    <w:name w:val="mt-translation"/>
    <w:basedOn w:val="Normal"/>
    <w:rsid w:val="006D2076"/>
    <w:pPr>
      <w:spacing w:before="100" w:beforeAutospacing="1" w:after="100" w:afterAutospacing="1"/>
      <w:ind w:firstLine="0"/>
      <w:jc w:val="left"/>
    </w:pPr>
    <w:rPr>
      <w:szCs w:val="24"/>
      <w:lang w:val="en-US" w:eastAsia="en-US"/>
    </w:rPr>
  </w:style>
  <w:style w:type="character" w:customStyle="1" w:styleId="phrase">
    <w:name w:val="phrase"/>
    <w:basedOn w:val="DefaultParagraphFont"/>
    <w:rsid w:val="006D2076"/>
  </w:style>
  <w:style w:type="character" w:customStyle="1" w:styleId="word">
    <w:name w:val="word"/>
    <w:basedOn w:val="DefaultParagraphFont"/>
    <w:rsid w:val="006D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335">
      <w:bodyDiv w:val="1"/>
      <w:marLeft w:val="0"/>
      <w:marRight w:val="0"/>
      <w:marTop w:val="0"/>
      <w:marBottom w:val="0"/>
      <w:divBdr>
        <w:top w:val="none" w:sz="0" w:space="0" w:color="auto"/>
        <w:left w:val="none" w:sz="0" w:space="0" w:color="auto"/>
        <w:bottom w:val="none" w:sz="0" w:space="0" w:color="auto"/>
        <w:right w:val="none" w:sz="0" w:space="0" w:color="auto"/>
      </w:divBdr>
    </w:div>
    <w:div w:id="24722623">
      <w:bodyDiv w:val="1"/>
      <w:marLeft w:val="0"/>
      <w:marRight w:val="0"/>
      <w:marTop w:val="0"/>
      <w:marBottom w:val="0"/>
      <w:divBdr>
        <w:top w:val="none" w:sz="0" w:space="0" w:color="auto"/>
        <w:left w:val="none" w:sz="0" w:space="0" w:color="auto"/>
        <w:bottom w:val="none" w:sz="0" w:space="0" w:color="auto"/>
        <w:right w:val="none" w:sz="0" w:space="0" w:color="auto"/>
      </w:divBdr>
    </w:div>
    <w:div w:id="57826708">
      <w:bodyDiv w:val="1"/>
      <w:marLeft w:val="0"/>
      <w:marRight w:val="0"/>
      <w:marTop w:val="0"/>
      <w:marBottom w:val="0"/>
      <w:divBdr>
        <w:top w:val="none" w:sz="0" w:space="0" w:color="auto"/>
        <w:left w:val="none" w:sz="0" w:space="0" w:color="auto"/>
        <w:bottom w:val="none" w:sz="0" w:space="0" w:color="auto"/>
        <w:right w:val="none" w:sz="0" w:space="0" w:color="auto"/>
      </w:divBdr>
    </w:div>
    <w:div w:id="70127203">
      <w:bodyDiv w:val="1"/>
      <w:marLeft w:val="0"/>
      <w:marRight w:val="0"/>
      <w:marTop w:val="0"/>
      <w:marBottom w:val="0"/>
      <w:divBdr>
        <w:top w:val="none" w:sz="0" w:space="0" w:color="auto"/>
        <w:left w:val="none" w:sz="0" w:space="0" w:color="auto"/>
        <w:bottom w:val="none" w:sz="0" w:space="0" w:color="auto"/>
        <w:right w:val="none" w:sz="0" w:space="0" w:color="auto"/>
      </w:divBdr>
    </w:div>
    <w:div w:id="71438041">
      <w:bodyDiv w:val="1"/>
      <w:marLeft w:val="0"/>
      <w:marRight w:val="0"/>
      <w:marTop w:val="0"/>
      <w:marBottom w:val="0"/>
      <w:divBdr>
        <w:top w:val="none" w:sz="0" w:space="0" w:color="auto"/>
        <w:left w:val="none" w:sz="0" w:space="0" w:color="auto"/>
        <w:bottom w:val="none" w:sz="0" w:space="0" w:color="auto"/>
        <w:right w:val="none" w:sz="0" w:space="0" w:color="auto"/>
      </w:divBdr>
    </w:div>
    <w:div w:id="86274843">
      <w:bodyDiv w:val="1"/>
      <w:marLeft w:val="0"/>
      <w:marRight w:val="0"/>
      <w:marTop w:val="0"/>
      <w:marBottom w:val="0"/>
      <w:divBdr>
        <w:top w:val="none" w:sz="0" w:space="0" w:color="auto"/>
        <w:left w:val="none" w:sz="0" w:space="0" w:color="auto"/>
        <w:bottom w:val="none" w:sz="0" w:space="0" w:color="auto"/>
        <w:right w:val="none" w:sz="0" w:space="0" w:color="auto"/>
      </w:divBdr>
      <w:divsChild>
        <w:div w:id="716927297">
          <w:marLeft w:val="547"/>
          <w:marRight w:val="0"/>
          <w:marTop w:val="160"/>
          <w:marBottom w:val="0"/>
          <w:divBdr>
            <w:top w:val="none" w:sz="0" w:space="0" w:color="auto"/>
            <w:left w:val="none" w:sz="0" w:space="0" w:color="auto"/>
            <w:bottom w:val="none" w:sz="0" w:space="0" w:color="auto"/>
            <w:right w:val="none" w:sz="0" w:space="0" w:color="auto"/>
          </w:divBdr>
        </w:div>
      </w:divsChild>
    </w:div>
    <w:div w:id="125205606">
      <w:bodyDiv w:val="1"/>
      <w:marLeft w:val="0"/>
      <w:marRight w:val="0"/>
      <w:marTop w:val="0"/>
      <w:marBottom w:val="0"/>
      <w:divBdr>
        <w:top w:val="none" w:sz="0" w:space="0" w:color="auto"/>
        <w:left w:val="none" w:sz="0" w:space="0" w:color="auto"/>
        <w:bottom w:val="none" w:sz="0" w:space="0" w:color="auto"/>
        <w:right w:val="none" w:sz="0" w:space="0" w:color="auto"/>
      </w:divBdr>
    </w:div>
    <w:div w:id="192426691">
      <w:bodyDiv w:val="1"/>
      <w:marLeft w:val="0"/>
      <w:marRight w:val="0"/>
      <w:marTop w:val="0"/>
      <w:marBottom w:val="0"/>
      <w:divBdr>
        <w:top w:val="none" w:sz="0" w:space="0" w:color="auto"/>
        <w:left w:val="none" w:sz="0" w:space="0" w:color="auto"/>
        <w:bottom w:val="none" w:sz="0" w:space="0" w:color="auto"/>
        <w:right w:val="none" w:sz="0" w:space="0" w:color="auto"/>
      </w:divBdr>
    </w:div>
    <w:div w:id="193884798">
      <w:bodyDiv w:val="1"/>
      <w:marLeft w:val="0"/>
      <w:marRight w:val="0"/>
      <w:marTop w:val="0"/>
      <w:marBottom w:val="0"/>
      <w:divBdr>
        <w:top w:val="none" w:sz="0" w:space="0" w:color="auto"/>
        <w:left w:val="none" w:sz="0" w:space="0" w:color="auto"/>
        <w:bottom w:val="none" w:sz="0" w:space="0" w:color="auto"/>
        <w:right w:val="none" w:sz="0" w:space="0" w:color="auto"/>
      </w:divBdr>
    </w:div>
    <w:div w:id="196284517">
      <w:bodyDiv w:val="1"/>
      <w:marLeft w:val="0"/>
      <w:marRight w:val="0"/>
      <w:marTop w:val="0"/>
      <w:marBottom w:val="0"/>
      <w:divBdr>
        <w:top w:val="none" w:sz="0" w:space="0" w:color="auto"/>
        <w:left w:val="none" w:sz="0" w:space="0" w:color="auto"/>
        <w:bottom w:val="none" w:sz="0" w:space="0" w:color="auto"/>
        <w:right w:val="none" w:sz="0" w:space="0" w:color="auto"/>
      </w:divBdr>
      <w:divsChild>
        <w:div w:id="1248886302">
          <w:marLeft w:val="0"/>
          <w:marRight w:val="0"/>
          <w:marTop w:val="225"/>
          <w:marBottom w:val="0"/>
          <w:divBdr>
            <w:top w:val="none" w:sz="0" w:space="0" w:color="auto"/>
            <w:left w:val="none" w:sz="0" w:space="0" w:color="auto"/>
            <w:bottom w:val="none" w:sz="0" w:space="0" w:color="auto"/>
            <w:right w:val="none" w:sz="0" w:space="0" w:color="auto"/>
          </w:divBdr>
        </w:div>
        <w:div w:id="2063093756">
          <w:marLeft w:val="0"/>
          <w:marRight w:val="0"/>
          <w:marTop w:val="0"/>
          <w:marBottom w:val="0"/>
          <w:divBdr>
            <w:top w:val="none" w:sz="0" w:space="0" w:color="auto"/>
            <w:left w:val="none" w:sz="0" w:space="0" w:color="auto"/>
            <w:bottom w:val="none" w:sz="0" w:space="0" w:color="auto"/>
            <w:right w:val="none" w:sz="0" w:space="0" w:color="auto"/>
          </w:divBdr>
        </w:div>
      </w:divsChild>
    </w:div>
    <w:div w:id="204218235">
      <w:bodyDiv w:val="1"/>
      <w:marLeft w:val="0"/>
      <w:marRight w:val="0"/>
      <w:marTop w:val="0"/>
      <w:marBottom w:val="0"/>
      <w:divBdr>
        <w:top w:val="none" w:sz="0" w:space="0" w:color="auto"/>
        <w:left w:val="none" w:sz="0" w:space="0" w:color="auto"/>
        <w:bottom w:val="none" w:sz="0" w:space="0" w:color="auto"/>
        <w:right w:val="none" w:sz="0" w:space="0" w:color="auto"/>
      </w:divBdr>
      <w:divsChild>
        <w:div w:id="45421256">
          <w:marLeft w:val="547"/>
          <w:marRight w:val="0"/>
          <w:marTop w:val="120"/>
          <w:marBottom w:val="0"/>
          <w:divBdr>
            <w:top w:val="none" w:sz="0" w:space="0" w:color="auto"/>
            <w:left w:val="none" w:sz="0" w:space="0" w:color="auto"/>
            <w:bottom w:val="none" w:sz="0" w:space="0" w:color="auto"/>
            <w:right w:val="none" w:sz="0" w:space="0" w:color="auto"/>
          </w:divBdr>
        </w:div>
        <w:div w:id="105316685">
          <w:marLeft w:val="547"/>
          <w:marRight w:val="0"/>
          <w:marTop w:val="120"/>
          <w:marBottom w:val="0"/>
          <w:divBdr>
            <w:top w:val="none" w:sz="0" w:space="0" w:color="auto"/>
            <w:left w:val="none" w:sz="0" w:space="0" w:color="auto"/>
            <w:bottom w:val="none" w:sz="0" w:space="0" w:color="auto"/>
            <w:right w:val="none" w:sz="0" w:space="0" w:color="auto"/>
          </w:divBdr>
        </w:div>
        <w:div w:id="405229747">
          <w:marLeft w:val="547"/>
          <w:marRight w:val="0"/>
          <w:marTop w:val="120"/>
          <w:marBottom w:val="0"/>
          <w:divBdr>
            <w:top w:val="none" w:sz="0" w:space="0" w:color="auto"/>
            <w:left w:val="none" w:sz="0" w:space="0" w:color="auto"/>
            <w:bottom w:val="none" w:sz="0" w:space="0" w:color="auto"/>
            <w:right w:val="none" w:sz="0" w:space="0" w:color="auto"/>
          </w:divBdr>
        </w:div>
        <w:div w:id="560022728">
          <w:marLeft w:val="547"/>
          <w:marRight w:val="0"/>
          <w:marTop w:val="120"/>
          <w:marBottom w:val="0"/>
          <w:divBdr>
            <w:top w:val="none" w:sz="0" w:space="0" w:color="auto"/>
            <w:left w:val="none" w:sz="0" w:space="0" w:color="auto"/>
            <w:bottom w:val="none" w:sz="0" w:space="0" w:color="auto"/>
            <w:right w:val="none" w:sz="0" w:space="0" w:color="auto"/>
          </w:divBdr>
        </w:div>
        <w:div w:id="613252117">
          <w:marLeft w:val="547"/>
          <w:marRight w:val="0"/>
          <w:marTop w:val="120"/>
          <w:marBottom w:val="0"/>
          <w:divBdr>
            <w:top w:val="none" w:sz="0" w:space="0" w:color="auto"/>
            <w:left w:val="none" w:sz="0" w:space="0" w:color="auto"/>
            <w:bottom w:val="none" w:sz="0" w:space="0" w:color="auto"/>
            <w:right w:val="none" w:sz="0" w:space="0" w:color="auto"/>
          </w:divBdr>
        </w:div>
        <w:div w:id="1667976284">
          <w:marLeft w:val="547"/>
          <w:marRight w:val="0"/>
          <w:marTop w:val="120"/>
          <w:marBottom w:val="0"/>
          <w:divBdr>
            <w:top w:val="none" w:sz="0" w:space="0" w:color="auto"/>
            <w:left w:val="none" w:sz="0" w:space="0" w:color="auto"/>
            <w:bottom w:val="none" w:sz="0" w:space="0" w:color="auto"/>
            <w:right w:val="none" w:sz="0" w:space="0" w:color="auto"/>
          </w:divBdr>
        </w:div>
      </w:divsChild>
    </w:div>
    <w:div w:id="235634131">
      <w:bodyDiv w:val="1"/>
      <w:marLeft w:val="0"/>
      <w:marRight w:val="0"/>
      <w:marTop w:val="0"/>
      <w:marBottom w:val="0"/>
      <w:divBdr>
        <w:top w:val="none" w:sz="0" w:space="0" w:color="auto"/>
        <w:left w:val="none" w:sz="0" w:space="0" w:color="auto"/>
        <w:bottom w:val="none" w:sz="0" w:space="0" w:color="auto"/>
        <w:right w:val="none" w:sz="0" w:space="0" w:color="auto"/>
      </w:divBdr>
    </w:div>
    <w:div w:id="244071032">
      <w:bodyDiv w:val="1"/>
      <w:marLeft w:val="0"/>
      <w:marRight w:val="0"/>
      <w:marTop w:val="0"/>
      <w:marBottom w:val="0"/>
      <w:divBdr>
        <w:top w:val="none" w:sz="0" w:space="0" w:color="auto"/>
        <w:left w:val="none" w:sz="0" w:space="0" w:color="auto"/>
        <w:bottom w:val="none" w:sz="0" w:space="0" w:color="auto"/>
        <w:right w:val="none" w:sz="0" w:space="0" w:color="auto"/>
      </w:divBdr>
    </w:div>
    <w:div w:id="301468640">
      <w:bodyDiv w:val="1"/>
      <w:marLeft w:val="0"/>
      <w:marRight w:val="0"/>
      <w:marTop w:val="0"/>
      <w:marBottom w:val="0"/>
      <w:divBdr>
        <w:top w:val="none" w:sz="0" w:space="0" w:color="auto"/>
        <w:left w:val="none" w:sz="0" w:space="0" w:color="auto"/>
        <w:bottom w:val="none" w:sz="0" w:space="0" w:color="auto"/>
        <w:right w:val="none" w:sz="0" w:space="0" w:color="auto"/>
      </w:divBdr>
      <w:divsChild>
        <w:div w:id="343632969">
          <w:marLeft w:val="0"/>
          <w:marRight w:val="0"/>
          <w:marTop w:val="400"/>
          <w:marBottom w:val="0"/>
          <w:divBdr>
            <w:top w:val="none" w:sz="0" w:space="0" w:color="auto"/>
            <w:left w:val="none" w:sz="0" w:space="0" w:color="auto"/>
            <w:bottom w:val="none" w:sz="0" w:space="0" w:color="auto"/>
            <w:right w:val="none" w:sz="0" w:space="0" w:color="auto"/>
          </w:divBdr>
        </w:div>
        <w:div w:id="1103378540">
          <w:marLeft w:val="0"/>
          <w:marRight w:val="0"/>
          <w:marTop w:val="240"/>
          <w:marBottom w:val="0"/>
          <w:divBdr>
            <w:top w:val="none" w:sz="0" w:space="0" w:color="auto"/>
            <w:left w:val="none" w:sz="0" w:space="0" w:color="auto"/>
            <w:bottom w:val="none" w:sz="0" w:space="0" w:color="auto"/>
            <w:right w:val="none" w:sz="0" w:space="0" w:color="auto"/>
          </w:divBdr>
        </w:div>
      </w:divsChild>
    </w:div>
    <w:div w:id="308942947">
      <w:bodyDiv w:val="1"/>
      <w:marLeft w:val="0"/>
      <w:marRight w:val="0"/>
      <w:marTop w:val="0"/>
      <w:marBottom w:val="0"/>
      <w:divBdr>
        <w:top w:val="none" w:sz="0" w:space="0" w:color="auto"/>
        <w:left w:val="none" w:sz="0" w:space="0" w:color="auto"/>
        <w:bottom w:val="none" w:sz="0" w:space="0" w:color="auto"/>
        <w:right w:val="none" w:sz="0" w:space="0" w:color="auto"/>
      </w:divBdr>
      <w:divsChild>
        <w:div w:id="1540163928">
          <w:marLeft w:val="547"/>
          <w:marRight w:val="0"/>
          <w:marTop w:val="106"/>
          <w:marBottom w:val="0"/>
          <w:divBdr>
            <w:top w:val="none" w:sz="0" w:space="0" w:color="auto"/>
            <w:left w:val="none" w:sz="0" w:space="0" w:color="auto"/>
            <w:bottom w:val="none" w:sz="0" w:space="0" w:color="auto"/>
            <w:right w:val="none" w:sz="0" w:space="0" w:color="auto"/>
          </w:divBdr>
        </w:div>
      </w:divsChild>
    </w:div>
    <w:div w:id="337586680">
      <w:bodyDiv w:val="1"/>
      <w:marLeft w:val="0"/>
      <w:marRight w:val="0"/>
      <w:marTop w:val="0"/>
      <w:marBottom w:val="0"/>
      <w:divBdr>
        <w:top w:val="none" w:sz="0" w:space="0" w:color="auto"/>
        <w:left w:val="none" w:sz="0" w:space="0" w:color="auto"/>
        <w:bottom w:val="none" w:sz="0" w:space="0" w:color="auto"/>
        <w:right w:val="none" w:sz="0" w:space="0" w:color="auto"/>
      </w:divBdr>
    </w:div>
    <w:div w:id="343828950">
      <w:bodyDiv w:val="1"/>
      <w:marLeft w:val="0"/>
      <w:marRight w:val="0"/>
      <w:marTop w:val="0"/>
      <w:marBottom w:val="0"/>
      <w:divBdr>
        <w:top w:val="none" w:sz="0" w:space="0" w:color="auto"/>
        <w:left w:val="none" w:sz="0" w:space="0" w:color="auto"/>
        <w:bottom w:val="none" w:sz="0" w:space="0" w:color="auto"/>
        <w:right w:val="none" w:sz="0" w:space="0" w:color="auto"/>
      </w:divBdr>
    </w:div>
    <w:div w:id="385757599">
      <w:bodyDiv w:val="1"/>
      <w:marLeft w:val="0"/>
      <w:marRight w:val="0"/>
      <w:marTop w:val="0"/>
      <w:marBottom w:val="0"/>
      <w:divBdr>
        <w:top w:val="none" w:sz="0" w:space="0" w:color="auto"/>
        <w:left w:val="none" w:sz="0" w:space="0" w:color="auto"/>
        <w:bottom w:val="none" w:sz="0" w:space="0" w:color="auto"/>
        <w:right w:val="none" w:sz="0" w:space="0" w:color="auto"/>
      </w:divBdr>
    </w:div>
    <w:div w:id="397366028">
      <w:bodyDiv w:val="1"/>
      <w:marLeft w:val="0"/>
      <w:marRight w:val="0"/>
      <w:marTop w:val="0"/>
      <w:marBottom w:val="0"/>
      <w:divBdr>
        <w:top w:val="none" w:sz="0" w:space="0" w:color="auto"/>
        <w:left w:val="none" w:sz="0" w:space="0" w:color="auto"/>
        <w:bottom w:val="none" w:sz="0" w:space="0" w:color="auto"/>
        <w:right w:val="none" w:sz="0" w:space="0" w:color="auto"/>
      </w:divBdr>
    </w:div>
    <w:div w:id="401760118">
      <w:bodyDiv w:val="1"/>
      <w:marLeft w:val="0"/>
      <w:marRight w:val="0"/>
      <w:marTop w:val="0"/>
      <w:marBottom w:val="0"/>
      <w:divBdr>
        <w:top w:val="none" w:sz="0" w:space="0" w:color="auto"/>
        <w:left w:val="none" w:sz="0" w:space="0" w:color="auto"/>
        <w:bottom w:val="none" w:sz="0" w:space="0" w:color="auto"/>
        <w:right w:val="none" w:sz="0" w:space="0" w:color="auto"/>
      </w:divBdr>
      <w:divsChild>
        <w:div w:id="1442920102">
          <w:marLeft w:val="0"/>
          <w:marRight w:val="0"/>
          <w:marTop w:val="0"/>
          <w:marBottom w:val="0"/>
          <w:divBdr>
            <w:top w:val="none" w:sz="0" w:space="0" w:color="auto"/>
            <w:left w:val="none" w:sz="0" w:space="0" w:color="auto"/>
            <w:bottom w:val="none" w:sz="0" w:space="0" w:color="auto"/>
            <w:right w:val="none" w:sz="0" w:space="0" w:color="auto"/>
          </w:divBdr>
        </w:div>
      </w:divsChild>
    </w:div>
    <w:div w:id="428166214">
      <w:bodyDiv w:val="1"/>
      <w:marLeft w:val="0"/>
      <w:marRight w:val="0"/>
      <w:marTop w:val="0"/>
      <w:marBottom w:val="0"/>
      <w:divBdr>
        <w:top w:val="none" w:sz="0" w:space="0" w:color="auto"/>
        <w:left w:val="none" w:sz="0" w:space="0" w:color="auto"/>
        <w:bottom w:val="none" w:sz="0" w:space="0" w:color="auto"/>
        <w:right w:val="none" w:sz="0" w:space="0" w:color="auto"/>
      </w:divBdr>
      <w:divsChild>
        <w:div w:id="1340040803">
          <w:marLeft w:val="274"/>
          <w:marRight w:val="0"/>
          <w:marTop w:val="86"/>
          <w:marBottom w:val="0"/>
          <w:divBdr>
            <w:top w:val="none" w:sz="0" w:space="0" w:color="auto"/>
            <w:left w:val="none" w:sz="0" w:space="0" w:color="auto"/>
            <w:bottom w:val="none" w:sz="0" w:space="0" w:color="auto"/>
            <w:right w:val="none" w:sz="0" w:space="0" w:color="auto"/>
          </w:divBdr>
        </w:div>
      </w:divsChild>
    </w:div>
    <w:div w:id="431709622">
      <w:bodyDiv w:val="1"/>
      <w:marLeft w:val="0"/>
      <w:marRight w:val="0"/>
      <w:marTop w:val="0"/>
      <w:marBottom w:val="0"/>
      <w:divBdr>
        <w:top w:val="none" w:sz="0" w:space="0" w:color="auto"/>
        <w:left w:val="none" w:sz="0" w:space="0" w:color="auto"/>
        <w:bottom w:val="none" w:sz="0" w:space="0" w:color="auto"/>
        <w:right w:val="none" w:sz="0" w:space="0" w:color="auto"/>
      </w:divBdr>
      <w:divsChild>
        <w:div w:id="742683470">
          <w:marLeft w:val="0"/>
          <w:marRight w:val="0"/>
          <w:marTop w:val="0"/>
          <w:marBottom w:val="0"/>
          <w:divBdr>
            <w:top w:val="none" w:sz="0" w:space="0" w:color="auto"/>
            <w:left w:val="none" w:sz="0" w:space="0" w:color="auto"/>
            <w:bottom w:val="none" w:sz="0" w:space="0" w:color="auto"/>
            <w:right w:val="none" w:sz="0" w:space="0" w:color="auto"/>
          </w:divBdr>
          <w:divsChild>
            <w:div w:id="11908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195">
      <w:bodyDiv w:val="1"/>
      <w:marLeft w:val="0"/>
      <w:marRight w:val="0"/>
      <w:marTop w:val="0"/>
      <w:marBottom w:val="0"/>
      <w:divBdr>
        <w:top w:val="none" w:sz="0" w:space="0" w:color="auto"/>
        <w:left w:val="none" w:sz="0" w:space="0" w:color="auto"/>
        <w:bottom w:val="none" w:sz="0" w:space="0" w:color="auto"/>
        <w:right w:val="none" w:sz="0" w:space="0" w:color="auto"/>
      </w:divBdr>
    </w:div>
    <w:div w:id="499348059">
      <w:bodyDiv w:val="1"/>
      <w:marLeft w:val="0"/>
      <w:marRight w:val="0"/>
      <w:marTop w:val="0"/>
      <w:marBottom w:val="0"/>
      <w:divBdr>
        <w:top w:val="none" w:sz="0" w:space="0" w:color="auto"/>
        <w:left w:val="none" w:sz="0" w:space="0" w:color="auto"/>
        <w:bottom w:val="none" w:sz="0" w:space="0" w:color="auto"/>
        <w:right w:val="none" w:sz="0" w:space="0" w:color="auto"/>
      </w:divBdr>
      <w:divsChild>
        <w:div w:id="846363147">
          <w:marLeft w:val="0"/>
          <w:marRight w:val="0"/>
          <w:marTop w:val="0"/>
          <w:marBottom w:val="0"/>
          <w:divBdr>
            <w:top w:val="none" w:sz="0" w:space="0" w:color="auto"/>
            <w:left w:val="none" w:sz="0" w:space="0" w:color="auto"/>
            <w:bottom w:val="none" w:sz="0" w:space="0" w:color="auto"/>
            <w:right w:val="none" w:sz="0" w:space="0" w:color="auto"/>
          </w:divBdr>
          <w:divsChild>
            <w:div w:id="2012289471">
              <w:marLeft w:val="0"/>
              <w:marRight w:val="0"/>
              <w:marTop w:val="0"/>
              <w:marBottom w:val="0"/>
              <w:divBdr>
                <w:top w:val="none" w:sz="0" w:space="0" w:color="auto"/>
                <w:left w:val="none" w:sz="0" w:space="0" w:color="auto"/>
                <w:bottom w:val="none" w:sz="0" w:space="0" w:color="auto"/>
                <w:right w:val="none" w:sz="0" w:space="0" w:color="auto"/>
              </w:divBdr>
              <w:divsChild>
                <w:div w:id="16429269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0898911">
      <w:bodyDiv w:val="1"/>
      <w:marLeft w:val="0"/>
      <w:marRight w:val="0"/>
      <w:marTop w:val="0"/>
      <w:marBottom w:val="0"/>
      <w:divBdr>
        <w:top w:val="none" w:sz="0" w:space="0" w:color="auto"/>
        <w:left w:val="none" w:sz="0" w:space="0" w:color="auto"/>
        <w:bottom w:val="none" w:sz="0" w:space="0" w:color="auto"/>
        <w:right w:val="none" w:sz="0" w:space="0" w:color="auto"/>
      </w:divBdr>
    </w:div>
    <w:div w:id="531114823">
      <w:bodyDiv w:val="1"/>
      <w:marLeft w:val="0"/>
      <w:marRight w:val="0"/>
      <w:marTop w:val="0"/>
      <w:marBottom w:val="0"/>
      <w:divBdr>
        <w:top w:val="none" w:sz="0" w:space="0" w:color="auto"/>
        <w:left w:val="none" w:sz="0" w:space="0" w:color="auto"/>
        <w:bottom w:val="none" w:sz="0" w:space="0" w:color="auto"/>
        <w:right w:val="none" w:sz="0" w:space="0" w:color="auto"/>
      </w:divBdr>
    </w:div>
    <w:div w:id="559486677">
      <w:bodyDiv w:val="1"/>
      <w:marLeft w:val="0"/>
      <w:marRight w:val="0"/>
      <w:marTop w:val="0"/>
      <w:marBottom w:val="0"/>
      <w:divBdr>
        <w:top w:val="none" w:sz="0" w:space="0" w:color="auto"/>
        <w:left w:val="none" w:sz="0" w:space="0" w:color="auto"/>
        <w:bottom w:val="none" w:sz="0" w:space="0" w:color="auto"/>
        <w:right w:val="none" w:sz="0" w:space="0" w:color="auto"/>
      </w:divBdr>
    </w:div>
    <w:div w:id="561673001">
      <w:bodyDiv w:val="1"/>
      <w:marLeft w:val="0"/>
      <w:marRight w:val="0"/>
      <w:marTop w:val="0"/>
      <w:marBottom w:val="0"/>
      <w:divBdr>
        <w:top w:val="none" w:sz="0" w:space="0" w:color="auto"/>
        <w:left w:val="none" w:sz="0" w:space="0" w:color="auto"/>
        <w:bottom w:val="none" w:sz="0" w:space="0" w:color="auto"/>
        <w:right w:val="none" w:sz="0" w:space="0" w:color="auto"/>
      </w:divBdr>
    </w:div>
    <w:div w:id="564876012">
      <w:bodyDiv w:val="1"/>
      <w:marLeft w:val="0"/>
      <w:marRight w:val="0"/>
      <w:marTop w:val="0"/>
      <w:marBottom w:val="0"/>
      <w:divBdr>
        <w:top w:val="none" w:sz="0" w:space="0" w:color="auto"/>
        <w:left w:val="none" w:sz="0" w:space="0" w:color="auto"/>
        <w:bottom w:val="none" w:sz="0" w:space="0" w:color="auto"/>
        <w:right w:val="none" w:sz="0" w:space="0" w:color="auto"/>
      </w:divBdr>
    </w:div>
    <w:div w:id="630523325">
      <w:bodyDiv w:val="1"/>
      <w:marLeft w:val="0"/>
      <w:marRight w:val="0"/>
      <w:marTop w:val="0"/>
      <w:marBottom w:val="0"/>
      <w:divBdr>
        <w:top w:val="none" w:sz="0" w:space="0" w:color="auto"/>
        <w:left w:val="none" w:sz="0" w:space="0" w:color="auto"/>
        <w:bottom w:val="none" w:sz="0" w:space="0" w:color="auto"/>
        <w:right w:val="none" w:sz="0" w:space="0" w:color="auto"/>
      </w:divBdr>
    </w:div>
    <w:div w:id="657154838">
      <w:bodyDiv w:val="1"/>
      <w:marLeft w:val="0"/>
      <w:marRight w:val="0"/>
      <w:marTop w:val="0"/>
      <w:marBottom w:val="0"/>
      <w:divBdr>
        <w:top w:val="none" w:sz="0" w:space="0" w:color="auto"/>
        <w:left w:val="none" w:sz="0" w:space="0" w:color="auto"/>
        <w:bottom w:val="none" w:sz="0" w:space="0" w:color="auto"/>
        <w:right w:val="none" w:sz="0" w:space="0" w:color="auto"/>
      </w:divBdr>
    </w:div>
    <w:div w:id="674068739">
      <w:bodyDiv w:val="1"/>
      <w:marLeft w:val="0"/>
      <w:marRight w:val="0"/>
      <w:marTop w:val="0"/>
      <w:marBottom w:val="0"/>
      <w:divBdr>
        <w:top w:val="none" w:sz="0" w:space="0" w:color="auto"/>
        <w:left w:val="none" w:sz="0" w:space="0" w:color="auto"/>
        <w:bottom w:val="none" w:sz="0" w:space="0" w:color="auto"/>
        <w:right w:val="none" w:sz="0" w:space="0" w:color="auto"/>
      </w:divBdr>
      <w:divsChild>
        <w:div w:id="108938186">
          <w:marLeft w:val="576"/>
          <w:marRight w:val="0"/>
          <w:marTop w:val="120"/>
          <w:marBottom w:val="0"/>
          <w:divBdr>
            <w:top w:val="none" w:sz="0" w:space="0" w:color="auto"/>
            <w:left w:val="none" w:sz="0" w:space="0" w:color="auto"/>
            <w:bottom w:val="none" w:sz="0" w:space="0" w:color="auto"/>
            <w:right w:val="none" w:sz="0" w:space="0" w:color="auto"/>
          </w:divBdr>
        </w:div>
        <w:div w:id="163786970">
          <w:marLeft w:val="576"/>
          <w:marRight w:val="0"/>
          <w:marTop w:val="120"/>
          <w:marBottom w:val="0"/>
          <w:divBdr>
            <w:top w:val="none" w:sz="0" w:space="0" w:color="auto"/>
            <w:left w:val="none" w:sz="0" w:space="0" w:color="auto"/>
            <w:bottom w:val="none" w:sz="0" w:space="0" w:color="auto"/>
            <w:right w:val="none" w:sz="0" w:space="0" w:color="auto"/>
          </w:divBdr>
        </w:div>
        <w:div w:id="253898605">
          <w:marLeft w:val="576"/>
          <w:marRight w:val="0"/>
          <w:marTop w:val="120"/>
          <w:marBottom w:val="0"/>
          <w:divBdr>
            <w:top w:val="none" w:sz="0" w:space="0" w:color="auto"/>
            <w:left w:val="none" w:sz="0" w:space="0" w:color="auto"/>
            <w:bottom w:val="none" w:sz="0" w:space="0" w:color="auto"/>
            <w:right w:val="none" w:sz="0" w:space="0" w:color="auto"/>
          </w:divBdr>
        </w:div>
        <w:div w:id="687414514">
          <w:marLeft w:val="576"/>
          <w:marRight w:val="0"/>
          <w:marTop w:val="120"/>
          <w:marBottom w:val="0"/>
          <w:divBdr>
            <w:top w:val="none" w:sz="0" w:space="0" w:color="auto"/>
            <w:left w:val="none" w:sz="0" w:space="0" w:color="auto"/>
            <w:bottom w:val="none" w:sz="0" w:space="0" w:color="auto"/>
            <w:right w:val="none" w:sz="0" w:space="0" w:color="auto"/>
          </w:divBdr>
        </w:div>
        <w:div w:id="1736126430">
          <w:marLeft w:val="576"/>
          <w:marRight w:val="0"/>
          <w:marTop w:val="120"/>
          <w:marBottom w:val="0"/>
          <w:divBdr>
            <w:top w:val="none" w:sz="0" w:space="0" w:color="auto"/>
            <w:left w:val="none" w:sz="0" w:space="0" w:color="auto"/>
            <w:bottom w:val="none" w:sz="0" w:space="0" w:color="auto"/>
            <w:right w:val="none" w:sz="0" w:space="0" w:color="auto"/>
          </w:divBdr>
        </w:div>
        <w:div w:id="1807040847">
          <w:marLeft w:val="576"/>
          <w:marRight w:val="0"/>
          <w:marTop w:val="120"/>
          <w:marBottom w:val="0"/>
          <w:divBdr>
            <w:top w:val="none" w:sz="0" w:space="0" w:color="auto"/>
            <w:left w:val="none" w:sz="0" w:space="0" w:color="auto"/>
            <w:bottom w:val="none" w:sz="0" w:space="0" w:color="auto"/>
            <w:right w:val="none" w:sz="0" w:space="0" w:color="auto"/>
          </w:divBdr>
        </w:div>
        <w:div w:id="2113433592">
          <w:marLeft w:val="576"/>
          <w:marRight w:val="0"/>
          <w:marTop w:val="120"/>
          <w:marBottom w:val="0"/>
          <w:divBdr>
            <w:top w:val="none" w:sz="0" w:space="0" w:color="auto"/>
            <w:left w:val="none" w:sz="0" w:space="0" w:color="auto"/>
            <w:bottom w:val="none" w:sz="0" w:space="0" w:color="auto"/>
            <w:right w:val="none" w:sz="0" w:space="0" w:color="auto"/>
          </w:divBdr>
        </w:div>
      </w:divsChild>
    </w:div>
    <w:div w:id="703142886">
      <w:bodyDiv w:val="1"/>
      <w:marLeft w:val="0"/>
      <w:marRight w:val="0"/>
      <w:marTop w:val="0"/>
      <w:marBottom w:val="0"/>
      <w:divBdr>
        <w:top w:val="none" w:sz="0" w:space="0" w:color="auto"/>
        <w:left w:val="none" w:sz="0" w:space="0" w:color="auto"/>
        <w:bottom w:val="none" w:sz="0" w:space="0" w:color="auto"/>
        <w:right w:val="none" w:sz="0" w:space="0" w:color="auto"/>
      </w:divBdr>
    </w:div>
    <w:div w:id="706684865">
      <w:bodyDiv w:val="1"/>
      <w:marLeft w:val="0"/>
      <w:marRight w:val="0"/>
      <w:marTop w:val="0"/>
      <w:marBottom w:val="0"/>
      <w:divBdr>
        <w:top w:val="none" w:sz="0" w:space="0" w:color="auto"/>
        <w:left w:val="none" w:sz="0" w:space="0" w:color="auto"/>
        <w:bottom w:val="none" w:sz="0" w:space="0" w:color="auto"/>
        <w:right w:val="none" w:sz="0" w:space="0" w:color="auto"/>
      </w:divBdr>
      <w:divsChild>
        <w:div w:id="28575137">
          <w:marLeft w:val="446"/>
          <w:marRight w:val="0"/>
          <w:marTop w:val="120"/>
          <w:marBottom w:val="0"/>
          <w:divBdr>
            <w:top w:val="none" w:sz="0" w:space="0" w:color="auto"/>
            <w:left w:val="none" w:sz="0" w:space="0" w:color="auto"/>
            <w:bottom w:val="none" w:sz="0" w:space="0" w:color="auto"/>
            <w:right w:val="none" w:sz="0" w:space="0" w:color="auto"/>
          </w:divBdr>
        </w:div>
        <w:div w:id="57555980">
          <w:marLeft w:val="446"/>
          <w:marRight w:val="0"/>
          <w:marTop w:val="120"/>
          <w:marBottom w:val="0"/>
          <w:divBdr>
            <w:top w:val="none" w:sz="0" w:space="0" w:color="auto"/>
            <w:left w:val="none" w:sz="0" w:space="0" w:color="auto"/>
            <w:bottom w:val="none" w:sz="0" w:space="0" w:color="auto"/>
            <w:right w:val="none" w:sz="0" w:space="0" w:color="auto"/>
          </w:divBdr>
        </w:div>
        <w:div w:id="147015306">
          <w:marLeft w:val="446"/>
          <w:marRight w:val="0"/>
          <w:marTop w:val="120"/>
          <w:marBottom w:val="0"/>
          <w:divBdr>
            <w:top w:val="none" w:sz="0" w:space="0" w:color="auto"/>
            <w:left w:val="none" w:sz="0" w:space="0" w:color="auto"/>
            <w:bottom w:val="none" w:sz="0" w:space="0" w:color="auto"/>
            <w:right w:val="none" w:sz="0" w:space="0" w:color="auto"/>
          </w:divBdr>
        </w:div>
        <w:div w:id="179972660">
          <w:marLeft w:val="446"/>
          <w:marRight w:val="0"/>
          <w:marTop w:val="120"/>
          <w:marBottom w:val="0"/>
          <w:divBdr>
            <w:top w:val="none" w:sz="0" w:space="0" w:color="auto"/>
            <w:left w:val="none" w:sz="0" w:space="0" w:color="auto"/>
            <w:bottom w:val="none" w:sz="0" w:space="0" w:color="auto"/>
            <w:right w:val="none" w:sz="0" w:space="0" w:color="auto"/>
          </w:divBdr>
        </w:div>
        <w:div w:id="705372146">
          <w:marLeft w:val="446"/>
          <w:marRight w:val="0"/>
          <w:marTop w:val="120"/>
          <w:marBottom w:val="0"/>
          <w:divBdr>
            <w:top w:val="none" w:sz="0" w:space="0" w:color="auto"/>
            <w:left w:val="none" w:sz="0" w:space="0" w:color="auto"/>
            <w:bottom w:val="none" w:sz="0" w:space="0" w:color="auto"/>
            <w:right w:val="none" w:sz="0" w:space="0" w:color="auto"/>
          </w:divBdr>
        </w:div>
        <w:div w:id="1435633125">
          <w:marLeft w:val="446"/>
          <w:marRight w:val="0"/>
          <w:marTop w:val="120"/>
          <w:marBottom w:val="0"/>
          <w:divBdr>
            <w:top w:val="none" w:sz="0" w:space="0" w:color="auto"/>
            <w:left w:val="none" w:sz="0" w:space="0" w:color="auto"/>
            <w:bottom w:val="none" w:sz="0" w:space="0" w:color="auto"/>
            <w:right w:val="none" w:sz="0" w:space="0" w:color="auto"/>
          </w:divBdr>
        </w:div>
        <w:div w:id="1864435597">
          <w:marLeft w:val="446"/>
          <w:marRight w:val="0"/>
          <w:marTop w:val="120"/>
          <w:marBottom w:val="0"/>
          <w:divBdr>
            <w:top w:val="none" w:sz="0" w:space="0" w:color="auto"/>
            <w:left w:val="none" w:sz="0" w:space="0" w:color="auto"/>
            <w:bottom w:val="none" w:sz="0" w:space="0" w:color="auto"/>
            <w:right w:val="none" w:sz="0" w:space="0" w:color="auto"/>
          </w:divBdr>
        </w:div>
        <w:div w:id="1883471522">
          <w:marLeft w:val="446"/>
          <w:marRight w:val="0"/>
          <w:marTop w:val="120"/>
          <w:marBottom w:val="0"/>
          <w:divBdr>
            <w:top w:val="none" w:sz="0" w:space="0" w:color="auto"/>
            <w:left w:val="none" w:sz="0" w:space="0" w:color="auto"/>
            <w:bottom w:val="none" w:sz="0" w:space="0" w:color="auto"/>
            <w:right w:val="none" w:sz="0" w:space="0" w:color="auto"/>
          </w:divBdr>
        </w:div>
      </w:divsChild>
    </w:div>
    <w:div w:id="709383891">
      <w:bodyDiv w:val="1"/>
      <w:marLeft w:val="0"/>
      <w:marRight w:val="0"/>
      <w:marTop w:val="0"/>
      <w:marBottom w:val="0"/>
      <w:divBdr>
        <w:top w:val="none" w:sz="0" w:space="0" w:color="auto"/>
        <w:left w:val="none" w:sz="0" w:space="0" w:color="auto"/>
        <w:bottom w:val="none" w:sz="0" w:space="0" w:color="auto"/>
        <w:right w:val="none" w:sz="0" w:space="0" w:color="auto"/>
      </w:divBdr>
    </w:div>
    <w:div w:id="710568939">
      <w:bodyDiv w:val="1"/>
      <w:marLeft w:val="0"/>
      <w:marRight w:val="0"/>
      <w:marTop w:val="0"/>
      <w:marBottom w:val="0"/>
      <w:divBdr>
        <w:top w:val="none" w:sz="0" w:space="0" w:color="auto"/>
        <w:left w:val="none" w:sz="0" w:space="0" w:color="auto"/>
        <w:bottom w:val="none" w:sz="0" w:space="0" w:color="auto"/>
        <w:right w:val="none" w:sz="0" w:space="0" w:color="auto"/>
      </w:divBdr>
      <w:divsChild>
        <w:div w:id="1874881348">
          <w:marLeft w:val="0"/>
          <w:marRight w:val="0"/>
          <w:marTop w:val="0"/>
          <w:marBottom w:val="0"/>
          <w:divBdr>
            <w:top w:val="none" w:sz="0" w:space="0" w:color="auto"/>
            <w:left w:val="none" w:sz="0" w:space="0" w:color="auto"/>
            <w:bottom w:val="none" w:sz="0" w:space="0" w:color="auto"/>
            <w:right w:val="none" w:sz="0" w:space="0" w:color="auto"/>
          </w:divBdr>
          <w:divsChild>
            <w:div w:id="1660499628">
              <w:marLeft w:val="0"/>
              <w:marRight w:val="0"/>
              <w:marTop w:val="0"/>
              <w:marBottom w:val="0"/>
              <w:divBdr>
                <w:top w:val="none" w:sz="0" w:space="0" w:color="auto"/>
                <w:left w:val="none" w:sz="0" w:space="0" w:color="auto"/>
                <w:bottom w:val="none" w:sz="0" w:space="0" w:color="auto"/>
                <w:right w:val="none" w:sz="0" w:space="0" w:color="auto"/>
              </w:divBdr>
              <w:divsChild>
                <w:div w:id="1791124793">
                  <w:marLeft w:val="0"/>
                  <w:marRight w:val="0"/>
                  <w:marTop w:val="0"/>
                  <w:marBottom w:val="0"/>
                  <w:divBdr>
                    <w:top w:val="none" w:sz="0" w:space="0" w:color="auto"/>
                    <w:left w:val="none" w:sz="0" w:space="0" w:color="auto"/>
                    <w:bottom w:val="none" w:sz="0" w:space="0" w:color="auto"/>
                    <w:right w:val="none" w:sz="0" w:space="0" w:color="auto"/>
                  </w:divBdr>
                  <w:divsChild>
                    <w:div w:id="584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161">
      <w:bodyDiv w:val="1"/>
      <w:marLeft w:val="0"/>
      <w:marRight w:val="0"/>
      <w:marTop w:val="0"/>
      <w:marBottom w:val="0"/>
      <w:divBdr>
        <w:top w:val="none" w:sz="0" w:space="0" w:color="auto"/>
        <w:left w:val="none" w:sz="0" w:space="0" w:color="auto"/>
        <w:bottom w:val="none" w:sz="0" w:space="0" w:color="auto"/>
        <w:right w:val="none" w:sz="0" w:space="0" w:color="auto"/>
      </w:divBdr>
    </w:div>
    <w:div w:id="750270872">
      <w:bodyDiv w:val="1"/>
      <w:marLeft w:val="0"/>
      <w:marRight w:val="0"/>
      <w:marTop w:val="0"/>
      <w:marBottom w:val="0"/>
      <w:divBdr>
        <w:top w:val="none" w:sz="0" w:space="0" w:color="auto"/>
        <w:left w:val="none" w:sz="0" w:space="0" w:color="auto"/>
        <w:bottom w:val="none" w:sz="0" w:space="0" w:color="auto"/>
        <w:right w:val="none" w:sz="0" w:space="0" w:color="auto"/>
      </w:divBdr>
    </w:div>
    <w:div w:id="782849154">
      <w:bodyDiv w:val="1"/>
      <w:marLeft w:val="0"/>
      <w:marRight w:val="0"/>
      <w:marTop w:val="0"/>
      <w:marBottom w:val="0"/>
      <w:divBdr>
        <w:top w:val="none" w:sz="0" w:space="0" w:color="auto"/>
        <w:left w:val="none" w:sz="0" w:space="0" w:color="auto"/>
        <w:bottom w:val="none" w:sz="0" w:space="0" w:color="auto"/>
        <w:right w:val="none" w:sz="0" w:space="0" w:color="auto"/>
      </w:divBdr>
    </w:div>
    <w:div w:id="833688127">
      <w:bodyDiv w:val="1"/>
      <w:marLeft w:val="0"/>
      <w:marRight w:val="0"/>
      <w:marTop w:val="0"/>
      <w:marBottom w:val="0"/>
      <w:divBdr>
        <w:top w:val="none" w:sz="0" w:space="0" w:color="auto"/>
        <w:left w:val="none" w:sz="0" w:space="0" w:color="auto"/>
        <w:bottom w:val="none" w:sz="0" w:space="0" w:color="auto"/>
        <w:right w:val="none" w:sz="0" w:space="0" w:color="auto"/>
      </w:divBdr>
    </w:div>
    <w:div w:id="863979818">
      <w:bodyDiv w:val="1"/>
      <w:marLeft w:val="0"/>
      <w:marRight w:val="0"/>
      <w:marTop w:val="0"/>
      <w:marBottom w:val="0"/>
      <w:divBdr>
        <w:top w:val="none" w:sz="0" w:space="0" w:color="auto"/>
        <w:left w:val="none" w:sz="0" w:space="0" w:color="auto"/>
        <w:bottom w:val="none" w:sz="0" w:space="0" w:color="auto"/>
        <w:right w:val="none" w:sz="0" w:space="0" w:color="auto"/>
      </w:divBdr>
    </w:div>
    <w:div w:id="884681420">
      <w:bodyDiv w:val="1"/>
      <w:marLeft w:val="0"/>
      <w:marRight w:val="0"/>
      <w:marTop w:val="0"/>
      <w:marBottom w:val="0"/>
      <w:divBdr>
        <w:top w:val="none" w:sz="0" w:space="0" w:color="auto"/>
        <w:left w:val="none" w:sz="0" w:space="0" w:color="auto"/>
        <w:bottom w:val="none" w:sz="0" w:space="0" w:color="auto"/>
        <w:right w:val="none" w:sz="0" w:space="0" w:color="auto"/>
      </w:divBdr>
    </w:div>
    <w:div w:id="889806513">
      <w:bodyDiv w:val="1"/>
      <w:marLeft w:val="0"/>
      <w:marRight w:val="0"/>
      <w:marTop w:val="0"/>
      <w:marBottom w:val="0"/>
      <w:divBdr>
        <w:top w:val="none" w:sz="0" w:space="0" w:color="auto"/>
        <w:left w:val="none" w:sz="0" w:space="0" w:color="auto"/>
        <w:bottom w:val="none" w:sz="0" w:space="0" w:color="auto"/>
        <w:right w:val="none" w:sz="0" w:space="0" w:color="auto"/>
      </w:divBdr>
    </w:div>
    <w:div w:id="923346196">
      <w:bodyDiv w:val="1"/>
      <w:marLeft w:val="0"/>
      <w:marRight w:val="0"/>
      <w:marTop w:val="0"/>
      <w:marBottom w:val="0"/>
      <w:divBdr>
        <w:top w:val="none" w:sz="0" w:space="0" w:color="auto"/>
        <w:left w:val="none" w:sz="0" w:space="0" w:color="auto"/>
        <w:bottom w:val="none" w:sz="0" w:space="0" w:color="auto"/>
        <w:right w:val="none" w:sz="0" w:space="0" w:color="auto"/>
      </w:divBdr>
    </w:div>
    <w:div w:id="949629714">
      <w:bodyDiv w:val="1"/>
      <w:marLeft w:val="0"/>
      <w:marRight w:val="0"/>
      <w:marTop w:val="0"/>
      <w:marBottom w:val="0"/>
      <w:divBdr>
        <w:top w:val="none" w:sz="0" w:space="0" w:color="auto"/>
        <w:left w:val="none" w:sz="0" w:space="0" w:color="auto"/>
        <w:bottom w:val="none" w:sz="0" w:space="0" w:color="auto"/>
        <w:right w:val="none" w:sz="0" w:space="0" w:color="auto"/>
      </w:divBdr>
    </w:div>
    <w:div w:id="950673517">
      <w:bodyDiv w:val="1"/>
      <w:marLeft w:val="0"/>
      <w:marRight w:val="0"/>
      <w:marTop w:val="0"/>
      <w:marBottom w:val="0"/>
      <w:divBdr>
        <w:top w:val="none" w:sz="0" w:space="0" w:color="auto"/>
        <w:left w:val="none" w:sz="0" w:space="0" w:color="auto"/>
        <w:bottom w:val="none" w:sz="0" w:space="0" w:color="auto"/>
        <w:right w:val="none" w:sz="0" w:space="0" w:color="auto"/>
      </w:divBdr>
      <w:divsChild>
        <w:div w:id="816533772">
          <w:marLeft w:val="547"/>
          <w:marRight w:val="0"/>
          <w:marTop w:val="0"/>
          <w:marBottom w:val="0"/>
          <w:divBdr>
            <w:top w:val="none" w:sz="0" w:space="0" w:color="auto"/>
            <w:left w:val="none" w:sz="0" w:space="0" w:color="auto"/>
            <w:bottom w:val="none" w:sz="0" w:space="0" w:color="auto"/>
            <w:right w:val="none" w:sz="0" w:space="0" w:color="auto"/>
          </w:divBdr>
        </w:div>
        <w:div w:id="1364939456">
          <w:marLeft w:val="547"/>
          <w:marRight w:val="0"/>
          <w:marTop w:val="0"/>
          <w:marBottom w:val="0"/>
          <w:divBdr>
            <w:top w:val="none" w:sz="0" w:space="0" w:color="auto"/>
            <w:left w:val="none" w:sz="0" w:space="0" w:color="auto"/>
            <w:bottom w:val="none" w:sz="0" w:space="0" w:color="auto"/>
            <w:right w:val="none" w:sz="0" w:space="0" w:color="auto"/>
          </w:divBdr>
        </w:div>
        <w:div w:id="1825704394">
          <w:marLeft w:val="547"/>
          <w:marRight w:val="0"/>
          <w:marTop w:val="0"/>
          <w:marBottom w:val="0"/>
          <w:divBdr>
            <w:top w:val="none" w:sz="0" w:space="0" w:color="auto"/>
            <w:left w:val="none" w:sz="0" w:space="0" w:color="auto"/>
            <w:bottom w:val="none" w:sz="0" w:space="0" w:color="auto"/>
            <w:right w:val="none" w:sz="0" w:space="0" w:color="auto"/>
          </w:divBdr>
        </w:div>
        <w:div w:id="1882328340">
          <w:marLeft w:val="547"/>
          <w:marRight w:val="0"/>
          <w:marTop w:val="0"/>
          <w:marBottom w:val="0"/>
          <w:divBdr>
            <w:top w:val="none" w:sz="0" w:space="0" w:color="auto"/>
            <w:left w:val="none" w:sz="0" w:space="0" w:color="auto"/>
            <w:bottom w:val="none" w:sz="0" w:space="0" w:color="auto"/>
            <w:right w:val="none" w:sz="0" w:space="0" w:color="auto"/>
          </w:divBdr>
        </w:div>
        <w:div w:id="1905682389">
          <w:marLeft w:val="547"/>
          <w:marRight w:val="0"/>
          <w:marTop w:val="0"/>
          <w:marBottom w:val="0"/>
          <w:divBdr>
            <w:top w:val="none" w:sz="0" w:space="0" w:color="auto"/>
            <w:left w:val="none" w:sz="0" w:space="0" w:color="auto"/>
            <w:bottom w:val="none" w:sz="0" w:space="0" w:color="auto"/>
            <w:right w:val="none" w:sz="0" w:space="0" w:color="auto"/>
          </w:divBdr>
        </w:div>
        <w:div w:id="2056391849">
          <w:marLeft w:val="547"/>
          <w:marRight w:val="0"/>
          <w:marTop w:val="0"/>
          <w:marBottom w:val="0"/>
          <w:divBdr>
            <w:top w:val="none" w:sz="0" w:space="0" w:color="auto"/>
            <w:left w:val="none" w:sz="0" w:space="0" w:color="auto"/>
            <w:bottom w:val="none" w:sz="0" w:space="0" w:color="auto"/>
            <w:right w:val="none" w:sz="0" w:space="0" w:color="auto"/>
          </w:divBdr>
        </w:div>
      </w:divsChild>
    </w:div>
    <w:div w:id="999120278">
      <w:bodyDiv w:val="1"/>
      <w:marLeft w:val="0"/>
      <w:marRight w:val="0"/>
      <w:marTop w:val="0"/>
      <w:marBottom w:val="0"/>
      <w:divBdr>
        <w:top w:val="none" w:sz="0" w:space="0" w:color="auto"/>
        <w:left w:val="none" w:sz="0" w:space="0" w:color="auto"/>
        <w:bottom w:val="none" w:sz="0" w:space="0" w:color="auto"/>
        <w:right w:val="none" w:sz="0" w:space="0" w:color="auto"/>
      </w:divBdr>
    </w:div>
    <w:div w:id="1015421241">
      <w:bodyDiv w:val="1"/>
      <w:marLeft w:val="0"/>
      <w:marRight w:val="0"/>
      <w:marTop w:val="0"/>
      <w:marBottom w:val="0"/>
      <w:divBdr>
        <w:top w:val="none" w:sz="0" w:space="0" w:color="auto"/>
        <w:left w:val="none" w:sz="0" w:space="0" w:color="auto"/>
        <w:bottom w:val="none" w:sz="0" w:space="0" w:color="auto"/>
        <w:right w:val="none" w:sz="0" w:space="0" w:color="auto"/>
      </w:divBdr>
      <w:divsChild>
        <w:div w:id="248543218">
          <w:marLeft w:val="547"/>
          <w:marRight w:val="0"/>
          <w:marTop w:val="0"/>
          <w:marBottom w:val="0"/>
          <w:divBdr>
            <w:top w:val="none" w:sz="0" w:space="0" w:color="auto"/>
            <w:left w:val="none" w:sz="0" w:space="0" w:color="auto"/>
            <w:bottom w:val="none" w:sz="0" w:space="0" w:color="auto"/>
            <w:right w:val="none" w:sz="0" w:space="0" w:color="auto"/>
          </w:divBdr>
        </w:div>
        <w:div w:id="322512856">
          <w:marLeft w:val="547"/>
          <w:marRight w:val="0"/>
          <w:marTop w:val="0"/>
          <w:marBottom w:val="0"/>
          <w:divBdr>
            <w:top w:val="none" w:sz="0" w:space="0" w:color="auto"/>
            <w:left w:val="none" w:sz="0" w:space="0" w:color="auto"/>
            <w:bottom w:val="none" w:sz="0" w:space="0" w:color="auto"/>
            <w:right w:val="none" w:sz="0" w:space="0" w:color="auto"/>
          </w:divBdr>
        </w:div>
        <w:div w:id="1629897619">
          <w:marLeft w:val="547"/>
          <w:marRight w:val="0"/>
          <w:marTop w:val="0"/>
          <w:marBottom w:val="0"/>
          <w:divBdr>
            <w:top w:val="none" w:sz="0" w:space="0" w:color="auto"/>
            <w:left w:val="none" w:sz="0" w:space="0" w:color="auto"/>
            <w:bottom w:val="none" w:sz="0" w:space="0" w:color="auto"/>
            <w:right w:val="none" w:sz="0" w:space="0" w:color="auto"/>
          </w:divBdr>
        </w:div>
      </w:divsChild>
    </w:div>
    <w:div w:id="1052578909">
      <w:bodyDiv w:val="1"/>
      <w:marLeft w:val="0"/>
      <w:marRight w:val="0"/>
      <w:marTop w:val="0"/>
      <w:marBottom w:val="0"/>
      <w:divBdr>
        <w:top w:val="none" w:sz="0" w:space="0" w:color="auto"/>
        <w:left w:val="none" w:sz="0" w:space="0" w:color="auto"/>
        <w:bottom w:val="none" w:sz="0" w:space="0" w:color="auto"/>
        <w:right w:val="none" w:sz="0" w:space="0" w:color="auto"/>
      </w:divBdr>
      <w:divsChild>
        <w:div w:id="221912671">
          <w:marLeft w:val="547"/>
          <w:marRight w:val="0"/>
          <w:marTop w:val="106"/>
          <w:marBottom w:val="0"/>
          <w:divBdr>
            <w:top w:val="none" w:sz="0" w:space="0" w:color="auto"/>
            <w:left w:val="none" w:sz="0" w:space="0" w:color="auto"/>
            <w:bottom w:val="none" w:sz="0" w:space="0" w:color="auto"/>
            <w:right w:val="none" w:sz="0" w:space="0" w:color="auto"/>
          </w:divBdr>
        </w:div>
      </w:divsChild>
    </w:div>
    <w:div w:id="1072393863">
      <w:bodyDiv w:val="1"/>
      <w:marLeft w:val="0"/>
      <w:marRight w:val="0"/>
      <w:marTop w:val="0"/>
      <w:marBottom w:val="0"/>
      <w:divBdr>
        <w:top w:val="none" w:sz="0" w:space="0" w:color="auto"/>
        <w:left w:val="none" w:sz="0" w:space="0" w:color="auto"/>
        <w:bottom w:val="none" w:sz="0" w:space="0" w:color="auto"/>
        <w:right w:val="none" w:sz="0" w:space="0" w:color="auto"/>
      </w:divBdr>
      <w:divsChild>
        <w:div w:id="449009718">
          <w:marLeft w:val="0"/>
          <w:marRight w:val="0"/>
          <w:marTop w:val="0"/>
          <w:marBottom w:val="0"/>
          <w:divBdr>
            <w:top w:val="none" w:sz="0" w:space="0" w:color="auto"/>
            <w:left w:val="none" w:sz="0" w:space="0" w:color="auto"/>
            <w:bottom w:val="none" w:sz="0" w:space="0" w:color="auto"/>
            <w:right w:val="none" w:sz="0" w:space="0" w:color="auto"/>
          </w:divBdr>
        </w:div>
      </w:divsChild>
    </w:div>
    <w:div w:id="1114983141">
      <w:bodyDiv w:val="1"/>
      <w:marLeft w:val="0"/>
      <w:marRight w:val="0"/>
      <w:marTop w:val="0"/>
      <w:marBottom w:val="0"/>
      <w:divBdr>
        <w:top w:val="none" w:sz="0" w:space="0" w:color="auto"/>
        <w:left w:val="none" w:sz="0" w:space="0" w:color="auto"/>
        <w:bottom w:val="none" w:sz="0" w:space="0" w:color="auto"/>
        <w:right w:val="none" w:sz="0" w:space="0" w:color="auto"/>
      </w:divBdr>
    </w:div>
    <w:div w:id="1134106977">
      <w:bodyDiv w:val="1"/>
      <w:marLeft w:val="0"/>
      <w:marRight w:val="0"/>
      <w:marTop w:val="0"/>
      <w:marBottom w:val="0"/>
      <w:divBdr>
        <w:top w:val="none" w:sz="0" w:space="0" w:color="auto"/>
        <w:left w:val="none" w:sz="0" w:space="0" w:color="auto"/>
        <w:bottom w:val="none" w:sz="0" w:space="0" w:color="auto"/>
        <w:right w:val="none" w:sz="0" w:space="0" w:color="auto"/>
      </w:divBdr>
    </w:div>
    <w:div w:id="1144347115">
      <w:bodyDiv w:val="1"/>
      <w:marLeft w:val="0"/>
      <w:marRight w:val="0"/>
      <w:marTop w:val="0"/>
      <w:marBottom w:val="0"/>
      <w:divBdr>
        <w:top w:val="none" w:sz="0" w:space="0" w:color="auto"/>
        <w:left w:val="none" w:sz="0" w:space="0" w:color="auto"/>
        <w:bottom w:val="none" w:sz="0" w:space="0" w:color="auto"/>
        <w:right w:val="none" w:sz="0" w:space="0" w:color="auto"/>
      </w:divBdr>
    </w:div>
    <w:div w:id="1145316033">
      <w:bodyDiv w:val="1"/>
      <w:marLeft w:val="0"/>
      <w:marRight w:val="0"/>
      <w:marTop w:val="0"/>
      <w:marBottom w:val="0"/>
      <w:divBdr>
        <w:top w:val="none" w:sz="0" w:space="0" w:color="auto"/>
        <w:left w:val="none" w:sz="0" w:space="0" w:color="auto"/>
        <w:bottom w:val="none" w:sz="0" w:space="0" w:color="auto"/>
        <w:right w:val="none" w:sz="0" w:space="0" w:color="auto"/>
      </w:divBdr>
    </w:div>
    <w:div w:id="1147237301">
      <w:bodyDiv w:val="1"/>
      <w:marLeft w:val="0"/>
      <w:marRight w:val="0"/>
      <w:marTop w:val="0"/>
      <w:marBottom w:val="0"/>
      <w:divBdr>
        <w:top w:val="none" w:sz="0" w:space="0" w:color="auto"/>
        <w:left w:val="none" w:sz="0" w:space="0" w:color="auto"/>
        <w:bottom w:val="none" w:sz="0" w:space="0" w:color="auto"/>
        <w:right w:val="none" w:sz="0" w:space="0" w:color="auto"/>
      </w:divBdr>
    </w:div>
    <w:div w:id="1170439458">
      <w:bodyDiv w:val="1"/>
      <w:marLeft w:val="0"/>
      <w:marRight w:val="0"/>
      <w:marTop w:val="0"/>
      <w:marBottom w:val="0"/>
      <w:divBdr>
        <w:top w:val="none" w:sz="0" w:space="0" w:color="auto"/>
        <w:left w:val="none" w:sz="0" w:space="0" w:color="auto"/>
        <w:bottom w:val="none" w:sz="0" w:space="0" w:color="auto"/>
        <w:right w:val="none" w:sz="0" w:space="0" w:color="auto"/>
      </w:divBdr>
    </w:div>
    <w:div w:id="1171683047">
      <w:bodyDiv w:val="1"/>
      <w:marLeft w:val="0"/>
      <w:marRight w:val="0"/>
      <w:marTop w:val="0"/>
      <w:marBottom w:val="0"/>
      <w:divBdr>
        <w:top w:val="none" w:sz="0" w:space="0" w:color="auto"/>
        <w:left w:val="none" w:sz="0" w:space="0" w:color="auto"/>
        <w:bottom w:val="none" w:sz="0" w:space="0" w:color="auto"/>
        <w:right w:val="none" w:sz="0" w:space="0" w:color="auto"/>
      </w:divBdr>
    </w:div>
    <w:div w:id="1175879042">
      <w:bodyDiv w:val="1"/>
      <w:marLeft w:val="0"/>
      <w:marRight w:val="0"/>
      <w:marTop w:val="0"/>
      <w:marBottom w:val="0"/>
      <w:divBdr>
        <w:top w:val="none" w:sz="0" w:space="0" w:color="auto"/>
        <w:left w:val="none" w:sz="0" w:space="0" w:color="auto"/>
        <w:bottom w:val="none" w:sz="0" w:space="0" w:color="auto"/>
        <w:right w:val="none" w:sz="0" w:space="0" w:color="auto"/>
      </w:divBdr>
      <w:divsChild>
        <w:div w:id="1767186080">
          <w:marLeft w:val="0"/>
          <w:marRight w:val="0"/>
          <w:marTop w:val="0"/>
          <w:marBottom w:val="0"/>
          <w:divBdr>
            <w:top w:val="none" w:sz="0" w:space="0" w:color="auto"/>
            <w:left w:val="none" w:sz="0" w:space="0" w:color="auto"/>
            <w:bottom w:val="none" w:sz="0" w:space="0" w:color="auto"/>
            <w:right w:val="none" w:sz="0" w:space="0" w:color="auto"/>
          </w:divBdr>
        </w:div>
        <w:div w:id="2133551390">
          <w:marLeft w:val="0"/>
          <w:marRight w:val="0"/>
          <w:marTop w:val="0"/>
          <w:marBottom w:val="0"/>
          <w:divBdr>
            <w:top w:val="none" w:sz="0" w:space="0" w:color="auto"/>
            <w:left w:val="none" w:sz="0" w:space="0" w:color="auto"/>
            <w:bottom w:val="none" w:sz="0" w:space="0" w:color="auto"/>
            <w:right w:val="none" w:sz="0" w:space="0" w:color="auto"/>
          </w:divBdr>
        </w:div>
      </w:divsChild>
    </w:div>
    <w:div w:id="1180463073">
      <w:bodyDiv w:val="1"/>
      <w:marLeft w:val="0"/>
      <w:marRight w:val="0"/>
      <w:marTop w:val="0"/>
      <w:marBottom w:val="0"/>
      <w:divBdr>
        <w:top w:val="none" w:sz="0" w:space="0" w:color="auto"/>
        <w:left w:val="none" w:sz="0" w:space="0" w:color="auto"/>
        <w:bottom w:val="none" w:sz="0" w:space="0" w:color="auto"/>
        <w:right w:val="none" w:sz="0" w:space="0" w:color="auto"/>
      </w:divBdr>
    </w:div>
    <w:div w:id="1197498424">
      <w:bodyDiv w:val="1"/>
      <w:marLeft w:val="0"/>
      <w:marRight w:val="0"/>
      <w:marTop w:val="0"/>
      <w:marBottom w:val="0"/>
      <w:divBdr>
        <w:top w:val="none" w:sz="0" w:space="0" w:color="auto"/>
        <w:left w:val="none" w:sz="0" w:space="0" w:color="auto"/>
        <w:bottom w:val="none" w:sz="0" w:space="0" w:color="auto"/>
        <w:right w:val="none" w:sz="0" w:space="0" w:color="auto"/>
      </w:divBdr>
    </w:div>
    <w:div w:id="1222987732">
      <w:bodyDiv w:val="1"/>
      <w:marLeft w:val="0"/>
      <w:marRight w:val="0"/>
      <w:marTop w:val="0"/>
      <w:marBottom w:val="0"/>
      <w:divBdr>
        <w:top w:val="none" w:sz="0" w:space="0" w:color="auto"/>
        <w:left w:val="none" w:sz="0" w:space="0" w:color="auto"/>
        <w:bottom w:val="none" w:sz="0" w:space="0" w:color="auto"/>
        <w:right w:val="none" w:sz="0" w:space="0" w:color="auto"/>
      </w:divBdr>
      <w:divsChild>
        <w:div w:id="142046462">
          <w:marLeft w:val="547"/>
          <w:marRight w:val="0"/>
          <w:marTop w:val="0"/>
          <w:marBottom w:val="0"/>
          <w:divBdr>
            <w:top w:val="none" w:sz="0" w:space="0" w:color="auto"/>
            <w:left w:val="none" w:sz="0" w:space="0" w:color="auto"/>
            <w:bottom w:val="none" w:sz="0" w:space="0" w:color="auto"/>
            <w:right w:val="none" w:sz="0" w:space="0" w:color="auto"/>
          </w:divBdr>
        </w:div>
        <w:div w:id="593974733">
          <w:marLeft w:val="547"/>
          <w:marRight w:val="0"/>
          <w:marTop w:val="0"/>
          <w:marBottom w:val="0"/>
          <w:divBdr>
            <w:top w:val="none" w:sz="0" w:space="0" w:color="auto"/>
            <w:left w:val="none" w:sz="0" w:space="0" w:color="auto"/>
            <w:bottom w:val="none" w:sz="0" w:space="0" w:color="auto"/>
            <w:right w:val="none" w:sz="0" w:space="0" w:color="auto"/>
          </w:divBdr>
        </w:div>
        <w:div w:id="798450413">
          <w:marLeft w:val="547"/>
          <w:marRight w:val="0"/>
          <w:marTop w:val="0"/>
          <w:marBottom w:val="0"/>
          <w:divBdr>
            <w:top w:val="none" w:sz="0" w:space="0" w:color="auto"/>
            <w:left w:val="none" w:sz="0" w:space="0" w:color="auto"/>
            <w:bottom w:val="none" w:sz="0" w:space="0" w:color="auto"/>
            <w:right w:val="none" w:sz="0" w:space="0" w:color="auto"/>
          </w:divBdr>
        </w:div>
        <w:div w:id="802504355">
          <w:marLeft w:val="547"/>
          <w:marRight w:val="0"/>
          <w:marTop w:val="0"/>
          <w:marBottom w:val="0"/>
          <w:divBdr>
            <w:top w:val="none" w:sz="0" w:space="0" w:color="auto"/>
            <w:left w:val="none" w:sz="0" w:space="0" w:color="auto"/>
            <w:bottom w:val="none" w:sz="0" w:space="0" w:color="auto"/>
            <w:right w:val="none" w:sz="0" w:space="0" w:color="auto"/>
          </w:divBdr>
        </w:div>
        <w:div w:id="1070079616">
          <w:marLeft w:val="547"/>
          <w:marRight w:val="0"/>
          <w:marTop w:val="0"/>
          <w:marBottom w:val="0"/>
          <w:divBdr>
            <w:top w:val="none" w:sz="0" w:space="0" w:color="auto"/>
            <w:left w:val="none" w:sz="0" w:space="0" w:color="auto"/>
            <w:bottom w:val="none" w:sz="0" w:space="0" w:color="auto"/>
            <w:right w:val="none" w:sz="0" w:space="0" w:color="auto"/>
          </w:divBdr>
        </w:div>
        <w:div w:id="2001763359">
          <w:marLeft w:val="547"/>
          <w:marRight w:val="0"/>
          <w:marTop w:val="0"/>
          <w:marBottom w:val="0"/>
          <w:divBdr>
            <w:top w:val="none" w:sz="0" w:space="0" w:color="auto"/>
            <w:left w:val="none" w:sz="0" w:space="0" w:color="auto"/>
            <w:bottom w:val="none" w:sz="0" w:space="0" w:color="auto"/>
            <w:right w:val="none" w:sz="0" w:space="0" w:color="auto"/>
          </w:divBdr>
        </w:div>
      </w:divsChild>
    </w:div>
    <w:div w:id="1290554456">
      <w:bodyDiv w:val="1"/>
      <w:marLeft w:val="0"/>
      <w:marRight w:val="0"/>
      <w:marTop w:val="0"/>
      <w:marBottom w:val="0"/>
      <w:divBdr>
        <w:top w:val="none" w:sz="0" w:space="0" w:color="auto"/>
        <w:left w:val="none" w:sz="0" w:space="0" w:color="auto"/>
        <w:bottom w:val="none" w:sz="0" w:space="0" w:color="auto"/>
        <w:right w:val="none" w:sz="0" w:space="0" w:color="auto"/>
      </w:divBdr>
    </w:div>
    <w:div w:id="1345857857">
      <w:bodyDiv w:val="1"/>
      <w:marLeft w:val="0"/>
      <w:marRight w:val="0"/>
      <w:marTop w:val="0"/>
      <w:marBottom w:val="0"/>
      <w:divBdr>
        <w:top w:val="none" w:sz="0" w:space="0" w:color="auto"/>
        <w:left w:val="none" w:sz="0" w:space="0" w:color="auto"/>
        <w:bottom w:val="none" w:sz="0" w:space="0" w:color="auto"/>
        <w:right w:val="none" w:sz="0" w:space="0" w:color="auto"/>
      </w:divBdr>
    </w:div>
    <w:div w:id="1428234375">
      <w:bodyDiv w:val="1"/>
      <w:marLeft w:val="0"/>
      <w:marRight w:val="0"/>
      <w:marTop w:val="0"/>
      <w:marBottom w:val="0"/>
      <w:divBdr>
        <w:top w:val="none" w:sz="0" w:space="0" w:color="auto"/>
        <w:left w:val="none" w:sz="0" w:space="0" w:color="auto"/>
        <w:bottom w:val="none" w:sz="0" w:space="0" w:color="auto"/>
        <w:right w:val="none" w:sz="0" w:space="0" w:color="auto"/>
      </w:divBdr>
    </w:div>
    <w:div w:id="1433938438">
      <w:bodyDiv w:val="1"/>
      <w:marLeft w:val="0"/>
      <w:marRight w:val="0"/>
      <w:marTop w:val="0"/>
      <w:marBottom w:val="0"/>
      <w:divBdr>
        <w:top w:val="none" w:sz="0" w:space="0" w:color="auto"/>
        <w:left w:val="none" w:sz="0" w:space="0" w:color="auto"/>
        <w:bottom w:val="none" w:sz="0" w:space="0" w:color="auto"/>
        <w:right w:val="none" w:sz="0" w:space="0" w:color="auto"/>
      </w:divBdr>
    </w:div>
    <w:div w:id="1441757671">
      <w:bodyDiv w:val="1"/>
      <w:marLeft w:val="0"/>
      <w:marRight w:val="0"/>
      <w:marTop w:val="0"/>
      <w:marBottom w:val="0"/>
      <w:divBdr>
        <w:top w:val="none" w:sz="0" w:space="0" w:color="auto"/>
        <w:left w:val="none" w:sz="0" w:space="0" w:color="auto"/>
        <w:bottom w:val="none" w:sz="0" w:space="0" w:color="auto"/>
        <w:right w:val="none" w:sz="0" w:space="0" w:color="auto"/>
      </w:divBdr>
      <w:divsChild>
        <w:div w:id="78643244">
          <w:marLeft w:val="0"/>
          <w:marRight w:val="0"/>
          <w:marTop w:val="0"/>
          <w:marBottom w:val="0"/>
          <w:divBdr>
            <w:top w:val="none" w:sz="0" w:space="0" w:color="auto"/>
            <w:left w:val="none" w:sz="0" w:space="0" w:color="auto"/>
            <w:bottom w:val="none" w:sz="0" w:space="0" w:color="auto"/>
            <w:right w:val="none" w:sz="0" w:space="0" w:color="auto"/>
          </w:divBdr>
        </w:div>
        <w:div w:id="101657155">
          <w:marLeft w:val="0"/>
          <w:marRight w:val="0"/>
          <w:marTop w:val="0"/>
          <w:marBottom w:val="0"/>
          <w:divBdr>
            <w:top w:val="none" w:sz="0" w:space="0" w:color="auto"/>
            <w:left w:val="none" w:sz="0" w:space="0" w:color="auto"/>
            <w:bottom w:val="none" w:sz="0" w:space="0" w:color="auto"/>
            <w:right w:val="none" w:sz="0" w:space="0" w:color="auto"/>
          </w:divBdr>
        </w:div>
        <w:div w:id="152455529">
          <w:marLeft w:val="0"/>
          <w:marRight w:val="0"/>
          <w:marTop w:val="0"/>
          <w:marBottom w:val="0"/>
          <w:divBdr>
            <w:top w:val="none" w:sz="0" w:space="0" w:color="auto"/>
            <w:left w:val="none" w:sz="0" w:space="0" w:color="auto"/>
            <w:bottom w:val="none" w:sz="0" w:space="0" w:color="auto"/>
            <w:right w:val="none" w:sz="0" w:space="0" w:color="auto"/>
          </w:divBdr>
        </w:div>
        <w:div w:id="167067631">
          <w:marLeft w:val="0"/>
          <w:marRight w:val="0"/>
          <w:marTop w:val="0"/>
          <w:marBottom w:val="0"/>
          <w:divBdr>
            <w:top w:val="none" w:sz="0" w:space="0" w:color="auto"/>
            <w:left w:val="none" w:sz="0" w:space="0" w:color="auto"/>
            <w:bottom w:val="none" w:sz="0" w:space="0" w:color="auto"/>
            <w:right w:val="none" w:sz="0" w:space="0" w:color="auto"/>
          </w:divBdr>
        </w:div>
        <w:div w:id="206572153">
          <w:marLeft w:val="0"/>
          <w:marRight w:val="0"/>
          <w:marTop w:val="0"/>
          <w:marBottom w:val="0"/>
          <w:divBdr>
            <w:top w:val="none" w:sz="0" w:space="0" w:color="auto"/>
            <w:left w:val="none" w:sz="0" w:space="0" w:color="auto"/>
            <w:bottom w:val="none" w:sz="0" w:space="0" w:color="auto"/>
            <w:right w:val="none" w:sz="0" w:space="0" w:color="auto"/>
          </w:divBdr>
        </w:div>
        <w:div w:id="239024679">
          <w:marLeft w:val="0"/>
          <w:marRight w:val="0"/>
          <w:marTop w:val="0"/>
          <w:marBottom w:val="0"/>
          <w:divBdr>
            <w:top w:val="none" w:sz="0" w:space="0" w:color="auto"/>
            <w:left w:val="none" w:sz="0" w:space="0" w:color="auto"/>
            <w:bottom w:val="none" w:sz="0" w:space="0" w:color="auto"/>
            <w:right w:val="none" w:sz="0" w:space="0" w:color="auto"/>
          </w:divBdr>
        </w:div>
        <w:div w:id="422144438">
          <w:marLeft w:val="0"/>
          <w:marRight w:val="0"/>
          <w:marTop w:val="0"/>
          <w:marBottom w:val="0"/>
          <w:divBdr>
            <w:top w:val="none" w:sz="0" w:space="0" w:color="auto"/>
            <w:left w:val="none" w:sz="0" w:space="0" w:color="auto"/>
            <w:bottom w:val="none" w:sz="0" w:space="0" w:color="auto"/>
            <w:right w:val="none" w:sz="0" w:space="0" w:color="auto"/>
          </w:divBdr>
        </w:div>
        <w:div w:id="439109618">
          <w:marLeft w:val="0"/>
          <w:marRight w:val="0"/>
          <w:marTop w:val="0"/>
          <w:marBottom w:val="0"/>
          <w:divBdr>
            <w:top w:val="none" w:sz="0" w:space="0" w:color="auto"/>
            <w:left w:val="none" w:sz="0" w:space="0" w:color="auto"/>
            <w:bottom w:val="none" w:sz="0" w:space="0" w:color="auto"/>
            <w:right w:val="none" w:sz="0" w:space="0" w:color="auto"/>
          </w:divBdr>
        </w:div>
        <w:div w:id="501899597">
          <w:marLeft w:val="0"/>
          <w:marRight w:val="0"/>
          <w:marTop w:val="0"/>
          <w:marBottom w:val="0"/>
          <w:divBdr>
            <w:top w:val="none" w:sz="0" w:space="0" w:color="auto"/>
            <w:left w:val="none" w:sz="0" w:space="0" w:color="auto"/>
            <w:bottom w:val="none" w:sz="0" w:space="0" w:color="auto"/>
            <w:right w:val="none" w:sz="0" w:space="0" w:color="auto"/>
          </w:divBdr>
        </w:div>
        <w:div w:id="517894132">
          <w:marLeft w:val="0"/>
          <w:marRight w:val="0"/>
          <w:marTop w:val="0"/>
          <w:marBottom w:val="0"/>
          <w:divBdr>
            <w:top w:val="none" w:sz="0" w:space="0" w:color="auto"/>
            <w:left w:val="none" w:sz="0" w:space="0" w:color="auto"/>
            <w:bottom w:val="none" w:sz="0" w:space="0" w:color="auto"/>
            <w:right w:val="none" w:sz="0" w:space="0" w:color="auto"/>
          </w:divBdr>
        </w:div>
        <w:div w:id="611597307">
          <w:marLeft w:val="0"/>
          <w:marRight w:val="0"/>
          <w:marTop w:val="0"/>
          <w:marBottom w:val="0"/>
          <w:divBdr>
            <w:top w:val="none" w:sz="0" w:space="0" w:color="auto"/>
            <w:left w:val="none" w:sz="0" w:space="0" w:color="auto"/>
            <w:bottom w:val="none" w:sz="0" w:space="0" w:color="auto"/>
            <w:right w:val="none" w:sz="0" w:space="0" w:color="auto"/>
          </w:divBdr>
        </w:div>
        <w:div w:id="628165696">
          <w:marLeft w:val="0"/>
          <w:marRight w:val="0"/>
          <w:marTop w:val="0"/>
          <w:marBottom w:val="0"/>
          <w:divBdr>
            <w:top w:val="none" w:sz="0" w:space="0" w:color="auto"/>
            <w:left w:val="none" w:sz="0" w:space="0" w:color="auto"/>
            <w:bottom w:val="none" w:sz="0" w:space="0" w:color="auto"/>
            <w:right w:val="none" w:sz="0" w:space="0" w:color="auto"/>
          </w:divBdr>
        </w:div>
        <w:div w:id="754282699">
          <w:marLeft w:val="0"/>
          <w:marRight w:val="0"/>
          <w:marTop w:val="0"/>
          <w:marBottom w:val="0"/>
          <w:divBdr>
            <w:top w:val="none" w:sz="0" w:space="0" w:color="auto"/>
            <w:left w:val="none" w:sz="0" w:space="0" w:color="auto"/>
            <w:bottom w:val="none" w:sz="0" w:space="0" w:color="auto"/>
            <w:right w:val="none" w:sz="0" w:space="0" w:color="auto"/>
          </w:divBdr>
        </w:div>
        <w:div w:id="971402014">
          <w:marLeft w:val="0"/>
          <w:marRight w:val="0"/>
          <w:marTop w:val="0"/>
          <w:marBottom w:val="0"/>
          <w:divBdr>
            <w:top w:val="none" w:sz="0" w:space="0" w:color="auto"/>
            <w:left w:val="none" w:sz="0" w:space="0" w:color="auto"/>
            <w:bottom w:val="none" w:sz="0" w:space="0" w:color="auto"/>
            <w:right w:val="none" w:sz="0" w:space="0" w:color="auto"/>
          </w:divBdr>
        </w:div>
        <w:div w:id="1045983310">
          <w:marLeft w:val="0"/>
          <w:marRight w:val="0"/>
          <w:marTop w:val="0"/>
          <w:marBottom w:val="0"/>
          <w:divBdr>
            <w:top w:val="none" w:sz="0" w:space="0" w:color="auto"/>
            <w:left w:val="none" w:sz="0" w:space="0" w:color="auto"/>
            <w:bottom w:val="none" w:sz="0" w:space="0" w:color="auto"/>
            <w:right w:val="none" w:sz="0" w:space="0" w:color="auto"/>
          </w:divBdr>
        </w:div>
        <w:div w:id="1078088597">
          <w:marLeft w:val="0"/>
          <w:marRight w:val="0"/>
          <w:marTop w:val="0"/>
          <w:marBottom w:val="0"/>
          <w:divBdr>
            <w:top w:val="none" w:sz="0" w:space="0" w:color="auto"/>
            <w:left w:val="none" w:sz="0" w:space="0" w:color="auto"/>
            <w:bottom w:val="none" w:sz="0" w:space="0" w:color="auto"/>
            <w:right w:val="none" w:sz="0" w:space="0" w:color="auto"/>
          </w:divBdr>
        </w:div>
        <w:div w:id="1153257137">
          <w:marLeft w:val="0"/>
          <w:marRight w:val="0"/>
          <w:marTop w:val="0"/>
          <w:marBottom w:val="0"/>
          <w:divBdr>
            <w:top w:val="none" w:sz="0" w:space="0" w:color="auto"/>
            <w:left w:val="none" w:sz="0" w:space="0" w:color="auto"/>
            <w:bottom w:val="none" w:sz="0" w:space="0" w:color="auto"/>
            <w:right w:val="none" w:sz="0" w:space="0" w:color="auto"/>
          </w:divBdr>
        </w:div>
        <w:div w:id="1335498730">
          <w:marLeft w:val="0"/>
          <w:marRight w:val="0"/>
          <w:marTop w:val="0"/>
          <w:marBottom w:val="0"/>
          <w:divBdr>
            <w:top w:val="none" w:sz="0" w:space="0" w:color="auto"/>
            <w:left w:val="none" w:sz="0" w:space="0" w:color="auto"/>
            <w:bottom w:val="none" w:sz="0" w:space="0" w:color="auto"/>
            <w:right w:val="none" w:sz="0" w:space="0" w:color="auto"/>
          </w:divBdr>
        </w:div>
        <w:div w:id="1393502309">
          <w:marLeft w:val="0"/>
          <w:marRight w:val="0"/>
          <w:marTop w:val="0"/>
          <w:marBottom w:val="0"/>
          <w:divBdr>
            <w:top w:val="none" w:sz="0" w:space="0" w:color="auto"/>
            <w:left w:val="none" w:sz="0" w:space="0" w:color="auto"/>
            <w:bottom w:val="none" w:sz="0" w:space="0" w:color="auto"/>
            <w:right w:val="none" w:sz="0" w:space="0" w:color="auto"/>
          </w:divBdr>
        </w:div>
        <w:div w:id="1396320095">
          <w:marLeft w:val="0"/>
          <w:marRight w:val="0"/>
          <w:marTop w:val="0"/>
          <w:marBottom w:val="0"/>
          <w:divBdr>
            <w:top w:val="none" w:sz="0" w:space="0" w:color="auto"/>
            <w:left w:val="none" w:sz="0" w:space="0" w:color="auto"/>
            <w:bottom w:val="none" w:sz="0" w:space="0" w:color="auto"/>
            <w:right w:val="none" w:sz="0" w:space="0" w:color="auto"/>
          </w:divBdr>
        </w:div>
        <w:div w:id="1594238410">
          <w:marLeft w:val="0"/>
          <w:marRight w:val="0"/>
          <w:marTop w:val="0"/>
          <w:marBottom w:val="0"/>
          <w:divBdr>
            <w:top w:val="none" w:sz="0" w:space="0" w:color="auto"/>
            <w:left w:val="none" w:sz="0" w:space="0" w:color="auto"/>
            <w:bottom w:val="none" w:sz="0" w:space="0" w:color="auto"/>
            <w:right w:val="none" w:sz="0" w:space="0" w:color="auto"/>
          </w:divBdr>
        </w:div>
        <w:div w:id="1753042801">
          <w:marLeft w:val="0"/>
          <w:marRight w:val="0"/>
          <w:marTop w:val="0"/>
          <w:marBottom w:val="0"/>
          <w:divBdr>
            <w:top w:val="none" w:sz="0" w:space="0" w:color="auto"/>
            <w:left w:val="none" w:sz="0" w:space="0" w:color="auto"/>
            <w:bottom w:val="none" w:sz="0" w:space="0" w:color="auto"/>
            <w:right w:val="none" w:sz="0" w:space="0" w:color="auto"/>
          </w:divBdr>
        </w:div>
        <w:div w:id="2023585647">
          <w:marLeft w:val="0"/>
          <w:marRight w:val="0"/>
          <w:marTop w:val="0"/>
          <w:marBottom w:val="0"/>
          <w:divBdr>
            <w:top w:val="none" w:sz="0" w:space="0" w:color="auto"/>
            <w:left w:val="none" w:sz="0" w:space="0" w:color="auto"/>
            <w:bottom w:val="none" w:sz="0" w:space="0" w:color="auto"/>
            <w:right w:val="none" w:sz="0" w:space="0" w:color="auto"/>
          </w:divBdr>
        </w:div>
        <w:div w:id="2031223751">
          <w:marLeft w:val="0"/>
          <w:marRight w:val="0"/>
          <w:marTop w:val="0"/>
          <w:marBottom w:val="0"/>
          <w:divBdr>
            <w:top w:val="none" w:sz="0" w:space="0" w:color="auto"/>
            <w:left w:val="none" w:sz="0" w:space="0" w:color="auto"/>
            <w:bottom w:val="none" w:sz="0" w:space="0" w:color="auto"/>
            <w:right w:val="none" w:sz="0" w:space="0" w:color="auto"/>
          </w:divBdr>
        </w:div>
        <w:div w:id="2093624831">
          <w:marLeft w:val="0"/>
          <w:marRight w:val="0"/>
          <w:marTop w:val="0"/>
          <w:marBottom w:val="0"/>
          <w:divBdr>
            <w:top w:val="none" w:sz="0" w:space="0" w:color="auto"/>
            <w:left w:val="none" w:sz="0" w:space="0" w:color="auto"/>
            <w:bottom w:val="none" w:sz="0" w:space="0" w:color="auto"/>
            <w:right w:val="none" w:sz="0" w:space="0" w:color="auto"/>
          </w:divBdr>
        </w:div>
        <w:div w:id="2134783474">
          <w:marLeft w:val="0"/>
          <w:marRight w:val="0"/>
          <w:marTop w:val="0"/>
          <w:marBottom w:val="0"/>
          <w:divBdr>
            <w:top w:val="none" w:sz="0" w:space="0" w:color="auto"/>
            <w:left w:val="none" w:sz="0" w:space="0" w:color="auto"/>
            <w:bottom w:val="none" w:sz="0" w:space="0" w:color="auto"/>
            <w:right w:val="none" w:sz="0" w:space="0" w:color="auto"/>
          </w:divBdr>
        </w:div>
      </w:divsChild>
    </w:div>
    <w:div w:id="1441876334">
      <w:bodyDiv w:val="1"/>
      <w:marLeft w:val="0"/>
      <w:marRight w:val="0"/>
      <w:marTop w:val="0"/>
      <w:marBottom w:val="0"/>
      <w:divBdr>
        <w:top w:val="none" w:sz="0" w:space="0" w:color="auto"/>
        <w:left w:val="none" w:sz="0" w:space="0" w:color="auto"/>
        <w:bottom w:val="none" w:sz="0" w:space="0" w:color="auto"/>
        <w:right w:val="none" w:sz="0" w:space="0" w:color="auto"/>
      </w:divBdr>
    </w:div>
    <w:div w:id="1451361862">
      <w:bodyDiv w:val="1"/>
      <w:marLeft w:val="0"/>
      <w:marRight w:val="0"/>
      <w:marTop w:val="0"/>
      <w:marBottom w:val="0"/>
      <w:divBdr>
        <w:top w:val="none" w:sz="0" w:space="0" w:color="auto"/>
        <w:left w:val="none" w:sz="0" w:space="0" w:color="auto"/>
        <w:bottom w:val="none" w:sz="0" w:space="0" w:color="auto"/>
        <w:right w:val="none" w:sz="0" w:space="0" w:color="auto"/>
      </w:divBdr>
    </w:div>
    <w:div w:id="1461460293">
      <w:bodyDiv w:val="1"/>
      <w:marLeft w:val="0"/>
      <w:marRight w:val="0"/>
      <w:marTop w:val="0"/>
      <w:marBottom w:val="0"/>
      <w:divBdr>
        <w:top w:val="none" w:sz="0" w:space="0" w:color="auto"/>
        <w:left w:val="none" w:sz="0" w:space="0" w:color="auto"/>
        <w:bottom w:val="none" w:sz="0" w:space="0" w:color="auto"/>
        <w:right w:val="none" w:sz="0" w:space="0" w:color="auto"/>
      </w:divBdr>
    </w:div>
    <w:div w:id="1476484869">
      <w:bodyDiv w:val="1"/>
      <w:marLeft w:val="0"/>
      <w:marRight w:val="0"/>
      <w:marTop w:val="0"/>
      <w:marBottom w:val="0"/>
      <w:divBdr>
        <w:top w:val="none" w:sz="0" w:space="0" w:color="auto"/>
        <w:left w:val="none" w:sz="0" w:space="0" w:color="auto"/>
        <w:bottom w:val="none" w:sz="0" w:space="0" w:color="auto"/>
        <w:right w:val="none" w:sz="0" w:space="0" w:color="auto"/>
      </w:divBdr>
    </w:div>
    <w:div w:id="1478759717">
      <w:bodyDiv w:val="1"/>
      <w:marLeft w:val="0"/>
      <w:marRight w:val="0"/>
      <w:marTop w:val="0"/>
      <w:marBottom w:val="0"/>
      <w:divBdr>
        <w:top w:val="none" w:sz="0" w:space="0" w:color="auto"/>
        <w:left w:val="none" w:sz="0" w:space="0" w:color="auto"/>
        <w:bottom w:val="none" w:sz="0" w:space="0" w:color="auto"/>
        <w:right w:val="none" w:sz="0" w:space="0" w:color="auto"/>
      </w:divBdr>
    </w:div>
    <w:div w:id="1552840023">
      <w:bodyDiv w:val="1"/>
      <w:marLeft w:val="0"/>
      <w:marRight w:val="0"/>
      <w:marTop w:val="0"/>
      <w:marBottom w:val="0"/>
      <w:divBdr>
        <w:top w:val="none" w:sz="0" w:space="0" w:color="auto"/>
        <w:left w:val="none" w:sz="0" w:space="0" w:color="auto"/>
        <w:bottom w:val="none" w:sz="0" w:space="0" w:color="auto"/>
        <w:right w:val="none" w:sz="0" w:space="0" w:color="auto"/>
      </w:divBdr>
    </w:div>
    <w:div w:id="1581866005">
      <w:bodyDiv w:val="1"/>
      <w:marLeft w:val="0"/>
      <w:marRight w:val="0"/>
      <w:marTop w:val="0"/>
      <w:marBottom w:val="0"/>
      <w:divBdr>
        <w:top w:val="none" w:sz="0" w:space="0" w:color="auto"/>
        <w:left w:val="none" w:sz="0" w:space="0" w:color="auto"/>
        <w:bottom w:val="none" w:sz="0" w:space="0" w:color="auto"/>
        <w:right w:val="none" w:sz="0" w:space="0" w:color="auto"/>
      </w:divBdr>
    </w:div>
    <w:div w:id="1605455082">
      <w:bodyDiv w:val="1"/>
      <w:marLeft w:val="0"/>
      <w:marRight w:val="0"/>
      <w:marTop w:val="0"/>
      <w:marBottom w:val="0"/>
      <w:divBdr>
        <w:top w:val="none" w:sz="0" w:space="0" w:color="auto"/>
        <w:left w:val="none" w:sz="0" w:space="0" w:color="auto"/>
        <w:bottom w:val="none" w:sz="0" w:space="0" w:color="auto"/>
        <w:right w:val="none" w:sz="0" w:space="0" w:color="auto"/>
      </w:divBdr>
    </w:div>
    <w:div w:id="1616323403">
      <w:bodyDiv w:val="1"/>
      <w:marLeft w:val="0"/>
      <w:marRight w:val="0"/>
      <w:marTop w:val="0"/>
      <w:marBottom w:val="0"/>
      <w:divBdr>
        <w:top w:val="none" w:sz="0" w:space="0" w:color="auto"/>
        <w:left w:val="none" w:sz="0" w:space="0" w:color="auto"/>
        <w:bottom w:val="none" w:sz="0" w:space="0" w:color="auto"/>
        <w:right w:val="none" w:sz="0" w:space="0" w:color="auto"/>
      </w:divBdr>
    </w:div>
    <w:div w:id="1649625725">
      <w:bodyDiv w:val="1"/>
      <w:marLeft w:val="0"/>
      <w:marRight w:val="0"/>
      <w:marTop w:val="0"/>
      <w:marBottom w:val="0"/>
      <w:divBdr>
        <w:top w:val="none" w:sz="0" w:space="0" w:color="auto"/>
        <w:left w:val="none" w:sz="0" w:space="0" w:color="auto"/>
        <w:bottom w:val="none" w:sz="0" w:space="0" w:color="auto"/>
        <w:right w:val="none" w:sz="0" w:space="0" w:color="auto"/>
      </w:divBdr>
    </w:div>
    <w:div w:id="1705402511">
      <w:bodyDiv w:val="1"/>
      <w:marLeft w:val="0"/>
      <w:marRight w:val="0"/>
      <w:marTop w:val="0"/>
      <w:marBottom w:val="0"/>
      <w:divBdr>
        <w:top w:val="none" w:sz="0" w:space="0" w:color="auto"/>
        <w:left w:val="none" w:sz="0" w:space="0" w:color="auto"/>
        <w:bottom w:val="none" w:sz="0" w:space="0" w:color="auto"/>
        <w:right w:val="none" w:sz="0" w:space="0" w:color="auto"/>
      </w:divBdr>
    </w:div>
    <w:div w:id="1711151250">
      <w:bodyDiv w:val="1"/>
      <w:marLeft w:val="0"/>
      <w:marRight w:val="0"/>
      <w:marTop w:val="0"/>
      <w:marBottom w:val="0"/>
      <w:divBdr>
        <w:top w:val="none" w:sz="0" w:space="0" w:color="auto"/>
        <w:left w:val="none" w:sz="0" w:space="0" w:color="auto"/>
        <w:bottom w:val="none" w:sz="0" w:space="0" w:color="auto"/>
        <w:right w:val="none" w:sz="0" w:space="0" w:color="auto"/>
      </w:divBdr>
    </w:div>
    <w:div w:id="1715764361">
      <w:bodyDiv w:val="1"/>
      <w:marLeft w:val="0"/>
      <w:marRight w:val="0"/>
      <w:marTop w:val="0"/>
      <w:marBottom w:val="0"/>
      <w:divBdr>
        <w:top w:val="none" w:sz="0" w:space="0" w:color="auto"/>
        <w:left w:val="none" w:sz="0" w:space="0" w:color="auto"/>
        <w:bottom w:val="none" w:sz="0" w:space="0" w:color="auto"/>
        <w:right w:val="none" w:sz="0" w:space="0" w:color="auto"/>
      </w:divBdr>
    </w:div>
    <w:div w:id="1723362979">
      <w:bodyDiv w:val="1"/>
      <w:marLeft w:val="0"/>
      <w:marRight w:val="0"/>
      <w:marTop w:val="0"/>
      <w:marBottom w:val="0"/>
      <w:divBdr>
        <w:top w:val="none" w:sz="0" w:space="0" w:color="auto"/>
        <w:left w:val="none" w:sz="0" w:space="0" w:color="auto"/>
        <w:bottom w:val="none" w:sz="0" w:space="0" w:color="auto"/>
        <w:right w:val="none" w:sz="0" w:space="0" w:color="auto"/>
      </w:divBdr>
    </w:div>
    <w:div w:id="1728407794">
      <w:bodyDiv w:val="1"/>
      <w:marLeft w:val="0"/>
      <w:marRight w:val="0"/>
      <w:marTop w:val="0"/>
      <w:marBottom w:val="0"/>
      <w:divBdr>
        <w:top w:val="none" w:sz="0" w:space="0" w:color="auto"/>
        <w:left w:val="none" w:sz="0" w:space="0" w:color="auto"/>
        <w:bottom w:val="none" w:sz="0" w:space="0" w:color="auto"/>
        <w:right w:val="none" w:sz="0" w:space="0" w:color="auto"/>
      </w:divBdr>
    </w:div>
    <w:div w:id="1748724590">
      <w:bodyDiv w:val="1"/>
      <w:marLeft w:val="0"/>
      <w:marRight w:val="0"/>
      <w:marTop w:val="0"/>
      <w:marBottom w:val="0"/>
      <w:divBdr>
        <w:top w:val="none" w:sz="0" w:space="0" w:color="auto"/>
        <w:left w:val="none" w:sz="0" w:space="0" w:color="auto"/>
        <w:bottom w:val="none" w:sz="0" w:space="0" w:color="auto"/>
        <w:right w:val="none" w:sz="0" w:space="0" w:color="auto"/>
      </w:divBdr>
    </w:div>
    <w:div w:id="1811631712">
      <w:bodyDiv w:val="1"/>
      <w:marLeft w:val="0"/>
      <w:marRight w:val="0"/>
      <w:marTop w:val="0"/>
      <w:marBottom w:val="0"/>
      <w:divBdr>
        <w:top w:val="none" w:sz="0" w:space="0" w:color="auto"/>
        <w:left w:val="none" w:sz="0" w:space="0" w:color="auto"/>
        <w:bottom w:val="none" w:sz="0" w:space="0" w:color="auto"/>
        <w:right w:val="none" w:sz="0" w:space="0" w:color="auto"/>
      </w:divBdr>
    </w:div>
    <w:div w:id="1849057124">
      <w:bodyDiv w:val="1"/>
      <w:marLeft w:val="0"/>
      <w:marRight w:val="0"/>
      <w:marTop w:val="0"/>
      <w:marBottom w:val="0"/>
      <w:divBdr>
        <w:top w:val="none" w:sz="0" w:space="0" w:color="auto"/>
        <w:left w:val="none" w:sz="0" w:space="0" w:color="auto"/>
        <w:bottom w:val="none" w:sz="0" w:space="0" w:color="auto"/>
        <w:right w:val="none" w:sz="0" w:space="0" w:color="auto"/>
      </w:divBdr>
    </w:div>
    <w:div w:id="18540336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57">
          <w:marLeft w:val="0"/>
          <w:marRight w:val="0"/>
          <w:marTop w:val="0"/>
          <w:marBottom w:val="0"/>
          <w:divBdr>
            <w:top w:val="none" w:sz="0" w:space="0" w:color="auto"/>
            <w:left w:val="none" w:sz="0" w:space="0" w:color="auto"/>
            <w:bottom w:val="none" w:sz="0" w:space="0" w:color="auto"/>
            <w:right w:val="none" w:sz="0" w:space="0" w:color="auto"/>
          </w:divBdr>
        </w:div>
        <w:div w:id="1416395918">
          <w:marLeft w:val="0"/>
          <w:marRight w:val="0"/>
          <w:marTop w:val="0"/>
          <w:marBottom w:val="0"/>
          <w:divBdr>
            <w:top w:val="none" w:sz="0" w:space="0" w:color="auto"/>
            <w:left w:val="none" w:sz="0" w:space="0" w:color="auto"/>
            <w:bottom w:val="none" w:sz="0" w:space="0" w:color="auto"/>
            <w:right w:val="none" w:sz="0" w:space="0" w:color="auto"/>
          </w:divBdr>
        </w:div>
        <w:div w:id="2133863435">
          <w:marLeft w:val="0"/>
          <w:marRight w:val="0"/>
          <w:marTop w:val="0"/>
          <w:marBottom w:val="0"/>
          <w:divBdr>
            <w:top w:val="none" w:sz="0" w:space="0" w:color="auto"/>
            <w:left w:val="none" w:sz="0" w:space="0" w:color="auto"/>
            <w:bottom w:val="none" w:sz="0" w:space="0" w:color="auto"/>
            <w:right w:val="none" w:sz="0" w:space="0" w:color="auto"/>
          </w:divBdr>
        </w:div>
      </w:divsChild>
    </w:div>
    <w:div w:id="1855849120">
      <w:bodyDiv w:val="1"/>
      <w:marLeft w:val="0"/>
      <w:marRight w:val="0"/>
      <w:marTop w:val="0"/>
      <w:marBottom w:val="0"/>
      <w:divBdr>
        <w:top w:val="none" w:sz="0" w:space="0" w:color="auto"/>
        <w:left w:val="none" w:sz="0" w:space="0" w:color="auto"/>
        <w:bottom w:val="none" w:sz="0" w:space="0" w:color="auto"/>
        <w:right w:val="none" w:sz="0" w:space="0" w:color="auto"/>
      </w:divBdr>
    </w:div>
    <w:div w:id="1858155499">
      <w:bodyDiv w:val="1"/>
      <w:marLeft w:val="0"/>
      <w:marRight w:val="0"/>
      <w:marTop w:val="0"/>
      <w:marBottom w:val="0"/>
      <w:divBdr>
        <w:top w:val="none" w:sz="0" w:space="0" w:color="auto"/>
        <w:left w:val="none" w:sz="0" w:space="0" w:color="auto"/>
        <w:bottom w:val="none" w:sz="0" w:space="0" w:color="auto"/>
        <w:right w:val="none" w:sz="0" w:space="0" w:color="auto"/>
      </w:divBdr>
    </w:div>
    <w:div w:id="1867795142">
      <w:bodyDiv w:val="1"/>
      <w:marLeft w:val="0"/>
      <w:marRight w:val="0"/>
      <w:marTop w:val="0"/>
      <w:marBottom w:val="0"/>
      <w:divBdr>
        <w:top w:val="none" w:sz="0" w:space="0" w:color="auto"/>
        <w:left w:val="none" w:sz="0" w:space="0" w:color="auto"/>
        <w:bottom w:val="none" w:sz="0" w:space="0" w:color="auto"/>
        <w:right w:val="none" w:sz="0" w:space="0" w:color="auto"/>
      </w:divBdr>
    </w:div>
    <w:div w:id="1900481646">
      <w:bodyDiv w:val="1"/>
      <w:marLeft w:val="0"/>
      <w:marRight w:val="0"/>
      <w:marTop w:val="0"/>
      <w:marBottom w:val="0"/>
      <w:divBdr>
        <w:top w:val="none" w:sz="0" w:space="0" w:color="auto"/>
        <w:left w:val="none" w:sz="0" w:space="0" w:color="auto"/>
        <w:bottom w:val="none" w:sz="0" w:space="0" w:color="auto"/>
        <w:right w:val="none" w:sz="0" w:space="0" w:color="auto"/>
      </w:divBdr>
    </w:div>
    <w:div w:id="1916435915">
      <w:bodyDiv w:val="1"/>
      <w:marLeft w:val="0"/>
      <w:marRight w:val="0"/>
      <w:marTop w:val="0"/>
      <w:marBottom w:val="0"/>
      <w:divBdr>
        <w:top w:val="none" w:sz="0" w:space="0" w:color="auto"/>
        <w:left w:val="none" w:sz="0" w:space="0" w:color="auto"/>
        <w:bottom w:val="none" w:sz="0" w:space="0" w:color="auto"/>
        <w:right w:val="none" w:sz="0" w:space="0" w:color="auto"/>
      </w:divBdr>
    </w:div>
    <w:div w:id="1986741601">
      <w:bodyDiv w:val="1"/>
      <w:marLeft w:val="0"/>
      <w:marRight w:val="0"/>
      <w:marTop w:val="0"/>
      <w:marBottom w:val="0"/>
      <w:divBdr>
        <w:top w:val="none" w:sz="0" w:space="0" w:color="auto"/>
        <w:left w:val="none" w:sz="0" w:space="0" w:color="auto"/>
        <w:bottom w:val="none" w:sz="0" w:space="0" w:color="auto"/>
        <w:right w:val="none" w:sz="0" w:space="0" w:color="auto"/>
      </w:divBdr>
    </w:div>
    <w:div w:id="1991981755">
      <w:bodyDiv w:val="1"/>
      <w:marLeft w:val="0"/>
      <w:marRight w:val="0"/>
      <w:marTop w:val="0"/>
      <w:marBottom w:val="0"/>
      <w:divBdr>
        <w:top w:val="none" w:sz="0" w:space="0" w:color="auto"/>
        <w:left w:val="none" w:sz="0" w:space="0" w:color="auto"/>
        <w:bottom w:val="none" w:sz="0" w:space="0" w:color="auto"/>
        <w:right w:val="none" w:sz="0" w:space="0" w:color="auto"/>
      </w:divBdr>
    </w:div>
    <w:div w:id="2060586261">
      <w:bodyDiv w:val="1"/>
      <w:marLeft w:val="0"/>
      <w:marRight w:val="0"/>
      <w:marTop w:val="0"/>
      <w:marBottom w:val="0"/>
      <w:divBdr>
        <w:top w:val="none" w:sz="0" w:space="0" w:color="auto"/>
        <w:left w:val="none" w:sz="0" w:space="0" w:color="auto"/>
        <w:bottom w:val="none" w:sz="0" w:space="0" w:color="auto"/>
        <w:right w:val="none" w:sz="0" w:space="0" w:color="auto"/>
      </w:divBdr>
    </w:div>
    <w:div w:id="2064525774">
      <w:bodyDiv w:val="1"/>
      <w:marLeft w:val="0"/>
      <w:marRight w:val="0"/>
      <w:marTop w:val="0"/>
      <w:marBottom w:val="0"/>
      <w:divBdr>
        <w:top w:val="none" w:sz="0" w:space="0" w:color="auto"/>
        <w:left w:val="none" w:sz="0" w:space="0" w:color="auto"/>
        <w:bottom w:val="none" w:sz="0" w:space="0" w:color="auto"/>
        <w:right w:val="none" w:sz="0" w:space="0" w:color="auto"/>
      </w:divBdr>
    </w:div>
    <w:div w:id="2118865308">
      <w:bodyDiv w:val="1"/>
      <w:marLeft w:val="0"/>
      <w:marRight w:val="0"/>
      <w:marTop w:val="0"/>
      <w:marBottom w:val="0"/>
      <w:divBdr>
        <w:top w:val="none" w:sz="0" w:space="0" w:color="auto"/>
        <w:left w:val="none" w:sz="0" w:space="0" w:color="auto"/>
        <w:bottom w:val="none" w:sz="0" w:space="0" w:color="auto"/>
        <w:right w:val="none" w:sz="0" w:space="0" w:color="auto"/>
      </w:divBdr>
    </w:div>
    <w:div w:id="2128693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COM:2018:0773:FIN:LV:PDF" TargetMode="External"/><Relationship Id="rId13" Type="http://schemas.openxmlformats.org/officeDocument/2006/relationships/hyperlink" Target="https://ec.europa.eu/latvia/news/eiropa-kust%C4%ABb%C4%81-komisija-papildina-savu-darba-k%C4%81rt%C4%ABbu-attiec%C4%ABb%C4%81-uz-dro%C5%A1u-t%C4%ABru-un_lv" TargetMode="External"/><Relationship Id="rId18" Type="http://schemas.openxmlformats.org/officeDocument/2006/relationships/hyperlink" Target="https://unfccc.int/process-and-meetings/transparency-and-reporting/reporting-and-review-under-the-convention/greenhouse-gas-inventories-annex-i-parties/national-inventory-submissions-2019" TargetMode="External"/><Relationship Id="rId26" Type="http://schemas.openxmlformats.org/officeDocument/2006/relationships/hyperlink" Target="https://ec.europa.eu/clima/policies/strategies/2050_en" TargetMode="External"/><Relationship Id="rId3" Type="http://schemas.openxmlformats.org/officeDocument/2006/relationships/hyperlink" Target="https://svs.gsfc.nasa.gov/4626" TargetMode="External"/><Relationship Id="rId21" Type="http://schemas.openxmlformats.org/officeDocument/2006/relationships/hyperlink" Target="https://cdr.eionet.europa.eu/lv/eu/mmr/art04-13-14_lcds_pams_projections/projections/envws0bea/" TargetMode="External"/><Relationship Id="rId7" Type="http://schemas.openxmlformats.org/officeDocument/2006/relationships/hyperlink" Target="http://www2.meteo.lv/klimatariks/zinojums.pdf" TargetMode="External"/><Relationship Id="rId12" Type="http://schemas.openxmlformats.org/officeDocument/2006/relationships/hyperlink" Target="http://data.consilium.europa.eu/doc/document/ST-6153-2019-INIT/en/pdf" TargetMode="External"/><Relationship Id="rId17" Type="http://schemas.openxmlformats.org/officeDocument/2006/relationships/hyperlink" Target="https://unfccc.int/process-and-meetings/transparency-and-reporting/reporting-and-review-under-the-convention/greenhouse-gas-inventories-annex-i-parties/national-inventory-submissions-2019" TargetMode="External"/><Relationship Id="rId25" Type="http://schemas.openxmlformats.org/officeDocument/2006/relationships/hyperlink" Target="https://data1.csb.gov.lv/pxweb/lv/vide/vide__vide__ikgad/VIG100.px/chart/chartViewLine/" TargetMode="External"/><Relationship Id="rId2" Type="http://schemas.openxmlformats.org/officeDocument/2006/relationships/hyperlink" Target="https://www.mk.gov.lv/sites/default/files/editor/kk-valdibas-deklaracija_red-gala.pdf" TargetMode="External"/><Relationship Id="rId16" Type="http://schemas.openxmlformats.org/officeDocument/2006/relationships/hyperlink" Target="https://ec.europa.eu/latvia/news/t%C4%ABra-ener%C4%A3ija-visiem-eiropas-iedz%C4%ABvot%C4%81jiem-%E2%80%94-eiropas-izaugsmes-potenci%C4%81la-realiz%C4%93%C5%A1ana-0_lv" TargetMode="External"/><Relationship Id="rId20" Type="http://schemas.openxmlformats.org/officeDocument/2006/relationships/hyperlink" Target="https://unfccc.int/process-and-meetings/transparency-and-reporting/reporting-and-review-under-the-convention/greenhouse-gas-inventories-annex-i-parties/national-inventory-submissions-2019" TargetMode="External"/><Relationship Id="rId1" Type="http://schemas.openxmlformats.org/officeDocument/2006/relationships/hyperlink" Target="https://eur-lex.europa.eu/legal-content/LV/TXT/?uri=CELEX:32018R1999" TargetMode="External"/><Relationship Id="rId6" Type="http://schemas.openxmlformats.org/officeDocument/2006/relationships/hyperlink" Target="https://www.ipcc.ch/sr15/" TargetMode="External"/><Relationship Id="rId11" Type="http://schemas.openxmlformats.org/officeDocument/2006/relationships/hyperlink" Target="https://www.consilium.europa.eu/media/39953/20-21-euco-final-conclusions-lv.pdf" TargetMode="External"/><Relationship Id="rId24" Type="http://schemas.openxmlformats.org/officeDocument/2006/relationships/hyperlink" Target="https://cdr.eionet.europa.eu/lv/eu/mmr/art04-13-14_lcds_pams_projections/projections/envxk3aeq/" TargetMode="External"/><Relationship Id="rId5" Type="http://schemas.openxmlformats.org/officeDocument/2006/relationships/hyperlink" Target="https://www.ipcc.ch/sr15/" TargetMode="External"/><Relationship Id="rId15" Type="http://schemas.openxmlformats.org/officeDocument/2006/relationships/hyperlink" Target="https://europa.eu/rapid/press-release_IP-18-1404_lv.htm" TargetMode="External"/><Relationship Id="rId23" Type="http://schemas.openxmlformats.org/officeDocument/2006/relationships/hyperlink" Target="https://cdr.eionet.europa.eu/lv/eu/mmr/art04-13-14_lcds_pams_projections/projections/envxk3aeq/" TargetMode="External"/><Relationship Id="rId10" Type="http://schemas.openxmlformats.org/officeDocument/2006/relationships/hyperlink" Target="http://www.varam.gov.lv/lat/publ/petijumi/petijumi_klimata_parmainu_joma/?doc=23668" TargetMode="External"/><Relationship Id="rId19" Type="http://schemas.openxmlformats.org/officeDocument/2006/relationships/hyperlink" Target="https://unfccc.int/process-and-meetings/transparency-and-reporting/reporting-and-review-under-the-convention/greenhouse-gas-inventories-annex-i-parties/national-inventory-submissions-2019" TargetMode="External"/><Relationship Id="rId4" Type="http://schemas.openxmlformats.org/officeDocument/2006/relationships/hyperlink" Target="http://climate.nasa.gov/vital-signs/carbon-dioxide/" TargetMode="External"/><Relationship Id="rId9" Type="http://schemas.openxmlformats.org/officeDocument/2006/relationships/hyperlink" Target="http://petijumi.mk.gov.lv/sites/default/files/title_file/petijums_varam_2016_2017_risk_un_ievain_novert_un_pielag_pasak_identific_civilas_aizsardz_arkart_palidz_joma.pdf" TargetMode="External"/><Relationship Id="rId14" Type="http://schemas.openxmlformats.org/officeDocument/2006/relationships/hyperlink" Target="https://europa.eu/rapid/press-release_MEMO-15-6204_lv.htm" TargetMode="External"/><Relationship Id="rId22" Type="http://schemas.openxmlformats.org/officeDocument/2006/relationships/hyperlink" Target="https://unfccc.int/documents/19481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lze.Podniece\AppData\Local\Microsoft\Windows\INetCache\Content.Outlook\6E0EC68L\Ilzei_Oma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v-file\serveris\Departamenti%20un%20nodalas\KVPID\Klimata_parm_un_adapt_pol_nod\Ilze%20Podniece\OMA\aprekin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rv-file\serveris\Departamenti%20un%20nodalas\KVPID\Klimata_parm_un_adapt_pol_nod\Ilze%20Podniece\OMA\Copy%20of%20Aprekini_LVOMA_2307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[Ilzei_Omai.xlsx]Sheet1!$D$5</c:f>
              <c:strCache>
                <c:ptCount val="1"/>
                <c:pt idx="0">
                  <c:v>2017</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dLblPos val="outEnd"/>
              <c:showLegendKey val="0"/>
              <c:showVal val="0"/>
              <c:showCatName val="1"/>
              <c:showSerName val="0"/>
              <c:showPercent val="1"/>
              <c:showBubbleSize val="0"/>
              <c:extLst>
                <c:ext xmlns:c15="http://schemas.microsoft.com/office/drawing/2012/chart" uri="{CE6537A1-D6FC-4f65-9D91-7224C49458BB}">
                  <c15:layout/>
                </c:ext>
              </c:extLst>
            </c:dLbl>
            <c:dLbl>
              <c:idx val="1"/>
              <c:layout/>
              <c:dLblPos val="outEnd"/>
              <c:showLegendKey val="0"/>
              <c:showVal val="0"/>
              <c:showCatName val="1"/>
              <c:showSerName val="0"/>
              <c:showPercent val="1"/>
              <c:showBubbleSize val="0"/>
              <c:extLst>
                <c:ext xmlns:c15="http://schemas.microsoft.com/office/drawing/2012/chart" uri="{CE6537A1-D6FC-4f65-9D91-7224C49458BB}">
                  <c15:layout/>
                </c:ext>
              </c:extLst>
            </c:dLbl>
            <c:dLbl>
              <c:idx val="2"/>
              <c:layout/>
              <c:dLblPos val="outEnd"/>
              <c:showLegendKey val="0"/>
              <c:showVal val="0"/>
              <c:showCatName val="1"/>
              <c:showSerName val="0"/>
              <c:showPercent val="1"/>
              <c:showBubbleSize val="0"/>
              <c:extLst>
                <c:ext xmlns:c15="http://schemas.microsoft.com/office/drawing/2012/chart" uri="{CE6537A1-D6FC-4f65-9D91-7224C49458BB}">
                  <c15:layout/>
                </c:ext>
              </c:extLst>
            </c:dLbl>
            <c:dLbl>
              <c:idx val="3"/>
              <c:layout/>
              <c:dLblPos val="outEnd"/>
              <c:showLegendKey val="0"/>
              <c:showVal val="0"/>
              <c:showCatName val="1"/>
              <c:showSerName val="0"/>
              <c:showPercent val="1"/>
              <c:showBubbleSize val="0"/>
              <c:extLst>
                <c:ext xmlns:c15="http://schemas.microsoft.com/office/drawing/2012/chart" uri="{CE6537A1-D6FC-4f65-9D91-7224C49458BB}">
                  <c15:layout/>
                </c:ext>
              </c:extLst>
            </c:dLbl>
            <c:dLbl>
              <c:idx val="4"/>
              <c:layout/>
              <c:dLblPos val="outEnd"/>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s>
          <c:cat>
            <c:strRef>
              <c:f>[Ilzei_Omai.xlsx]Sheet1!$C$6:$C$11</c:f>
              <c:strCache>
                <c:ptCount val="6"/>
                <c:pt idx="0">
                  <c:v>Enerģētka</c:v>
                </c:pt>
                <c:pt idx="1">
                  <c:v>Transports</c:v>
                </c:pt>
                <c:pt idx="2">
                  <c:v>Rūpnieciskie procesi un produktu izmantošana</c:v>
                </c:pt>
                <c:pt idx="3">
                  <c:v>Lauksaimniecība</c:v>
                </c:pt>
                <c:pt idx="4">
                  <c:v>Atkritumu apsaimniekošana</c:v>
                </c:pt>
                <c:pt idx="5">
                  <c:v>Netiešās CO2 emisijas</c:v>
                </c:pt>
              </c:strCache>
            </c:strRef>
          </c:cat>
          <c:val>
            <c:numRef>
              <c:f>[Ilzei_Omai.xlsx]Sheet1!$D$6:$D$11</c:f>
              <c:numCache>
                <c:formatCode>General</c:formatCode>
                <c:ptCount val="6"/>
                <c:pt idx="0">
                  <c:v>3900.0638208426567</c:v>
                </c:pt>
                <c:pt idx="1">
                  <c:v>3325.12401673158</c:v>
                </c:pt>
                <c:pt idx="2">
                  <c:v>733.47627610623329</c:v>
                </c:pt>
                <c:pt idx="3">
                  <c:v>2782.3232072333049</c:v>
                </c:pt>
                <c:pt idx="4">
                  <c:v>565.20872138100003</c:v>
                </c:pt>
                <c:pt idx="5">
                  <c:v>19.128998891386111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33763487897361"/>
          <c:y val="3.4364699880792833E-2"/>
          <c:w val="0.74489556577881189"/>
          <c:h val="0.81426590772347485"/>
        </c:manualLayout>
      </c:layout>
      <c:barChart>
        <c:barDir val="col"/>
        <c:grouping val="stacked"/>
        <c:varyColors val="0"/>
        <c:ser>
          <c:idx val="0"/>
          <c:order val="0"/>
          <c:tx>
            <c:strRef>
              <c:f>ZIZIMM!$A$37</c:f>
              <c:strCache>
                <c:ptCount val="1"/>
                <c:pt idx="0">
                  <c:v>Meža zeme</c:v>
                </c:pt>
              </c:strCache>
            </c:strRef>
          </c:tx>
          <c:spPr>
            <a:solidFill>
              <a:srgbClr val="92D050"/>
            </a:solidFill>
          </c:spPr>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ZIZIMM!$B$37:$N$37</c:f>
              <c:numCache>
                <c:formatCode>General</c:formatCode>
                <c:ptCount val="13"/>
                <c:pt idx="0">
                  <c:v>-17405.285058220034</c:v>
                </c:pt>
                <c:pt idx="1">
                  <c:v>-18619.660072296683</c:v>
                </c:pt>
                <c:pt idx="2">
                  <c:v>-13563.573262883348</c:v>
                </c:pt>
                <c:pt idx="3">
                  <c:v>-8473.872238720005</c:v>
                </c:pt>
                <c:pt idx="4">
                  <c:v>-4523.664674443351</c:v>
                </c:pt>
                <c:pt idx="5">
                  <c:v>-2555.7072881300037</c:v>
                </c:pt>
                <c:pt idx="6" formatCode="@">
                  <c:v>-535.23252848200582</c:v>
                </c:pt>
                <c:pt idx="7" formatCode="@">
                  <c:v>674.23462014598886</c:v>
                </c:pt>
                <c:pt idx="8" formatCode="@">
                  <c:v>1355.5870226923478</c:v>
                </c:pt>
                <c:pt idx="9" formatCode="@">
                  <c:v>946.61693258076525</c:v>
                </c:pt>
                <c:pt idx="10" formatCode="@">
                  <c:v>410.41198173251865</c:v>
                </c:pt>
                <c:pt idx="11" formatCode="@">
                  <c:v>22.17979052516689</c:v>
                </c:pt>
                <c:pt idx="12" formatCode="@">
                  <c:v>-122.14381718648877</c:v>
                </c:pt>
              </c:numCache>
            </c:numRef>
          </c:val>
        </c:ser>
        <c:ser>
          <c:idx val="1"/>
          <c:order val="1"/>
          <c:tx>
            <c:strRef>
              <c:f>ZIZIMM!$A$38</c:f>
              <c:strCache>
                <c:ptCount val="1"/>
                <c:pt idx="0">
                  <c:v>Aramzeme</c:v>
                </c:pt>
              </c:strCache>
            </c:strRef>
          </c:tx>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ZIZIMM!$B$38:$N$38</c:f>
              <c:numCache>
                <c:formatCode>General</c:formatCode>
                <c:ptCount val="13"/>
                <c:pt idx="0">
                  <c:v>3466.7469980000033</c:v>
                </c:pt>
                <c:pt idx="1">
                  <c:v>3237.4129846666697</c:v>
                </c:pt>
                <c:pt idx="2">
                  <c:v>3095.4348040000027</c:v>
                </c:pt>
                <c:pt idx="3">
                  <c:v>2919.9470300000025</c:v>
                </c:pt>
                <c:pt idx="4">
                  <c:v>2891.1783743333372</c:v>
                </c:pt>
                <c:pt idx="5">
                  <c:v>2812.0514546666695</c:v>
                </c:pt>
                <c:pt idx="6" formatCode="@">
                  <c:v>2619.6602832983849</c:v>
                </c:pt>
                <c:pt idx="7" formatCode="@">
                  <c:v>2623.725176092466</c:v>
                </c:pt>
                <c:pt idx="8" formatCode="@">
                  <c:v>2759.0149522270472</c:v>
                </c:pt>
                <c:pt idx="9" formatCode="@">
                  <c:v>2899.1815712345115</c:v>
                </c:pt>
                <c:pt idx="10" formatCode="@">
                  <c:v>3047.7524748932174</c:v>
                </c:pt>
                <c:pt idx="11" formatCode="@">
                  <c:v>3049.9095184902062</c:v>
                </c:pt>
                <c:pt idx="12" formatCode="@">
                  <c:v>3052.0139397187868</c:v>
                </c:pt>
              </c:numCache>
            </c:numRef>
          </c:val>
        </c:ser>
        <c:ser>
          <c:idx val="2"/>
          <c:order val="2"/>
          <c:tx>
            <c:strRef>
              <c:f>ZIZIMM!$A$39</c:f>
              <c:strCache>
                <c:ptCount val="1"/>
                <c:pt idx="0">
                  <c:v>Zālāji</c:v>
                </c:pt>
              </c:strCache>
            </c:strRef>
          </c:tx>
          <c:spPr>
            <a:solidFill>
              <a:srgbClr val="00B050"/>
            </a:solidFill>
          </c:spPr>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ZIZIMM!$B$39:$N$39</c:f>
              <c:numCache>
                <c:formatCode>General</c:formatCode>
                <c:ptCount val="13"/>
                <c:pt idx="0">
                  <c:v>1963.7139206666682</c:v>
                </c:pt>
                <c:pt idx="1">
                  <c:v>1864.8012460000002</c:v>
                </c:pt>
                <c:pt idx="2">
                  <c:v>2179.4380996666687</c:v>
                </c:pt>
                <c:pt idx="3">
                  <c:v>2091.4082493333353</c:v>
                </c:pt>
                <c:pt idx="4">
                  <c:v>1296.2466733333351</c:v>
                </c:pt>
                <c:pt idx="5">
                  <c:v>1061.7924973333331</c:v>
                </c:pt>
                <c:pt idx="6" formatCode="@">
                  <c:v>944.65641926689125</c:v>
                </c:pt>
                <c:pt idx="7" formatCode="@">
                  <c:v>1031.7288148271416</c:v>
                </c:pt>
                <c:pt idx="8" formatCode="@">
                  <c:v>1048.3455089770232</c:v>
                </c:pt>
                <c:pt idx="9" formatCode="@">
                  <c:v>1048.4244687000651</c:v>
                </c:pt>
                <c:pt idx="10" formatCode="@">
                  <c:v>1048.522715934798</c:v>
                </c:pt>
                <c:pt idx="11" formatCode="@">
                  <c:v>1048.4728946245921</c:v>
                </c:pt>
                <c:pt idx="12" formatCode="@">
                  <c:v>1048.429129281898</c:v>
                </c:pt>
              </c:numCache>
            </c:numRef>
          </c:val>
        </c:ser>
        <c:ser>
          <c:idx val="3"/>
          <c:order val="3"/>
          <c:tx>
            <c:strRef>
              <c:f>ZIZIMM!$A$40</c:f>
              <c:strCache>
                <c:ptCount val="1"/>
                <c:pt idx="0">
                  <c:v>Mitrzemes</c:v>
                </c:pt>
              </c:strCache>
            </c:strRef>
          </c:tx>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ZIZIMM!$B$40:$N$40</c:f>
              <c:numCache>
                <c:formatCode>General</c:formatCode>
                <c:ptCount val="13"/>
                <c:pt idx="0">
                  <c:v>1267.8509688125698</c:v>
                </c:pt>
                <c:pt idx="1">
                  <c:v>573.5389255193345</c:v>
                </c:pt>
                <c:pt idx="2">
                  <c:v>739.06630918255053</c:v>
                </c:pt>
                <c:pt idx="3">
                  <c:v>1300.9210097156149</c:v>
                </c:pt>
                <c:pt idx="4">
                  <c:v>1122.5431798694244</c:v>
                </c:pt>
                <c:pt idx="5">
                  <c:v>1683.6607127182028</c:v>
                </c:pt>
                <c:pt idx="6" formatCode="@">
                  <c:v>1384.5492425684931</c:v>
                </c:pt>
                <c:pt idx="7" formatCode="@">
                  <c:v>1402.8560279913042</c:v>
                </c:pt>
                <c:pt idx="8" formatCode="@">
                  <c:v>1418.3590780085342</c:v>
                </c:pt>
                <c:pt idx="9" formatCode="@">
                  <c:v>1421.8243827917042</c:v>
                </c:pt>
                <c:pt idx="10" formatCode="@">
                  <c:v>1422.8939771122341</c:v>
                </c:pt>
                <c:pt idx="11" formatCode="@">
                  <c:v>1423.3126995951754</c:v>
                </c:pt>
                <c:pt idx="12" formatCode="@">
                  <c:v>1423.2328785559398</c:v>
                </c:pt>
              </c:numCache>
            </c:numRef>
          </c:val>
        </c:ser>
        <c:ser>
          <c:idx val="4"/>
          <c:order val="4"/>
          <c:tx>
            <c:strRef>
              <c:f>ZIZIMM!$A$41</c:f>
              <c:strCache>
                <c:ptCount val="1"/>
                <c:pt idx="0">
                  <c:v>Apdzīvotas vietas</c:v>
                </c:pt>
              </c:strCache>
            </c:strRef>
          </c:tx>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ZIZIMM!$B$41:$N$41</c:f>
              <c:numCache>
                <c:formatCode>General</c:formatCode>
                <c:ptCount val="13"/>
                <c:pt idx="0">
                  <c:v>-32.506155000000064</c:v>
                </c:pt>
                <c:pt idx="1">
                  <c:v>-33.220876333333372</c:v>
                </c:pt>
                <c:pt idx="2">
                  <c:v>58.434411933333351</c:v>
                </c:pt>
                <c:pt idx="3">
                  <c:v>121.9756033466667</c:v>
                </c:pt>
                <c:pt idx="4">
                  <c:v>72.36164327333347</c:v>
                </c:pt>
                <c:pt idx="5">
                  <c:v>-585.05724104666751</c:v>
                </c:pt>
                <c:pt idx="6" formatCode="@">
                  <c:v>-571.52594878392631</c:v>
                </c:pt>
                <c:pt idx="7" formatCode="@">
                  <c:v>-564.07052075725801</c:v>
                </c:pt>
                <c:pt idx="8" formatCode="@">
                  <c:v>-550.53652680305879</c:v>
                </c:pt>
                <c:pt idx="9" formatCode="@">
                  <c:v>-638.00561862749908</c:v>
                </c:pt>
                <c:pt idx="10" formatCode="@">
                  <c:v>-655.63284434463094</c:v>
                </c:pt>
                <c:pt idx="11" formatCode="@">
                  <c:v>-670.14784039650897</c:v>
                </c:pt>
                <c:pt idx="12" formatCode="@">
                  <c:v>-691.00724187498997</c:v>
                </c:pt>
              </c:numCache>
            </c:numRef>
          </c:val>
        </c:ser>
        <c:ser>
          <c:idx val="5"/>
          <c:order val="5"/>
          <c:tx>
            <c:strRef>
              <c:f>ZIZIMM!$A$42</c:f>
              <c:strCache>
                <c:ptCount val="1"/>
                <c:pt idx="0">
                  <c:v>Koksnes produkcija</c:v>
                </c:pt>
              </c:strCache>
            </c:strRef>
          </c:tx>
          <c:invertIfNegative val="0"/>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ZIZIMM!$B$42:$N$42</c:f>
              <c:numCache>
                <c:formatCode>General</c:formatCode>
                <c:ptCount val="13"/>
                <c:pt idx="0">
                  <c:v>-166.13061199999999</c:v>
                </c:pt>
                <c:pt idx="1">
                  <c:v>-474.03705199999973</c:v>
                </c:pt>
                <c:pt idx="2">
                  <c:v>-2356.2778229999999</c:v>
                </c:pt>
                <c:pt idx="3">
                  <c:v>-2179.6862139999998</c:v>
                </c:pt>
                <c:pt idx="4">
                  <c:v>-1832.3752610000001</c:v>
                </c:pt>
                <c:pt idx="5">
                  <c:v>-1842.023027</c:v>
                </c:pt>
                <c:pt idx="6" formatCode="@">
                  <c:v>-1748.19297276262</c:v>
                </c:pt>
                <c:pt idx="7" formatCode="@">
                  <c:v>-1561.3608745668598</c:v>
                </c:pt>
                <c:pt idx="8" formatCode="@">
                  <c:v>-1394.5699780580298</c:v>
                </c:pt>
                <c:pt idx="9" formatCode="@">
                  <c:v>-1252.6736411284999</c:v>
                </c:pt>
                <c:pt idx="10" formatCode="@">
                  <c:v>-1121.2910577718501</c:v>
                </c:pt>
                <c:pt idx="11" formatCode="@">
                  <c:v>-1004.0677248201254</c:v>
                </c:pt>
                <c:pt idx="12" formatCode="@">
                  <c:v>-899.39033632216751</c:v>
                </c:pt>
              </c:numCache>
            </c:numRef>
          </c:val>
        </c:ser>
        <c:dLbls>
          <c:showLegendKey val="0"/>
          <c:showVal val="0"/>
          <c:showCatName val="0"/>
          <c:showSerName val="0"/>
          <c:showPercent val="0"/>
          <c:showBubbleSize val="0"/>
        </c:dLbls>
        <c:gapWidth val="150"/>
        <c:overlap val="100"/>
        <c:axId val="577768352"/>
        <c:axId val="577769136"/>
      </c:barChart>
      <c:lineChart>
        <c:grouping val="standard"/>
        <c:varyColors val="0"/>
        <c:ser>
          <c:idx val="6"/>
          <c:order val="6"/>
          <c:tx>
            <c:strRef>
              <c:f>ZIZIMM!$A$43</c:f>
              <c:strCache>
                <c:ptCount val="1"/>
                <c:pt idx="0">
                  <c:v>Kopā ZIZIMM</c:v>
                </c:pt>
              </c:strCache>
            </c:strRef>
          </c:tx>
          <c:marker>
            <c:symbol val="none"/>
          </c:marker>
          <c:cat>
            <c:strRef>
              <c:f>ZIZIMM!$B$36:$N$36</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ZIZIMM!$B$43:$N$43</c:f>
              <c:numCache>
                <c:formatCode>General</c:formatCode>
                <c:ptCount val="13"/>
                <c:pt idx="0">
                  <c:v>-10905.609937740765</c:v>
                </c:pt>
                <c:pt idx="1">
                  <c:v>-13451.164844444011</c:v>
                </c:pt>
                <c:pt idx="2">
                  <c:v>-9847.4774611007906</c:v>
                </c:pt>
                <c:pt idx="3">
                  <c:v>-4219.3065603243904</c:v>
                </c:pt>
                <c:pt idx="4">
                  <c:v>-973.71006463391291</c:v>
                </c:pt>
                <c:pt idx="5">
                  <c:v>574.71710854153457</c:v>
                </c:pt>
                <c:pt idx="6" formatCode="@">
                  <c:v>2093.9144951052158</c:v>
                </c:pt>
                <c:pt idx="7" formatCode="@">
                  <c:v>3607.1132437327806</c:v>
                </c:pt>
                <c:pt idx="8" formatCode="@">
                  <c:v>4636.2000570438595</c:v>
                </c:pt>
                <c:pt idx="9" formatCode="@">
                  <c:v>4425.3680955510454</c:v>
                </c:pt>
                <c:pt idx="10" formatCode="@">
                  <c:v>4152.6572475562916</c:v>
                </c:pt>
                <c:pt idx="11" formatCode="@">
                  <c:v>3869.6593380185072</c:v>
                </c:pt>
                <c:pt idx="12" formatCode="@">
                  <c:v>3811.13455217298</c:v>
                </c:pt>
              </c:numCache>
            </c:numRef>
          </c:val>
          <c:smooth val="0"/>
        </c:ser>
        <c:dLbls>
          <c:showLegendKey val="0"/>
          <c:showVal val="0"/>
          <c:showCatName val="0"/>
          <c:showSerName val="0"/>
          <c:showPercent val="0"/>
          <c:showBubbleSize val="0"/>
        </c:dLbls>
        <c:marker val="1"/>
        <c:smooth val="0"/>
        <c:axId val="577768352"/>
        <c:axId val="577769136"/>
      </c:lineChart>
      <c:catAx>
        <c:axId val="577768352"/>
        <c:scaling>
          <c:orientation val="minMax"/>
        </c:scaling>
        <c:delete val="0"/>
        <c:axPos val="b"/>
        <c:numFmt formatCode="General" sourceLinked="0"/>
        <c:majorTickMark val="out"/>
        <c:minorTickMark val="none"/>
        <c:tickLblPos val="nextTo"/>
        <c:crossAx val="577769136"/>
        <c:crosses val="autoZero"/>
        <c:auto val="1"/>
        <c:lblAlgn val="ctr"/>
        <c:lblOffset val="100"/>
        <c:noMultiLvlLbl val="0"/>
      </c:catAx>
      <c:valAx>
        <c:axId val="577769136"/>
        <c:scaling>
          <c:orientation val="minMax"/>
        </c:scaling>
        <c:delete val="0"/>
        <c:axPos val="l"/>
        <c:majorGridlines/>
        <c:numFmt formatCode="General" sourceLinked="1"/>
        <c:majorTickMark val="out"/>
        <c:minorTickMark val="none"/>
        <c:tickLblPos val="nextTo"/>
        <c:crossAx val="577768352"/>
        <c:crosses val="autoZero"/>
        <c:crossBetween val="between"/>
      </c:valAx>
    </c:plotArea>
    <c:legend>
      <c:legendPos val="r"/>
      <c:layout>
        <c:manualLayout>
          <c:xMode val="edge"/>
          <c:yMode val="edge"/>
          <c:x val="0"/>
          <c:y val="0.85166720926115969"/>
          <c:w val="0.9255868042294505"/>
          <c:h val="0.14564738124917226"/>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890019989734"/>
          <c:y val="2.8846084979781379E-2"/>
          <c:w val="0.83407931496485699"/>
          <c:h val="0.72483667374090555"/>
        </c:manualLayout>
      </c:layout>
      <c:barChart>
        <c:barDir val="col"/>
        <c:grouping val="stacked"/>
        <c:varyColors val="0"/>
        <c:ser>
          <c:idx val="0"/>
          <c:order val="0"/>
          <c:tx>
            <c:strRef>
              <c:f>klimatneitralitate!$A$2</c:f>
              <c:strCache>
                <c:ptCount val="1"/>
                <c:pt idx="0">
                  <c:v>Enerģētika</c:v>
                </c:pt>
              </c:strCache>
            </c:strRef>
          </c:tx>
          <c:spPr>
            <a:solidFill>
              <a:schemeClr val="accent1"/>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klimatneitralitate!$B$2:$N$2</c:f>
              <c:numCache>
                <c:formatCode>0.00</c:formatCode>
                <c:ptCount val="13"/>
                <c:pt idx="0">
                  <c:v>16284.961630737766</c:v>
                </c:pt>
                <c:pt idx="1">
                  <c:v>7386.7779576403309</c:v>
                </c:pt>
                <c:pt idx="2">
                  <c:v>5122.2082787027684</c:v>
                </c:pt>
                <c:pt idx="3">
                  <c:v>4964.7366231337237</c:v>
                </c:pt>
                <c:pt idx="4">
                  <c:v>5189.9617197486486</c:v>
                </c:pt>
                <c:pt idx="5">
                  <c:v>4035.1264985056537</c:v>
                </c:pt>
                <c:pt idx="6" formatCode="@">
                  <c:v>4504.8900892000001</c:v>
                </c:pt>
                <c:pt idx="7" formatCode="@">
                  <c:v>3982.4904851999972</c:v>
                </c:pt>
                <c:pt idx="8" formatCode="@">
                  <c:v>3452.4086252999987</c:v>
                </c:pt>
                <c:pt idx="9" formatCode="@">
                  <c:v>2948.8404513000005</c:v>
                </c:pt>
                <c:pt idx="10" formatCode="@">
                  <c:v>3024.0899398999991</c:v>
                </c:pt>
                <c:pt idx="11" formatCode="@">
                  <c:v>2762.6518066000012</c:v>
                </c:pt>
                <c:pt idx="12" formatCode="@">
                  <c:v>2646.0686649999966</c:v>
                </c:pt>
              </c:numCache>
            </c:numRef>
          </c:val>
        </c:ser>
        <c:ser>
          <c:idx val="1"/>
          <c:order val="1"/>
          <c:tx>
            <c:strRef>
              <c:f>klimatneitralitate!$A$3</c:f>
              <c:strCache>
                <c:ptCount val="1"/>
                <c:pt idx="0">
                  <c:v>Transports</c:v>
                </c:pt>
              </c:strCache>
            </c:strRef>
          </c:tx>
          <c:spPr>
            <a:solidFill>
              <a:schemeClr val="accent2"/>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klimatneitralitate!$B$3:$N$3</c:f>
              <c:numCache>
                <c:formatCode>0.00</c:formatCode>
                <c:ptCount val="13"/>
                <c:pt idx="0">
                  <c:v>3044.303577181232</c:v>
                </c:pt>
                <c:pt idx="1">
                  <c:v>2108.4402866512414</c:v>
                </c:pt>
                <c:pt idx="2">
                  <c:v>2215.8103994176486</c:v>
                </c:pt>
                <c:pt idx="3">
                  <c:v>3110.9029166217852</c:v>
                </c:pt>
                <c:pt idx="4">
                  <c:v>3274.2024266757567</c:v>
                </c:pt>
                <c:pt idx="5">
                  <c:v>3150.9609373095386</c:v>
                </c:pt>
                <c:pt idx="6">
                  <c:v>3075.5450046999999</c:v>
                </c:pt>
                <c:pt idx="7">
                  <c:v>3001.6547806000003</c:v>
                </c:pt>
                <c:pt idx="8">
                  <c:v>2771.3134003000023</c:v>
                </c:pt>
                <c:pt idx="9">
                  <c:v>2142.4472265000022</c:v>
                </c:pt>
                <c:pt idx="10">
                  <c:v>1847.6165600000011</c:v>
                </c:pt>
                <c:pt idx="11">
                  <c:v>1776.4992291999999</c:v>
                </c:pt>
                <c:pt idx="12">
                  <c:v>1479.2759582000003</c:v>
                </c:pt>
              </c:numCache>
            </c:numRef>
          </c:val>
        </c:ser>
        <c:ser>
          <c:idx val="2"/>
          <c:order val="2"/>
          <c:tx>
            <c:strRef>
              <c:f>klimatneitralitate!$A$4</c:f>
              <c:strCache>
                <c:ptCount val="1"/>
                <c:pt idx="0">
                  <c:v>Rūpnieciskie procesi un produktu izmantošana</c:v>
                </c:pt>
              </c:strCache>
            </c:strRef>
          </c:tx>
          <c:spPr>
            <a:solidFill>
              <a:schemeClr val="accent3"/>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klimatneitralitate!$B$4:$N$4</c:f>
              <c:numCache>
                <c:formatCode>0.00</c:formatCode>
                <c:ptCount val="13"/>
                <c:pt idx="0">
                  <c:v>654.3069132976317</c:v>
                </c:pt>
                <c:pt idx="1">
                  <c:v>210.91786086563417</c:v>
                </c:pt>
                <c:pt idx="2">
                  <c:v>234.54933146232139</c:v>
                </c:pt>
                <c:pt idx="3">
                  <c:v>319.53842856045895</c:v>
                </c:pt>
                <c:pt idx="4">
                  <c:v>700.30596159213735</c:v>
                </c:pt>
                <c:pt idx="5">
                  <c:v>755.1551784014473</c:v>
                </c:pt>
                <c:pt idx="6" formatCode="@">
                  <c:v>756.1074783912278</c:v>
                </c:pt>
                <c:pt idx="7" formatCode="@">
                  <c:v>753.80708719334666</c:v>
                </c:pt>
                <c:pt idx="8" formatCode="@">
                  <c:v>756.29017461759747</c:v>
                </c:pt>
                <c:pt idx="9" formatCode="@">
                  <c:v>757.10309540103754</c:v>
                </c:pt>
                <c:pt idx="10" formatCode="@">
                  <c:v>775.4851159982976</c:v>
                </c:pt>
                <c:pt idx="11" formatCode="@">
                  <c:v>788.59303513951704</c:v>
                </c:pt>
                <c:pt idx="12" formatCode="@">
                  <c:v>798.79996117116923</c:v>
                </c:pt>
              </c:numCache>
            </c:numRef>
          </c:val>
        </c:ser>
        <c:ser>
          <c:idx val="3"/>
          <c:order val="3"/>
          <c:tx>
            <c:strRef>
              <c:f>klimatneitralitate!$A$5</c:f>
              <c:strCache>
                <c:ptCount val="1"/>
                <c:pt idx="0">
                  <c:v>Lauksaimniecība</c:v>
                </c:pt>
              </c:strCache>
            </c:strRef>
          </c:tx>
          <c:spPr>
            <a:solidFill>
              <a:schemeClr val="accent4"/>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klimatneitralitate!$B$5:$N$5</c:f>
              <c:numCache>
                <c:formatCode>0.00</c:formatCode>
                <c:ptCount val="13"/>
                <c:pt idx="0">
                  <c:v>5616.5695899523944</c:v>
                </c:pt>
                <c:pt idx="1">
                  <c:v>2595.9704776535013</c:v>
                </c:pt>
                <c:pt idx="2">
                  <c:v>2248.8463966886361</c:v>
                </c:pt>
                <c:pt idx="3">
                  <c:v>2384.4744556356081</c:v>
                </c:pt>
                <c:pt idx="4">
                  <c:v>2480.2566799413817</c:v>
                </c:pt>
                <c:pt idx="5">
                  <c:v>2769.9306030107164</c:v>
                </c:pt>
                <c:pt idx="6">
                  <c:v>2879.4611818788412</c:v>
                </c:pt>
                <c:pt idx="7">
                  <c:v>3068.4410370910473</c:v>
                </c:pt>
                <c:pt idx="8">
                  <c:v>3102.0740119979996</c:v>
                </c:pt>
                <c:pt idx="9">
                  <c:v>3115.5067230147088</c:v>
                </c:pt>
                <c:pt idx="10">
                  <c:v>3128.1585133791477</c:v>
                </c:pt>
                <c:pt idx="11">
                  <c:v>3158.9025909894922</c:v>
                </c:pt>
                <c:pt idx="12" formatCode="General">
                  <c:v>3189.6466685998316</c:v>
                </c:pt>
              </c:numCache>
            </c:numRef>
          </c:val>
        </c:ser>
        <c:ser>
          <c:idx val="4"/>
          <c:order val="4"/>
          <c:tx>
            <c:strRef>
              <c:f>klimatneitralitate!$A$6</c:f>
              <c:strCache>
                <c:ptCount val="1"/>
                <c:pt idx="0">
                  <c:v>Atkritumu apsaimniekošana</c:v>
                </c:pt>
              </c:strCache>
            </c:strRef>
          </c:tx>
          <c:spPr>
            <a:solidFill>
              <a:schemeClr val="accent5"/>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klimatneitralitate!$B$6:$N$6</c:f>
              <c:numCache>
                <c:formatCode>0.00</c:formatCode>
                <c:ptCount val="13"/>
                <c:pt idx="0">
                  <c:v>699.61916719841656</c:v>
                </c:pt>
                <c:pt idx="1">
                  <c:v>623.34269710925867</c:v>
                </c:pt>
                <c:pt idx="2">
                  <c:v>691.0440071424274</c:v>
                </c:pt>
                <c:pt idx="3">
                  <c:v>629.49741039145749</c:v>
                </c:pt>
                <c:pt idx="4">
                  <c:v>650.53823744188571</c:v>
                </c:pt>
                <c:pt idx="5">
                  <c:v>561.77406821040051</c:v>
                </c:pt>
                <c:pt idx="6">
                  <c:v>536.15629613759347</c:v>
                </c:pt>
                <c:pt idx="7">
                  <c:v>412.34986371398657</c:v>
                </c:pt>
                <c:pt idx="8">
                  <c:v>326.2016439392952</c:v>
                </c:pt>
                <c:pt idx="9">
                  <c:v>275.82676750108629</c:v>
                </c:pt>
                <c:pt idx="10">
                  <c:v>244.9528531238139</c:v>
                </c:pt>
                <c:pt idx="11">
                  <c:v>240.00982794798512</c:v>
                </c:pt>
                <c:pt idx="12" formatCode="General">
                  <c:v>235.61142949102145</c:v>
                </c:pt>
              </c:numCache>
            </c:numRef>
          </c:val>
        </c:ser>
        <c:ser>
          <c:idx val="5"/>
          <c:order val="5"/>
          <c:tx>
            <c:strRef>
              <c:f>klimatneitralitate!$A$7</c:f>
              <c:strCache>
                <c:ptCount val="1"/>
                <c:pt idx="0">
                  <c:v>ZIZIMM sektors</c:v>
                </c:pt>
              </c:strCache>
            </c:strRef>
          </c:tx>
          <c:spPr>
            <a:solidFill>
              <a:schemeClr val="accent6"/>
            </a:solidFill>
            <a:ln>
              <a:noFill/>
            </a:ln>
            <a:effectLst/>
          </c:spPr>
          <c:invertIfNegative val="0"/>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klimatneitralitate!$B$7:$N$7</c:f>
              <c:numCache>
                <c:formatCode>0.00</c:formatCode>
                <c:ptCount val="13"/>
                <c:pt idx="0">
                  <c:v>-9828.9161649907619</c:v>
                </c:pt>
                <c:pt idx="1">
                  <c:v>-12375.326783443999</c:v>
                </c:pt>
                <c:pt idx="2">
                  <c:v>-8751.407229850789</c:v>
                </c:pt>
                <c:pt idx="3">
                  <c:v>-3184.9646408243857</c:v>
                </c:pt>
                <c:pt idx="4">
                  <c:v>77.625837866086627</c:v>
                </c:pt>
                <c:pt idx="5">
                  <c:v>1696.8349955415345</c:v>
                </c:pt>
                <c:pt idx="6" formatCode="@">
                  <c:v>2093.9144951052158</c:v>
                </c:pt>
                <c:pt idx="7" formatCode="@">
                  <c:v>3607.1132437327806</c:v>
                </c:pt>
                <c:pt idx="8" formatCode="@">
                  <c:v>4636.2000570438595</c:v>
                </c:pt>
                <c:pt idx="9" formatCode="@">
                  <c:v>4425.3680955510454</c:v>
                </c:pt>
                <c:pt idx="10" formatCode="General">
                  <c:v>4152.6572475562934</c:v>
                </c:pt>
                <c:pt idx="11" formatCode="General">
                  <c:v>3869.6593380185072</c:v>
                </c:pt>
                <c:pt idx="12" formatCode="General">
                  <c:v>3811.13455217298</c:v>
                </c:pt>
              </c:numCache>
            </c:numRef>
          </c:val>
        </c:ser>
        <c:dLbls>
          <c:showLegendKey val="0"/>
          <c:showVal val="0"/>
          <c:showCatName val="0"/>
          <c:showSerName val="0"/>
          <c:showPercent val="0"/>
          <c:showBubbleSize val="0"/>
        </c:dLbls>
        <c:gapWidth val="219"/>
        <c:overlap val="100"/>
        <c:axId val="578702848"/>
        <c:axId val="578705200"/>
      </c:barChart>
      <c:lineChart>
        <c:grouping val="standard"/>
        <c:varyColors val="0"/>
        <c:ser>
          <c:idx val="6"/>
          <c:order val="6"/>
          <c:tx>
            <c:strRef>
              <c:f>klimatneitralitate!$A$8</c:f>
              <c:strCache>
                <c:ptCount val="1"/>
                <c:pt idx="0">
                  <c:v>Neto emisijas</c:v>
                </c:pt>
              </c:strCache>
            </c:strRef>
          </c:tx>
          <c:spPr>
            <a:ln w="28575" cap="rnd">
              <a:solidFill>
                <a:schemeClr val="accent1">
                  <a:lumMod val="40000"/>
                  <a:lumOff val="60000"/>
                </a:schemeClr>
              </a:solidFill>
              <a:round/>
            </a:ln>
            <a:effectLst/>
          </c:spPr>
          <c:marker>
            <c:symbol val="none"/>
          </c:marker>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klimatneitralitate!$B$8:$N$8</c:f>
              <c:numCache>
                <c:formatCode>General</c:formatCode>
                <c:ptCount val="13"/>
                <c:pt idx="0">
                  <c:v>16470.844713376657</c:v>
                </c:pt>
                <c:pt idx="1">
                  <c:v>550.12249647596548</c:v>
                </c:pt>
                <c:pt idx="2">
                  <c:v>1761.0511835630114</c:v>
                </c:pt>
                <c:pt idx="3">
                  <c:v>8224.1851935186314</c:v>
                </c:pt>
                <c:pt idx="4">
                  <c:v>12372.890863265889</c:v>
                </c:pt>
                <c:pt idx="5">
                  <c:v>12969.782280979292</c:v>
                </c:pt>
                <c:pt idx="6">
                  <c:v>13846.07454541289</c:v>
                </c:pt>
                <c:pt idx="7">
                  <c:v>14825.856497531155</c:v>
                </c:pt>
                <c:pt idx="8">
                  <c:v>15044.487913198745</c:v>
                </c:pt>
                <c:pt idx="9">
                  <c:v>13665.09235926787</c:v>
                </c:pt>
                <c:pt idx="10">
                  <c:v>13172.960229957534</c:v>
                </c:pt>
                <c:pt idx="11">
                  <c:v>12596.315827895491</c:v>
                </c:pt>
                <c:pt idx="12">
                  <c:v>12160.537234635003</c:v>
                </c:pt>
              </c:numCache>
            </c:numRef>
          </c:val>
          <c:smooth val="0"/>
        </c:ser>
        <c:ser>
          <c:idx val="7"/>
          <c:order val="7"/>
          <c:tx>
            <c:strRef>
              <c:f>klimatneitralitate!$A$9</c:f>
              <c:strCache>
                <c:ptCount val="1"/>
                <c:pt idx="0">
                  <c:v>Iespējamā klimatneitralitātes sasniegšanas trajektorija (neto emisijas)</c:v>
                </c:pt>
              </c:strCache>
            </c:strRef>
          </c:tx>
          <c:spPr>
            <a:ln w="28575" cap="rnd">
              <a:solidFill>
                <a:srgbClr val="FF0000"/>
              </a:solidFill>
              <a:prstDash val="sysDash"/>
              <a:round/>
            </a:ln>
            <a:effectLst/>
          </c:spPr>
          <c:marker>
            <c:symbol val="none"/>
          </c:marker>
          <c:cat>
            <c:strRef>
              <c:f>klimatneitralitate!$B$1:$N$1</c:f>
              <c:strCache>
                <c:ptCount val="13"/>
                <c:pt idx="0">
                  <c:v>1990</c:v>
                </c:pt>
                <c:pt idx="1">
                  <c:v>1995</c:v>
                </c:pt>
                <c:pt idx="2">
                  <c:v>2000</c:v>
                </c:pt>
                <c:pt idx="3">
                  <c:v>2005</c:v>
                </c:pt>
                <c:pt idx="4">
                  <c:v>2010</c:v>
                </c:pt>
                <c:pt idx="5">
                  <c:v>2015</c:v>
                </c:pt>
                <c:pt idx="6">
                  <c:v>2020</c:v>
                </c:pt>
                <c:pt idx="7">
                  <c:v>2025</c:v>
                </c:pt>
                <c:pt idx="8">
                  <c:v>2030</c:v>
                </c:pt>
                <c:pt idx="9">
                  <c:v>2035</c:v>
                </c:pt>
                <c:pt idx="10">
                  <c:v>2040</c:v>
                </c:pt>
                <c:pt idx="11">
                  <c:v>2045</c:v>
                </c:pt>
                <c:pt idx="12">
                  <c:v>2050</c:v>
                </c:pt>
              </c:strCache>
            </c:strRef>
          </c:cat>
          <c:val>
            <c:numRef>
              <c:f>klimatneitralitate!$B$9:$N$9</c:f>
              <c:numCache>
                <c:formatCode>General</c:formatCode>
                <c:ptCount val="13"/>
                <c:pt idx="6">
                  <c:v>13846.07454541289</c:v>
                </c:pt>
                <c:pt idx="7" formatCode="0.00">
                  <c:v>12028.999133853195</c:v>
                </c:pt>
                <c:pt idx="8" formatCode="0.00">
                  <c:v>10211.923722293534</c:v>
                </c:pt>
                <c:pt idx="9" formatCode="0.00">
                  <c:v>7082.4632267519755</c:v>
                </c:pt>
                <c:pt idx="10" formatCode="0.00">
                  <c:v>3953.0027312104012</c:v>
                </c:pt>
                <c:pt idx="11" formatCode="0.00">
                  <c:v>1976.5013656052001</c:v>
                </c:pt>
                <c:pt idx="12">
                  <c:v>0</c:v>
                </c:pt>
              </c:numCache>
            </c:numRef>
          </c:val>
          <c:smooth val="0"/>
        </c:ser>
        <c:dLbls>
          <c:showLegendKey val="0"/>
          <c:showVal val="0"/>
          <c:showCatName val="0"/>
          <c:showSerName val="0"/>
          <c:showPercent val="0"/>
          <c:showBubbleSize val="0"/>
        </c:dLbls>
        <c:marker val="1"/>
        <c:smooth val="0"/>
        <c:axId val="578702848"/>
        <c:axId val="578705200"/>
      </c:lineChart>
      <c:catAx>
        <c:axId val="57870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705200"/>
        <c:crossesAt val="0"/>
        <c:auto val="1"/>
        <c:lblAlgn val="ctr"/>
        <c:lblOffset val="100"/>
        <c:noMultiLvlLbl val="0"/>
      </c:catAx>
      <c:valAx>
        <c:axId val="57870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8702848"/>
        <c:crosses val="autoZero"/>
        <c:crossBetween val="between"/>
      </c:valAx>
      <c:spPr>
        <a:noFill/>
        <a:ln>
          <a:noFill/>
        </a:ln>
        <a:effectLst/>
      </c:spPr>
    </c:plotArea>
    <c:legend>
      <c:legendPos val="b"/>
      <c:layout>
        <c:manualLayout>
          <c:xMode val="edge"/>
          <c:yMode val="edge"/>
          <c:x val="0.24404022144390478"/>
          <c:y val="0.63008025852326088"/>
          <c:w val="0.74692125183595071"/>
          <c:h val="0.351728000527130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0.01435</cdr:x>
      <cdr:y>0.17623</cdr:y>
    </cdr:from>
    <cdr:to>
      <cdr:x>0.08107</cdr:x>
      <cdr:y>0.39521</cdr:y>
    </cdr:to>
    <cdr:sp macro="" textlink="">
      <cdr:nvSpPr>
        <cdr:cNvPr id="2" name="TextBox 1"/>
        <cdr:cNvSpPr txBox="1"/>
      </cdr:nvSpPr>
      <cdr:spPr>
        <a:xfrm xmlns:a="http://schemas.openxmlformats.org/drawingml/2006/main" rot="16200000">
          <a:off x="-152483" y="897954"/>
          <a:ext cx="828460" cy="366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kt CO2ekv</a:t>
          </a:r>
        </a:p>
      </cdr:txBody>
    </cdr:sp>
  </cdr:relSizeAnchor>
</c:userShapes>
</file>

<file path=word/drawings/drawing2.xml><?xml version="1.0" encoding="utf-8"?>
<c:userShapes xmlns:c="http://schemas.openxmlformats.org/drawingml/2006/chart">
  <cdr:relSizeAnchor xmlns:cdr="http://schemas.openxmlformats.org/drawingml/2006/chartDrawing">
    <cdr:from>
      <cdr:x>0.00134</cdr:x>
      <cdr:y>0.17404</cdr:y>
    </cdr:from>
    <cdr:to>
      <cdr:x>0.04284</cdr:x>
      <cdr:y>0.42584</cdr:y>
    </cdr:to>
    <cdr:sp macro="" textlink="">
      <cdr:nvSpPr>
        <cdr:cNvPr id="4" name="TextBox 3"/>
        <cdr:cNvSpPr txBox="1"/>
      </cdr:nvSpPr>
      <cdr:spPr>
        <a:xfrm xmlns:a="http://schemas.openxmlformats.org/drawingml/2006/main" rot="16200000">
          <a:off x="-323751" y="959856"/>
          <a:ext cx="908860" cy="245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t>ktCO</a:t>
          </a:r>
          <a:r>
            <a:rPr lang="lv-LV" sz="700"/>
            <a:t>2</a:t>
          </a:r>
          <a:r>
            <a:rPr lang="lv-LV" sz="1000"/>
            <a:t>ekv</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38A3-64DC-4746-9D31-26FC6631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50</Pages>
  <Words>84354</Words>
  <Characters>48083</Characters>
  <Application>Microsoft Office Word</Application>
  <DocSecurity>0</DocSecurity>
  <Lines>400</Lines>
  <Paragraphs>264</Paragraphs>
  <ScaleCrop>false</ScaleCrop>
  <HeadingPairs>
    <vt:vector size="2" baseType="variant">
      <vt:variant>
        <vt:lpstr>Title</vt:lpstr>
      </vt:variant>
      <vt:variant>
        <vt:i4>1</vt:i4>
      </vt:variant>
    </vt:vector>
  </HeadingPairs>
  <TitlesOfParts>
    <vt:vector size="1" baseType="lpstr">
      <vt:lpstr>Latvijas stratēģija klimatneitralitātes sasniegšanai līdz 2050. gadam</vt:lpstr>
    </vt:vector>
  </TitlesOfParts>
  <Company>Vides aizsardzības un reģionālās attīstības ministrija</Company>
  <LinksUpToDate>false</LinksUpToDate>
  <CharactersWithSpaces>132173</CharactersWithSpaces>
  <SharedDoc>false</SharedDoc>
  <HLinks>
    <vt:vector size="204" baseType="variant">
      <vt:variant>
        <vt:i4>1835063</vt:i4>
      </vt:variant>
      <vt:variant>
        <vt:i4>158</vt:i4>
      </vt:variant>
      <vt:variant>
        <vt:i4>0</vt:i4>
      </vt:variant>
      <vt:variant>
        <vt:i4>5</vt:i4>
      </vt:variant>
      <vt:variant>
        <vt:lpwstr/>
      </vt:variant>
      <vt:variant>
        <vt:lpwstr>_Toc464054292</vt:lpwstr>
      </vt:variant>
      <vt:variant>
        <vt:i4>1835063</vt:i4>
      </vt:variant>
      <vt:variant>
        <vt:i4>152</vt:i4>
      </vt:variant>
      <vt:variant>
        <vt:i4>0</vt:i4>
      </vt:variant>
      <vt:variant>
        <vt:i4>5</vt:i4>
      </vt:variant>
      <vt:variant>
        <vt:lpwstr/>
      </vt:variant>
      <vt:variant>
        <vt:lpwstr>_Toc464054291</vt:lpwstr>
      </vt:variant>
      <vt:variant>
        <vt:i4>1835063</vt:i4>
      </vt:variant>
      <vt:variant>
        <vt:i4>146</vt:i4>
      </vt:variant>
      <vt:variant>
        <vt:i4>0</vt:i4>
      </vt:variant>
      <vt:variant>
        <vt:i4>5</vt:i4>
      </vt:variant>
      <vt:variant>
        <vt:lpwstr/>
      </vt:variant>
      <vt:variant>
        <vt:lpwstr>_Toc464054290</vt:lpwstr>
      </vt:variant>
      <vt:variant>
        <vt:i4>1900599</vt:i4>
      </vt:variant>
      <vt:variant>
        <vt:i4>140</vt:i4>
      </vt:variant>
      <vt:variant>
        <vt:i4>0</vt:i4>
      </vt:variant>
      <vt:variant>
        <vt:i4>5</vt:i4>
      </vt:variant>
      <vt:variant>
        <vt:lpwstr/>
      </vt:variant>
      <vt:variant>
        <vt:lpwstr>_Toc464054289</vt:lpwstr>
      </vt:variant>
      <vt:variant>
        <vt:i4>1900599</vt:i4>
      </vt:variant>
      <vt:variant>
        <vt:i4>134</vt:i4>
      </vt:variant>
      <vt:variant>
        <vt:i4>0</vt:i4>
      </vt:variant>
      <vt:variant>
        <vt:i4>5</vt:i4>
      </vt:variant>
      <vt:variant>
        <vt:lpwstr/>
      </vt:variant>
      <vt:variant>
        <vt:lpwstr>_Toc464054288</vt:lpwstr>
      </vt:variant>
      <vt:variant>
        <vt:i4>1900599</vt:i4>
      </vt:variant>
      <vt:variant>
        <vt:i4>128</vt:i4>
      </vt:variant>
      <vt:variant>
        <vt:i4>0</vt:i4>
      </vt:variant>
      <vt:variant>
        <vt:i4>5</vt:i4>
      </vt:variant>
      <vt:variant>
        <vt:lpwstr/>
      </vt:variant>
      <vt:variant>
        <vt:lpwstr>_Toc464054287</vt:lpwstr>
      </vt:variant>
      <vt:variant>
        <vt:i4>1900599</vt:i4>
      </vt:variant>
      <vt:variant>
        <vt:i4>122</vt:i4>
      </vt:variant>
      <vt:variant>
        <vt:i4>0</vt:i4>
      </vt:variant>
      <vt:variant>
        <vt:i4>5</vt:i4>
      </vt:variant>
      <vt:variant>
        <vt:lpwstr/>
      </vt:variant>
      <vt:variant>
        <vt:lpwstr>_Toc464054286</vt:lpwstr>
      </vt:variant>
      <vt:variant>
        <vt:i4>1900599</vt:i4>
      </vt:variant>
      <vt:variant>
        <vt:i4>116</vt:i4>
      </vt:variant>
      <vt:variant>
        <vt:i4>0</vt:i4>
      </vt:variant>
      <vt:variant>
        <vt:i4>5</vt:i4>
      </vt:variant>
      <vt:variant>
        <vt:lpwstr/>
      </vt:variant>
      <vt:variant>
        <vt:lpwstr>_Toc464054285</vt:lpwstr>
      </vt:variant>
      <vt:variant>
        <vt:i4>1900599</vt:i4>
      </vt:variant>
      <vt:variant>
        <vt:i4>110</vt:i4>
      </vt:variant>
      <vt:variant>
        <vt:i4>0</vt:i4>
      </vt:variant>
      <vt:variant>
        <vt:i4>5</vt:i4>
      </vt:variant>
      <vt:variant>
        <vt:lpwstr/>
      </vt:variant>
      <vt:variant>
        <vt:lpwstr>_Toc464054284</vt:lpwstr>
      </vt:variant>
      <vt:variant>
        <vt:i4>1900599</vt:i4>
      </vt:variant>
      <vt:variant>
        <vt:i4>104</vt:i4>
      </vt:variant>
      <vt:variant>
        <vt:i4>0</vt:i4>
      </vt:variant>
      <vt:variant>
        <vt:i4>5</vt:i4>
      </vt:variant>
      <vt:variant>
        <vt:lpwstr/>
      </vt:variant>
      <vt:variant>
        <vt:lpwstr>_Toc464054283</vt:lpwstr>
      </vt:variant>
      <vt:variant>
        <vt:i4>1900599</vt:i4>
      </vt:variant>
      <vt:variant>
        <vt:i4>98</vt:i4>
      </vt:variant>
      <vt:variant>
        <vt:i4>0</vt:i4>
      </vt:variant>
      <vt:variant>
        <vt:i4>5</vt:i4>
      </vt:variant>
      <vt:variant>
        <vt:lpwstr/>
      </vt:variant>
      <vt:variant>
        <vt:lpwstr>_Toc464054282</vt:lpwstr>
      </vt:variant>
      <vt:variant>
        <vt:i4>1900599</vt:i4>
      </vt:variant>
      <vt:variant>
        <vt:i4>92</vt:i4>
      </vt:variant>
      <vt:variant>
        <vt:i4>0</vt:i4>
      </vt:variant>
      <vt:variant>
        <vt:i4>5</vt:i4>
      </vt:variant>
      <vt:variant>
        <vt:lpwstr/>
      </vt:variant>
      <vt:variant>
        <vt:lpwstr>_Toc464054281</vt:lpwstr>
      </vt:variant>
      <vt:variant>
        <vt:i4>1900599</vt:i4>
      </vt:variant>
      <vt:variant>
        <vt:i4>86</vt:i4>
      </vt:variant>
      <vt:variant>
        <vt:i4>0</vt:i4>
      </vt:variant>
      <vt:variant>
        <vt:i4>5</vt:i4>
      </vt:variant>
      <vt:variant>
        <vt:lpwstr/>
      </vt:variant>
      <vt:variant>
        <vt:lpwstr>_Toc464054280</vt:lpwstr>
      </vt:variant>
      <vt:variant>
        <vt:i4>1179703</vt:i4>
      </vt:variant>
      <vt:variant>
        <vt:i4>80</vt:i4>
      </vt:variant>
      <vt:variant>
        <vt:i4>0</vt:i4>
      </vt:variant>
      <vt:variant>
        <vt:i4>5</vt:i4>
      </vt:variant>
      <vt:variant>
        <vt:lpwstr/>
      </vt:variant>
      <vt:variant>
        <vt:lpwstr>_Toc464054279</vt:lpwstr>
      </vt:variant>
      <vt:variant>
        <vt:i4>1179703</vt:i4>
      </vt:variant>
      <vt:variant>
        <vt:i4>74</vt:i4>
      </vt:variant>
      <vt:variant>
        <vt:i4>0</vt:i4>
      </vt:variant>
      <vt:variant>
        <vt:i4>5</vt:i4>
      </vt:variant>
      <vt:variant>
        <vt:lpwstr/>
      </vt:variant>
      <vt:variant>
        <vt:lpwstr>_Toc464054278</vt:lpwstr>
      </vt:variant>
      <vt:variant>
        <vt:i4>1179703</vt:i4>
      </vt:variant>
      <vt:variant>
        <vt:i4>68</vt:i4>
      </vt:variant>
      <vt:variant>
        <vt:i4>0</vt:i4>
      </vt:variant>
      <vt:variant>
        <vt:i4>5</vt:i4>
      </vt:variant>
      <vt:variant>
        <vt:lpwstr/>
      </vt:variant>
      <vt:variant>
        <vt:lpwstr>_Toc464054277</vt:lpwstr>
      </vt:variant>
      <vt:variant>
        <vt:i4>1179703</vt:i4>
      </vt:variant>
      <vt:variant>
        <vt:i4>62</vt:i4>
      </vt:variant>
      <vt:variant>
        <vt:i4>0</vt:i4>
      </vt:variant>
      <vt:variant>
        <vt:i4>5</vt:i4>
      </vt:variant>
      <vt:variant>
        <vt:lpwstr/>
      </vt:variant>
      <vt:variant>
        <vt:lpwstr>_Toc464054276</vt:lpwstr>
      </vt:variant>
      <vt:variant>
        <vt:i4>1179703</vt:i4>
      </vt:variant>
      <vt:variant>
        <vt:i4>56</vt:i4>
      </vt:variant>
      <vt:variant>
        <vt:i4>0</vt:i4>
      </vt:variant>
      <vt:variant>
        <vt:i4>5</vt:i4>
      </vt:variant>
      <vt:variant>
        <vt:lpwstr/>
      </vt:variant>
      <vt:variant>
        <vt:lpwstr>_Toc464054275</vt:lpwstr>
      </vt:variant>
      <vt:variant>
        <vt:i4>1179703</vt:i4>
      </vt:variant>
      <vt:variant>
        <vt:i4>50</vt:i4>
      </vt:variant>
      <vt:variant>
        <vt:i4>0</vt:i4>
      </vt:variant>
      <vt:variant>
        <vt:i4>5</vt:i4>
      </vt:variant>
      <vt:variant>
        <vt:lpwstr/>
      </vt:variant>
      <vt:variant>
        <vt:lpwstr>_Toc464054274</vt:lpwstr>
      </vt:variant>
      <vt:variant>
        <vt:i4>1179703</vt:i4>
      </vt:variant>
      <vt:variant>
        <vt:i4>44</vt:i4>
      </vt:variant>
      <vt:variant>
        <vt:i4>0</vt:i4>
      </vt:variant>
      <vt:variant>
        <vt:i4>5</vt:i4>
      </vt:variant>
      <vt:variant>
        <vt:lpwstr/>
      </vt:variant>
      <vt:variant>
        <vt:lpwstr>_Toc464054273</vt:lpwstr>
      </vt:variant>
      <vt:variant>
        <vt:i4>1179703</vt:i4>
      </vt:variant>
      <vt:variant>
        <vt:i4>38</vt:i4>
      </vt:variant>
      <vt:variant>
        <vt:i4>0</vt:i4>
      </vt:variant>
      <vt:variant>
        <vt:i4>5</vt:i4>
      </vt:variant>
      <vt:variant>
        <vt:lpwstr/>
      </vt:variant>
      <vt:variant>
        <vt:lpwstr>_Toc464054272</vt:lpwstr>
      </vt:variant>
      <vt:variant>
        <vt:i4>1179703</vt:i4>
      </vt:variant>
      <vt:variant>
        <vt:i4>32</vt:i4>
      </vt:variant>
      <vt:variant>
        <vt:i4>0</vt:i4>
      </vt:variant>
      <vt:variant>
        <vt:i4>5</vt:i4>
      </vt:variant>
      <vt:variant>
        <vt:lpwstr/>
      </vt:variant>
      <vt:variant>
        <vt:lpwstr>_Toc464054271</vt:lpwstr>
      </vt:variant>
      <vt:variant>
        <vt:i4>1179703</vt:i4>
      </vt:variant>
      <vt:variant>
        <vt:i4>26</vt:i4>
      </vt:variant>
      <vt:variant>
        <vt:i4>0</vt:i4>
      </vt:variant>
      <vt:variant>
        <vt:i4>5</vt:i4>
      </vt:variant>
      <vt:variant>
        <vt:lpwstr/>
      </vt:variant>
      <vt:variant>
        <vt:lpwstr>_Toc464054270</vt:lpwstr>
      </vt:variant>
      <vt:variant>
        <vt:i4>1245239</vt:i4>
      </vt:variant>
      <vt:variant>
        <vt:i4>20</vt:i4>
      </vt:variant>
      <vt:variant>
        <vt:i4>0</vt:i4>
      </vt:variant>
      <vt:variant>
        <vt:i4>5</vt:i4>
      </vt:variant>
      <vt:variant>
        <vt:lpwstr/>
      </vt:variant>
      <vt:variant>
        <vt:lpwstr>_Toc464054269</vt:lpwstr>
      </vt:variant>
      <vt:variant>
        <vt:i4>1245239</vt:i4>
      </vt:variant>
      <vt:variant>
        <vt:i4>14</vt:i4>
      </vt:variant>
      <vt:variant>
        <vt:i4>0</vt:i4>
      </vt:variant>
      <vt:variant>
        <vt:i4>5</vt:i4>
      </vt:variant>
      <vt:variant>
        <vt:lpwstr/>
      </vt:variant>
      <vt:variant>
        <vt:lpwstr>_Toc464054268</vt:lpwstr>
      </vt:variant>
      <vt:variant>
        <vt:i4>1245239</vt:i4>
      </vt:variant>
      <vt:variant>
        <vt:i4>8</vt:i4>
      </vt:variant>
      <vt:variant>
        <vt:i4>0</vt:i4>
      </vt:variant>
      <vt:variant>
        <vt:i4>5</vt:i4>
      </vt:variant>
      <vt:variant>
        <vt:lpwstr/>
      </vt:variant>
      <vt:variant>
        <vt:lpwstr>_Toc464054267</vt:lpwstr>
      </vt:variant>
      <vt:variant>
        <vt:i4>1245239</vt:i4>
      </vt:variant>
      <vt:variant>
        <vt:i4>2</vt:i4>
      </vt:variant>
      <vt:variant>
        <vt:i4>0</vt:i4>
      </vt:variant>
      <vt:variant>
        <vt:i4>5</vt:i4>
      </vt:variant>
      <vt:variant>
        <vt:lpwstr/>
      </vt:variant>
      <vt:variant>
        <vt:lpwstr>_Toc464054266</vt:lpwstr>
      </vt:variant>
      <vt:variant>
        <vt:i4>2097172</vt:i4>
      </vt:variant>
      <vt:variant>
        <vt:i4>18</vt:i4>
      </vt:variant>
      <vt:variant>
        <vt:i4>0</vt:i4>
      </vt:variant>
      <vt:variant>
        <vt:i4>5</vt:i4>
      </vt:variant>
      <vt:variant>
        <vt:lpwstr>http://cdr.eionet.europa.eu/lv/eu/mmr/art04-13-14_lcds_pams_projections/envvyqbag/</vt:lpwstr>
      </vt:variant>
      <vt:variant>
        <vt:lpwstr/>
      </vt:variant>
      <vt:variant>
        <vt:i4>2621499</vt:i4>
      </vt:variant>
      <vt:variant>
        <vt:i4>15</vt:i4>
      </vt:variant>
      <vt:variant>
        <vt:i4>0</vt:i4>
      </vt:variant>
      <vt:variant>
        <vt:i4>5</vt:i4>
      </vt:variant>
      <vt:variant>
        <vt:lpwstr>http://unfccc.int/national_reports/annex_i_ghg_inventories/national_inventories_submissions/items/9492.php</vt:lpwstr>
      </vt:variant>
      <vt:variant>
        <vt:lpwstr/>
      </vt:variant>
      <vt:variant>
        <vt:i4>2097172</vt:i4>
      </vt:variant>
      <vt:variant>
        <vt:i4>12</vt:i4>
      </vt:variant>
      <vt:variant>
        <vt:i4>0</vt:i4>
      </vt:variant>
      <vt:variant>
        <vt:i4>5</vt:i4>
      </vt:variant>
      <vt:variant>
        <vt:lpwstr>http://cdr.eionet.europa.eu/lv/eu/mmr/art04-13-14_lcds_pams_projections/envvyqbag/</vt:lpwstr>
      </vt:variant>
      <vt:variant>
        <vt:lpwstr/>
      </vt:variant>
      <vt:variant>
        <vt:i4>2621499</vt:i4>
      </vt:variant>
      <vt:variant>
        <vt:i4>9</vt:i4>
      </vt:variant>
      <vt:variant>
        <vt:i4>0</vt:i4>
      </vt:variant>
      <vt:variant>
        <vt:i4>5</vt:i4>
      </vt:variant>
      <vt:variant>
        <vt:lpwstr>http://unfccc.int/national_reports/annex_i_ghg_inventories/national_inventories_submissions/items/9492.php</vt:lpwstr>
      </vt:variant>
      <vt:variant>
        <vt:lpwstr/>
      </vt:variant>
      <vt:variant>
        <vt:i4>18284816</vt:i4>
      </vt:variant>
      <vt:variant>
        <vt:i4>6</vt:i4>
      </vt:variant>
      <vt:variant>
        <vt:i4>0</vt:i4>
      </vt:variant>
      <vt:variant>
        <vt:i4>5</vt:i4>
      </vt:variant>
      <vt:variant>
        <vt:lpwstr>http://www.pkc.gov.lv/nap2020/ilgtspējīgas-attīstības-mērķi</vt:lpwstr>
      </vt:variant>
      <vt:variant>
        <vt:lpwstr/>
      </vt:variant>
      <vt:variant>
        <vt:i4>4390970</vt:i4>
      </vt:variant>
      <vt:variant>
        <vt:i4>3</vt:i4>
      </vt:variant>
      <vt:variant>
        <vt:i4>0</vt:i4>
      </vt:variant>
      <vt:variant>
        <vt:i4>5</vt:i4>
      </vt:variant>
      <vt:variant>
        <vt:lpwstr>https://esa.un.org/unpd/wpp/publications/files/key_findings_wpp_2015.pdf</vt:lpwstr>
      </vt:variant>
      <vt:variant>
        <vt:lpwstr/>
      </vt:variant>
      <vt:variant>
        <vt:i4>3211372</vt:i4>
      </vt:variant>
      <vt:variant>
        <vt:i4>0</vt:i4>
      </vt:variant>
      <vt:variant>
        <vt:i4>0</vt:i4>
      </vt:variant>
      <vt:variant>
        <vt:i4>5</vt:i4>
      </vt:variant>
      <vt:variant>
        <vt:lpwstr>http://climate.nasa.gov/vital-signs/carbon-dioxide/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stratēģija klimatneitralitātes sasniegšanai līdz 2050. gadam</dc:title>
  <dc:subject>Informatīvā ziņojuma projekts</dc:subject>
  <dc:creator>Ilze Podniece</dc:creator>
  <dc:description>VARAM, 67026483, ilze.podniece@varam.gov.lv</dc:description>
  <cp:lastModifiedBy>Ilze Podniece</cp:lastModifiedBy>
  <cp:revision>57</cp:revision>
  <cp:lastPrinted>2019-11-28T12:47:00Z</cp:lastPrinted>
  <dcterms:created xsi:type="dcterms:W3CDTF">2019-11-26T07:00:00Z</dcterms:created>
  <dcterms:modified xsi:type="dcterms:W3CDTF">2019-12-05T11:33:00Z</dcterms:modified>
  <cp:category>Vides politika</cp:category>
</cp:coreProperties>
</file>