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05F4" w:rsidRPr="009C054C" w:rsidRDefault="009C054C" w:rsidP="009C054C">
      <w:pPr>
        <w:jc w:val="right"/>
        <w:rPr>
          <w:rFonts w:ascii="Times New Roman" w:hAnsi="Times New Roman" w:cs="Times New Roman"/>
          <w:sz w:val="24"/>
          <w:szCs w:val="24"/>
        </w:rPr>
      </w:pPr>
      <w:bookmarkStart w:id="0" w:name="_GoBack"/>
      <w:bookmarkEnd w:id="0"/>
      <w:r w:rsidRPr="009C054C">
        <w:rPr>
          <w:rFonts w:ascii="Times New Roman" w:hAnsi="Times New Roman" w:cs="Times New Roman"/>
          <w:sz w:val="24"/>
          <w:szCs w:val="24"/>
        </w:rPr>
        <w:t>PROJEKTS</w:t>
      </w:r>
    </w:p>
    <w:p w:rsidR="00456DE6" w:rsidRDefault="00456DE6"/>
    <w:p w:rsidR="005263F8" w:rsidRDefault="005263F8"/>
    <w:p w:rsidR="00456DE6" w:rsidRDefault="009C054C" w:rsidP="009C054C">
      <w:pPr>
        <w:spacing w:after="0" w:line="240" w:lineRule="auto"/>
        <w:rPr>
          <w:rFonts w:ascii="Times New Roman" w:hAnsi="Times New Roman" w:cs="Times New Roman"/>
          <w:sz w:val="24"/>
          <w:szCs w:val="24"/>
        </w:rPr>
      </w:pPr>
      <w:r w:rsidRPr="009C054C">
        <w:rPr>
          <w:rFonts w:ascii="Times New Roman" w:hAnsi="Times New Roman" w:cs="Times New Roman"/>
          <w:sz w:val="24"/>
          <w:szCs w:val="24"/>
        </w:rPr>
        <w:t xml:space="preserve">Uz </w:t>
      </w:r>
      <w:r>
        <w:rPr>
          <w:rFonts w:ascii="Times New Roman" w:hAnsi="Times New Roman" w:cs="Times New Roman"/>
          <w:sz w:val="24"/>
          <w:szCs w:val="24"/>
        </w:rPr>
        <w:t>06</w:t>
      </w:r>
      <w:r w:rsidRPr="009C054C">
        <w:rPr>
          <w:rFonts w:ascii="Times New Roman" w:hAnsi="Times New Roman" w:cs="Times New Roman"/>
          <w:sz w:val="24"/>
          <w:szCs w:val="24"/>
        </w:rPr>
        <w:t>.0</w:t>
      </w:r>
      <w:r>
        <w:rPr>
          <w:rFonts w:ascii="Times New Roman" w:hAnsi="Times New Roman" w:cs="Times New Roman"/>
          <w:sz w:val="24"/>
          <w:szCs w:val="24"/>
        </w:rPr>
        <w:t>2</w:t>
      </w:r>
      <w:r w:rsidRPr="009C054C">
        <w:rPr>
          <w:rFonts w:ascii="Times New Roman" w:hAnsi="Times New Roman" w:cs="Times New Roman"/>
          <w:sz w:val="24"/>
          <w:szCs w:val="24"/>
        </w:rPr>
        <w:t>.2020. Nr. </w:t>
      </w:r>
      <w:r w:rsidR="005263F8">
        <w:rPr>
          <w:rFonts w:ascii="Times New Roman" w:hAnsi="Times New Roman" w:cs="Times New Roman"/>
          <w:sz w:val="24"/>
          <w:szCs w:val="24"/>
        </w:rPr>
        <w:t>622.9/17-6-13/20</w:t>
      </w:r>
    </w:p>
    <w:p w:rsidR="009C054C" w:rsidRDefault="009C054C" w:rsidP="009C054C">
      <w:pPr>
        <w:spacing w:after="0" w:line="240" w:lineRule="auto"/>
        <w:rPr>
          <w:rFonts w:ascii="Times New Roman" w:hAnsi="Times New Roman" w:cs="Times New Roman"/>
          <w:sz w:val="24"/>
          <w:szCs w:val="24"/>
        </w:rPr>
      </w:pPr>
    </w:p>
    <w:p w:rsidR="005263F8" w:rsidRPr="009C054C" w:rsidRDefault="005263F8" w:rsidP="009C054C">
      <w:pPr>
        <w:spacing w:after="0" w:line="240" w:lineRule="auto"/>
        <w:rPr>
          <w:rFonts w:ascii="Times New Roman" w:hAnsi="Times New Roman" w:cs="Times New Roman"/>
          <w:sz w:val="24"/>
          <w:szCs w:val="24"/>
        </w:rPr>
      </w:pPr>
    </w:p>
    <w:p w:rsidR="00456DE6" w:rsidRPr="009C054C" w:rsidRDefault="00456DE6" w:rsidP="00456DE6">
      <w:pPr>
        <w:spacing w:after="0" w:line="240" w:lineRule="auto"/>
        <w:jc w:val="right"/>
        <w:rPr>
          <w:rFonts w:ascii="Times New Roman" w:hAnsi="Times New Roman" w:cs="Times New Roman"/>
          <w:b/>
          <w:sz w:val="24"/>
          <w:szCs w:val="24"/>
        </w:rPr>
      </w:pPr>
      <w:r w:rsidRPr="009C054C">
        <w:rPr>
          <w:rFonts w:ascii="Times New Roman" w:hAnsi="Times New Roman" w:cs="Times New Roman"/>
          <w:b/>
          <w:sz w:val="24"/>
          <w:szCs w:val="24"/>
        </w:rPr>
        <w:t xml:space="preserve">LR Saeimas </w:t>
      </w:r>
    </w:p>
    <w:p w:rsidR="00456DE6" w:rsidRPr="009C054C" w:rsidRDefault="00456DE6" w:rsidP="00456DE6">
      <w:pPr>
        <w:jc w:val="right"/>
        <w:rPr>
          <w:rFonts w:ascii="Times New Roman" w:hAnsi="Times New Roman" w:cs="Times New Roman"/>
          <w:b/>
          <w:sz w:val="24"/>
          <w:szCs w:val="24"/>
        </w:rPr>
      </w:pPr>
      <w:r w:rsidRPr="009C054C">
        <w:rPr>
          <w:rFonts w:ascii="Times New Roman" w:hAnsi="Times New Roman" w:cs="Times New Roman"/>
          <w:b/>
          <w:sz w:val="24"/>
          <w:szCs w:val="24"/>
        </w:rPr>
        <w:t>Ilgtspējīgas attīstības komisijai</w:t>
      </w:r>
    </w:p>
    <w:p w:rsidR="00456DE6" w:rsidRPr="00992F2F" w:rsidRDefault="00456DE6">
      <w:pPr>
        <w:rPr>
          <w:rFonts w:ascii="Times New Roman" w:hAnsi="Times New Roman" w:cs="Times New Roman"/>
          <w:sz w:val="24"/>
          <w:szCs w:val="24"/>
        </w:rPr>
      </w:pPr>
    </w:p>
    <w:p w:rsidR="00456DE6" w:rsidRPr="00992F2F" w:rsidRDefault="00456DE6">
      <w:pPr>
        <w:rPr>
          <w:rFonts w:ascii="Times New Roman" w:hAnsi="Times New Roman" w:cs="Times New Roman"/>
          <w:i/>
          <w:sz w:val="24"/>
          <w:szCs w:val="24"/>
        </w:rPr>
      </w:pPr>
      <w:r w:rsidRPr="00992F2F">
        <w:rPr>
          <w:rFonts w:ascii="Times New Roman" w:hAnsi="Times New Roman" w:cs="Times New Roman"/>
          <w:i/>
          <w:sz w:val="24"/>
          <w:szCs w:val="24"/>
        </w:rPr>
        <w:t>Par veselības aprūpes nozari NAP2027.</w:t>
      </w:r>
    </w:p>
    <w:p w:rsidR="00456DE6" w:rsidRPr="00992F2F" w:rsidRDefault="00456DE6">
      <w:pPr>
        <w:rPr>
          <w:rFonts w:ascii="Times New Roman" w:hAnsi="Times New Roman" w:cs="Times New Roman"/>
          <w:sz w:val="24"/>
          <w:szCs w:val="24"/>
        </w:rPr>
      </w:pPr>
    </w:p>
    <w:p w:rsidR="0033798E" w:rsidRPr="00992F2F" w:rsidRDefault="0033798E" w:rsidP="0033798E">
      <w:pPr>
        <w:jc w:val="both"/>
        <w:rPr>
          <w:rFonts w:ascii="Times New Roman" w:hAnsi="Times New Roman" w:cs="Times New Roman"/>
          <w:sz w:val="24"/>
          <w:szCs w:val="24"/>
        </w:rPr>
      </w:pPr>
      <w:r>
        <w:rPr>
          <w:rFonts w:ascii="Times New Roman" w:hAnsi="Times New Roman" w:cs="Times New Roman"/>
          <w:sz w:val="24"/>
          <w:szCs w:val="24"/>
        </w:rPr>
        <w:t xml:space="preserve">Atsaucoties uz Jūsu 2020.gada 6.februāra vēstuli, vēršam uzmanību, ka </w:t>
      </w:r>
      <w:r w:rsidRPr="00992F2F">
        <w:rPr>
          <w:rFonts w:ascii="Times New Roman" w:hAnsi="Times New Roman" w:cs="Times New Roman"/>
          <w:sz w:val="24"/>
          <w:szCs w:val="24"/>
        </w:rPr>
        <w:t xml:space="preserve">2020.gada 25.februārī Ministru kabinetā apstiprināts un tālāk turpmākām diskusijām un pieņemšanai Saeimā iesniegts Nacionālā attīstības plāna 2021.-2027.gadam projekts (NAP2027). Veselības jomā tas paredz mērenu progresu vairākos veselības aprūpi raksturojošos rādītājos, virzoties uz vienlīdzīgi pieejamu, kvalitatīvu veselības pakalpojumu nodrošināšanu visiem Latvijā dzīvojošiem. Atbilstoši NAP2027 rīcības virzienā “Uz cilvēku centrēta veselības aprūpe” definētajam, līdz 2027.gadam par 8,7% samazināmi </w:t>
      </w:r>
      <w:proofErr w:type="spellStart"/>
      <w:r w:rsidRPr="00992F2F">
        <w:rPr>
          <w:rFonts w:ascii="Times New Roman" w:hAnsi="Times New Roman" w:cs="Times New Roman"/>
          <w:sz w:val="24"/>
          <w:szCs w:val="24"/>
        </w:rPr>
        <w:t>tiešmaksājumi</w:t>
      </w:r>
      <w:proofErr w:type="spellEnd"/>
      <w:r w:rsidRPr="00992F2F">
        <w:rPr>
          <w:rFonts w:ascii="Times New Roman" w:hAnsi="Times New Roman" w:cs="Times New Roman"/>
          <w:sz w:val="24"/>
          <w:szCs w:val="24"/>
        </w:rPr>
        <w:t xml:space="preserve"> veselības aprūpē, par 2,2% samazināmas neapmierinātās vajadzības pēc veselības aprūpes pakalpojumiem, samazināma profilaktiski un medicīniski novēršamā mirstība uz 100 000 iedzīvotāju</w:t>
      </w:r>
      <w:r>
        <w:rPr>
          <w:rFonts w:ascii="Times New Roman" w:hAnsi="Times New Roman" w:cs="Times New Roman"/>
          <w:sz w:val="24"/>
          <w:szCs w:val="24"/>
        </w:rPr>
        <w:t xml:space="preserve">, kā arī jāpalielina </w:t>
      </w:r>
      <w:r w:rsidRPr="00992F2F">
        <w:rPr>
          <w:rFonts w:ascii="Times New Roman" w:hAnsi="Times New Roman" w:cs="Times New Roman"/>
          <w:sz w:val="24"/>
          <w:szCs w:val="24"/>
        </w:rPr>
        <w:t xml:space="preserve">praktizējošo ārstu un māsu skaits uz 100 000 iedzīvotāju. Lai to nodrošinātu, ir jāpalielina </w:t>
      </w:r>
      <w:r>
        <w:rPr>
          <w:rFonts w:ascii="Times New Roman" w:hAnsi="Times New Roman" w:cs="Times New Roman"/>
          <w:sz w:val="24"/>
          <w:szCs w:val="24"/>
        </w:rPr>
        <w:t>valsts budžeta finansējums veselības aprūpei, tai skaitā darba samaksa veselības aprūpē nodarbinātajiem</w:t>
      </w:r>
      <w:r w:rsidRPr="00992F2F">
        <w:rPr>
          <w:rFonts w:ascii="Times New Roman" w:hAnsi="Times New Roman" w:cs="Times New Roman"/>
          <w:sz w:val="24"/>
          <w:szCs w:val="24"/>
        </w:rPr>
        <w:t xml:space="preserve">. </w:t>
      </w:r>
    </w:p>
    <w:p w:rsidR="0033798E" w:rsidRPr="00992F2F" w:rsidRDefault="0033798E" w:rsidP="0033798E">
      <w:pPr>
        <w:jc w:val="both"/>
        <w:rPr>
          <w:rFonts w:ascii="Times New Roman" w:hAnsi="Times New Roman" w:cs="Times New Roman"/>
          <w:sz w:val="24"/>
          <w:szCs w:val="24"/>
        </w:rPr>
      </w:pPr>
      <w:r w:rsidRPr="00992F2F">
        <w:rPr>
          <w:rFonts w:ascii="Times New Roman" w:hAnsi="Times New Roman" w:cs="Times New Roman"/>
          <w:sz w:val="24"/>
          <w:szCs w:val="24"/>
        </w:rPr>
        <w:t>Plānotā turpmākā rīcība veselības aprūpes jomā NAP2027 atspoguļota piecos savstarpēji papildinošos un pakārtotos uzdevumos, kuru saturā iekļauta</w:t>
      </w:r>
      <w:r>
        <w:rPr>
          <w:rFonts w:ascii="Times New Roman" w:hAnsi="Times New Roman" w:cs="Times New Roman"/>
          <w:sz w:val="24"/>
          <w:szCs w:val="24"/>
        </w:rPr>
        <w:t>s</w:t>
      </w:r>
      <w:r w:rsidRPr="00992F2F">
        <w:rPr>
          <w:rFonts w:ascii="Times New Roman" w:hAnsi="Times New Roman" w:cs="Times New Roman"/>
          <w:sz w:val="24"/>
          <w:szCs w:val="24"/>
        </w:rPr>
        <w:t xml:space="preserve"> arī prioritārās īstenojamās darbības uzdevumu izpildei un veselības mērķu sasniegšanai:</w:t>
      </w:r>
    </w:p>
    <w:p w:rsidR="0033798E" w:rsidRPr="00992F2F" w:rsidRDefault="0033798E" w:rsidP="0033798E">
      <w:pPr>
        <w:ind w:left="720"/>
        <w:jc w:val="both"/>
        <w:rPr>
          <w:rFonts w:ascii="Times New Roman" w:hAnsi="Times New Roman" w:cs="Times New Roman"/>
          <w:sz w:val="24"/>
          <w:szCs w:val="24"/>
        </w:rPr>
      </w:pPr>
      <w:r w:rsidRPr="00992F2F">
        <w:rPr>
          <w:rFonts w:ascii="Times New Roman" w:hAnsi="Times New Roman" w:cs="Times New Roman"/>
          <w:sz w:val="24"/>
          <w:szCs w:val="24"/>
        </w:rPr>
        <w:t>1. Veselības aprūpes pakalpojumu finansiālās un ģeogrāfiskās pieejamības uzlabošana</w:t>
      </w:r>
      <w:r>
        <w:rPr>
          <w:rFonts w:ascii="Times New Roman" w:hAnsi="Times New Roman" w:cs="Times New Roman"/>
          <w:sz w:val="24"/>
          <w:szCs w:val="24"/>
        </w:rPr>
        <w:t>, kas</w:t>
      </w:r>
      <w:r w:rsidRPr="00992F2F">
        <w:rPr>
          <w:rFonts w:ascii="Times New Roman" w:hAnsi="Times New Roman" w:cs="Times New Roman"/>
          <w:sz w:val="24"/>
          <w:szCs w:val="24"/>
        </w:rPr>
        <w:t xml:space="preserve"> ietver </w:t>
      </w:r>
      <w:r w:rsidRPr="0014072E">
        <w:rPr>
          <w:rFonts w:ascii="Times New Roman" w:hAnsi="Times New Roman" w:cs="Times New Roman"/>
          <w:sz w:val="24"/>
          <w:szCs w:val="24"/>
        </w:rPr>
        <w:t>valsts apmaksāto ambulatoro</w:t>
      </w:r>
      <w:r>
        <w:rPr>
          <w:rFonts w:ascii="Times New Roman" w:hAnsi="Times New Roman" w:cs="Times New Roman"/>
          <w:sz w:val="24"/>
          <w:szCs w:val="24"/>
        </w:rPr>
        <w:t xml:space="preserve"> un stacionāro</w:t>
      </w:r>
      <w:r w:rsidRPr="0014072E">
        <w:rPr>
          <w:rFonts w:ascii="Times New Roman" w:hAnsi="Times New Roman" w:cs="Times New Roman"/>
          <w:sz w:val="24"/>
          <w:szCs w:val="24"/>
        </w:rPr>
        <w:t xml:space="preserve"> veselības aprūpes  pakalpojumu apjoma palielināšan</w:t>
      </w:r>
      <w:r>
        <w:rPr>
          <w:rFonts w:ascii="Times New Roman" w:hAnsi="Times New Roman" w:cs="Times New Roman"/>
          <w:sz w:val="24"/>
          <w:szCs w:val="24"/>
        </w:rPr>
        <w:t xml:space="preserve">u, jaunu pakalpojumu iekļaušanu valsts apmaksāto pakalpojumu sarakstā, kompensējamo zāļu saraksta paplašināšanu, zāļu kompensācijas principu pārskatīšanu, pacienta līdzmaksājumu samazināšanu, veselības aprūpes pakalpojumu tarifu paaugstināšanu </w:t>
      </w:r>
      <w:r w:rsidRPr="00992F2F">
        <w:rPr>
          <w:rFonts w:ascii="Times New Roman" w:hAnsi="Times New Roman" w:cs="Times New Roman"/>
          <w:sz w:val="24"/>
          <w:szCs w:val="24"/>
        </w:rPr>
        <w:t>prioritāri</w:t>
      </w:r>
      <w:r w:rsidRPr="00992F2F">
        <w:rPr>
          <w:rFonts w:ascii="Times New Roman" w:eastAsia="Times New Roman" w:hAnsi="Times New Roman" w:cs="Times New Roman"/>
          <w:color w:val="000000"/>
          <w:sz w:val="24"/>
          <w:szCs w:val="24"/>
          <w:lang w:eastAsia="lv-LV"/>
        </w:rPr>
        <w:t xml:space="preserve"> </w:t>
      </w:r>
      <w:r w:rsidRPr="00992F2F">
        <w:rPr>
          <w:rFonts w:ascii="Times New Roman" w:hAnsi="Times New Roman" w:cs="Times New Roman"/>
          <w:sz w:val="24"/>
          <w:szCs w:val="24"/>
        </w:rPr>
        <w:t xml:space="preserve">mātes un bērna veselības aprūpes jomā, kā arī jomās, kam ir būtiska ietekme uz priekšlaicīgu mirstību un darbspēju zudumu. </w:t>
      </w:r>
    </w:p>
    <w:p w:rsidR="0033798E" w:rsidRPr="00992F2F" w:rsidRDefault="0033798E" w:rsidP="0033798E">
      <w:pPr>
        <w:ind w:left="720"/>
        <w:jc w:val="both"/>
        <w:rPr>
          <w:rFonts w:ascii="Times New Roman" w:hAnsi="Times New Roman" w:cs="Times New Roman"/>
          <w:sz w:val="24"/>
          <w:szCs w:val="24"/>
        </w:rPr>
      </w:pPr>
      <w:r w:rsidRPr="00992F2F">
        <w:rPr>
          <w:rFonts w:ascii="Times New Roman" w:hAnsi="Times New Roman" w:cs="Times New Roman"/>
          <w:sz w:val="24"/>
          <w:szCs w:val="24"/>
        </w:rPr>
        <w:t>2. Lai varētu nodrošināt iepriekš minēto, būtisk</w:t>
      </w:r>
      <w:r>
        <w:rPr>
          <w:rFonts w:ascii="Times New Roman" w:hAnsi="Times New Roman" w:cs="Times New Roman"/>
          <w:sz w:val="24"/>
          <w:szCs w:val="24"/>
        </w:rPr>
        <w:t>i</w:t>
      </w:r>
      <w:r w:rsidRPr="00992F2F">
        <w:rPr>
          <w:rFonts w:ascii="Times New Roman" w:hAnsi="Times New Roman" w:cs="Times New Roman"/>
          <w:sz w:val="24"/>
          <w:szCs w:val="24"/>
        </w:rPr>
        <w:t xml:space="preserve"> </w:t>
      </w:r>
      <w:r>
        <w:rPr>
          <w:rFonts w:ascii="Times New Roman" w:hAnsi="Times New Roman" w:cs="Times New Roman"/>
          <w:sz w:val="24"/>
          <w:szCs w:val="24"/>
        </w:rPr>
        <w:t>nodrošināt</w:t>
      </w:r>
      <w:r w:rsidRPr="00992F2F">
        <w:rPr>
          <w:rFonts w:ascii="Times New Roman" w:hAnsi="Times New Roman" w:cs="Times New Roman"/>
          <w:sz w:val="24"/>
          <w:szCs w:val="24"/>
        </w:rPr>
        <w:t xml:space="preserve"> pietiekam</w:t>
      </w:r>
      <w:r>
        <w:rPr>
          <w:rFonts w:ascii="Times New Roman" w:hAnsi="Times New Roman" w:cs="Times New Roman"/>
          <w:sz w:val="24"/>
          <w:szCs w:val="24"/>
        </w:rPr>
        <w:t>u</w:t>
      </w:r>
      <w:r w:rsidRPr="00992F2F">
        <w:rPr>
          <w:rFonts w:ascii="Times New Roman" w:hAnsi="Times New Roman" w:cs="Times New Roman"/>
          <w:sz w:val="24"/>
          <w:szCs w:val="24"/>
        </w:rPr>
        <w:t xml:space="preserve"> ārstniecības personu skait</w:t>
      </w:r>
      <w:r>
        <w:rPr>
          <w:rFonts w:ascii="Times New Roman" w:hAnsi="Times New Roman" w:cs="Times New Roman"/>
          <w:sz w:val="24"/>
          <w:szCs w:val="24"/>
        </w:rPr>
        <w:t>u</w:t>
      </w:r>
      <w:r w:rsidRPr="00992F2F">
        <w:rPr>
          <w:rFonts w:ascii="Times New Roman" w:hAnsi="Times New Roman" w:cs="Times New Roman"/>
          <w:sz w:val="24"/>
          <w:szCs w:val="24"/>
        </w:rPr>
        <w:t xml:space="preserve"> valsts apmaksāto veselības aprūpes pakalpojumu sektorā. Tas panākams, gan samērīgi ar </w:t>
      </w:r>
      <w:r w:rsidRPr="00992F2F">
        <w:rPr>
          <w:rFonts w:ascii="Times New Roman" w:eastAsia="Times New Roman" w:hAnsi="Times New Roman" w:cs="Times New Roman"/>
          <w:color w:val="000000"/>
          <w:sz w:val="24"/>
          <w:szCs w:val="24"/>
        </w:rPr>
        <w:t>tautsaimniecības izaugsmi, inflāciju un budžeta iespējām</w:t>
      </w:r>
      <w:r w:rsidRPr="00992F2F">
        <w:rPr>
          <w:rFonts w:ascii="Times New Roman" w:hAnsi="Times New Roman" w:cs="Times New Roman"/>
          <w:sz w:val="24"/>
          <w:szCs w:val="24"/>
        </w:rPr>
        <w:t xml:space="preserve"> palielinot darba samaksu, gan attīstot citus motivācijas rīkus, ieguldot jaunu speciālistu sagatavošanā un pilnveidojot tālākizglītības un </w:t>
      </w:r>
      <w:proofErr w:type="spellStart"/>
      <w:r w:rsidRPr="00992F2F">
        <w:rPr>
          <w:rFonts w:ascii="Times New Roman" w:hAnsi="Times New Roman" w:cs="Times New Roman"/>
          <w:sz w:val="24"/>
          <w:szCs w:val="24"/>
        </w:rPr>
        <w:t>pārkvalifikācijas</w:t>
      </w:r>
      <w:proofErr w:type="spellEnd"/>
      <w:r w:rsidRPr="00992F2F">
        <w:rPr>
          <w:rFonts w:ascii="Times New Roman" w:hAnsi="Times New Roman" w:cs="Times New Roman"/>
          <w:sz w:val="24"/>
          <w:szCs w:val="24"/>
        </w:rPr>
        <w:t xml:space="preserve"> sistēmu, stiprinot klīniskās universitāšu slimnīcas kā kompetenču un zināšanu </w:t>
      </w:r>
      <w:proofErr w:type="spellStart"/>
      <w:r w:rsidRPr="00992F2F">
        <w:rPr>
          <w:rFonts w:ascii="Times New Roman" w:hAnsi="Times New Roman" w:cs="Times New Roman"/>
          <w:sz w:val="24"/>
          <w:szCs w:val="24"/>
        </w:rPr>
        <w:t>pārneses</w:t>
      </w:r>
      <w:proofErr w:type="spellEnd"/>
      <w:r w:rsidRPr="00992F2F">
        <w:rPr>
          <w:rFonts w:ascii="Times New Roman" w:hAnsi="Times New Roman" w:cs="Times New Roman"/>
          <w:sz w:val="24"/>
          <w:szCs w:val="24"/>
        </w:rPr>
        <w:t xml:space="preserve"> centrus.</w:t>
      </w:r>
    </w:p>
    <w:p w:rsidR="0033798E" w:rsidRPr="00992F2F" w:rsidRDefault="0033798E" w:rsidP="0033798E">
      <w:pPr>
        <w:ind w:left="720"/>
        <w:jc w:val="both"/>
        <w:rPr>
          <w:rFonts w:ascii="Times New Roman" w:hAnsi="Times New Roman" w:cs="Times New Roman"/>
          <w:sz w:val="24"/>
          <w:szCs w:val="24"/>
        </w:rPr>
      </w:pPr>
      <w:r w:rsidRPr="00992F2F">
        <w:rPr>
          <w:rFonts w:ascii="Times New Roman" w:hAnsi="Times New Roman" w:cs="Times New Roman"/>
          <w:sz w:val="24"/>
          <w:szCs w:val="24"/>
        </w:rPr>
        <w:t xml:space="preserve">3. Ieguldījumi ārstniecības personu tālākizglītībā ir arī ieguldījumi veselības aprūpes kvalitātes uzlabošanā, taču vienlaikus, stiprinot veselības aprūpes kvalitāti un efektivitāti, ir jāattīsta arī veselības aprūpes kvalitātes sistēma, mērķtiecīgāk jāpāriet uz </w:t>
      </w:r>
      <w:r w:rsidRPr="00992F2F">
        <w:rPr>
          <w:rFonts w:ascii="Times New Roman" w:hAnsi="Times New Roman" w:cs="Times New Roman"/>
          <w:sz w:val="24"/>
          <w:szCs w:val="24"/>
        </w:rPr>
        <w:lastRenderedPageBreak/>
        <w:t xml:space="preserve">rezultātu vērstu pakalpojumu apmaksas sistēmu, kā arī jāpilnveido primārā veselības aprūpe, </w:t>
      </w:r>
      <w:r>
        <w:rPr>
          <w:rFonts w:ascii="Times New Roman" w:hAnsi="Times New Roman" w:cs="Times New Roman"/>
          <w:sz w:val="24"/>
          <w:szCs w:val="24"/>
        </w:rPr>
        <w:t>jā</w:t>
      </w:r>
      <w:r w:rsidRPr="00992F2F">
        <w:rPr>
          <w:rFonts w:ascii="Times New Roman" w:hAnsi="Times New Roman" w:cs="Times New Roman"/>
          <w:sz w:val="24"/>
          <w:szCs w:val="24"/>
        </w:rPr>
        <w:t>sekmē slimību profilaks</w:t>
      </w:r>
      <w:r>
        <w:rPr>
          <w:rFonts w:ascii="Times New Roman" w:hAnsi="Times New Roman" w:cs="Times New Roman"/>
          <w:sz w:val="24"/>
          <w:szCs w:val="24"/>
        </w:rPr>
        <w:t>e,</w:t>
      </w:r>
      <w:r w:rsidRPr="00992F2F">
        <w:rPr>
          <w:rFonts w:ascii="Times New Roman" w:hAnsi="Times New Roman" w:cs="Times New Roman"/>
          <w:sz w:val="24"/>
          <w:szCs w:val="24"/>
        </w:rPr>
        <w:t xml:space="preserve"> agrīn</w:t>
      </w:r>
      <w:r>
        <w:rPr>
          <w:rFonts w:ascii="Times New Roman" w:hAnsi="Times New Roman" w:cs="Times New Roman"/>
          <w:sz w:val="24"/>
          <w:szCs w:val="24"/>
        </w:rPr>
        <w:t>a</w:t>
      </w:r>
      <w:r w:rsidRPr="00992F2F">
        <w:rPr>
          <w:rFonts w:ascii="Times New Roman" w:hAnsi="Times New Roman" w:cs="Times New Roman"/>
          <w:sz w:val="24"/>
          <w:szCs w:val="24"/>
        </w:rPr>
        <w:t xml:space="preserve"> diagnostik</w:t>
      </w:r>
      <w:r>
        <w:rPr>
          <w:rFonts w:ascii="Times New Roman" w:hAnsi="Times New Roman" w:cs="Times New Roman"/>
          <w:sz w:val="24"/>
          <w:szCs w:val="24"/>
        </w:rPr>
        <w:t>a un savlaicīga ārstēšana</w:t>
      </w:r>
      <w:r w:rsidRPr="00992F2F">
        <w:rPr>
          <w:rFonts w:ascii="Times New Roman" w:hAnsi="Times New Roman" w:cs="Times New Roman"/>
          <w:sz w:val="24"/>
          <w:szCs w:val="24"/>
        </w:rPr>
        <w:t xml:space="preserve">. </w:t>
      </w:r>
    </w:p>
    <w:p w:rsidR="0033798E" w:rsidRDefault="0033798E" w:rsidP="0033798E">
      <w:pPr>
        <w:ind w:left="720"/>
        <w:jc w:val="both"/>
        <w:rPr>
          <w:rFonts w:ascii="Times New Roman" w:hAnsi="Times New Roman" w:cs="Times New Roman"/>
          <w:sz w:val="24"/>
          <w:szCs w:val="24"/>
        </w:rPr>
      </w:pPr>
      <w:r w:rsidRPr="00992F2F">
        <w:rPr>
          <w:rFonts w:ascii="Times New Roman" w:hAnsi="Times New Roman" w:cs="Times New Roman"/>
          <w:sz w:val="24"/>
          <w:szCs w:val="24"/>
        </w:rPr>
        <w:t xml:space="preserve">4. Ņemot vērā sabiedrības novecošanos un </w:t>
      </w:r>
      <w:proofErr w:type="spellStart"/>
      <w:r w:rsidRPr="00992F2F">
        <w:rPr>
          <w:rFonts w:ascii="Times New Roman" w:hAnsi="Times New Roman" w:cs="Times New Roman"/>
          <w:sz w:val="24"/>
          <w:szCs w:val="24"/>
        </w:rPr>
        <w:t>efektivizējot</w:t>
      </w:r>
      <w:proofErr w:type="spellEnd"/>
      <w:r w:rsidRPr="00992F2F">
        <w:rPr>
          <w:rFonts w:ascii="Times New Roman" w:hAnsi="Times New Roman" w:cs="Times New Roman"/>
          <w:sz w:val="24"/>
          <w:szCs w:val="24"/>
        </w:rPr>
        <w:t xml:space="preserve"> resursus, attīstāmi arī </w:t>
      </w:r>
      <w:proofErr w:type="spellStart"/>
      <w:r w:rsidRPr="00992F2F">
        <w:rPr>
          <w:rFonts w:ascii="Times New Roman" w:hAnsi="Times New Roman" w:cs="Times New Roman"/>
          <w:sz w:val="24"/>
          <w:szCs w:val="24"/>
        </w:rPr>
        <w:t>multidisciplināri</w:t>
      </w:r>
      <w:proofErr w:type="spellEnd"/>
      <w:r w:rsidRPr="00992F2F">
        <w:rPr>
          <w:rFonts w:ascii="Times New Roman" w:hAnsi="Times New Roman" w:cs="Times New Roman"/>
          <w:sz w:val="24"/>
          <w:szCs w:val="24"/>
        </w:rPr>
        <w:t xml:space="preserve"> un starpnozaru sadarbībā balstīti pakalpojumi ambulatorajā, stacionārajā un ilgtermiņa aprūpē pacientiem ar hroniskām slimībām</w:t>
      </w:r>
      <w:r>
        <w:rPr>
          <w:rFonts w:ascii="Times New Roman" w:hAnsi="Times New Roman" w:cs="Times New Roman"/>
          <w:sz w:val="24"/>
          <w:szCs w:val="24"/>
        </w:rPr>
        <w:t>,</w:t>
      </w:r>
      <w:r w:rsidRPr="00FB6857">
        <w:t xml:space="preserve"> </w:t>
      </w:r>
      <w:r w:rsidRPr="00FB6857">
        <w:rPr>
          <w:rFonts w:ascii="Times New Roman" w:hAnsi="Times New Roman" w:cs="Times New Roman"/>
          <w:sz w:val="24"/>
          <w:szCs w:val="24"/>
        </w:rPr>
        <w:t xml:space="preserve">tai skaitā </w:t>
      </w:r>
      <w:r>
        <w:rPr>
          <w:rFonts w:ascii="Times New Roman" w:hAnsi="Times New Roman" w:cs="Times New Roman"/>
          <w:sz w:val="24"/>
          <w:szCs w:val="24"/>
        </w:rPr>
        <w:t>jā</w:t>
      </w:r>
      <w:r w:rsidRPr="00FB6857">
        <w:rPr>
          <w:rFonts w:ascii="Times New Roman" w:hAnsi="Times New Roman" w:cs="Times New Roman"/>
          <w:sz w:val="24"/>
          <w:szCs w:val="24"/>
        </w:rPr>
        <w:t>uzlabo psiholoģiskā un sociālā atbalsta pieejamīb</w:t>
      </w:r>
      <w:r>
        <w:rPr>
          <w:rFonts w:ascii="Times New Roman" w:hAnsi="Times New Roman" w:cs="Times New Roman"/>
          <w:sz w:val="24"/>
          <w:szCs w:val="24"/>
        </w:rPr>
        <w:t>a</w:t>
      </w:r>
      <w:r w:rsidRPr="00FB6857">
        <w:rPr>
          <w:rFonts w:ascii="Times New Roman" w:hAnsi="Times New Roman" w:cs="Times New Roman"/>
          <w:sz w:val="24"/>
          <w:szCs w:val="24"/>
        </w:rPr>
        <w:t xml:space="preserve"> pacientiem un viņu ģimenes locekļiem smagu slimību un citos </w:t>
      </w:r>
      <w:proofErr w:type="spellStart"/>
      <w:r w:rsidRPr="00FB6857">
        <w:rPr>
          <w:rFonts w:ascii="Times New Roman" w:hAnsi="Times New Roman" w:cs="Times New Roman"/>
          <w:sz w:val="24"/>
          <w:szCs w:val="24"/>
        </w:rPr>
        <w:t>psihoemocionāli</w:t>
      </w:r>
      <w:proofErr w:type="spellEnd"/>
      <w:r w:rsidRPr="00FB6857">
        <w:rPr>
          <w:rFonts w:ascii="Times New Roman" w:hAnsi="Times New Roman" w:cs="Times New Roman"/>
          <w:sz w:val="24"/>
          <w:szCs w:val="24"/>
        </w:rPr>
        <w:t xml:space="preserve"> sarežģītos gadījumos</w:t>
      </w:r>
      <w:r w:rsidRPr="00992F2F">
        <w:rPr>
          <w:rFonts w:ascii="Times New Roman" w:hAnsi="Times New Roman" w:cs="Times New Roman"/>
          <w:sz w:val="24"/>
          <w:szCs w:val="24"/>
        </w:rPr>
        <w:t>.</w:t>
      </w:r>
    </w:p>
    <w:p w:rsidR="0033798E" w:rsidRPr="00992F2F" w:rsidRDefault="0033798E" w:rsidP="0033798E">
      <w:pPr>
        <w:ind w:left="720"/>
        <w:jc w:val="both"/>
        <w:rPr>
          <w:rFonts w:ascii="Times New Roman" w:hAnsi="Times New Roman" w:cs="Times New Roman"/>
          <w:sz w:val="24"/>
          <w:szCs w:val="24"/>
        </w:rPr>
      </w:pPr>
      <w:r w:rsidRPr="00992F2F">
        <w:rPr>
          <w:rFonts w:ascii="Times New Roman" w:hAnsi="Times New Roman" w:cs="Times New Roman"/>
          <w:sz w:val="24"/>
          <w:szCs w:val="24"/>
        </w:rPr>
        <w:t xml:space="preserve">5. Veselības aprūpes kvalitāti un efektivitāti ietekmē arī infrastruktūra, tāpēc, sekmējot pierādījumos balstītu lēmumu pieņemšanu veselības aprūpē un uzlabojot veselības aprūpes pārvaldību, jāattīsta veselības nozares datu </w:t>
      </w:r>
      <w:proofErr w:type="spellStart"/>
      <w:r w:rsidRPr="00992F2F">
        <w:rPr>
          <w:rFonts w:ascii="Times New Roman" w:hAnsi="Times New Roman" w:cs="Times New Roman"/>
          <w:sz w:val="24"/>
          <w:szCs w:val="24"/>
        </w:rPr>
        <w:t>digitalizācija</w:t>
      </w:r>
      <w:proofErr w:type="spellEnd"/>
      <w:r w:rsidRPr="00992F2F">
        <w:rPr>
          <w:rFonts w:ascii="Times New Roman" w:hAnsi="Times New Roman" w:cs="Times New Roman"/>
          <w:sz w:val="24"/>
          <w:szCs w:val="24"/>
        </w:rPr>
        <w:t xml:space="preserve"> un jānodrošina </w:t>
      </w:r>
      <w:r w:rsidRPr="00992F2F">
        <w:rPr>
          <w:rFonts w:ascii="Times New Roman" w:eastAsia="Times New Roman" w:hAnsi="Times New Roman" w:cs="Times New Roman"/>
          <w:color w:val="000000"/>
          <w:sz w:val="24"/>
          <w:szCs w:val="24"/>
        </w:rPr>
        <w:t xml:space="preserve">medicīnisko tehnoloģiju attīstība </w:t>
      </w:r>
      <w:r w:rsidRPr="000B6EAD">
        <w:rPr>
          <w:rFonts w:ascii="Times New Roman" w:eastAsia="Times New Roman" w:hAnsi="Times New Roman" w:cs="Times New Roman"/>
          <w:color w:val="000000"/>
          <w:sz w:val="24"/>
          <w:szCs w:val="24"/>
        </w:rPr>
        <w:t>prioritāri mātes un bērna veselības aprūpes jomā un jomās, kam ir būtiska ietekme uz priekšlaicīgu mirstību un darbspēju zudumu</w:t>
      </w:r>
      <w:r>
        <w:rPr>
          <w:rFonts w:ascii="Times New Roman" w:eastAsia="Times New Roman" w:hAnsi="Times New Roman" w:cs="Times New Roman"/>
          <w:color w:val="000000"/>
          <w:sz w:val="24"/>
          <w:szCs w:val="24"/>
        </w:rPr>
        <w:t>.</w:t>
      </w:r>
      <w:r w:rsidRPr="000B6EAD">
        <w:rPr>
          <w:rFonts w:ascii="Times New Roman" w:eastAsia="Times New Roman" w:hAnsi="Times New Roman" w:cs="Times New Roman"/>
          <w:color w:val="000000"/>
          <w:sz w:val="24"/>
          <w:szCs w:val="24"/>
        </w:rPr>
        <w:t xml:space="preserve"> </w:t>
      </w:r>
    </w:p>
    <w:p w:rsidR="0033798E" w:rsidRPr="00992F2F" w:rsidRDefault="0033798E" w:rsidP="0033798E">
      <w:pPr>
        <w:jc w:val="both"/>
        <w:rPr>
          <w:rFonts w:ascii="Times New Roman" w:hAnsi="Times New Roman" w:cs="Times New Roman"/>
          <w:sz w:val="24"/>
          <w:szCs w:val="24"/>
        </w:rPr>
      </w:pPr>
      <w:r w:rsidRPr="00992F2F">
        <w:rPr>
          <w:rFonts w:ascii="Times New Roman" w:hAnsi="Times New Roman" w:cs="Times New Roman"/>
          <w:sz w:val="24"/>
          <w:szCs w:val="24"/>
        </w:rPr>
        <w:t>Kopējais indikatīvais finansējums veselības mērķu sasniegšanai paredzēts 557,85 m</w:t>
      </w:r>
      <w:r>
        <w:rPr>
          <w:rFonts w:ascii="Times New Roman" w:hAnsi="Times New Roman" w:cs="Times New Roman"/>
          <w:sz w:val="24"/>
          <w:szCs w:val="24"/>
        </w:rPr>
        <w:t>i</w:t>
      </w:r>
      <w:r w:rsidRPr="00992F2F">
        <w:rPr>
          <w:rFonts w:ascii="Times New Roman" w:hAnsi="Times New Roman" w:cs="Times New Roman"/>
          <w:sz w:val="24"/>
          <w:szCs w:val="24"/>
        </w:rPr>
        <w:t>lj</w:t>
      </w:r>
      <w:r>
        <w:rPr>
          <w:rFonts w:ascii="Times New Roman" w:hAnsi="Times New Roman" w:cs="Times New Roman"/>
          <w:sz w:val="24"/>
          <w:szCs w:val="24"/>
        </w:rPr>
        <w:t>.</w:t>
      </w:r>
      <w:r w:rsidRPr="00992F2F">
        <w:rPr>
          <w:rFonts w:ascii="Times New Roman" w:hAnsi="Times New Roman" w:cs="Times New Roman"/>
          <w:sz w:val="24"/>
          <w:szCs w:val="24"/>
        </w:rPr>
        <w:t xml:space="preserve"> EUR apmērā, neskaitot izmaksas darba samaksas palielināšanai ārstniecības personām un izmaksas veselības veicināšanas un slimību profilakses aktivitātēm, kas ietvertas gan rīcības virzienā “Psiholoģiskā un emocionālā labklājība”, gan arī rīcības virzienā “Cilvēku līdzdalība kultūras un sporta aktivitātēs”. Darba samaksas palielināšana NAP2027 skatīta vienkopus visās nozarēs, t.sk. veselības ap</w:t>
      </w:r>
      <w:r>
        <w:rPr>
          <w:rFonts w:ascii="Times New Roman" w:hAnsi="Times New Roman" w:cs="Times New Roman"/>
          <w:sz w:val="24"/>
          <w:szCs w:val="24"/>
        </w:rPr>
        <w:t>rūpes, izglītības, kultūras, tiesībaizsardzības</w:t>
      </w:r>
      <w:r w:rsidRPr="00992F2F">
        <w:rPr>
          <w:rFonts w:ascii="Times New Roman" w:hAnsi="Times New Roman" w:cs="Times New Roman"/>
          <w:sz w:val="24"/>
          <w:szCs w:val="24"/>
        </w:rPr>
        <w:t xml:space="preserve"> jomā, septiņu gadu periodā paredzot tam 703,65 m</w:t>
      </w:r>
      <w:r>
        <w:rPr>
          <w:rFonts w:ascii="Times New Roman" w:hAnsi="Times New Roman" w:cs="Times New Roman"/>
          <w:sz w:val="24"/>
          <w:szCs w:val="24"/>
        </w:rPr>
        <w:t>i</w:t>
      </w:r>
      <w:r w:rsidRPr="00992F2F">
        <w:rPr>
          <w:rFonts w:ascii="Times New Roman" w:hAnsi="Times New Roman" w:cs="Times New Roman"/>
          <w:sz w:val="24"/>
          <w:szCs w:val="24"/>
        </w:rPr>
        <w:t>lj</w:t>
      </w:r>
      <w:r>
        <w:rPr>
          <w:rFonts w:ascii="Times New Roman" w:hAnsi="Times New Roman" w:cs="Times New Roman"/>
          <w:sz w:val="24"/>
          <w:szCs w:val="24"/>
        </w:rPr>
        <w:t>.</w:t>
      </w:r>
      <w:r w:rsidRPr="00992F2F">
        <w:rPr>
          <w:rFonts w:ascii="Times New Roman" w:hAnsi="Times New Roman" w:cs="Times New Roman"/>
          <w:sz w:val="24"/>
          <w:szCs w:val="24"/>
        </w:rPr>
        <w:t xml:space="preserve"> EUR, taču neatšifrējot, kāda ir procentuālā daļa no iezīmētā finansējuma atalgojuma celšanai katrai no politikas jomām.</w:t>
      </w:r>
    </w:p>
    <w:p w:rsidR="0033798E" w:rsidRPr="00992F2F" w:rsidRDefault="0033798E" w:rsidP="0033798E">
      <w:pPr>
        <w:jc w:val="both"/>
        <w:rPr>
          <w:rFonts w:ascii="Times New Roman" w:hAnsi="Times New Roman" w:cs="Times New Roman"/>
          <w:sz w:val="24"/>
          <w:szCs w:val="24"/>
        </w:rPr>
      </w:pPr>
      <w:r w:rsidRPr="00992F2F">
        <w:rPr>
          <w:rFonts w:ascii="Times New Roman" w:hAnsi="Times New Roman" w:cs="Times New Roman"/>
          <w:sz w:val="24"/>
          <w:szCs w:val="24"/>
        </w:rPr>
        <w:t>No veselības aprūpei indikatīvi iezīmētā finansējuma 72% veido ieguldījumi no E</w:t>
      </w:r>
      <w:r w:rsidR="0086226E">
        <w:rPr>
          <w:rFonts w:ascii="Times New Roman" w:hAnsi="Times New Roman" w:cs="Times New Roman"/>
          <w:sz w:val="24"/>
          <w:szCs w:val="24"/>
        </w:rPr>
        <w:t xml:space="preserve">iropas </w:t>
      </w:r>
      <w:r w:rsidRPr="00992F2F">
        <w:rPr>
          <w:rFonts w:ascii="Times New Roman" w:hAnsi="Times New Roman" w:cs="Times New Roman"/>
          <w:sz w:val="24"/>
          <w:szCs w:val="24"/>
        </w:rPr>
        <w:t>S</w:t>
      </w:r>
      <w:r w:rsidR="0086226E">
        <w:rPr>
          <w:rFonts w:ascii="Times New Roman" w:hAnsi="Times New Roman" w:cs="Times New Roman"/>
          <w:sz w:val="24"/>
          <w:szCs w:val="24"/>
        </w:rPr>
        <w:t>avienības</w:t>
      </w:r>
      <w:r w:rsidRPr="00992F2F">
        <w:rPr>
          <w:rFonts w:ascii="Times New Roman" w:hAnsi="Times New Roman" w:cs="Times New Roman"/>
          <w:sz w:val="24"/>
          <w:szCs w:val="24"/>
        </w:rPr>
        <w:t xml:space="preserve"> </w:t>
      </w:r>
      <w:r w:rsidR="0086226E">
        <w:rPr>
          <w:rFonts w:ascii="Times New Roman" w:hAnsi="Times New Roman" w:cs="Times New Roman"/>
          <w:sz w:val="24"/>
          <w:szCs w:val="24"/>
        </w:rPr>
        <w:t xml:space="preserve">(turpmāk – ES) </w:t>
      </w:r>
      <w:r w:rsidRPr="00992F2F">
        <w:rPr>
          <w:rFonts w:ascii="Times New Roman" w:hAnsi="Times New Roman" w:cs="Times New Roman"/>
          <w:sz w:val="24"/>
          <w:szCs w:val="24"/>
        </w:rPr>
        <w:t xml:space="preserve">fondu līdzekļiem, galvenokārt ERAF. Salīdzinājumā ar esošo plānošanas periodu ES fondu līdzekļu </w:t>
      </w:r>
      <w:r w:rsidRPr="004D161C">
        <w:rPr>
          <w:rFonts w:ascii="Times New Roman" w:hAnsi="Times New Roman" w:cs="Times New Roman"/>
          <w:sz w:val="24"/>
          <w:szCs w:val="24"/>
        </w:rPr>
        <w:t>apmērs veselības jomai NAP2027 ir paredzēts apm. 1,8 reizes lielāks (starpība apm. 185 milj.</w:t>
      </w:r>
      <w:r w:rsidR="00D36094" w:rsidRPr="004D161C">
        <w:rPr>
          <w:rFonts w:ascii="Times New Roman" w:hAnsi="Times New Roman" w:cs="Times New Roman"/>
          <w:sz w:val="24"/>
          <w:szCs w:val="24"/>
        </w:rPr>
        <w:t xml:space="preserve"> EUR).</w:t>
      </w:r>
      <w:r w:rsidRPr="004D161C">
        <w:rPr>
          <w:rFonts w:ascii="Times New Roman" w:eastAsia="Times New Roman" w:hAnsi="Times New Roman" w:cs="Times New Roman"/>
          <w:sz w:val="24"/>
          <w:szCs w:val="20"/>
        </w:rPr>
        <w:t xml:space="preserve"> </w:t>
      </w:r>
      <w:r w:rsidR="00D36094" w:rsidRPr="004D161C">
        <w:rPr>
          <w:rFonts w:ascii="Times New Roman" w:eastAsia="Times New Roman" w:hAnsi="Times New Roman" w:cs="Times New Roman"/>
          <w:sz w:val="24"/>
          <w:szCs w:val="20"/>
        </w:rPr>
        <w:t xml:space="preserve">Tiesa </w:t>
      </w:r>
      <w:r w:rsidR="00D36094" w:rsidRPr="004D161C">
        <w:rPr>
          <w:rFonts w:ascii="Times New Roman" w:hAnsi="Times New Roman" w:cs="Times New Roman"/>
          <w:sz w:val="24"/>
          <w:szCs w:val="24"/>
        </w:rPr>
        <w:t>NAP2027</w:t>
      </w:r>
      <w:r w:rsidRPr="004D161C">
        <w:rPr>
          <w:rFonts w:ascii="Times New Roman" w:hAnsi="Times New Roman" w:cs="Times New Roman"/>
          <w:sz w:val="24"/>
          <w:szCs w:val="24"/>
        </w:rPr>
        <w:t xml:space="preserve"> norādītais E</w:t>
      </w:r>
      <w:r w:rsidR="0086226E">
        <w:rPr>
          <w:rFonts w:ascii="Times New Roman" w:hAnsi="Times New Roman" w:cs="Times New Roman"/>
          <w:sz w:val="24"/>
          <w:szCs w:val="24"/>
        </w:rPr>
        <w:t>S</w:t>
      </w:r>
      <w:r w:rsidRPr="004D161C">
        <w:rPr>
          <w:rFonts w:ascii="Times New Roman" w:hAnsi="Times New Roman" w:cs="Times New Roman"/>
          <w:sz w:val="24"/>
          <w:szCs w:val="24"/>
        </w:rPr>
        <w:t xml:space="preserve"> struktūrfondu un Kohēzijas fonda 2021.–2027.gada plānošanas perioda finansējums ir indikatīvs, un NAP2027 ietvertos pasākumus un tiem paredzēto finansējuma apmēru vēl jāsaskaņo ar Eiropas Komisiju. </w:t>
      </w:r>
      <w:r w:rsidR="00D36094" w:rsidRPr="004D161C">
        <w:rPr>
          <w:rFonts w:ascii="Times New Roman" w:hAnsi="Times New Roman" w:cs="Times New Roman"/>
          <w:sz w:val="24"/>
          <w:szCs w:val="24"/>
        </w:rPr>
        <w:t>Vienlaikus šis finansējums</w:t>
      </w:r>
      <w:r w:rsidRPr="004D161C">
        <w:rPr>
          <w:rFonts w:ascii="Times New Roman" w:hAnsi="Times New Roman" w:cs="Times New Roman"/>
          <w:sz w:val="24"/>
          <w:szCs w:val="24"/>
        </w:rPr>
        <w:t xml:space="preserve"> nesedz tās veselības aprūpes nozares vajadzības, ko iespējams finansēt tikai no valsts budžeta līdzekļiem, proti, veselības aprūpes pakalpojumu un zāļu pieejamības uzlabošanu, kā arī veselības aprūpes</w:t>
      </w:r>
      <w:r w:rsidRPr="00992F2F">
        <w:rPr>
          <w:rFonts w:ascii="Times New Roman" w:hAnsi="Times New Roman" w:cs="Times New Roman"/>
          <w:sz w:val="24"/>
          <w:szCs w:val="24"/>
        </w:rPr>
        <w:t xml:space="preserve"> pakalpojumu tarifu pārrēķinu. Šobrīd NAP2027 rīcības virzienā “Uz cilvēku centrēta veselības aprūpe” veselības jomai no valsts budžeta indikatīvi iezīmēts finansējums 156,54 m</w:t>
      </w:r>
      <w:r>
        <w:rPr>
          <w:rFonts w:ascii="Times New Roman" w:hAnsi="Times New Roman" w:cs="Times New Roman"/>
          <w:sz w:val="24"/>
          <w:szCs w:val="24"/>
        </w:rPr>
        <w:t>i</w:t>
      </w:r>
      <w:r w:rsidRPr="00992F2F">
        <w:rPr>
          <w:rFonts w:ascii="Times New Roman" w:hAnsi="Times New Roman" w:cs="Times New Roman"/>
          <w:sz w:val="24"/>
          <w:szCs w:val="24"/>
        </w:rPr>
        <w:t>lj</w:t>
      </w:r>
      <w:r>
        <w:rPr>
          <w:rFonts w:ascii="Times New Roman" w:hAnsi="Times New Roman" w:cs="Times New Roman"/>
          <w:sz w:val="24"/>
          <w:szCs w:val="24"/>
        </w:rPr>
        <w:t>.</w:t>
      </w:r>
      <w:r w:rsidRPr="00992F2F">
        <w:rPr>
          <w:rFonts w:ascii="Times New Roman" w:hAnsi="Times New Roman" w:cs="Times New Roman"/>
          <w:sz w:val="24"/>
          <w:szCs w:val="24"/>
        </w:rPr>
        <w:t xml:space="preserve"> EUR apmērā</w:t>
      </w:r>
      <w:r>
        <w:rPr>
          <w:rFonts w:ascii="Times New Roman" w:hAnsi="Times New Roman" w:cs="Times New Roman"/>
          <w:sz w:val="24"/>
          <w:szCs w:val="24"/>
        </w:rPr>
        <w:t xml:space="preserve"> (2021.-2027.gadam kopā)</w:t>
      </w:r>
      <w:r w:rsidRPr="00992F2F">
        <w:rPr>
          <w:rFonts w:ascii="Times New Roman" w:hAnsi="Times New Roman" w:cs="Times New Roman"/>
          <w:sz w:val="24"/>
          <w:szCs w:val="24"/>
        </w:rPr>
        <w:t>, neskaitot izmaksas darba samaksas palielināšanai, un tas veido 10% no kopējā indikatīvi pieejamā valsts budžeta līdzekļu apmēra turpmākajiem septiņiem gadiem. Jāatzīmē, ka Veselības ministrijas iesniegto investīciju projektu kopsumma veselības aprūpes vajadzību finansēšanai no valsts budžeta līdzekļiem veidoja 2194,98 m</w:t>
      </w:r>
      <w:r>
        <w:rPr>
          <w:rFonts w:ascii="Times New Roman" w:hAnsi="Times New Roman" w:cs="Times New Roman"/>
          <w:sz w:val="24"/>
          <w:szCs w:val="24"/>
        </w:rPr>
        <w:t>i</w:t>
      </w:r>
      <w:r w:rsidRPr="00992F2F">
        <w:rPr>
          <w:rFonts w:ascii="Times New Roman" w:hAnsi="Times New Roman" w:cs="Times New Roman"/>
          <w:sz w:val="24"/>
          <w:szCs w:val="24"/>
        </w:rPr>
        <w:t>lj</w:t>
      </w:r>
      <w:r>
        <w:rPr>
          <w:rFonts w:ascii="Times New Roman" w:hAnsi="Times New Roman" w:cs="Times New Roman"/>
          <w:sz w:val="24"/>
          <w:szCs w:val="24"/>
        </w:rPr>
        <w:t>.</w:t>
      </w:r>
      <w:r w:rsidRPr="00992F2F">
        <w:rPr>
          <w:rFonts w:ascii="Times New Roman" w:hAnsi="Times New Roman" w:cs="Times New Roman"/>
          <w:sz w:val="24"/>
          <w:szCs w:val="24"/>
        </w:rPr>
        <w:t xml:space="preserve"> EUR, bez tam vēl </w:t>
      </w:r>
      <w:r>
        <w:rPr>
          <w:rFonts w:ascii="Times New Roman" w:hAnsi="Times New Roman" w:cs="Times New Roman"/>
          <w:sz w:val="24"/>
          <w:szCs w:val="24"/>
        </w:rPr>
        <w:t>2457,</w:t>
      </w:r>
      <w:r w:rsidRPr="00992F2F">
        <w:rPr>
          <w:rFonts w:ascii="Times New Roman" w:hAnsi="Times New Roman" w:cs="Times New Roman"/>
          <w:sz w:val="24"/>
          <w:szCs w:val="24"/>
        </w:rPr>
        <w:t>04 m</w:t>
      </w:r>
      <w:r>
        <w:rPr>
          <w:rFonts w:ascii="Times New Roman" w:hAnsi="Times New Roman" w:cs="Times New Roman"/>
          <w:sz w:val="24"/>
          <w:szCs w:val="24"/>
        </w:rPr>
        <w:t>i</w:t>
      </w:r>
      <w:r w:rsidRPr="00992F2F">
        <w:rPr>
          <w:rFonts w:ascii="Times New Roman" w:hAnsi="Times New Roman" w:cs="Times New Roman"/>
          <w:sz w:val="24"/>
          <w:szCs w:val="24"/>
        </w:rPr>
        <w:t>lj</w:t>
      </w:r>
      <w:r>
        <w:rPr>
          <w:rFonts w:ascii="Times New Roman" w:hAnsi="Times New Roman" w:cs="Times New Roman"/>
          <w:sz w:val="24"/>
          <w:szCs w:val="24"/>
        </w:rPr>
        <w:t>.</w:t>
      </w:r>
      <w:r w:rsidRPr="00992F2F">
        <w:rPr>
          <w:rFonts w:ascii="Times New Roman" w:hAnsi="Times New Roman" w:cs="Times New Roman"/>
          <w:sz w:val="24"/>
          <w:szCs w:val="24"/>
        </w:rPr>
        <w:t xml:space="preserve"> EUR tika prasīti darba samaksas paaugstināšanai ārstniecības </w:t>
      </w:r>
      <w:r w:rsidRPr="000B6EAD">
        <w:rPr>
          <w:rFonts w:ascii="Times New Roman" w:hAnsi="Times New Roman" w:cs="Times New Roman"/>
          <w:sz w:val="24"/>
          <w:szCs w:val="24"/>
        </w:rPr>
        <w:t xml:space="preserve">un ārstniecības atbalsta </w:t>
      </w:r>
      <w:r w:rsidRPr="00992F2F">
        <w:rPr>
          <w:rFonts w:ascii="Times New Roman" w:hAnsi="Times New Roman" w:cs="Times New Roman"/>
          <w:sz w:val="24"/>
          <w:szCs w:val="24"/>
        </w:rPr>
        <w:t>personām. Tādējādi veselības aprūpes vajadzības finansēšanai no valsts budžeta līdzekļiem turpmākajiem septiņiem gadiem ievērojami pārsniegušas fiskālās iespējas, ņemot vērā, ka valsts budžeta attīstības finansējums 2021.-2027.gadam Finanšu ministrijā aprēķināts 2200 m</w:t>
      </w:r>
      <w:r>
        <w:rPr>
          <w:rFonts w:ascii="Times New Roman" w:hAnsi="Times New Roman" w:cs="Times New Roman"/>
          <w:sz w:val="24"/>
          <w:szCs w:val="24"/>
        </w:rPr>
        <w:t>i</w:t>
      </w:r>
      <w:r w:rsidRPr="00992F2F">
        <w:rPr>
          <w:rFonts w:ascii="Times New Roman" w:hAnsi="Times New Roman" w:cs="Times New Roman"/>
          <w:sz w:val="24"/>
          <w:szCs w:val="24"/>
        </w:rPr>
        <w:t>lj</w:t>
      </w:r>
      <w:r>
        <w:rPr>
          <w:rFonts w:ascii="Times New Roman" w:hAnsi="Times New Roman" w:cs="Times New Roman"/>
          <w:sz w:val="24"/>
          <w:szCs w:val="24"/>
        </w:rPr>
        <w:t>.</w:t>
      </w:r>
      <w:r w:rsidRPr="00992F2F">
        <w:rPr>
          <w:rFonts w:ascii="Times New Roman" w:hAnsi="Times New Roman" w:cs="Times New Roman"/>
          <w:sz w:val="24"/>
          <w:szCs w:val="24"/>
        </w:rPr>
        <w:t xml:space="preserve"> EUR apmērā.</w:t>
      </w:r>
    </w:p>
    <w:p w:rsidR="0033798E" w:rsidRPr="00992F2F" w:rsidRDefault="0033798E" w:rsidP="0033798E">
      <w:pPr>
        <w:jc w:val="both"/>
        <w:rPr>
          <w:rFonts w:ascii="Times New Roman" w:hAnsi="Times New Roman" w:cs="Times New Roman"/>
          <w:sz w:val="24"/>
          <w:szCs w:val="24"/>
        </w:rPr>
      </w:pPr>
      <w:r w:rsidRPr="00992F2F">
        <w:rPr>
          <w:rFonts w:ascii="Times New Roman" w:hAnsi="Times New Roman" w:cs="Times New Roman"/>
          <w:sz w:val="24"/>
          <w:szCs w:val="24"/>
        </w:rPr>
        <w:t xml:space="preserve">Ministru kabinets konceptuāli piekrīt Saeimas Ilgtspējīgas attīstības komisijas aicinājumam veselības aprūpes nozarei noteikt augstu prioritāti valsts budžeta līdzekļu turpmākā plānošanā, jo vispārējās valdības izdevumi veselības </w:t>
      </w:r>
      <w:r>
        <w:rPr>
          <w:rFonts w:ascii="Times New Roman" w:hAnsi="Times New Roman" w:cs="Times New Roman"/>
          <w:sz w:val="24"/>
          <w:szCs w:val="24"/>
        </w:rPr>
        <w:t>aprūpei procentuāli no visiem</w:t>
      </w:r>
      <w:r w:rsidRPr="00992F2F">
        <w:rPr>
          <w:rFonts w:ascii="Times New Roman" w:hAnsi="Times New Roman" w:cs="Times New Roman"/>
          <w:sz w:val="24"/>
          <w:szCs w:val="24"/>
        </w:rPr>
        <w:t xml:space="preserve"> vispārējās valdības izdevumiem </w:t>
      </w:r>
      <w:r>
        <w:rPr>
          <w:rFonts w:ascii="Times New Roman" w:hAnsi="Times New Roman" w:cs="Times New Roman"/>
          <w:sz w:val="24"/>
          <w:szCs w:val="24"/>
        </w:rPr>
        <w:t xml:space="preserve">ir </w:t>
      </w:r>
      <w:r w:rsidRPr="00992F2F">
        <w:rPr>
          <w:rFonts w:ascii="Times New Roman" w:hAnsi="Times New Roman" w:cs="Times New Roman"/>
          <w:sz w:val="24"/>
          <w:szCs w:val="24"/>
        </w:rPr>
        <w:t>10,4%</w:t>
      </w:r>
      <w:r>
        <w:rPr>
          <w:rFonts w:ascii="Times New Roman" w:hAnsi="Times New Roman" w:cs="Times New Roman"/>
          <w:sz w:val="24"/>
          <w:szCs w:val="24"/>
        </w:rPr>
        <w:t xml:space="preserve"> un veselības aprūpe </w:t>
      </w:r>
      <w:r w:rsidRPr="00992F2F">
        <w:rPr>
          <w:rFonts w:ascii="Times New Roman" w:hAnsi="Times New Roman" w:cs="Times New Roman"/>
          <w:sz w:val="24"/>
          <w:szCs w:val="24"/>
        </w:rPr>
        <w:t xml:space="preserve">ir salīdzinoši visnepietiekamāk finansētā valsts budžeta izdevumu joma salīdzinājumā ar vidējo rādītāju ES-27 dalībvalstīm (15%). Ministru </w:t>
      </w:r>
      <w:r w:rsidRPr="00992F2F">
        <w:rPr>
          <w:rFonts w:ascii="Times New Roman" w:hAnsi="Times New Roman" w:cs="Times New Roman"/>
          <w:sz w:val="24"/>
          <w:szCs w:val="24"/>
        </w:rPr>
        <w:lastRenderedPageBreak/>
        <w:t>kabinets</w:t>
      </w:r>
      <w:r w:rsidR="0086226E">
        <w:rPr>
          <w:rFonts w:ascii="Times New Roman" w:hAnsi="Times New Roman" w:cs="Times New Roman"/>
          <w:sz w:val="24"/>
          <w:szCs w:val="24"/>
        </w:rPr>
        <w:t xml:space="preserve"> uzskata, ka, ņemot vērā, ka</w:t>
      </w:r>
      <w:r w:rsidRPr="00992F2F">
        <w:rPr>
          <w:rFonts w:ascii="Times New Roman" w:hAnsi="Times New Roman" w:cs="Times New Roman"/>
          <w:sz w:val="24"/>
          <w:szCs w:val="24"/>
        </w:rPr>
        <w:t xml:space="preserve"> NAP2027 pēc tā izskatīšanas Ministru kabineta sēdē nonāk Saeimā tā turpmākai virzībai, ir iespējams Saeimā šī jautājuma ietvaros turpināt diskusijas par finanšu resursu sadalījumu starp NAP2027 prioritātēm un rīcības virzieniem, tajā skaitā diskutējot par iespēju pārdalīt lielāku valsts budžeta indikatīvā finansējuma (arī publiskā sektora darba atlīdzībai iezīmētā finansējuma) daļu rīcības virzienam “Uz cil</w:t>
      </w:r>
      <w:r>
        <w:rPr>
          <w:rFonts w:ascii="Times New Roman" w:hAnsi="Times New Roman" w:cs="Times New Roman"/>
          <w:sz w:val="24"/>
          <w:szCs w:val="24"/>
        </w:rPr>
        <w:t>vēku centrēta veselības aprūpe” uz citu prioritāšu rēķina.</w:t>
      </w:r>
    </w:p>
    <w:p w:rsidR="005263F8" w:rsidRDefault="005263F8" w:rsidP="00B97768">
      <w:pPr>
        <w:jc w:val="both"/>
        <w:rPr>
          <w:rFonts w:ascii="Times New Roman" w:hAnsi="Times New Roman" w:cs="Times New Roman"/>
          <w:sz w:val="24"/>
          <w:szCs w:val="24"/>
        </w:rPr>
      </w:pPr>
    </w:p>
    <w:p w:rsidR="005263F8" w:rsidRPr="005263F8" w:rsidRDefault="005263F8" w:rsidP="005263F8">
      <w:pPr>
        <w:rPr>
          <w:rFonts w:ascii="Times New Roman" w:hAnsi="Times New Roman" w:cs="Times New Roman"/>
          <w:sz w:val="24"/>
          <w:szCs w:val="24"/>
        </w:rPr>
      </w:pPr>
      <w:r w:rsidRPr="005263F8">
        <w:rPr>
          <w:rFonts w:ascii="Times New Roman" w:eastAsia="Times New Roman" w:hAnsi="Times New Roman" w:cs="Times New Roman"/>
          <w:sz w:val="24"/>
          <w:szCs w:val="24"/>
          <w:lang w:eastAsia="lv-LV"/>
        </w:rPr>
        <w:t xml:space="preserve">Ministru prezidents </w:t>
      </w:r>
      <w:r w:rsidRPr="005263F8">
        <w:rPr>
          <w:rFonts w:ascii="Times New Roman" w:eastAsia="Times New Roman" w:hAnsi="Times New Roman" w:cs="Times New Roman"/>
          <w:sz w:val="24"/>
          <w:szCs w:val="24"/>
          <w:lang w:eastAsia="lv-LV"/>
        </w:rPr>
        <w:tab/>
      </w:r>
      <w:r w:rsidRPr="005263F8">
        <w:rPr>
          <w:rFonts w:ascii="Times New Roman" w:eastAsia="Times New Roman" w:hAnsi="Times New Roman" w:cs="Times New Roman"/>
          <w:sz w:val="24"/>
          <w:szCs w:val="24"/>
          <w:lang w:eastAsia="lv-LV"/>
        </w:rPr>
        <w:tab/>
      </w:r>
      <w:r w:rsidRPr="005263F8">
        <w:rPr>
          <w:rFonts w:ascii="Times New Roman" w:eastAsia="Times New Roman" w:hAnsi="Times New Roman" w:cs="Times New Roman"/>
          <w:sz w:val="24"/>
          <w:szCs w:val="24"/>
          <w:lang w:eastAsia="lv-LV"/>
        </w:rPr>
        <w:tab/>
      </w:r>
      <w:r w:rsidRPr="005263F8">
        <w:rPr>
          <w:rFonts w:ascii="Times New Roman" w:eastAsia="Times New Roman" w:hAnsi="Times New Roman" w:cs="Times New Roman"/>
          <w:sz w:val="24"/>
          <w:szCs w:val="24"/>
          <w:lang w:eastAsia="lv-LV"/>
        </w:rPr>
        <w:tab/>
      </w:r>
      <w:r w:rsidRPr="005263F8">
        <w:rPr>
          <w:rFonts w:ascii="Times New Roman" w:eastAsia="Times New Roman" w:hAnsi="Times New Roman" w:cs="Times New Roman"/>
          <w:sz w:val="24"/>
          <w:szCs w:val="24"/>
          <w:lang w:eastAsia="lv-LV"/>
        </w:rPr>
        <w:tab/>
      </w:r>
      <w:r w:rsidRPr="005263F8">
        <w:rPr>
          <w:rFonts w:ascii="Times New Roman" w:eastAsia="Times New Roman" w:hAnsi="Times New Roman" w:cs="Times New Roman"/>
          <w:sz w:val="24"/>
          <w:szCs w:val="24"/>
          <w:lang w:eastAsia="lv-LV"/>
        </w:rPr>
        <w:tab/>
        <w:t xml:space="preserve">                A.K. Kariņš</w:t>
      </w:r>
    </w:p>
    <w:p w:rsidR="005263F8" w:rsidRPr="005263F8" w:rsidRDefault="005263F8" w:rsidP="005263F8">
      <w:pPr>
        <w:rPr>
          <w:rFonts w:ascii="Times New Roman" w:hAnsi="Times New Roman" w:cs="Times New Roman"/>
          <w:sz w:val="24"/>
          <w:szCs w:val="24"/>
        </w:rPr>
      </w:pPr>
    </w:p>
    <w:p w:rsidR="005263F8" w:rsidRPr="005263F8" w:rsidRDefault="005263F8" w:rsidP="005263F8">
      <w:pPr>
        <w:rPr>
          <w:rFonts w:ascii="Times New Roman" w:hAnsi="Times New Roman" w:cs="Times New Roman"/>
          <w:sz w:val="24"/>
          <w:szCs w:val="24"/>
        </w:rPr>
      </w:pPr>
    </w:p>
    <w:p w:rsidR="005263F8" w:rsidRPr="005263F8" w:rsidRDefault="005263F8" w:rsidP="005263F8">
      <w:pPr>
        <w:rPr>
          <w:rFonts w:ascii="Times New Roman" w:hAnsi="Times New Roman" w:cs="Times New Roman"/>
          <w:sz w:val="24"/>
          <w:szCs w:val="24"/>
        </w:rPr>
      </w:pPr>
      <w:r w:rsidRPr="005263F8">
        <w:rPr>
          <w:rFonts w:ascii="Times New Roman" w:hAnsi="Times New Roman" w:cs="Times New Roman"/>
          <w:sz w:val="24"/>
          <w:szCs w:val="24"/>
        </w:rPr>
        <w:t xml:space="preserve">Iesniedzējs: </w:t>
      </w:r>
    </w:p>
    <w:p w:rsidR="005263F8" w:rsidRPr="005263F8" w:rsidRDefault="005263F8" w:rsidP="005263F8">
      <w:pPr>
        <w:rPr>
          <w:rFonts w:ascii="Times New Roman" w:hAnsi="Times New Roman" w:cs="Times New Roman"/>
          <w:sz w:val="24"/>
          <w:szCs w:val="24"/>
        </w:rPr>
      </w:pPr>
      <w:r>
        <w:rPr>
          <w:rFonts w:ascii="Times New Roman" w:hAnsi="Times New Roman" w:cs="Times New Roman"/>
          <w:sz w:val="24"/>
          <w:szCs w:val="24"/>
        </w:rPr>
        <w:t>Ministru prezidents</w:t>
      </w:r>
      <w:r w:rsidRPr="005263F8">
        <w:rPr>
          <w:rFonts w:ascii="Times New Roman" w:hAnsi="Times New Roman" w:cs="Times New Roman"/>
          <w:sz w:val="24"/>
          <w:szCs w:val="24"/>
        </w:rPr>
        <w:tab/>
      </w:r>
      <w:r w:rsidRPr="005263F8">
        <w:rPr>
          <w:rFonts w:ascii="Times New Roman" w:hAnsi="Times New Roman" w:cs="Times New Roman"/>
          <w:sz w:val="24"/>
          <w:szCs w:val="24"/>
        </w:rPr>
        <w:tab/>
      </w:r>
      <w:r w:rsidRPr="005263F8">
        <w:rPr>
          <w:rFonts w:ascii="Times New Roman" w:hAnsi="Times New Roman" w:cs="Times New Roman"/>
          <w:sz w:val="24"/>
          <w:szCs w:val="24"/>
        </w:rPr>
        <w:tab/>
      </w:r>
      <w:r w:rsidRPr="005263F8">
        <w:rPr>
          <w:rFonts w:ascii="Times New Roman" w:hAnsi="Times New Roman" w:cs="Times New Roman"/>
          <w:sz w:val="24"/>
          <w:szCs w:val="24"/>
        </w:rPr>
        <w:tab/>
        <w:t xml:space="preserve">                                       </w:t>
      </w:r>
      <w:r>
        <w:rPr>
          <w:rFonts w:ascii="Times New Roman" w:hAnsi="Times New Roman" w:cs="Times New Roman"/>
          <w:sz w:val="24"/>
          <w:szCs w:val="24"/>
        </w:rPr>
        <w:t>A.K.Kariņš</w:t>
      </w:r>
    </w:p>
    <w:p w:rsidR="005263F8" w:rsidRPr="00992F2F" w:rsidRDefault="005263F8" w:rsidP="00B97768">
      <w:pPr>
        <w:jc w:val="both"/>
        <w:rPr>
          <w:rFonts w:ascii="Times New Roman" w:hAnsi="Times New Roman" w:cs="Times New Roman"/>
          <w:sz w:val="24"/>
          <w:szCs w:val="24"/>
        </w:rPr>
      </w:pPr>
    </w:p>
    <w:p w:rsidR="00456DE6" w:rsidRDefault="00456DE6"/>
    <w:p w:rsidR="00456DE6" w:rsidRDefault="00456DE6"/>
    <w:sectPr w:rsidR="00456DE6" w:rsidSect="00606F28">
      <w:footerReference w:type="default" r:id="rId6"/>
      <w:pgSz w:w="11906" w:h="16838" w:code="9"/>
      <w:pgMar w:top="1418" w:right="1134" w:bottom="1134"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0FF8" w:rsidRDefault="00790FF8" w:rsidP="0086226E">
      <w:pPr>
        <w:spacing w:after="0" w:line="240" w:lineRule="auto"/>
      </w:pPr>
      <w:r>
        <w:separator/>
      </w:r>
    </w:p>
  </w:endnote>
  <w:endnote w:type="continuationSeparator" w:id="0">
    <w:p w:rsidR="00790FF8" w:rsidRDefault="00790FF8" w:rsidP="008622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7032205"/>
      <w:docPartObj>
        <w:docPartGallery w:val="Page Numbers (Bottom of Page)"/>
        <w:docPartUnique/>
      </w:docPartObj>
    </w:sdtPr>
    <w:sdtEndPr>
      <w:rPr>
        <w:rFonts w:ascii="Times New Roman" w:hAnsi="Times New Roman" w:cs="Times New Roman"/>
        <w:noProof/>
        <w:sz w:val="18"/>
        <w:szCs w:val="18"/>
      </w:rPr>
    </w:sdtEndPr>
    <w:sdtContent>
      <w:p w:rsidR="0086226E" w:rsidRDefault="0086226E" w:rsidP="0060465B">
        <w:pPr>
          <w:pStyle w:val="Footer"/>
          <w:jc w:val="center"/>
        </w:pPr>
        <w:r w:rsidRPr="0060465B">
          <w:rPr>
            <w:rFonts w:ascii="Times New Roman" w:hAnsi="Times New Roman" w:cs="Times New Roman"/>
            <w:sz w:val="18"/>
            <w:szCs w:val="18"/>
          </w:rPr>
          <w:fldChar w:fldCharType="begin"/>
        </w:r>
        <w:r w:rsidRPr="0060465B">
          <w:rPr>
            <w:rFonts w:ascii="Times New Roman" w:hAnsi="Times New Roman" w:cs="Times New Roman"/>
            <w:sz w:val="18"/>
            <w:szCs w:val="18"/>
          </w:rPr>
          <w:instrText xml:space="preserve"> PAGE   \* MERGEFORMAT </w:instrText>
        </w:r>
        <w:r w:rsidRPr="0060465B">
          <w:rPr>
            <w:rFonts w:ascii="Times New Roman" w:hAnsi="Times New Roman" w:cs="Times New Roman"/>
            <w:sz w:val="18"/>
            <w:szCs w:val="18"/>
          </w:rPr>
          <w:fldChar w:fldCharType="separate"/>
        </w:r>
        <w:r w:rsidR="0060465B">
          <w:rPr>
            <w:rFonts w:ascii="Times New Roman" w:hAnsi="Times New Roman" w:cs="Times New Roman"/>
            <w:noProof/>
            <w:sz w:val="18"/>
            <w:szCs w:val="18"/>
          </w:rPr>
          <w:t>3</w:t>
        </w:r>
        <w:r w:rsidRPr="0060465B">
          <w:rPr>
            <w:rFonts w:ascii="Times New Roman" w:hAnsi="Times New Roman" w:cs="Times New Roman"/>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0FF8" w:rsidRDefault="00790FF8" w:rsidP="0086226E">
      <w:pPr>
        <w:spacing w:after="0" w:line="240" w:lineRule="auto"/>
      </w:pPr>
      <w:r>
        <w:separator/>
      </w:r>
    </w:p>
  </w:footnote>
  <w:footnote w:type="continuationSeparator" w:id="0">
    <w:p w:rsidR="00790FF8" w:rsidRDefault="00790FF8" w:rsidP="0086226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DE6"/>
    <w:rsid w:val="000D486F"/>
    <w:rsid w:val="001252A0"/>
    <w:rsid w:val="001416E1"/>
    <w:rsid w:val="001715AD"/>
    <w:rsid w:val="0017592B"/>
    <w:rsid w:val="0018647E"/>
    <w:rsid w:val="001908C4"/>
    <w:rsid w:val="001D086E"/>
    <w:rsid w:val="00223114"/>
    <w:rsid w:val="00262450"/>
    <w:rsid w:val="002846D7"/>
    <w:rsid w:val="0033798E"/>
    <w:rsid w:val="00343240"/>
    <w:rsid w:val="00345B48"/>
    <w:rsid w:val="00350CEE"/>
    <w:rsid w:val="003A2C93"/>
    <w:rsid w:val="003A733E"/>
    <w:rsid w:val="00402875"/>
    <w:rsid w:val="00456DE6"/>
    <w:rsid w:val="00481A5A"/>
    <w:rsid w:val="00494B00"/>
    <w:rsid w:val="004D161C"/>
    <w:rsid w:val="005263F8"/>
    <w:rsid w:val="0054770C"/>
    <w:rsid w:val="005719E0"/>
    <w:rsid w:val="005A1237"/>
    <w:rsid w:val="005A6B0C"/>
    <w:rsid w:val="005F0536"/>
    <w:rsid w:val="00602390"/>
    <w:rsid w:val="0060465B"/>
    <w:rsid w:val="00606F28"/>
    <w:rsid w:val="00640E86"/>
    <w:rsid w:val="0068249D"/>
    <w:rsid w:val="00696342"/>
    <w:rsid w:val="006E007E"/>
    <w:rsid w:val="00726796"/>
    <w:rsid w:val="007516EC"/>
    <w:rsid w:val="00790FF8"/>
    <w:rsid w:val="007E45A0"/>
    <w:rsid w:val="00855247"/>
    <w:rsid w:val="0086226E"/>
    <w:rsid w:val="00874B13"/>
    <w:rsid w:val="008C088A"/>
    <w:rsid w:val="009344B2"/>
    <w:rsid w:val="009705F4"/>
    <w:rsid w:val="00992F2F"/>
    <w:rsid w:val="009A282B"/>
    <w:rsid w:val="009A49D8"/>
    <w:rsid w:val="009C054C"/>
    <w:rsid w:val="00A54A00"/>
    <w:rsid w:val="00AA543B"/>
    <w:rsid w:val="00AF4FCA"/>
    <w:rsid w:val="00B049F0"/>
    <w:rsid w:val="00B0525C"/>
    <w:rsid w:val="00B26DF5"/>
    <w:rsid w:val="00B36DCD"/>
    <w:rsid w:val="00B97768"/>
    <w:rsid w:val="00BA1081"/>
    <w:rsid w:val="00BF6049"/>
    <w:rsid w:val="00C32F51"/>
    <w:rsid w:val="00CC43FA"/>
    <w:rsid w:val="00D1794B"/>
    <w:rsid w:val="00D36094"/>
    <w:rsid w:val="00D50804"/>
    <w:rsid w:val="00D534ED"/>
    <w:rsid w:val="00DC5CAA"/>
    <w:rsid w:val="00E06E70"/>
    <w:rsid w:val="00E22A85"/>
    <w:rsid w:val="00E70F73"/>
    <w:rsid w:val="00ED6249"/>
    <w:rsid w:val="00EE2518"/>
    <w:rsid w:val="00EF32DD"/>
    <w:rsid w:val="00F37AE2"/>
    <w:rsid w:val="00F46DE6"/>
    <w:rsid w:val="00F664BE"/>
    <w:rsid w:val="00FA5CB0"/>
    <w:rsid w:val="00FB224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CE0D10-9842-4578-88BA-9C0995BBA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79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794B"/>
    <w:rPr>
      <w:rFonts w:ascii="Segoe UI" w:hAnsi="Segoe UI" w:cs="Segoe UI"/>
      <w:sz w:val="18"/>
      <w:szCs w:val="18"/>
    </w:rPr>
  </w:style>
  <w:style w:type="paragraph" w:styleId="Header">
    <w:name w:val="header"/>
    <w:basedOn w:val="Normal"/>
    <w:link w:val="HeaderChar"/>
    <w:uiPriority w:val="99"/>
    <w:unhideWhenUsed/>
    <w:rsid w:val="0086226E"/>
    <w:pPr>
      <w:tabs>
        <w:tab w:val="center" w:pos="4153"/>
        <w:tab w:val="right" w:pos="8306"/>
      </w:tabs>
      <w:spacing w:after="0" w:line="240" w:lineRule="auto"/>
    </w:pPr>
  </w:style>
  <w:style w:type="character" w:customStyle="1" w:styleId="HeaderChar">
    <w:name w:val="Header Char"/>
    <w:basedOn w:val="DefaultParagraphFont"/>
    <w:link w:val="Header"/>
    <w:uiPriority w:val="99"/>
    <w:rsid w:val="0086226E"/>
  </w:style>
  <w:style w:type="paragraph" w:styleId="Footer">
    <w:name w:val="footer"/>
    <w:basedOn w:val="Normal"/>
    <w:link w:val="FooterChar"/>
    <w:uiPriority w:val="99"/>
    <w:unhideWhenUsed/>
    <w:rsid w:val="0086226E"/>
    <w:pPr>
      <w:tabs>
        <w:tab w:val="center" w:pos="4153"/>
        <w:tab w:val="right" w:pos="8306"/>
      </w:tabs>
      <w:spacing w:after="0" w:line="240" w:lineRule="auto"/>
    </w:pPr>
  </w:style>
  <w:style w:type="character" w:customStyle="1" w:styleId="FooterChar">
    <w:name w:val="Footer Char"/>
    <w:basedOn w:val="DefaultParagraphFont"/>
    <w:link w:val="Footer"/>
    <w:uiPriority w:val="99"/>
    <w:rsid w:val="008622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4573</Words>
  <Characters>2607</Characters>
  <Application>Microsoft Office Word</Application>
  <DocSecurity>4</DocSecurity>
  <Lines>21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Sigita Snikere</dc:creator>
  <cp:keywords/>
  <dc:description/>
  <cp:lastModifiedBy>Gunta Mekone</cp:lastModifiedBy>
  <cp:revision>2</cp:revision>
  <cp:lastPrinted>2020-03-03T09:55:00Z</cp:lastPrinted>
  <dcterms:created xsi:type="dcterms:W3CDTF">2020-03-03T12:21:00Z</dcterms:created>
  <dcterms:modified xsi:type="dcterms:W3CDTF">2020-03-03T12:21:00Z</dcterms:modified>
</cp:coreProperties>
</file>