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0327B312" w:rsidR="00310924" w:rsidRPr="00583CBA" w:rsidRDefault="00032471" w:rsidP="00B043DE">
      <w:pPr>
        <w:shd w:val="clear" w:color="auto" w:fill="FFFFFF"/>
        <w:contextualSpacing/>
        <w:jc w:val="center"/>
        <w:rPr>
          <w:b/>
          <w:sz w:val="26"/>
          <w:lang w:val="lv-LV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 w:rsidRPr="00583CBA">
        <w:rPr>
          <w:b/>
          <w:sz w:val="26"/>
          <w:szCs w:val="26"/>
          <w:lang w:val="lv-LV"/>
        </w:rPr>
        <w:t xml:space="preserve">Ministru kabineta noteikumu projekta </w:t>
      </w:r>
      <w:r w:rsidR="003D3CA2" w:rsidRPr="00583CBA">
        <w:rPr>
          <w:b/>
          <w:bCs/>
          <w:sz w:val="26"/>
          <w:szCs w:val="26"/>
          <w:lang w:val="lv-LV"/>
        </w:rPr>
        <w:t>“</w:t>
      </w:r>
      <w:r w:rsidR="000A3654" w:rsidRPr="000A3654">
        <w:rPr>
          <w:b/>
          <w:sz w:val="26"/>
          <w:lang w:val="lv-LV"/>
        </w:rPr>
        <w:t>Grozījumi Ministru kabineta 2020</w:t>
      </w:r>
      <w:r w:rsidR="000A3654">
        <w:rPr>
          <w:b/>
          <w:sz w:val="26"/>
          <w:lang w:val="lv-LV"/>
        </w:rPr>
        <w:t>.</w:t>
      </w:r>
      <w:r w:rsidR="000A3654" w:rsidRPr="000A3654">
        <w:rPr>
          <w:b/>
          <w:sz w:val="26"/>
          <w:lang w:val="lv-LV"/>
        </w:rPr>
        <w:t xml:space="preserve">gada </w:t>
      </w:r>
      <w:r w:rsidR="009B38B2">
        <w:rPr>
          <w:b/>
          <w:sz w:val="26"/>
          <w:lang w:val="lv-LV"/>
        </w:rPr>
        <w:t>19</w:t>
      </w:r>
      <w:r w:rsidR="000A3654" w:rsidRPr="000A3654">
        <w:rPr>
          <w:b/>
          <w:sz w:val="26"/>
          <w:lang w:val="lv-LV"/>
        </w:rPr>
        <w:t xml:space="preserve">.marta noteikumos Nr. </w:t>
      </w:r>
      <w:r w:rsidR="00F03D63">
        <w:rPr>
          <w:b/>
          <w:sz w:val="26"/>
          <w:lang w:val="lv-LV"/>
        </w:rPr>
        <w:t>150</w:t>
      </w:r>
      <w:r w:rsidR="000A3654" w:rsidRPr="000A3654">
        <w:rPr>
          <w:b/>
          <w:sz w:val="26"/>
          <w:lang w:val="lv-LV"/>
        </w:rPr>
        <w:t xml:space="preserve"> “Noteikumi par garantijām saimnieciskās darbības veicējiem, kuru darbību ietekmējusi Covid-19 izplatība”</w:t>
      </w:r>
      <w:r w:rsidRPr="00583CBA">
        <w:rPr>
          <w:b/>
          <w:sz w:val="26"/>
          <w:szCs w:val="26"/>
          <w:lang w:val="lv-LV"/>
        </w:rPr>
        <w:t>”</w:t>
      </w:r>
      <w:r w:rsidR="003C585E">
        <w:rPr>
          <w:b/>
          <w:sz w:val="26"/>
          <w:szCs w:val="26"/>
          <w:lang w:val="lv-LV"/>
        </w:rPr>
        <w:t xml:space="preserve"> </w:t>
      </w:r>
      <w:r w:rsidRPr="00583CBA">
        <w:rPr>
          <w:b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583CBA" w:rsidRDefault="00032471" w:rsidP="00B043DE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310924" w:rsidRPr="00583CBA" w14:paraId="06A3987D" w14:textId="77777777" w:rsidTr="00BB004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583CBA" w:rsidRDefault="00310924" w:rsidP="00B043DE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310924" w:rsidRPr="00C74D5C" w14:paraId="5F92C921" w14:textId="77777777" w:rsidTr="00BB0042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583CBA" w:rsidRDefault="00310924" w:rsidP="00B043DE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1E1DE" w14:textId="415662DB" w:rsidR="00DD696D" w:rsidRPr="00583CBA" w:rsidRDefault="00F40716" w:rsidP="00B043DE">
            <w:pPr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Tiesību akta projekts paredz </w:t>
            </w:r>
            <w:r w:rsidR="000A3654">
              <w:rPr>
                <w:rFonts w:eastAsia="Times New Roman"/>
                <w:iCs/>
                <w:sz w:val="26"/>
                <w:szCs w:val="26"/>
                <w:lang w:val="lv-LV"/>
              </w:rPr>
              <w:t>grozīt</w:t>
            </w:r>
            <w:r w:rsidR="000A3654">
              <w:t xml:space="preserve"> </w:t>
            </w:r>
            <w:r w:rsidR="000A3654" w:rsidRP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Ministru kabineta 2020</w:t>
            </w:r>
            <w:r w:rsidR="000A3654">
              <w:rPr>
                <w:rFonts w:eastAsia="Times New Roman"/>
                <w:iCs/>
                <w:sz w:val="26"/>
                <w:szCs w:val="26"/>
                <w:lang w:val="lv-LV"/>
              </w:rPr>
              <w:t>.</w:t>
            </w:r>
            <w:r w:rsidR="000A3654" w:rsidRP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gada </w:t>
            </w:r>
            <w:r w:rsidR="009B38B2">
              <w:rPr>
                <w:rFonts w:eastAsia="Times New Roman"/>
                <w:iCs/>
                <w:sz w:val="26"/>
                <w:szCs w:val="26"/>
                <w:lang w:val="lv-LV"/>
              </w:rPr>
              <w:t>19</w:t>
            </w:r>
            <w:r w:rsidR="000A3654" w:rsidRPr="000A3654">
              <w:rPr>
                <w:rFonts w:eastAsia="Times New Roman"/>
                <w:iCs/>
                <w:sz w:val="26"/>
                <w:szCs w:val="26"/>
                <w:lang w:val="lv-LV"/>
              </w:rPr>
              <w:t>.marta noteikum</w:t>
            </w:r>
            <w:r w:rsidR="000A3654">
              <w:rPr>
                <w:rFonts w:eastAsia="Times New Roman"/>
                <w:iCs/>
                <w:sz w:val="26"/>
                <w:szCs w:val="26"/>
                <w:lang w:val="lv-LV"/>
              </w:rPr>
              <w:t>u</w:t>
            </w:r>
            <w:r w:rsidR="000A3654" w:rsidRP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s Nr. </w:t>
            </w:r>
            <w:r w:rsidR="00F03D63">
              <w:rPr>
                <w:rFonts w:eastAsia="Times New Roman"/>
                <w:iCs/>
                <w:sz w:val="26"/>
                <w:szCs w:val="26"/>
                <w:lang w:val="lv-LV"/>
              </w:rPr>
              <w:t>150</w:t>
            </w:r>
            <w:r w:rsidR="000A3654" w:rsidRP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“Noteikumi par garantijām saimnieciskās darbības veicējiem, kuru darbību ietekmējusi Covid-19 izplatība”</w:t>
            </w:r>
            <w:r w:rsid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</w:t>
            </w:r>
            <w:r w:rsidR="00B84D88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(turpmāk – Noteikumu projekts) </w:t>
            </w:r>
            <w:r w:rsid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saskaņā ar 2020.gada 19.marta Eiropas Komisijas apstiprināto </w:t>
            </w:r>
            <w:proofErr w:type="spellStart"/>
            <w:r w:rsidR="000A3654" w:rsidRPr="003C585E">
              <w:rPr>
                <w:sz w:val="26"/>
                <w:szCs w:val="26"/>
              </w:rPr>
              <w:t>Pagaidu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shēmu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valsts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atbalsta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pasākumiem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ekonomikas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atbalstam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Covid-19 </w:t>
            </w:r>
            <w:proofErr w:type="spellStart"/>
            <w:r w:rsidR="000A3654" w:rsidRPr="003C585E">
              <w:rPr>
                <w:sz w:val="26"/>
                <w:szCs w:val="26"/>
              </w:rPr>
              <w:t>uzliesmojuma</w:t>
            </w:r>
            <w:proofErr w:type="spellEnd"/>
            <w:r w:rsidR="000A3654" w:rsidRPr="003C585E">
              <w:rPr>
                <w:sz w:val="26"/>
                <w:szCs w:val="26"/>
              </w:rPr>
              <w:t xml:space="preserve"> </w:t>
            </w:r>
            <w:proofErr w:type="spellStart"/>
            <w:r w:rsidR="000A3654" w:rsidRPr="003C585E">
              <w:rPr>
                <w:sz w:val="26"/>
                <w:szCs w:val="26"/>
              </w:rPr>
              <w:t>laikā</w:t>
            </w:r>
            <w:proofErr w:type="spellEnd"/>
            <w:r w:rsidR="000A3654">
              <w:rPr>
                <w:sz w:val="26"/>
                <w:szCs w:val="26"/>
              </w:rPr>
              <w:t xml:space="preserve"> (C (2020) 1863 </w:t>
            </w:r>
            <w:r w:rsidR="000A3654" w:rsidRPr="003C585E">
              <w:rPr>
                <w:sz w:val="26"/>
                <w:szCs w:val="26"/>
              </w:rPr>
              <w:t xml:space="preserve"> (</w:t>
            </w:r>
            <w:r w:rsidR="000A3654">
              <w:rPr>
                <w:sz w:val="26"/>
                <w:szCs w:val="26"/>
              </w:rPr>
              <w:t xml:space="preserve">Communication from The Commission </w:t>
            </w:r>
            <w:r w:rsidR="000A3654" w:rsidRPr="003C585E">
              <w:rPr>
                <w:i/>
                <w:iCs/>
                <w:sz w:val="26"/>
                <w:szCs w:val="26"/>
              </w:rPr>
              <w:t xml:space="preserve">Temporary Framework </w:t>
            </w:r>
            <w:r w:rsidR="000A3654">
              <w:rPr>
                <w:i/>
                <w:iCs/>
                <w:sz w:val="26"/>
                <w:szCs w:val="26"/>
              </w:rPr>
              <w:t xml:space="preserve">for State aid measures to </w:t>
            </w:r>
            <w:r w:rsidR="000A3654" w:rsidRPr="003C585E">
              <w:rPr>
                <w:i/>
                <w:iCs/>
                <w:sz w:val="26"/>
                <w:szCs w:val="26"/>
              </w:rPr>
              <w:t xml:space="preserve">support the economy in the </w:t>
            </w:r>
            <w:r w:rsidR="000A3654">
              <w:rPr>
                <w:i/>
                <w:iCs/>
                <w:sz w:val="26"/>
                <w:szCs w:val="26"/>
              </w:rPr>
              <w:t>current</w:t>
            </w:r>
            <w:r w:rsidR="000A3654" w:rsidRPr="003C585E">
              <w:rPr>
                <w:i/>
                <w:iCs/>
                <w:sz w:val="26"/>
                <w:szCs w:val="26"/>
              </w:rPr>
              <w:t xml:space="preserve">  COVID-19 outbreak.)</w:t>
            </w:r>
            <w:r w:rsidR="000A3654" w:rsidRPr="003C585E">
              <w:rPr>
                <w:sz w:val="26"/>
                <w:szCs w:val="26"/>
              </w:rPr>
              <w:t>.</w:t>
            </w:r>
            <w:r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</w:t>
            </w:r>
          </w:p>
        </w:tc>
      </w:tr>
    </w:tbl>
    <w:p w14:paraId="6A8022D4" w14:textId="0FD7EE14" w:rsidR="00310924" w:rsidRPr="00583CBA" w:rsidRDefault="00310924" w:rsidP="00B043DE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160"/>
      </w:tblGrid>
      <w:tr w:rsidR="00844176" w:rsidRPr="00583CBA" w14:paraId="02364BB3" w14:textId="77777777" w:rsidTr="00434856">
        <w:trPr>
          <w:trHeight w:val="307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583CBA" w:rsidRDefault="00844176" w:rsidP="00B043DE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b/>
                <w:sz w:val="26"/>
                <w:lang w:val="lv-LV"/>
              </w:rPr>
              <w:t>I. Tiesību akta projekta izstrādes nepieciešamība</w:t>
            </w:r>
          </w:p>
        </w:tc>
      </w:tr>
      <w:tr w:rsidR="00844176" w:rsidRPr="00583CBA" w14:paraId="7F385C9A" w14:textId="77777777" w:rsidTr="00434856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0CE1E4E9" w:rsidR="00B72365" w:rsidRPr="003C585E" w:rsidRDefault="000A3654" w:rsidP="00B043DE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774F71">
              <w:rPr>
                <w:rFonts w:eastAsia="Times New Roman"/>
                <w:iCs/>
                <w:sz w:val="26"/>
                <w:szCs w:val="26"/>
                <w:lang w:val="lv-LV"/>
              </w:rPr>
              <w:t>2020.gada 19.mart</w:t>
            </w:r>
            <w:r w:rsidR="004A15EF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ā </w:t>
            </w:r>
            <w:r w:rsidRPr="00774F71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Eiropas Komisija apstiprināja   </w:t>
            </w:r>
            <w:r w:rsidRPr="00774F71">
              <w:rPr>
                <w:sz w:val="26"/>
                <w:szCs w:val="26"/>
                <w:lang w:val="lv-LV"/>
              </w:rPr>
              <w:t>Pagaidu shēmu valsts atbalsta pasākumiem ekonomikas atbalstam Covid-19 uzliesmojuma laikā</w:t>
            </w:r>
            <w:r>
              <w:rPr>
                <w:sz w:val="26"/>
                <w:szCs w:val="26"/>
              </w:rPr>
              <w:t xml:space="preserve"> (C (2020) 1863 </w:t>
            </w:r>
            <w:r w:rsidRPr="003C585E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Communication from The Commission </w:t>
            </w:r>
            <w:r w:rsidRPr="003C585E">
              <w:rPr>
                <w:i/>
                <w:iCs/>
                <w:sz w:val="26"/>
                <w:szCs w:val="26"/>
              </w:rPr>
              <w:t xml:space="preserve">Temporary Framework </w:t>
            </w:r>
            <w:r>
              <w:rPr>
                <w:i/>
                <w:iCs/>
                <w:sz w:val="26"/>
                <w:szCs w:val="26"/>
              </w:rPr>
              <w:t xml:space="preserve">for State aid measures to </w:t>
            </w:r>
            <w:r w:rsidRPr="003C585E">
              <w:rPr>
                <w:i/>
                <w:iCs/>
                <w:sz w:val="26"/>
                <w:szCs w:val="26"/>
              </w:rPr>
              <w:t xml:space="preserve">support the economy in the </w:t>
            </w:r>
            <w:r>
              <w:rPr>
                <w:i/>
                <w:iCs/>
                <w:sz w:val="26"/>
                <w:szCs w:val="26"/>
              </w:rPr>
              <w:t>current</w:t>
            </w:r>
            <w:r w:rsidRPr="003C585E">
              <w:rPr>
                <w:i/>
                <w:iCs/>
                <w:sz w:val="26"/>
                <w:szCs w:val="26"/>
              </w:rPr>
              <w:t xml:space="preserve">  COVID-19 outbreak)</w:t>
            </w:r>
            <w:r w:rsidR="00774F71">
              <w:rPr>
                <w:i/>
                <w:iCs/>
                <w:sz w:val="26"/>
                <w:szCs w:val="26"/>
              </w:rPr>
              <w:t xml:space="preserve"> </w:t>
            </w:r>
            <w:r w:rsidR="00774F71" w:rsidRPr="00774F71">
              <w:rPr>
                <w:sz w:val="26"/>
                <w:szCs w:val="26"/>
              </w:rPr>
              <w:t>(</w:t>
            </w:r>
            <w:proofErr w:type="spellStart"/>
            <w:r w:rsidR="00774F71" w:rsidRPr="00774F71">
              <w:rPr>
                <w:sz w:val="26"/>
                <w:szCs w:val="26"/>
              </w:rPr>
              <w:t>turpmāk</w:t>
            </w:r>
            <w:proofErr w:type="spellEnd"/>
            <w:r w:rsidR="00774F71" w:rsidRPr="00774F71">
              <w:rPr>
                <w:sz w:val="26"/>
                <w:szCs w:val="26"/>
              </w:rPr>
              <w:t xml:space="preserve"> – </w:t>
            </w:r>
            <w:proofErr w:type="spellStart"/>
            <w:r w:rsidR="00F718FD">
              <w:rPr>
                <w:sz w:val="26"/>
                <w:szCs w:val="26"/>
              </w:rPr>
              <w:t>Komisijas</w:t>
            </w:r>
            <w:proofErr w:type="spellEnd"/>
            <w:r w:rsidR="00F718FD">
              <w:rPr>
                <w:sz w:val="26"/>
                <w:szCs w:val="26"/>
              </w:rPr>
              <w:t xml:space="preserve"> </w:t>
            </w:r>
            <w:proofErr w:type="spellStart"/>
            <w:r w:rsidR="00F718FD">
              <w:rPr>
                <w:sz w:val="26"/>
                <w:szCs w:val="26"/>
              </w:rPr>
              <w:t>paziņojums</w:t>
            </w:r>
            <w:proofErr w:type="spellEnd"/>
            <w:r w:rsidR="00774F71" w:rsidRPr="00774F71">
              <w:rPr>
                <w:sz w:val="26"/>
                <w:szCs w:val="26"/>
              </w:rPr>
              <w:t>).</w:t>
            </w:r>
            <w:r w:rsidRPr="00774F71">
              <w:rPr>
                <w:sz w:val="26"/>
                <w:szCs w:val="26"/>
              </w:rPr>
              <w:t xml:space="preserve"> </w:t>
            </w:r>
            <w:r w:rsidRPr="00774F71">
              <w:rPr>
                <w:sz w:val="26"/>
                <w:szCs w:val="26"/>
                <w:lang w:val="lv-LV"/>
              </w:rPr>
              <w:t xml:space="preserve">Tās nosacījumi </w:t>
            </w:r>
            <w:r w:rsidR="00774F71">
              <w:rPr>
                <w:sz w:val="26"/>
                <w:szCs w:val="26"/>
                <w:lang w:val="lv-LV"/>
              </w:rPr>
              <w:t>apstiprinātajā</w:t>
            </w:r>
            <w:r w:rsidRPr="00774F71">
              <w:rPr>
                <w:sz w:val="26"/>
                <w:szCs w:val="26"/>
                <w:lang w:val="lv-LV"/>
              </w:rPr>
              <w:t xml:space="preserve"> redakcijā ir labvēlīgāki </w:t>
            </w:r>
            <w:r w:rsidR="00774F71">
              <w:rPr>
                <w:sz w:val="26"/>
                <w:szCs w:val="26"/>
                <w:lang w:val="lv-LV"/>
              </w:rPr>
              <w:t>ne</w:t>
            </w:r>
            <w:r w:rsidRPr="00774F71">
              <w:rPr>
                <w:sz w:val="26"/>
                <w:szCs w:val="26"/>
                <w:lang w:val="lv-LV"/>
              </w:rPr>
              <w:t xml:space="preserve">kā </w:t>
            </w:r>
            <w:r w:rsidR="00774F71" w:rsidRPr="00774F71">
              <w:rPr>
                <w:sz w:val="26"/>
                <w:szCs w:val="26"/>
                <w:lang w:val="lv-LV"/>
              </w:rPr>
              <w:t xml:space="preserve">projekta </w:t>
            </w:r>
            <w:r w:rsidRPr="00774F71">
              <w:rPr>
                <w:sz w:val="26"/>
                <w:szCs w:val="26"/>
                <w:lang w:val="lv-LV"/>
              </w:rPr>
              <w:t>versijā.</w:t>
            </w:r>
          </w:p>
        </w:tc>
      </w:tr>
      <w:tr w:rsidR="00844176" w:rsidRPr="004B1861" w14:paraId="62EDED08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044133EA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0A76B" w14:textId="6DFCD828" w:rsidR="00B043DE" w:rsidRPr="00774F71" w:rsidRDefault="000A3654" w:rsidP="00B043DE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Noteikumu projekts paredz šādus labvēlīgākus nosacījumus gala saņēmējam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saskaņā ar </w:t>
            </w:r>
            <w:r w:rsidR="00F718FD" w:rsidRPr="00F718F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Komisijas paziņojumu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:</w:t>
            </w:r>
          </w:p>
          <w:p w14:paraId="60E2D07F" w14:textId="6716453A" w:rsidR="000F2EA7" w:rsidRPr="00774F71" w:rsidRDefault="00774F71" w:rsidP="00B043D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g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arantijas maksimālais termiņš līdzšinējo divu gadu vietā ir noteikts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ka tas ir 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seši gadi investīciju aizdevumiem un finanšu līzing</w:t>
            </w:r>
            <w:r w:rsidR="00C1794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u pakalpojumiem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savukārt apgrozāmiem līdzekļiem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garantijas termiņš ir 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līdz trīs gadiem;</w:t>
            </w:r>
          </w:p>
          <w:p w14:paraId="73A70710" w14:textId="5F79113B" w:rsidR="00B043DE" w:rsidRPr="00F26DC2" w:rsidRDefault="00774F71" w:rsidP="00B043D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aizstāta prasība par 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likviditātes plāna</w:t>
            </w:r>
            <w:r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nepieciešamību</w:t>
            </w:r>
            <w:r w:rsidR="00B043DE" w:rsidRPr="00774F7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bet noteikts, ka vienam saimnieciskās darbības veicējam  aizdevums, par kuru var sniegt garantiju, nepārsniedz 25% no 2019.gada kopējā apgrozījuma, </w:t>
            </w:r>
            <w:r w:rsidR="00B043DE"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bet maksimālā garantijas summa nepārsniedz 5 miljoni </w:t>
            </w:r>
            <w:proofErr w:type="spellStart"/>
            <w:r w:rsidR="00B043DE" w:rsidRPr="00F26DC2"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proofErr w:type="spellEnd"/>
            <w:r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 tādejādi padarot šo nosacījumu vienkāršāk piemērojamu, izsekojamu un pamatojamu;</w:t>
            </w:r>
          </w:p>
          <w:p w14:paraId="4296E35E" w14:textId="0ECE2795" w:rsidR="002470A3" w:rsidRPr="00F26DC2" w:rsidRDefault="002470A3" w:rsidP="00B043D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tiek </w:t>
            </w:r>
            <w:r w:rsidR="00641D59"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precizētas atbalsta apvienošanas normas</w:t>
            </w:r>
            <w:r w:rsidR="00435CF9"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 ņemot vērā Komisijas lēmumu</w:t>
            </w:r>
            <w:r w:rsidR="00C50D1A"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lietā</w:t>
            </w:r>
            <w:r w:rsidR="00435CF9" w:rsidRPr="00D03E0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SA.56722 (2020/PN) un 2020.gada 19.marta noteikumus Nr. 149 “</w:t>
            </w:r>
            <w:r w:rsidR="00435CF9" w:rsidRPr="00F26DC2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Noteikumi par apgrozāmo līdzekļu aizdevumiem saimnieciskās </w:t>
            </w:r>
            <w:r w:rsidR="00435CF9" w:rsidRPr="00F26DC2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lastRenderedPageBreak/>
              <w:t>darbības veicējiem, kuru darbību ietekmējusi Covid-19 izplatība”</w:t>
            </w:r>
            <w:r w:rsidR="00435CF9"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26DC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;</w:t>
            </w:r>
          </w:p>
          <w:p w14:paraId="70E93E86" w14:textId="02A14A76" w:rsidR="00B043DE" w:rsidRPr="00435CF9" w:rsidRDefault="00774F71" w:rsidP="00B043D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agarināts termiņš</w:t>
            </w: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līdz </w:t>
            </w: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kuram var pieņemt lēmumu par garantijas izsniegšanu šīs programmas ietvaros, t.i., līdz 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2020.gada 31.decembrim;</w:t>
            </w:r>
          </w:p>
          <w:p w14:paraId="47D79C9A" w14:textId="75CE11A8" w:rsidR="00B043DE" w:rsidRDefault="00774F71" w:rsidP="00B043D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n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oteiktas garantij</w:t>
            </w: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u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prēmij</w:t>
            </w: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u likmes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atbilstoši </w:t>
            </w:r>
            <w:r w:rsidR="000A6332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Komisijas </w:t>
            </w:r>
            <w:r w:rsidR="00CB5FE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lēmumam </w:t>
            </w:r>
            <w:r w:rsidR="0034593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lietā </w:t>
            </w:r>
            <w:r w:rsidR="00CB5FE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SA.56722 (2020/PN)</w:t>
            </w:r>
            <w:r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.</w:t>
            </w:r>
            <w:r w:rsidR="00B043DE" w:rsidRPr="00435CF9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09F04E06" w14:textId="3753D3E4" w:rsidR="00E30F56" w:rsidRPr="0077183A" w:rsidRDefault="00CB5FEE" w:rsidP="00293CAD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Samazināts finansējums šo noteikumu ietvaros līdz 25 000 000, jo puse tiek pārdalīta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portfeļgarntiju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krīzes instrumentam saskaņā ar plānotajiem grozījumiem </w:t>
            </w:r>
            <w:r w:rsidRPr="00CB5FE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2017. gada 5. septembra noteikumos Nr. 537 "Noteikumi par </w:t>
            </w:r>
            <w:proofErr w:type="spellStart"/>
            <w:r w:rsidRPr="00CB5FE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portfeļgarantijām</w:t>
            </w:r>
            <w:proofErr w:type="spellEnd"/>
            <w:r w:rsidRPr="00CB5FE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sīko (mikro), mazo un vidējo komersantu kreditēšanas veicināšanai”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="006C43C0" w:rsidRPr="006C43C0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Vienlaicīgi pastāv iespējamība, ka būs nepieciešams izskatīt jautājumu par papildus finansējuma piešķiršanu plašākam un ilgstošākam nozaru atbalstam un turpmākai finansēšanas darījumu garantēšanai.</w:t>
            </w:r>
          </w:p>
        </w:tc>
      </w:tr>
      <w:tr w:rsidR="00844176" w:rsidRPr="00583CBA" w14:paraId="41041CF1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2F738161" w:rsidR="00844176" w:rsidRPr="00583CBA" w:rsidRDefault="00557B17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419E41A" w:rsidR="00844176" w:rsidRPr="00583CBA" w:rsidRDefault="00CE0AC5" w:rsidP="00B043DE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szCs w:val="26"/>
                <w:lang w:val="lv-LV"/>
              </w:rPr>
              <w:t>E</w:t>
            </w:r>
            <w:r w:rsidR="00547ACF" w:rsidRPr="00583CBA">
              <w:rPr>
                <w:sz w:val="26"/>
                <w:szCs w:val="26"/>
                <w:lang w:val="lv-LV"/>
              </w:rPr>
              <w:t>konomikas ministrija</w:t>
            </w:r>
            <w:r w:rsidRPr="00583CBA">
              <w:rPr>
                <w:sz w:val="26"/>
                <w:szCs w:val="26"/>
                <w:lang w:val="lv-LV"/>
              </w:rPr>
              <w:t xml:space="preserve">, </w:t>
            </w:r>
            <w:r w:rsidR="00547ACF" w:rsidRPr="00583CBA">
              <w:rPr>
                <w:sz w:val="26"/>
                <w:szCs w:val="26"/>
                <w:lang w:val="lv-LV"/>
              </w:rPr>
              <w:t>sabiedrība “</w:t>
            </w:r>
            <w:proofErr w:type="spellStart"/>
            <w:r w:rsidR="00547ACF" w:rsidRPr="00583CBA">
              <w:rPr>
                <w:sz w:val="26"/>
                <w:szCs w:val="26"/>
                <w:lang w:val="lv-LV"/>
              </w:rPr>
              <w:t>Altum</w:t>
            </w:r>
            <w:proofErr w:type="spellEnd"/>
            <w:r w:rsidR="00547ACF" w:rsidRPr="00583CBA">
              <w:rPr>
                <w:sz w:val="26"/>
                <w:szCs w:val="26"/>
                <w:lang w:val="lv-LV"/>
              </w:rPr>
              <w:t>”</w:t>
            </w:r>
          </w:p>
        </w:tc>
      </w:tr>
      <w:tr w:rsidR="00844176" w:rsidRPr="00583CBA" w14:paraId="3C98D228" w14:textId="77777777" w:rsidTr="00434856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 xml:space="preserve">Nav </w:t>
            </w:r>
          </w:p>
        </w:tc>
      </w:tr>
    </w:tbl>
    <w:p w14:paraId="00447F19" w14:textId="3BFE4D51" w:rsidR="009A00EB" w:rsidRPr="00583CBA" w:rsidRDefault="009A00EB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4B1861" w14:paraId="5271E387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583CBA" w:rsidRDefault="009A00EB" w:rsidP="00B043DE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4B1861" w14:paraId="7F8630C6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FB87" w14:textId="27C427A1" w:rsidR="009A00EB" w:rsidRPr="00583CBA" w:rsidRDefault="009A00EB" w:rsidP="00B043DE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Latvijā reģistrēti saimnieciskās darbības veicēji, sabiedrība “</w:t>
            </w:r>
            <w:proofErr w:type="spellStart"/>
            <w:r w:rsidRPr="00583CBA">
              <w:rPr>
                <w:sz w:val="26"/>
                <w:szCs w:val="26"/>
                <w:lang w:val="lv-LV"/>
              </w:rPr>
              <w:t>Altum</w:t>
            </w:r>
            <w:proofErr w:type="spellEnd"/>
            <w:r w:rsidRPr="00583CBA">
              <w:rPr>
                <w:sz w:val="26"/>
                <w:szCs w:val="26"/>
                <w:lang w:val="lv-LV"/>
              </w:rPr>
              <w:t>”.</w:t>
            </w:r>
          </w:p>
        </w:tc>
      </w:tr>
      <w:tr w:rsidR="00A76C0A" w:rsidRPr="004B1861" w14:paraId="718E705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5AFE3C66" w:rsidR="009A00EB" w:rsidRPr="00583CBA" w:rsidRDefault="00F26DC2" w:rsidP="00B043DE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Noteikumu projekts paredz mazināt Covid-19 izraisītas </w:t>
            </w:r>
            <w:r w:rsidR="00D03E09">
              <w:rPr>
                <w:rFonts w:eastAsia="Calibri"/>
                <w:sz w:val="26"/>
                <w:szCs w:val="26"/>
                <w:lang w:eastAsia="en-US"/>
              </w:rPr>
              <w:t xml:space="preserve">negatīvas </w:t>
            </w:r>
            <w:r>
              <w:rPr>
                <w:rFonts w:eastAsia="Calibri"/>
                <w:sz w:val="26"/>
                <w:szCs w:val="26"/>
                <w:lang w:eastAsia="en-US"/>
              </w:rPr>
              <w:t>sekas uz</w:t>
            </w:r>
            <w:r w:rsidR="00D03E09">
              <w:rPr>
                <w:rFonts w:eastAsia="Calibri"/>
                <w:sz w:val="26"/>
                <w:szCs w:val="26"/>
                <w:lang w:eastAsia="en-US"/>
              </w:rPr>
              <w:t xml:space="preserve">ņēmējdarbības attīstībā </w:t>
            </w:r>
            <w:r>
              <w:rPr>
                <w:rFonts w:eastAsia="Calibri"/>
                <w:sz w:val="26"/>
                <w:szCs w:val="26"/>
                <w:lang w:eastAsia="en-US"/>
              </w:rPr>
              <w:t>līdz ar to t</w:t>
            </w:r>
            <w:r w:rsidR="00D03E09">
              <w:rPr>
                <w:rFonts w:eastAsia="Calibri"/>
                <w:sz w:val="26"/>
                <w:szCs w:val="26"/>
                <w:lang w:eastAsia="en-US"/>
              </w:rPr>
              <w:t>am ir pozitīva ietekme arī uz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valsts ekonomik</w:t>
            </w:r>
            <w:r w:rsidR="00D03E09">
              <w:rPr>
                <w:rFonts w:eastAsia="Calibri"/>
                <w:sz w:val="26"/>
                <w:szCs w:val="26"/>
                <w:lang w:eastAsia="en-US"/>
              </w:rPr>
              <w:t>u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kopumā.</w:t>
            </w:r>
          </w:p>
        </w:tc>
      </w:tr>
      <w:tr w:rsidR="00A76C0A" w:rsidRPr="00583CBA" w14:paraId="6AF18C8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7FD21686" w:rsidR="009A00EB" w:rsidRPr="00583CBA" w:rsidRDefault="009A00EB" w:rsidP="00B043DE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583CBA" w14:paraId="259E0982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39B71D86" w:rsidR="009A00EB" w:rsidRPr="00583CBA" w:rsidRDefault="009A00EB" w:rsidP="00B043DE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583CBA" w14:paraId="14FCA979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583CBA" w:rsidRDefault="009A00EB" w:rsidP="00B043DE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57D2014F" w14:textId="357C47C2" w:rsidR="00E0333C" w:rsidRDefault="00E0333C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2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252"/>
        <w:gridCol w:w="1100"/>
        <w:gridCol w:w="892"/>
        <w:gridCol w:w="1100"/>
        <w:gridCol w:w="892"/>
        <w:gridCol w:w="1100"/>
        <w:gridCol w:w="1106"/>
      </w:tblGrid>
      <w:tr w:rsidR="0034593A" w:rsidRPr="004B1861" w14:paraId="7FF8BA69" w14:textId="77777777" w:rsidTr="00267498">
        <w:trPr>
          <w:trHeight w:val="249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E219" w14:textId="77777777" w:rsidR="0034593A" w:rsidRPr="00530A2A" w:rsidRDefault="0034593A" w:rsidP="00267498">
            <w:pPr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530A2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34593A" w:rsidRPr="00530A2A" w14:paraId="113C4A0E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4C7A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530A2A">
              <w:rPr>
                <w:bCs/>
                <w:sz w:val="26"/>
                <w:szCs w:val="26"/>
              </w:rPr>
              <w:t>Rādītāji</w:t>
            </w:r>
            <w:proofErr w:type="spellEnd"/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6A164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n-gads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A2E3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Turpmākie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trīs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gadi</w:t>
            </w:r>
            <w:proofErr w:type="spellEnd"/>
            <w:r w:rsidRPr="00530A2A">
              <w:rPr>
                <w:sz w:val="26"/>
                <w:szCs w:val="26"/>
              </w:rPr>
              <w:t xml:space="preserve"> (</w:t>
            </w:r>
            <w:r w:rsidRPr="00530A2A">
              <w:rPr>
                <w:i/>
                <w:iCs/>
                <w:sz w:val="26"/>
                <w:szCs w:val="26"/>
              </w:rPr>
              <w:t>euro</w:t>
            </w:r>
            <w:r w:rsidRPr="00530A2A">
              <w:rPr>
                <w:sz w:val="26"/>
                <w:szCs w:val="26"/>
              </w:rPr>
              <w:t>)</w:t>
            </w:r>
          </w:p>
        </w:tc>
      </w:tr>
      <w:tr w:rsidR="0034593A" w:rsidRPr="00530A2A" w14:paraId="24C984C0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782" w:type="dxa"/>
            <w:vMerge/>
            <w:vAlign w:val="center"/>
            <w:hideMark/>
          </w:tcPr>
          <w:p w14:paraId="50F1AC9D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2" w:type="dxa"/>
            <w:gridSpan w:val="2"/>
            <w:vMerge/>
            <w:vAlign w:val="center"/>
            <w:hideMark/>
          </w:tcPr>
          <w:p w14:paraId="6277DF58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02AC8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n+1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5FF25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n+2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9E2AA" w14:textId="77777777" w:rsidR="0034593A" w:rsidRPr="00530A2A" w:rsidRDefault="0034593A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n+3</w:t>
            </w:r>
          </w:p>
        </w:tc>
      </w:tr>
      <w:tr w:rsidR="0034593A" w:rsidRPr="00530A2A" w14:paraId="7F2C7F48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782" w:type="dxa"/>
            <w:vMerge/>
            <w:vAlign w:val="center"/>
            <w:hideMark/>
          </w:tcPr>
          <w:p w14:paraId="61F6904A" w14:textId="77777777" w:rsidR="0034593A" w:rsidRPr="00530A2A" w:rsidRDefault="0034593A" w:rsidP="0026749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A5F38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saskaņā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valsts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kārtējam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gadam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3B63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izmaiņas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kārtējā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gadā</w:t>
            </w:r>
            <w:proofErr w:type="spellEnd"/>
            <w:r w:rsidRPr="00530A2A">
              <w:rPr>
                <w:sz w:val="26"/>
                <w:szCs w:val="26"/>
              </w:rPr>
              <w:t xml:space="preserve">, </w:t>
            </w:r>
            <w:proofErr w:type="spellStart"/>
            <w:r w:rsidRPr="00530A2A">
              <w:rPr>
                <w:sz w:val="26"/>
                <w:szCs w:val="26"/>
              </w:rPr>
              <w:t>salīdzinot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valsts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kārtējam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gadam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34CA2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saskaņā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vidēja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termiņa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ietvaru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F89B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izmaiņas</w:t>
            </w:r>
            <w:proofErr w:type="spellEnd"/>
            <w:r w:rsidRPr="00530A2A">
              <w:rPr>
                <w:sz w:val="26"/>
                <w:szCs w:val="26"/>
              </w:rPr>
              <w:t xml:space="preserve">, </w:t>
            </w:r>
            <w:proofErr w:type="spellStart"/>
            <w:r w:rsidRPr="00530A2A">
              <w:rPr>
                <w:sz w:val="26"/>
                <w:szCs w:val="26"/>
              </w:rPr>
              <w:t>salīdzinot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vidēja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termiņa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ietvaru</w:t>
            </w:r>
            <w:proofErr w:type="spellEnd"/>
            <w:r w:rsidRPr="00530A2A">
              <w:rPr>
                <w:sz w:val="26"/>
                <w:szCs w:val="26"/>
              </w:rPr>
              <w:t xml:space="preserve"> n+1 </w:t>
            </w:r>
            <w:proofErr w:type="spellStart"/>
            <w:r w:rsidRPr="00530A2A">
              <w:rPr>
                <w:sz w:val="26"/>
                <w:szCs w:val="26"/>
              </w:rPr>
              <w:t>gadam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FBE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saskaņā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vidēja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termiņa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ietvaru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1B3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izmaiņas</w:t>
            </w:r>
            <w:proofErr w:type="spellEnd"/>
            <w:r w:rsidRPr="00530A2A">
              <w:rPr>
                <w:sz w:val="26"/>
                <w:szCs w:val="26"/>
              </w:rPr>
              <w:t xml:space="preserve">, </w:t>
            </w:r>
            <w:proofErr w:type="spellStart"/>
            <w:r w:rsidRPr="00530A2A">
              <w:rPr>
                <w:sz w:val="26"/>
                <w:szCs w:val="26"/>
              </w:rPr>
              <w:t>salīdzinot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vidēja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termiņa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ietvaru</w:t>
            </w:r>
            <w:proofErr w:type="spellEnd"/>
            <w:r w:rsidRPr="00530A2A">
              <w:rPr>
                <w:sz w:val="26"/>
                <w:szCs w:val="26"/>
              </w:rPr>
              <w:t xml:space="preserve"> n+2 </w:t>
            </w:r>
            <w:proofErr w:type="spellStart"/>
            <w:r w:rsidRPr="00530A2A">
              <w:rPr>
                <w:sz w:val="26"/>
                <w:szCs w:val="26"/>
              </w:rPr>
              <w:t>gadam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292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proofErr w:type="spellStart"/>
            <w:r w:rsidRPr="00530A2A">
              <w:rPr>
                <w:sz w:val="26"/>
                <w:szCs w:val="26"/>
              </w:rPr>
              <w:t>izmaiņas</w:t>
            </w:r>
            <w:proofErr w:type="spellEnd"/>
            <w:r w:rsidRPr="00530A2A">
              <w:rPr>
                <w:sz w:val="26"/>
                <w:szCs w:val="26"/>
              </w:rPr>
              <w:t xml:space="preserve">, </w:t>
            </w:r>
            <w:proofErr w:type="spellStart"/>
            <w:r w:rsidRPr="00530A2A">
              <w:rPr>
                <w:sz w:val="26"/>
                <w:szCs w:val="26"/>
              </w:rPr>
              <w:t>salīdzinot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vidēja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termiņa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ietvaru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r w:rsidRPr="00530A2A">
              <w:rPr>
                <w:sz w:val="26"/>
                <w:szCs w:val="26"/>
              </w:rPr>
              <w:br/>
              <w:t xml:space="preserve">n+2 </w:t>
            </w:r>
            <w:proofErr w:type="spellStart"/>
            <w:r w:rsidRPr="00530A2A">
              <w:rPr>
                <w:sz w:val="26"/>
                <w:szCs w:val="26"/>
              </w:rPr>
              <w:t>gadam</w:t>
            </w:r>
            <w:proofErr w:type="spellEnd"/>
          </w:p>
        </w:tc>
      </w:tr>
      <w:tr w:rsidR="0034593A" w:rsidRPr="00530A2A" w14:paraId="27789BFA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BE87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DCA6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7B2F4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93526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8CBF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C8C6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4527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D30D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8</w:t>
            </w:r>
          </w:p>
        </w:tc>
      </w:tr>
      <w:tr w:rsidR="0034593A" w:rsidRPr="00530A2A" w14:paraId="062D7EBD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48BE1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1.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ieņēmumi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70A36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F7A6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8AC5F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98D4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CE12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6C71F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1D964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00E8D0C8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CEFC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2. </w:t>
            </w:r>
            <w:proofErr w:type="spellStart"/>
            <w:r w:rsidRPr="00530A2A">
              <w:rPr>
                <w:sz w:val="26"/>
                <w:szCs w:val="26"/>
              </w:rPr>
              <w:t>Budžeta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izdevumi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677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334" w14:textId="7655DDAB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euro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77F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B4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C25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E9F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2C2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7BA0AB8B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33E3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2.1. </w:t>
            </w:r>
            <w:proofErr w:type="spellStart"/>
            <w:r w:rsidRPr="00530A2A">
              <w:rPr>
                <w:sz w:val="26"/>
                <w:szCs w:val="26"/>
              </w:rPr>
              <w:t>valsts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pamatbudžets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44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923" w14:textId="5725DAC9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euro</w:t>
            </w:r>
          </w:p>
          <w:p w14:paraId="2D352E0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D0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180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58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BF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39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15FF1D46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E7B5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2.2. </w:t>
            </w:r>
            <w:proofErr w:type="spellStart"/>
            <w:r w:rsidRPr="00530A2A">
              <w:rPr>
                <w:sz w:val="26"/>
                <w:szCs w:val="26"/>
              </w:rPr>
              <w:t>valsts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speciālais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07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CC8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F8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FE0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C1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EE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48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54D1E563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B4CF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2.3. </w:t>
            </w:r>
            <w:proofErr w:type="spellStart"/>
            <w:r w:rsidRPr="00530A2A">
              <w:rPr>
                <w:sz w:val="26"/>
                <w:szCs w:val="26"/>
              </w:rPr>
              <w:t>pašvaldību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3C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AB9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F1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BC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B8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423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C7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01E27453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E47A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3. </w:t>
            </w:r>
            <w:proofErr w:type="spellStart"/>
            <w:r w:rsidRPr="00530A2A">
              <w:rPr>
                <w:sz w:val="26"/>
                <w:szCs w:val="26"/>
              </w:rPr>
              <w:t>Finansiālā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ietekme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A2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6942" w14:textId="62473FFD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9B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B1B4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DE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B58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093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53142474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3B1D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3.1. </w:t>
            </w:r>
            <w:proofErr w:type="spellStart"/>
            <w:r w:rsidRPr="00530A2A">
              <w:rPr>
                <w:sz w:val="26"/>
                <w:szCs w:val="26"/>
              </w:rPr>
              <w:t>valsts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pamatbudžets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12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7B4" w14:textId="626EA71F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296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A4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7B4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BC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EC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5DA52BE3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6901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3.2. </w:t>
            </w:r>
            <w:proofErr w:type="spellStart"/>
            <w:r w:rsidRPr="00530A2A">
              <w:rPr>
                <w:sz w:val="26"/>
                <w:szCs w:val="26"/>
              </w:rPr>
              <w:t>speciālais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6A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F6F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74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74B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48F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7A2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8D8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6D79CDA0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8001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3.3. </w:t>
            </w:r>
            <w:proofErr w:type="spellStart"/>
            <w:r w:rsidRPr="00530A2A">
              <w:rPr>
                <w:sz w:val="26"/>
                <w:szCs w:val="26"/>
              </w:rPr>
              <w:t>pašvaldību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65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92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58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69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09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6484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F9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7C8243BA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23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7C0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4. </w:t>
            </w:r>
            <w:proofErr w:type="spellStart"/>
            <w:r w:rsidRPr="00530A2A">
              <w:rPr>
                <w:sz w:val="26"/>
                <w:szCs w:val="26"/>
              </w:rPr>
              <w:t>Finanšu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līdzekļi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papildu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izdevumu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finansēšanai</w:t>
            </w:r>
            <w:proofErr w:type="spellEnd"/>
            <w:r w:rsidRPr="00530A2A">
              <w:rPr>
                <w:sz w:val="26"/>
                <w:szCs w:val="26"/>
              </w:rPr>
              <w:t xml:space="preserve"> (</w:t>
            </w:r>
            <w:proofErr w:type="spellStart"/>
            <w:r w:rsidRPr="00530A2A">
              <w:rPr>
                <w:sz w:val="26"/>
                <w:szCs w:val="26"/>
              </w:rPr>
              <w:t>kompensējošu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izdevumu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samazinājumu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norāda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ar</w:t>
            </w:r>
            <w:proofErr w:type="spellEnd"/>
            <w:r w:rsidRPr="00530A2A">
              <w:rPr>
                <w:sz w:val="26"/>
                <w:szCs w:val="26"/>
              </w:rPr>
              <w:t xml:space="preserve"> "+" </w:t>
            </w:r>
            <w:proofErr w:type="spellStart"/>
            <w:r w:rsidRPr="00530A2A">
              <w:rPr>
                <w:sz w:val="26"/>
                <w:szCs w:val="26"/>
              </w:rPr>
              <w:t>zīmi</w:t>
            </w:r>
            <w:proofErr w:type="spellEnd"/>
            <w:r w:rsidRPr="00530A2A">
              <w:rPr>
                <w:sz w:val="26"/>
                <w:szCs w:val="26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ED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C603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1B63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495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3C6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CE2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EA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34593A" w:rsidRPr="00530A2A" w14:paraId="73DCF9C7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2876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5. </w:t>
            </w:r>
            <w:proofErr w:type="spellStart"/>
            <w:r w:rsidRPr="00530A2A">
              <w:rPr>
                <w:sz w:val="26"/>
                <w:szCs w:val="26"/>
              </w:rPr>
              <w:t>Precizēta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finansiālā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ietekme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144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B38" w14:textId="4A0E44C6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6E3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09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FB1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43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43DB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34593A" w:rsidRPr="00530A2A" w14:paraId="41BEA2E3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4398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5.1. </w:t>
            </w:r>
            <w:proofErr w:type="spellStart"/>
            <w:r w:rsidRPr="00530A2A">
              <w:rPr>
                <w:sz w:val="26"/>
                <w:szCs w:val="26"/>
              </w:rPr>
              <w:t>valsts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pamatbudžets</w:t>
            </w:r>
            <w:proofErr w:type="spellEnd"/>
          </w:p>
        </w:tc>
        <w:tc>
          <w:tcPr>
            <w:tcW w:w="1252" w:type="dxa"/>
            <w:vMerge/>
            <w:vAlign w:val="center"/>
            <w:hideMark/>
          </w:tcPr>
          <w:p w14:paraId="37992B9C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039" w14:textId="20714B14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vMerge/>
            <w:vAlign w:val="center"/>
            <w:hideMark/>
          </w:tcPr>
          <w:p w14:paraId="2782D84D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C14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4F3FA04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5E5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EE2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34593A" w:rsidRPr="00530A2A" w14:paraId="5A2F3F29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AFB0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5.2. </w:t>
            </w:r>
            <w:proofErr w:type="spellStart"/>
            <w:r w:rsidRPr="00530A2A">
              <w:rPr>
                <w:sz w:val="26"/>
                <w:szCs w:val="26"/>
              </w:rPr>
              <w:t>speciālais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budžets</w:t>
            </w:r>
            <w:proofErr w:type="spellEnd"/>
          </w:p>
        </w:tc>
        <w:tc>
          <w:tcPr>
            <w:tcW w:w="1252" w:type="dxa"/>
            <w:vMerge/>
            <w:vAlign w:val="center"/>
            <w:hideMark/>
          </w:tcPr>
          <w:p w14:paraId="290FC8E2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46B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296BDCF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8F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D52CEF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D1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7F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34593A" w:rsidRPr="00530A2A" w14:paraId="674F5EC4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F669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lastRenderedPageBreak/>
              <w:t xml:space="preserve">5.3. </w:t>
            </w:r>
            <w:proofErr w:type="spellStart"/>
            <w:r w:rsidRPr="00530A2A">
              <w:rPr>
                <w:sz w:val="26"/>
                <w:szCs w:val="26"/>
              </w:rPr>
              <w:t>pašvaldību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budžets</w:t>
            </w:r>
            <w:proofErr w:type="spellEnd"/>
          </w:p>
        </w:tc>
        <w:tc>
          <w:tcPr>
            <w:tcW w:w="1252" w:type="dxa"/>
            <w:vMerge/>
            <w:vAlign w:val="center"/>
            <w:hideMark/>
          </w:tcPr>
          <w:p w14:paraId="77781746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BF4E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AB4FC50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4EE5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2A1F8C1F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E71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BF9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34593A" w:rsidRPr="00530A2A" w14:paraId="386CF36C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97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60D7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6. </w:t>
            </w:r>
            <w:proofErr w:type="spellStart"/>
            <w:r w:rsidRPr="00530A2A">
              <w:rPr>
                <w:sz w:val="26"/>
                <w:szCs w:val="26"/>
              </w:rPr>
              <w:t>Detalizēts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ieņēmumu</w:t>
            </w:r>
            <w:proofErr w:type="spellEnd"/>
            <w:r w:rsidRPr="00530A2A">
              <w:rPr>
                <w:sz w:val="26"/>
                <w:szCs w:val="26"/>
              </w:rPr>
              <w:t xml:space="preserve"> un </w:t>
            </w:r>
            <w:proofErr w:type="spellStart"/>
            <w:r w:rsidRPr="00530A2A">
              <w:rPr>
                <w:sz w:val="26"/>
                <w:szCs w:val="26"/>
              </w:rPr>
              <w:t>izdevumu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aprēķins</w:t>
            </w:r>
            <w:proofErr w:type="spellEnd"/>
            <w:r w:rsidRPr="00530A2A">
              <w:rPr>
                <w:sz w:val="26"/>
                <w:szCs w:val="26"/>
              </w:rPr>
              <w:t xml:space="preserve"> (</w:t>
            </w:r>
            <w:proofErr w:type="spellStart"/>
            <w:r w:rsidRPr="00530A2A">
              <w:rPr>
                <w:sz w:val="26"/>
                <w:szCs w:val="26"/>
              </w:rPr>
              <w:t>ja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nepieciešams</w:t>
            </w:r>
            <w:proofErr w:type="spellEnd"/>
            <w:r w:rsidRPr="00530A2A">
              <w:rPr>
                <w:sz w:val="26"/>
                <w:szCs w:val="26"/>
              </w:rPr>
              <w:t xml:space="preserve">, </w:t>
            </w:r>
            <w:proofErr w:type="spellStart"/>
            <w:r w:rsidRPr="00530A2A">
              <w:rPr>
                <w:sz w:val="26"/>
                <w:szCs w:val="26"/>
              </w:rPr>
              <w:t>detalizētu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ieņēmumu</w:t>
            </w:r>
            <w:proofErr w:type="spellEnd"/>
            <w:r w:rsidRPr="00530A2A">
              <w:rPr>
                <w:sz w:val="26"/>
                <w:szCs w:val="26"/>
              </w:rPr>
              <w:t xml:space="preserve"> un </w:t>
            </w:r>
            <w:proofErr w:type="spellStart"/>
            <w:r w:rsidRPr="00530A2A">
              <w:rPr>
                <w:sz w:val="26"/>
                <w:szCs w:val="26"/>
              </w:rPr>
              <w:t>izdevumu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aprēķinu</w:t>
            </w:r>
            <w:proofErr w:type="spellEnd"/>
            <w:r w:rsidRPr="00530A2A">
              <w:rPr>
                <w:sz w:val="26"/>
                <w:szCs w:val="26"/>
              </w:rPr>
              <w:t xml:space="preserve"> var </w:t>
            </w:r>
            <w:proofErr w:type="spellStart"/>
            <w:r w:rsidRPr="00530A2A">
              <w:rPr>
                <w:sz w:val="26"/>
                <w:szCs w:val="26"/>
              </w:rPr>
              <w:t>pievienot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anotācijas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pielikumā</w:t>
            </w:r>
            <w:proofErr w:type="spellEnd"/>
            <w:r w:rsidRPr="00530A2A">
              <w:rPr>
                <w:sz w:val="26"/>
                <w:szCs w:val="26"/>
              </w:rPr>
              <w:t>)</w:t>
            </w:r>
          </w:p>
        </w:tc>
        <w:tc>
          <w:tcPr>
            <w:tcW w:w="7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791" w14:textId="77777777" w:rsidR="0034593A" w:rsidRPr="00456560" w:rsidRDefault="0034593A" w:rsidP="0026749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456560">
              <w:rPr>
                <w:rFonts w:eastAsia="Times New Roman"/>
                <w:sz w:val="26"/>
                <w:szCs w:val="26"/>
                <w:lang w:val="lv-LV" w:eastAsia="lv-LV"/>
              </w:rPr>
              <w:t>Programmas finansējums tiks novirzīts sabiedrības “</w:t>
            </w:r>
            <w:proofErr w:type="spellStart"/>
            <w:r w:rsidRPr="00456560">
              <w:rPr>
                <w:rFonts w:eastAsia="Times New Roman"/>
                <w:sz w:val="26"/>
                <w:szCs w:val="26"/>
                <w:lang w:val="lv-LV" w:eastAsia="lv-LV"/>
              </w:rPr>
              <w:t>Altum</w:t>
            </w:r>
            <w:proofErr w:type="spellEnd"/>
            <w:r w:rsidRPr="00456560">
              <w:rPr>
                <w:rFonts w:eastAsia="Times New Roman"/>
                <w:sz w:val="26"/>
                <w:szCs w:val="26"/>
                <w:lang w:val="lv-LV" w:eastAsia="lv-LV"/>
              </w:rPr>
              <w:t>” pārvaldības izmaksām un sagaidāmajiem kredītriska zaudējumiem, sabiedrības “</w:t>
            </w:r>
            <w:proofErr w:type="spellStart"/>
            <w:r w:rsidRPr="00456560">
              <w:rPr>
                <w:rFonts w:eastAsia="Times New Roman"/>
                <w:sz w:val="26"/>
                <w:szCs w:val="26"/>
                <w:lang w:val="lv-LV" w:eastAsia="lv-LV"/>
              </w:rPr>
              <w:t>Altum</w:t>
            </w:r>
            <w:proofErr w:type="spellEnd"/>
            <w:r w:rsidRPr="00456560">
              <w:rPr>
                <w:rFonts w:eastAsia="Times New Roman"/>
                <w:sz w:val="26"/>
                <w:szCs w:val="26"/>
                <w:lang w:val="lv-LV" w:eastAsia="lv-LV"/>
              </w:rPr>
              <w:t>” izdevumu kompensācijai aizdevumu vērtības samazinājuma gadījumiem.</w:t>
            </w:r>
          </w:p>
          <w:p w14:paraId="72E43909" w14:textId="77777777" w:rsidR="0034593A" w:rsidRPr="00456560" w:rsidRDefault="0034593A" w:rsidP="0026749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4593A" w:rsidRPr="00530A2A" w14:paraId="7347C68B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5877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6.1. </w:t>
            </w:r>
            <w:proofErr w:type="spellStart"/>
            <w:r w:rsidRPr="00530A2A">
              <w:rPr>
                <w:sz w:val="26"/>
                <w:szCs w:val="26"/>
              </w:rPr>
              <w:t>detalizēts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ieņēmumu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aprēķins</w:t>
            </w:r>
            <w:proofErr w:type="spellEnd"/>
          </w:p>
        </w:tc>
        <w:tc>
          <w:tcPr>
            <w:tcW w:w="7442" w:type="dxa"/>
            <w:gridSpan w:val="7"/>
            <w:vMerge/>
            <w:vAlign w:val="center"/>
            <w:hideMark/>
          </w:tcPr>
          <w:p w14:paraId="4F25AC17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34593A" w:rsidRPr="00530A2A" w14:paraId="3BA2501E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BAAF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6.2. </w:t>
            </w:r>
            <w:proofErr w:type="spellStart"/>
            <w:r w:rsidRPr="00530A2A">
              <w:rPr>
                <w:sz w:val="26"/>
                <w:szCs w:val="26"/>
              </w:rPr>
              <w:t>detalizēts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izdevumu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aprēķins</w:t>
            </w:r>
            <w:proofErr w:type="spellEnd"/>
          </w:p>
        </w:tc>
        <w:tc>
          <w:tcPr>
            <w:tcW w:w="7442" w:type="dxa"/>
            <w:gridSpan w:val="7"/>
            <w:vMerge/>
            <w:vAlign w:val="center"/>
            <w:hideMark/>
          </w:tcPr>
          <w:p w14:paraId="353E8C8A" w14:textId="77777777" w:rsidR="0034593A" w:rsidRPr="00530A2A" w:rsidRDefault="0034593A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34593A" w:rsidRPr="00530A2A" w14:paraId="1D422B34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5B66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7. Amata </w:t>
            </w:r>
            <w:proofErr w:type="spellStart"/>
            <w:r w:rsidRPr="00530A2A">
              <w:rPr>
                <w:sz w:val="26"/>
                <w:szCs w:val="26"/>
              </w:rPr>
              <w:t>vietu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skaita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izmaiņas</w:t>
            </w:r>
            <w:proofErr w:type="spellEnd"/>
          </w:p>
        </w:tc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35A" w14:textId="57C87DD9" w:rsidR="0034593A" w:rsidRPr="00530A2A" w:rsidRDefault="00BB1DB4" w:rsidP="0026749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Noteikumu p</w:t>
            </w:r>
            <w:r w:rsidR="0034593A" w:rsidRPr="370032E9">
              <w:rPr>
                <w:rFonts w:eastAsia="Times New Roman"/>
                <w:sz w:val="26"/>
                <w:szCs w:val="26"/>
                <w:lang w:val="lv-LV" w:eastAsia="lv-LV"/>
              </w:rPr>
              <w:t>rojekts šo jomu neskar.</w:t>
            </w:r>
          </w:p>
          <w:p w14:paraId="06AFB1BC" w14:textId="77777777" w:rsidR="0034593A" w:rsidRPr="00530A2A" w:rsidRDefault="0034593A" w:rsidP="00267498">
            <w:pPr>
              <w:rPr>
                <w:sz w:val="26"/>
                <w:szCs w:val="26"/>
              </w:rPr>
            </w:pPr>
          </w:p>
        </w:tc>
      </w:tr>
      <w:tr w:rsidR="0034593A" w:rsidRPr="00530A2A" w14:paraId="23ECDB99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1C52" w14:textId="77777777" w:rsidR="0034593A" w:rsidRPr="00530A2A" w:rsidRDefault="0034593A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8. </w:t>
            </w:r>
            <w:proofErr w:type="spellStart"/>
            <w:r w:rsidRPr="00530A2A">
              <w:rPr>
                <w:sz w:val="26"/>
                <w:szCs w:val="26"/>
              </w:rPr>
              <w:t>Cita</w:t>
            </w:r>
            <w:proofErr w:type="spellEnd"/>
            <w:r w:rsidRPr="00530A2A">
              <w:rPr>
                <w:sz w:val="26"/>
                <w:szCs w:val="26"/>
              </w:rPr>
              <w:t xml:space="preserve"> </w:t>
            </w:r>
            <w:proofErr w:type="spellStart"/>
            <w:r w:rsidRPr="00530A2A">
              <w:rPr>
                <w:sz w:val="26"/>
                <w:szCs w:val="26"/>
              </w:rPr>
              <w:t>informācija</w:t>
            </w:r>
            <w:proofErr w:type="spellEnd"/>
          </w:p>
        </w:tc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2A1" w14:textId="29D01A72" w:rsidR="0034593A" w:rsidRPr="00530A2A" w:rsidRDefault="00BB1DB4" w:rsidP="0026749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Noteikumu p</w:t>
            </w:r>
            <w:r w:rsidR="0034593A" w:rsidRPr="370032E9">
              <w:rPr>
                <w:rFonts w:eastAsia="Times New Roman"/>
                <w:sz w:val="26"/>
                <w:szCs w:val="26"/>
                <w:lang w:val="lv-LV" w:eastAsia="lv-LV"/>
              </w:rPr>
              <w:t>rojekts šo jomu neskar.</w:t>
            </w:r>
          </w:p>
          <w:p w14:paraId="05623737" w14:textId="77777777" w:rsidR="0034593A" w:rsidRPr="00530A2A" w:rsidRDefault="0034593A" w:rsidP="00267498">
            <w:pPr>
              <w:rPr>
                <w:sz w:val="26"/>
                <w:szCs w:val="26"/>
              </w:rPr>
            </w:pPr>
          </w:p>
        </w:tc>
      </w:tr>
    </w:tbl>
    <w:p w14:paraId="57F14BC5" w14:textId="512F1E09" w:rsidR="00844176" w:rsidRPr="00583CBA" w:rsidRDefault="00844176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518"/>
        <w:gridCol w:w="6235"/>
      </w:tblGrid>
      <w:tr w:rsidR="00844176" w:rsidRPr="004B1861" w14:paraId="6C33CD82" w14:textId="77777777" w:rsidTr="00320B22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583CBA" w:rsidRDefault="00844176" w:rsidP="00B043DE">
            <w:pPr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844176" w:rsidRPr="00583CBA" w14:paraId="57818953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3CB5D85" w:rsidR="00844176" w:rsidRPr="00583CBA" w:rsidRDefault="001C70CC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Saistītie</w:t>
            </w:r>
            <w:r w:rsidR="00844176" w:rsidRPr="00583CBA">
              <w:rPr>
                <w:rFonts w:eastAsia="Times New Roman"/>
                <w:sz w:val="26"/>
                <w:szCs w:val="26"/>
                <w:lang w:val="lv-LV" w:eastAsia="lv-LV"/>
              </w:rPr>
              <w:t xml:space="preserve"> tiesību aktu projekti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14D1B41C" w:rsidR="00844176" w:rsidRPr="00583CBA" w:rsidRDefault="000F2EA7" w:rsidP="00B043DE">
            <w:pPr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583CBA">
              <w:rPr>
                <w:bCs/>
                <w:iCs/>
                <w:sz w:val="26"/>
                <w:szCs w:val="26"/>
                <w:lang w:val="lv-LV"/>
              </w:rPr>
              <w:t>Nav.</w:t>
            </w:r>
          </w:p>
        </w:tc>
      </w:tr>
      <w:tr w:rsidR="00844176" w:rsidRPr="00583CBA" w14:paraId="3469659F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77777777" w:rsidR="00844176" w:rsidRPr="00583CBA" w:rsidRDefault="007F6449" w:rsidP="00B043DE">
            <w:pPr>
              <w:pStyle w:val="BodyText"/>
              <w:ind w:righ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Ekonomikas ministrija</w:t>
            </w:r>
          </w:p>
        </w:tc>
      </w:tr>
      <w:tr w:rsidR="00844176" w:rsidRPr="00583CBA" w14:paraId="32F2DD54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849A5" w14:textId="2CB851E6" w:rsidR="003E5276" w:rsidRPr="00583CBA" w:rsidRDefault="000F2EA7" w:rsidP="00B043DE">
            <w:pPr>
              <w:pStyle w:val="ListParagraph"/>
              <w:ind w:left="0"/>
              <w:contextualSpacing w:val="0"/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583CBA">
              <w:rPr>
                <w:bCs/>
                <w:iCs/>
                <w:sz w:val="26"/>
                <w:szCs w:val="26"/>
                <w:lang w:val="lv-LV"/>
              </w:rPr>
              <w:t>Nav.</w:t>
            </w:r>
          </w:p>
          <w:p w14:paraId="637C4F16" w14:textId="690F03B4" w:rsidR="00844176" w:rsidRPr="00583CBA" w:rsidRDefault="00844176" w:rsidP="00B043DE">
            <w:pPr>
              <w:ind w:left="577"/>
              <w:contextualSpacing/>
              <w:jc w:val="both"/>
              <w:rPr>
                <w:bCs/>
                <w:iCs/>
                <w:sz w:val="26"/>
                <w:szCs w:val="26"/>
                <w:lang w:val="lv-LV"/>
              </w:rPr>
            </w:pPr>
          </w:p>
        </w:tc>
      </w:tr>
    </w:tbl>
    <w:p w14:paraId="2A21AD4B" w14:textId="77777777" w:rsidR="00844176" w:rsidRPr="00583CBA" w:rsidRDefault="00844176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844176" w:rsidRPr="00583CBA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583CBA" w:rsidRDefault="00844176" w:rsidP="00B043DE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6F4B13" w:rsidRPr="004B1861" w14:paraId="17F7F902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6F4B13" w:rsidRPr="00583CBA" w:rsidRDefault="006F4B13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4E77" w14:textId="4E6E159A" w:rsidR="00BE786E" w:rsidRPr="003C585E" w:rsidRDefault="00B043DE" w:rsidP="00B043DE">
            <w:pPr>
              <w:pStyle w:val="ListParagraph"/>
              <w:ind w:left="357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2020.gada 19.marta Eiropas Komisijas apstiprinātā </w:t>
            </w:r>
            <w:r w:rsidRPr="00771628">
              <w:rPr>
                <w:sz w:val="26"/>
                <w:szCs w:val="26"/>
                <w:lang w:val="lv-LV"/>
              </w:rPr>
              <w:t xml:space="preserve">Pagaidu shēmu valsts atbalsta pasākumiem ekonomikas atbalstam Covid-19 uzliesmojuma laikā (C (2020) 1863  </w:t>
            </w:r>
            <w:proofErr w:type="spellStart"/>
            <w:r w:rsidR="00BE786E" w:rsidRPr="00771628">
              <w:rPr>
                <w:i/>
                <w:iCs/>
                <w:sz w:val="26"/>
                <w:szCs w:val="26"/>
                <w:lang w:val="lv-LV"/>
              </w:rPr>
              <w:t>outbreak</w:t>
            </w:r>
            <w:proofErr w:type="spellEnd"/>
            <w:r w:rsidR="00BE786E" w:rsidRPr="00771628">
              <w:rPr>
                <w:sz w:val="26"/>
                <w:szCs w:val="26"/>
                <w:lang w:val="lv-LV"/>
              </w:rPr>
              <w:t xml:space="preserve">) </w:t>
            </w:r>
          </w:p>
        </w:tc>
      </w:tr>
      <w:tr w:rsidR="006F4B13" w:rsidRPr="00583CBA" w14:paraId="2BF33DFD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6F4B13" w:rsidRPr="00583CBA" w:rsidRDefault="006F4B13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74CCB380" w:rsidR="006F4B13" w:rsidRPr="00583CBA" w:rsidRDefault="00BB1DB4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sz w:val="26"/>
                <w:szCs w:val="26"/>
                <w:lang w:val="lv-LV" w:eastAsia="lv-LV"/>
              </w:rPr>
              <w:t>Noteikumu p</w:t>
            </w:r>
            <w:r w:rsidR="006F4B13" w:rsidRPr="00583CBA">
              <w:rPr>
                <w:rFonts w:eastAsia="Times New Roman"/>
                <w:sz w:val="26"/>
                <w:szCs w:val="26"/>
                <w:lang w:val="lv-LV" w:eastAsia="lv-LV"/>
              </w:rPr>
              <w:t>rojekts šo jomu neskar</w:t>
            </w:r>
            <w:r w:rsidR="0099282E" w:rsidRPr="00583CBA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6F4B13" w:rsidRPr="00583CBA" w14:paraId="64229F4B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6F4B13" w:rsidRPr="00583CBA" w:rsidRDefault="006F4B13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16C3A3F5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F45E5ED" w14:textId="3E0D1E21" w:rsidR="00844176" w:rsidRPr="00583CBA" w:rsidRDefault="00844176" w:rsidP="00B043DE">
      <w:pPr>
        <w:contextualSpacing/>
        <w:rPr>
          <w:sz w:val="2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A5551D" w:rsidRPr="004B1861" w14:paraId="212A0171" w14:textId="77777777" w:rsidTr="00DE5E9C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533520" w14:textId="77777777" w:rsidR="00A5551D" w:rsidRPr="00583CBA" w:rsidRDefault="00A5551D" w:rsidP="00B043DE">
            <w:pPr>
              <w:jc w:val="center"/>
              <w:rPr>
                <w:rFonts w:eastAsia="Times New Roman"/>
                <w:b/>
                <w:bCs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color w:val="414142"/>
                <w:sz w:val="26"/>
                <w:szCs w:val="26"/>
                <w:lang w:val="lv-LV" w:eastAsia="lv-LV"/>
              </w:rPr>
              <w:t>1. tabula</w:t>
            </w:r>
            <w:r w:rsidRPr="00583CBA">
              <w:rPr>
                <w:rFonts w:eastAsia="Times New Roman"/>
                <w:b/>
                <w:bCs/>
                <w:color w:val="414142"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A5551D" w:rsidRPr="00583CBA" w14:paraId="63717CEB" w14:textId="77777777" w:rsidTr="00DE5E9C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860658" w14:textId="77777777" w:rsidR="00A5551D" w:rsidRPr="00BB1DB4" w:rsidRDefault="00A5551D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Attiecīgā ES tiesību akta datums, numurs un nosaukums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065534" w14:textId="77777777" w:rsidR="0099282E" w:rsidRPr="00BB1DB4" w:rsidRDefault="0099282E" w:rsidP="00B043DE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BB1DB4">
              <w:rPr>
                <w:sz w:val="26"/>
                <w:szCs w:val="26"/>
              </w:rPr>
              <w:t>Ar Noteikumu projektu tiek ieviestas šādas Eiropas Savienības tiesību aktu prasības:</w:t>
            </w:r>
          </w:p>
          <w:p w14:paraId="3EAD09CE" w14:textId="6D4321DD" w:rsidR="0066570F" w:rsidRPr="00BB1DB4" w:rsidRDefault="0066570F" w:rsidP="00BB1DB4">
            <w:pPr>
              <w:pStyle w:val="naiskr"/>
              <w:numPr>
                <w:ilvl w:val="0"/>
                <w:numId w:val="9"/>
              </w:numPr>
              <w:spacing w:before="0" w:after="0"/>
              <w:jc w:val="both"/>
              <w:rPr>
                <w:sz w:val="26"/>
                <w:szCs w:val="26"/>
              </w:rPr>
            </w:pPr>
            <w:r w:rsidRPr="00BB1DB4">
              <w:rPr>
                <w:sz w:val="26"/>
                <w:szCs w:val="26"/>
              </w:rPr>
              <w:t>Komisijas paziņojums</w:t>
            </w:r>
          </w:p>
          <w:p w14:paraId="27AE43F3" w14:textId="0F6E4A9F" w:rsidR="008B0720" w:rsidRPr="00BB1DB4" w:rsidRDefault="008B0720" w:rsidP="00B043DE">
            <w:pPr>
              <w:pStyle w:val="naiskr"/>
              <w:spacing w:before="0" w:after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5551D" w:rsidRPr="00583CBA" w14:paraId="6EDB5B7C" w14:textId="77777777" w:rsidTr="001A274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D233B1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15CB7F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2C7179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09FA7C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D</w:t>
            </w:r>
          </w:p>
        </w:tc>
      </w:tr>
      <w:tr w:rsidR="00EC5935" w:rsidRPr="00583CBA" w14:paraId="17E0E3D7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9348D3F" w14:textId="14869066" w:rsidR="00EC5935" w:rsidRPr="00EC5935" w:rsidRDefault="00B043DE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Komisijas paziņojuma 2</w:t>
            </w: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5.punkta d ii))</w:t>
            </w: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678" w14:textId="3DE075BD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</w:t>
            </w:r>
            <w:r w:rsidR="00B043DE"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 1</w:t>
            </w: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165A" w14:textId="169F7157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75F4" w14:textId="7DCBE0DB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EC5935" w:rsidRPr="00583CBA" w14:paraId="09541AD8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3DBACCD9" w14:textId="48505F1B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Komisijas paziņojuma 2</w:t>
            </w:r>
            <w:r w:rsidR="00B043DE">
              <w:rPr>
                <w:i/>
                <w:iCs/>
                <w:color w:val="000000"/>
                <w:sz w:val="24"/>
                <w:szCs w:val="24"/>
                <w:lang w:val="lv-LV"/>
              </w:rPr>
              <w:t>5.punkta f)</w:t>
            </w: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punkts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6C96" w14:textId="024E0BC4" w:rsidR="00EC5935" w:rsidRPr="00EC5935" w:rsidRDefault="00B043DE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</w:t>
            </w: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 3</w:t>
            </w: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8278" w14:textId="7878812B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1679" w14:textId="420037BF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EC5935" w:rsidRPr="00583CBA" w14:paraId="6A4D8F55" w14:textId="77777777" w:rsidTr="00B039A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CBB" w14:textId="2C117A98" w:rsidR="00EC5935" w:rsidRPr="00EC5935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Komisijas paziņojuma 2</w:t>
            </w:r>
            <w:r w:rsidR="00B043DE"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5.punkta </w:t>
            </w:r>
            <w:r w:rsidR="00641D59">
              <w:rPr>
                <w:i/>
                <w:iCs/>
                <w:color w:val="000000"/>
                <w:sz w:val="24"/>
                <w:szCs w:val="24"/>
                <w:lang w:val="lv-LV"/>
              </w:rPr>
              <w:t>c</w:t>
            </w:r>
            <w:r w:rsidR="00B043DE">
              <w:rPr>
                <w:i/>
                <w:iCs/>
                <w:color w:val="000000"/>
                <w:sz w:val="24"/>
                <w:szCs w:val="24"/>
                <w:lang w:val="lv-LV"/>
              </w:rPr>
              <w:t>)</w:t>
            </w:r>
            <w:r w:rsidRPr="00EC5935">
              <w:rPr>
                <w:i/>
                <w:iCs/>
                <w:color w:val="000000"/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5D4F" w14:textId="2B983FED" w:rsidR="00EC5935" w:rsidRPr="003C585E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3C585E"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Noteikumu projekta </w:t>
            </w:r>
            <w:r w:rsidR="00641D59">
              <w:rPr>
                <w:i/>
                <w:iCs/>
                <w:color w:val="000000"/>
                <w:sz w:val="24"/>
                <w:szCs w:val="24"/>
                <w:lang w:val="lv-LV"/>
              </w:rPr>
              <w:t>8</w:t>
            </w:r>
            <w:r w:rsidRPr="003C585E">
              <w:rPr>
                <w:i/>
                <w:iCs/>
                <w:color w:val="000000"/>
                <w:sz w:val="24"/>
                <w:szCs w:val="24"/>
                <w:lang w:val="lv-LV"/>
              </w:rPr>
              <w:t>.punkts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9590" w14:textId="38513A77" w:rsidR="00EC5935" w:rsidRPr="003C585E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3C585E"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8470" w14:textId="7785AFB1" w:rsidR="00EC5935" w:rsidRPr="003C585E" w:rsidRDefault="00EC5935" w:rsidP="00B043DE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 w:rsidRPr="003C585E"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</w:t>
            </w:r>
          </w:p>
        </w:tc>
      </w:tr>
      <w:tr w:rsidR="00EC5935" w:rsidRPr="00583CBA" w14:paraId="2FF190C6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809721" w14:textId="77777777" w:rsidR="00EC5935" w:rsidRPr="00BB1DB4" w:rsidRDefault="00EC5935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rFonts w:eastAsia="Times New Roman"/>
                <w:sz w:val="26"/>
                <w:szCs w:val="26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B25E" w14:textId="2113A2D2" w:rsidR="00EC5935" w:rsidRPr="00BB1DB4" w:rsidRDefault="00BB1DB4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rFonts w:eastAsia="Times New Roman"/>
                <w:sz w:val="26"/>
                <w:szCs w:val="26"/>
                <w:lang w:val="lv-LV"/>
              </w:rPr>
              <w:t>Noteikumu p</w:t>
            </w:r>
            <w:r w:rsidR="00EC5935" w:rsidRPr="00BB1DB4">
              <w:rPr>
                <w:rFonts w:eastAsia="Times New Roman"/>
                <w:sz w:val="26"/>
                <w:szCs w:val="26"/>
                <w:lang w:val="lv-LV"/>
              </w:rPr>
              <w:t>rojekts šo jomu neskar.</w:t>
            </w:r>
          </w:p>
        </w:tc>
      </w:tr>
      <w:tr w:rsidR="00EC5935" w:rsidRPr="00583CBA" w14:paraId="380F5C9A" w14:textId="77777777" w:rsidTr="00DE5E9C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4BC07D" w14:textId="77777777" w:rsidR="00EC5935" w:rsidRPr="00BB1DB4" w:rsidRDefault="00EC5935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rFonts w:eastAsia="Times New Roman"/>
                <w:sz w:val="26"/>
                <w:szCs w:val="26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5CF8" w14:textId="77C7FB9B" w:rsidR="00EC5935" w:rsidRPr="00BB1DB4" w:rsidRDefault="00BB1DB4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rFonts w:eastAsia="Times New Roman"/>
                <w:sz w:val="26"/>
                <w:szCs w:val="26"/>
                <w:lang w:val="lv-LV"/>
              </w:rPr>
              <w:t>Noteikumu p</w:t>
            </w:r>
            <w:r w:rsidR="00EC5935" w:rsidRPr="00BB1DB4">
              <w:rPr>
                <w:rFonts w:eastAsia="Times New Roman"/>
                <w:sz w:val="26"/>
                <w:szCs w:val="26"/>
                <w:lang w:val="lv-LV"/>
              </w:rPr>
              <w:t>rojekts šo jomu neskar.</w:t>
            </w:r>
          </w:p>
        </w:tc>
      </w:tr>
      <w:tr w:rsidR="00EC5935" w:rsidRPr="00583CBA" w14:paraId="21014EF5" w14:textId="77777777" w:rsidTr="00DE5E9C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6056DD" w14:textId="77777777" w:rsidR="00EC5935" w:rsidRPr="00BB1DB4" w:rsidRDefault="00EC5935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2ABC" w14:textId="77777777" w:rsidR="00EC5935" w:rsidRPr="00BB1DB4" w:rsidRDefault="00EC5935" w:rsidP="00B043D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B1DB4">
              <w:rPr>
                <w:sz w:val="26"/>
                <w:szCs w:val="26"/>
                <w:lang w:val="lv-LV"/>
              </w:rPr>
              <w:t>Nav.</w:t>
            </w:r>
          </w:p>
        </w:tc>
      </w:tr>
    </w:tbl>
    <w:p w14:paraId="1849AC10" w14:textId="5D5A8DA5" w:rsidR="00A5551D" w:rsidRPr="00583CBA" w:rsidRDefault="00A5551D" w:rsidP="00B043DE">
      <w:pPr>
        <w:contextualSpacing/>
        <w:rPr>
          <w:sz w:val="26"/>
          <w:lang w:val="lv-LV"/>
        </w:rPr>
      </w:pPr>
    </w:p>
    <w:p w14:paraId="75F8D6BE" w14:textId="77777777" w:rsidR="00A5551D" w:rsidRPr="00583CBA" w:rsidRDefault="00A5551D" w:rsidP="00B043DE">
      <w:pPr>
        <w:contextualSpacing/>
        <w:rPr>
          <w:sz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4B1861" w14:paraId="7EEC0F00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583CBA" w:rsidRDefault="006F4B13" w:rsidP="00B043DE">
            <w:pPr>
              <w:ind w:left="57" w:right="57"/>
              <w:contextualSpacing/>
              <w:jc w:val="center"/>
              <w:rPr>
                <w:rFonts w:eastAsia="Times New Roman"/>
                <w:sz w:val="25"/>
                <w:szCs w:val="25"/>
                <w:lang w:val="lv-LV"/>
              </w:rPr>
            </w:pPr>
            <w:r w:rsidRPr="00583CBA">
              <w:rPr>
                <w:rFonts w:eastAsia="Times New Roman"/>
                <w:b/>
                <w:sz w:val="25"/>
                <w:szCs w:val="25"/>
                <w:lang w:val="lv-LV"/>
              </w:rPr>
              <w:t>VI. Sabiedrības līdzdalība un komunikācijas aktivitātes</w:t>
            </w:r>
          </w:p>
        </w:tc>
      </w:tr>
      <w:tr w:rsidR="006F4B13" w:rsidRPr="00583CBA" w14:paraId="6FEF54FD" w14:textId="77777777" w:rsidTr="00E50D80">
        <w:trPr>
          <w:trHeight w:val="553"/>
        </w:trPr>
        <w:tc>
          <w:tcPr>
            <w:tcW w:w="312" w:type="dxa"/>
          </w:tcPr>
          <w:p w14:paraId="41086138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1.</w:t>
            </w:r>
          </w:p>
        </w:tc>
        <w:tc>
          <w:tcPr>
            <w:tcW w:w="2665" w:type="dxa"/>
          </w:tcPr>
          <w:p w14:paraId="798682AC" w14:textId="77777777" w:rsidR="006F4B13" w:rsidRPr="00583CBA" w:rsidRDefault="006F4B13" w:rsidP="00B043DE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5A60AED3" w14:textId="03F0CADF" w:rsidR="00D27E4D" w:rsidRPr="00A50812" w:rsidRDefault="009C030C" w:rsidP="00B043DE">
            <w:pPr>
              <w:shd w:val="clear" w:color="auto" w:fill="FFFFFF"/>
              <w:ind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A50812">
              <w:rPr>
                <w:rFonts w:eastAsia="PMingLiU"/>
                <w:sz w:val="26"/>
                <w:szCs w:val="26"/>
                <w:lang w:val="lv-LV" w:eastAsia="ja-JP"/>
              </w:rPr>
              <w:t>S</w:t>
            </w:r>
            <w:r w:rsidR="001C70CC" w:rsidRPr="00A50812">
              <w:rPr>
                <w:rFonts w:eastAsia="PMingLiU"/>
                <w:sz w:val="26"/>
                <w:szCs w:val="26"/>
                <w:lang w:val="lv-LV" w:eastAsia="ja-JP"/>
              </w:rPr>
              <w:t xml:space="preserve">abiedrības līdzdalība </w:t>
            </w:r>
            <w:r w:rsidR="00D27E4D" w:rsidRPr="00A50812">
              <w:rPr>
                <w:rFonts w:eastAsia="PMingLiU"/>
                <w:sz w:val="26"/>
                <w:szCs w:val="26"/>
                <w:lang w:val="lv-LV" w:eastAsia="ja-JP"/>
              </w:rPr>
              <w:t xml:space="preserve">ir nodrošināta 16.03.2020. krīzes vadības grupas ietvaros apspriežot </w:t>
            </w:r>
            <w:r w:rsidR="00BF5511">
              <w:rPr>
                <w:rFonts w:eastAsia="PMingLiU"/>
                <w:sz w:val="26"/>
                <w:szCs w:val="26"/>
                <w:lang w:val="lv-LV" w:eastAsia="ja-JP"/>
              </w:rPr>
              <w:t>N</w:t>
            </w:r>
            <w:r w:rsidR="00D27E4D" w:rsidRPr="00A50812">
              <w:rPr>
                <w:rFonts w:eastAsia="PMingLiU"/>
                <w:sz w:val="26"/>
                <w:szCs w:val="26"/>
                <w:lang w:val="lv-LV" w:eastAsia="ja-JP"/>
              </w:rPr>
              <w:t>oteikumu projektu ar uzņēmējiem.</w:t>
            </w:r>
          </w:p>
          <w:p w14:paraId="384FFED0" w14:textId="487661DF" w:rsidR="00D27E4D" w:rsidRPr="00583CBA" w:rsidRDefault="00D27E4D" w:rsidP="00B043DE">
            <w:pPr>
              <w:shd w:val="clear" w:color="auto" w:fill="FFFFFF"/>
              <w:ind w:right="113"/>
              <w:contextualSpacing/>
              <w:jc w:val="both"/>
              <w:rPr>
                <w:rFonts w:eastAsia="PMingLiU"/>
                <w:sz w:val="26"/>
                <w:szCs w:val="26"/>
                <w:highlight w:val="yellow"/>
                <w:lang w:val="lv-LV" w:eastAsia="ja-JP"/>
              </w:rPr>
            </w:pPr>
            <w:r w:rsidRPr="00A50812">
              <w:rPr>
                <w:rFonts w:eastAsia="PMingLiU"/>
                <w:sz w:val="26"/>
                <w:szCs w:val="26"/>
                <w:lang w:val="lv-LV" w:eastAsia="ja-JP"/>
              </w:rPr>
              <w:t>Noteikum</w:t>
            </w:r>
            <w:r w:rsidR="00BF5511">
              <w:rPr>
                <w:rFonts w:eastAsia="PMingLiU"/>
                <w:sz w:val="26"/>
                <w:szCs w:val="26"/>
                <w:lang w:val="lv-LV" w:eastAsia="ja-JP"/>
              </w:rPr>
              <w:t>u projektā</w:t>
            </w:r>
            <w:r w:rsidRPr="00A50812">
              <w:rPr>
                <w:rFonts w:eastAsia="PMingLiU"/>
                <w:sz w:val="26"/>
                <w:szCs w:val="26"/>
                <w:lang w:val="lv-LV" w:eastAsia="ja-JP"/>
              </w:rPr>
              <w:t xml:space="preserve"> ietvertie nosacījumi ir pārrunāti ar Finanšu nozares asociāciju.</w:t>
            </w:r>
          </w:p>
        </w:tc>
      </w:tr>
      <w:tr w:rsidR="006F4B13" w:rsidRPr="00A82313" w14:paraId="3F5FD1CD" w14:textId="77777777" w:rsidTr="00E50D80">
        <w:trPr>
          <w:trHeight w:val="339"/>
        </w:trPr>
        <w:tc>
          <w:tcPr>
            <w:tcW w:w="312" w:type="dxa"/>
          </w:tcPr>
          <w:p w14:paraId="4B9C6F89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2.</w:t>
            </w:r>
          </w:p>
        </w:tc>
        <w:tc>
          <w:tcPr>
            <w:tcW w:w="2665" w:type="dxa"/>
          </w:tcPr>
          <w:p w14:paraId="4B6FBDE6" w14:textId="77777777" w:rsidR="006F4B13" w:rsidRPr="00583CBA" w:rsidRDefault="006F4B13" w:rsidP="00B043DE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04F6A2E3" w14:textId="721FED68" w:rsidR="000A37C3" w:rsidRPr="00583CBA" w:rsidRDefault="00BF5511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>
              <w:rPr>
                <w:rFonts w:eastAsia="Times New Roman"/>
                <w:iCs/>
                <w:sz w:val="26"/>
                <w:szCs w:val="26"/>
                <w:lang w:val="lv-LV"/>
              </w:rPr>
              <w:t>Noteikumu p</w:t>
            </w:r>
            <w:r w:rsidR="00E670D3"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>rojekts ievietots Ekonomikas ministrijas mājas lapā</w:t>
            </w:r>
          </w:p>
          <w:p w14:paraId="458F6555" w14:textId="533C81BC" w:rsidR="000A37C3" w:rsidRPr="00583CBA" w:rsidRDefault="00370620" w:rsidP="00B043DE">
            <w:pPr>
              <w:shd w:val="clear" w:color="auto" w:fill="FFFFFF"/>
              <w:ind w:left="57" w:right="404"/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hyperlink r:id="rId8" w:history="1">
              <w:r w:rsidR="006C5DED" w:rsidRPr="00583CBA">
                <w:rPr>
                  <w:rStyle w:val="Hyperlink"/>
                  <w:rFonts w:eastAsia="Times New Roman"/>
                  <w:iCs/>
                  <w:sz w:val="26"/>
                  <w:szCs w:val="26"/>
                  <w:lang w:val="lv-LV"/>
                </w:rPr>
                <w:t>https://www.em.gov.lv/lv/Ministrija/sabiedribas_lidzdaliba/diskusiju_dokumenti/</w:t>
              </w:r>
            </w:hyperlink>
          </w:p>
          <w:p w14:paraId="132EFB10" w14:textId="77777777" w:rsidR="006C5DED" w:rsidRPr="00583CBA" w:rsidRDefault="0091182D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 w:rsidRPr="00583CBA">
              <w:rPr>
                <w:rFonts w:eastAsia="Times New Roman"/>
                <w:iCs/>
                <w:sz w:val="26"/>
                <w:szCs w:val="26"/>
                <w:lang w:val="lv-LV"/>
              </w:rPr>
              <w:lastRenderedPageBreak/>
              <w:t>un Ministru kabineta mājas lapā</w:t>
            </w:r>
          </w:p>
          <w:p w14:paraId="18D5064F" w14:textId="777FB940" w:rsidR="006F4B13" w:rsidRPr="00583CBA" w:rsidRDefault="00370620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hyperlink r:id="rId9" w:history="1">
              <w:r w:rsidR="006C5DED" w:rsidRPr="00583CBA">
                <w:rPr>
                  <w:rStyle w:val="Hyperlink"/>
                  <w:rFonts w:eastAsia="Times New Roman"/>
                  <w:iCs/>
                  <w:sz w:val="26"/>
                  <w:szCs w:val="26"/>
                  <w:lang w:val="lv-LV"/>
                </w:rPr>
                <w:t>https://www.mk.gov.lv/content/ministru-kabineta-diskusiju-dokumenti</w:t>
              </w:r>
            </w:hyperlink>
          </w:p>
        </w:tc>
      </w:tr>
      <w:tr w:rsidR="006F4B13" w:rsidRPr="00583CBA" w14:paraId="0F937EA3" w14:textId="77777777" w:rsidTr="00E50D80">
        <w:trPr>
          <w:trHeight w:val="476"/>
        </w:trPr>
        <w:tc>
          <w:tcPr>
            <w:tcW w:w="312" w:type="dxa"/>
          </w:tcPr>
          <w:p w14:paraId="5A007BCA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lastRenderedPageBreak/>
              <w:t>3.</w:t>
            </w:r>
          </w:p>
        </w:tc>
        <w:tc>
          <w:tcPr>
            <w:tcW w:w="2665" w:type="dxa"/>
          </w:tcPr>
          <w:p w14:paraId="5F99D7D0" w14:textId="77777777" w:rsidR="006F4B13" w:rsidRPr="00583CBA" w:rsidRDefault="006F4B13" w:rsidP="00B043DE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2BF921D4" w14:textId="6D400666" w:rsidR="006F4B13" w:rsidRPr="00583CBA" w:rsidRDefault="006F4B13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6F4B13" w:rsidRPr="00583CBA" w14:paraId="13638F96" w14:textId="77777777" w:rsidTr="00E50D80">
        <w:trPr>
          <w:trHeight w:val="205"/>
        </w:trPr>
        <w:tc>
          <w:tcPr>
            <w:tcW w:w="312" w:type="dxa"/>
          </w:tcPr>
          <w:p w14:paraId="286DE4AB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4.</w:t>
            </w:r>
          </w:p>
        </w:tc>
        <w:tc>
          <w:tcPr>
            <w:tcW w:w="2665" w:type="dxa"/>
          </w:tcPr>
          <w:p w14:paraId="1AEA4978" w14:textId="77777777" w:rsidR="006F4B13" w:rsidRPr="00583CBA" w:rsidRDefault="006F4B13" w:rsidP="00B043DE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29112FCD" w14:textId="5927F71D" w:rsidR="006F4B13" w:rsidRPr="00583CBA" w:rsidRDefault="006F4B13" w:rsidP="00B043DE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07B85D36" w14:textId="1E6EF1D8" w:rsidR="00844176" w:rsidRPr="00583CBA" w:rsidRDefault="00844176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4B1861" w14:paraId="72278BCA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583CBA" w:rsidRDefault="00844176" w:rsidP="00B043DE">
            <w:pPr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b/>
                <w:sz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583CBA" w14:paraId="3BE578E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583CBA" w:rsidRDefault="00844176" w:rsidP="00B043DE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1EC3A696" w:rsidR="00844176" w:rsidRPr="00583CBA" w:rsidRDefault="00844176" w:rsidP="00B043DE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E</w:t>
            </w:r>
            <w:r w:rsidR="00733C32" w:rsidRPr="00583CBA">
              <w:rPr>
                <w:sz w:val="26"/>
                <w:szCs w:val="26"/>
                <w:lang w:val="lv-LV"/>
              </w:rPr>
              <w:t>konomikas ministrija</w:t>
            </w:r>
            <w:r w:rsidR="0074545C" w:rsidRPr="00583CBA">
              <w:rPr>
                <w:sz w:val="26"/>
                <w:szCs w:val="26"/>
                <w:lang w:val="lv-LV"/>
              </w:rPr>
              <w:t>, sabiedrība</w:t>
            </w:r>
            <w:r w:rsidR="00733C32" w:rsidRPr="00583CBA">
              <w:rPr>
                <w:sz w:val="26"/>
                <w:szCs w:val="26"/>
                <w:lang w:val="lv-LV"/>
              </w:rPr>
              <w:t xml:space="preserve"> “</w:t>
            </w:r>
            <w:proofErr w:type="spellStart"/>
            <w:r w:rsidR="00733C32" w:rsidRPr="00583CBA">
              <w:rPr>
                <w:sz w:val="26"/>
                <w:szCs w:val="26"/>
                <w:lang w:val="lv-LV"/>
              </w:rPr>
              <w:t>Altum</w:t>
            </w:r>
            <w:proofErr w:type="spellEnd"/>
            <w:r w:rsidR="00733C32" w:rsidRPr="00583CBA">
              <w:rPr>
                <w:sz w:val="26"/>
                <w:szCs w:val="26"/>
                <w:lang w:val="lv-LV"/>
              </w:rPr>
              <w:t>”</w:t>
            </w:r>
          </w:p>
        </w:tc>
      </w:tr>
      <w:tr w:rsidR="00844176" w:rsidRPr="004B1861" w14:paraId="2CF2C3EA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583CBA" w:rsidRDefault="00844176" w:rsidP="00B043DE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5F0ACEC1" w:rsidR="00844176" w:rsidRPr="00583CBA" w:rsidRDefault="00A52C79" w:rsidP="00B043DE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Noteikumu p</w:t>
            </w:r>
            <w:r w:rsidR="00844176" w:rsidRPr="00583CBA">
              <w:rPr>
                <w:sz w:val="26"/>
                <w:szCs w:val="26"/>
                <w:lang w:val="lv-LV"/>
              </w:rPr>
              <w:t>roj</w:t>
            </w:r>
            <w:r w:rsidR="00733C32" w:rsidRPr="00583CBA">
              <w:rPr>
                <w:sz w:val="26"/>
                <w:szCs w:val="26"/>
                <w:lang w:val="lv-LV"/>
              </w:rPr>
              <w:t>ekta izpilde tiks nodrošināta Ekonomikas ministrijas</w:t>
            </w:r>
            <w:r w:rsidR="00844176" w:rsidRPr="00583CBA">
              <w:rPr>
                <w:sz w:val="26"/>
                <w:szCs w:val="26"/>
                <w:lang w:val="lv-LV"/>
              </w:rPr>
              <w:t xml:space="preserve"> un </w:t>
            </w:r>
            <w:r w:rsidR="0074545C" w:rsidRPr="00583CBA">
              <w:rPr>
                <w:sz w:val="26"/>
                <w:szCs w:val="26"/>
                <w:lang w:val="lv-LV"/>
              </w:rPr>
              <w:t>akciju sabiedrības</w:t>
            </w:r>
            <w:r w:rsidR="00733C32" w:rsidRPr="00583CBA">
              <w:rPr>
                <w:sz w:val="26"/>
                <w:szCs w:val="26"/>
                <w:lang w:val="lv-LV"/>
              </w:rPr>
              <w:t xml:space="preserve"> “</w:t>
            </w:r>
            <w:proofErr w:type="spellStart"/>
            <w:r w:rsidR="00733C32" w:rsidRPr="00583CBA">
              <w:rPr>
                <w:sz w:val="26"/>
                <w:szCs w:val="26"/>
                <w:lang w:val="lv-LV"/>
              </w:rPr>
              <w:t>Altum</w:t>
            </w:r>
            <w:proofErr w:type="spellEnd"/>
            <w:r w:rsidR="00733C32" w:rsidRPr="00583CBA">
              <w:rPr>
                <w:sz w:val="26"/>
                <w:szCs w:val="26"/>
                <w:lang w:val="lv-LV"/>
              </w:rPr>
              <w:t xml:space="preserve">” </w:t>
            </w:r>
            <w:r w:rsidR="00844176" w:rsidRPr="00583CBA">
              <w:rPr>
                <w:sz w:val="26"/>
                <w:szCs w:val="26"/>
                <w:lang w:val="lv-LV"/>
              </w:rPr>
              <w:t>esošo funkciju ietvaros</w:t>
            </w:r>
            <w:r w:rsidR="002B7681" w:rsidRPr="00583CBA">
              <w:rPr>
                <w:sz w:val="26"/>
                <w:szCs w:val="26"/>
                <w:lang w:val="lv-LV"/>
              </w:rPr>
              <w:t>, kā arī nav paredzēta jaunu institūciju izveide, esošu institūciju likvidācija vai reorganizācija</w:t>
            </w:r>
            <w:r w:rsidR="00844176" w:rsidRPr="00583CBA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583CBA" w14:paraId="2EBACAF6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583CBA" w:rsidRDefault="00844176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583CBA" w:rsidRDefault="00844176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3EE94B5" w14:textId="1CE65C68" w:rsidR="00862580" w:rsidRPr="00583CBA" w:rsidRDefault="00862580" w:rsidP="00B043DE">
      <w:pPr>
        <w:contextualSpacing/>
        <w:jc w:val="both"/>
        <w:rPr>
          <w:sz w:val="26"/>
          <w:lang w:val="lv-LV"/>
        </w:rPr>
      </w:pPr>
    </w:p>
    <w:p w14:paraId="06F0F0CE" w14:textId="77777777" w:rsidR="00DA1B53" w:rsidRPr="00E014E6" w:rsidRDefault="00DA1B53" w:rsidP="00B043DE">
      <w:pPr>
        <w:ind w:firstLine="709"/>
        <w:jc w:val="both"/>
        <w:rPr>
          <w:sz w:val="24"/>
          <w:szCs w:val="26"/>
        </w:rPr>
      </w:pPr>
      <w:proofErr w:type="spellStart"/>
      <w:r w:rsidRPr="00E014E6">
        <w:rPr>
          <w:sz w:val="24"/>
          <w:szCs w:val="26"/>
        </w:rPr>
        <w:t>Ekonomikas</w:t>
      </w:r>
      <w:proofErr w:type="spellEnd"/>
      <w:r w:rsidRPr="00E014E6">
        <w:rPr>
          <w:sz w:val="24"/>
          <w:szCs w:val="26"/>
        </w:rPr>
        <w:t xml:space="preserve"> </w:t>
      </w:r>
      <w:proofErr w:type="spellStart"/>
      <w:r w:rsidRPr="00E014E6">
        <w:rPr>
          <w:sz w:val="24"/>
          <w:szCs w:val="26"/>
        </w:rPr>
        <w:t>ministra</w:t>
      </w:r>
      <w:proofErr w:type="spellEnd"/>
      <w:r w:rsidRPr="00E014E6">
        <w:rPr>
          <w:sz w:val="24"/>
          <w:szCs w:val="26"/>
        </w:rPr>
        <w:t xml:space="preserve"> </w:t>
      </w:r>
      <w:proofErr w:type="spellStart"/>
      <w:r w:rsidRPr="00E014E6">
        <w:rPr>
          <w:sz w:val="24"/>
          <w:szCs w:val="26"/>
        </w:rPr>
        <w:t>p.i.</w:t>
      </w:r>
      <w:proofErr w:type="spellEnd"/>
      <w:r w:rsidRPr="00E014E6">
        <w:rPr>
          <w:sz w:val="24"/>
          <w:szCs w:val="26"/>
        </w:rPr>
        <w:t>,</w:t>
      </w:r>
    </w:p>
    <w:p w14:paraId="6452CC80" w14:textId="77777777" w:rsidR="00DA1B53" w:rsidRPr="00E014E6" w:rsidRDefault="00DA1B53" w:rsidP="00B043DE">
      <w:pPr>
        <w:ind w:firstLine="709"/>
        <w:jc w:val="both"/>
        <w:rPr>
          <w:sz w:val="24"/>
          <w:szCs w:val="26"/>
        </w:rPr>
      </w:pPr>
      <w:proofErr w:type="spellStart"/>
      <w:r w:rsidRPr="00E014E6">
        <w:rPr>
          <w:sz w:val="24"/>
          <w:szCs w:val="26"/>
        </w:rPr>
        <w:t>Iekšlietu</w:t>
      </w:r>
      <w:proofErr w:type="spellEnd"/>
      <w:r w:rsidRPr="00E014E6">
        <w:rPr>
          <w:sz w:val="24"/>
          <w:szCs w:val="26"/>
        </w:rPr>
        <w:t xml:space="preserve"> </w:t>
      </w:r>
      <w:proofErr w:type="spellStart"/>
      <w:r w:rsidRPr="00E014E6">
        <w:rPr>
          <w:sz w:val="24"/>
          <w:szCs w:val="26"/>
        </w:rPr>
        <w:t>ministrs</w:t>
      </w:r>
      <w:proofErr w:type="spellEnd"/>
      <w:r w:rsidRPr="00E014E6">
        <w:rPr>
          <w:sz w:val="24"/>
          <w:szCs w:val="26"/>
        </w:rPr>
        <w:t xml:space="preserve"> </w:t>
      </w:r>
      <w:r w:rsidRPr="00E014E6">
        <w:rPr>
          <w:sz w:val="24"/>
          <w:szCs w:val="26"/>
        </w:rPr>
        <w:tab/>
      </w:r>
      <w:r w:rsidRPr="00E014E6">
        <w:rPr>
          <w:sz w:val="24"/>
          <w:szCs w:val="26"/>
        </w:rPr>
        <w:tab/>
      </w:r>
      <w:r w:rsidRPr="00E014E6">
        <w:rPr>
          <w:sz w:val="24"/>
          <w:szCs w:val="26"/>
        </w:rPr>
        <w:tab/>
      </w:r>
      <w:r w:rsidRPr="00E014E6">
        <w:rPr>
          <w:sz w:val="24"/>
          <w:szCs w:val="26"/>
        </w:rPr>
        <w:tab/>
        <w:t xml:space="preserve">                          </w:t>
      </w:r>
      <w:proofErr w:type="spellStart"/>
      <w:proofErr w:type="gramStart"/>
      <w:r w:rsidRPr="00E014E6">
        <w:rPr>
          <w:sz w:val="24"/>
          <w:szCs w:val="26"/>
        </w:rPr>
        <w:t>S.Ģirģens</w:t>
      </w:r>
      <w:proofErr w:type="spellEnd"/>
      <w:proofErr w:type="gramEnd"/>
    </w:p>
    <w:p w14:paraId="34EC7B77" w14:textId="77777777" w:rsidR="00102B0D" w:rsidRPr="00583CBA" w:rsidRDefault="00102B0D" w:rsidP="00B043DE">
      <w:pPr>
        <w:rPr>
          <w:sz w:val="26"/>
          <w:szCs w:val="26"/>
          <w:lang w:val="lv-LV"/>
        </w:rPr>
      </w:pPr>
      <w:r w:rsidRPr="00583CBA">
        <w:rPr>
          <w:sz w:val="26"/>
          <w:szCs w:val="26"/>
          <w:lang w:val="lv-LV"/>
        </w:rPr>
        <w:tab/>
      </w:r>
    </w:p>
    <w:p w14:paraId="3248ED04" w14:textId="77777777" w:rsidR="00862580" w:rsidRPr="00583CBA" w:rsidRDefault="00862580" w:rsidP="00B043DE">
      <w:pPr>
        <w:tabs>
          <w:tab w:val="left" w:pos="6237"/>
        </w:tabs>
        <w:contextualSpacing/>
        <w:rPr>
          <w:sz w:val="26"/>
          <w:szCs w:val="26"/>
          <w:lang w:val="lv-LV"/>
        </w:rPr>
      </w:pPr>
    </w:p>
    <w:p w14:paraId="186DE79D" w14:textId="77777777" w:rsidR="00102B0D" w:rsidRPr="00583CBA" w:rsidRDefault="00862580" w:rsidP="00B043DE">
      <w:pPr>
        <w:tabs>
          <w:tab w:val="left" w:pos="6237"/>
        </w:tabs>
        <w:ind w:firstLine="720"/>
        <w:contextualSpacing/>
        <w:rPr>
          <w:sz w:val="26"/>
          <w:szCs w:val="26"/>
          <w:lang w:val="lv-LV"/>
        </w:rPr>
      </w:pPr>
      <w:r w:rsidRPr="00583CBA">
        <w:rPr>
          <w:sz w:val="26"/>
          <w:szCs w:val="26"/>
          <w:lang w:val="lv-LV"/>
        </w:rPr>
        <w:t>Vīza</w:t>
      </w:r>
      <w:r w:rsidR="00102B0D" w:rsidRPr="00583CBA">
        <w:rPr>
          <w:sz w:val="26"/>
          <w:szCs w:val="26"/>
          <w:lang w:val="lv-LV"/>
        </w:rPr>
        <w:t>:</w:t>
      </w:r>
    </w:p>
    <w:p w14:paraId="0C09E4E3" w14:textId="4B5B4056" w:rsidR="00102B0D" w:rsidRPr="00583CBA" w:rsidRDefault="00102B0D" w:rsidP="00B043DE">
      <w:pPr>
        <w:tabs>
          <w:tab w:val="left" w:pos="6237"/>
        </w:tabs>
        <w:ind w:firstLine="720"/>
        <w:contextualSpacing/>
        <w:rPr>
          <w:sz w:val="26"/>
          <w:szCs w:val="26"/>
          <w:lang w:val="lv-LV"/>
        </w:rPr>
      </w:pPr>
      <w:r w:rsidRPr="00583CBA">
        <w:rPr>
          <w:sz w:val="26"/>
          <w:szCs w:val="26"/>
          <w:lang w:val="lv-LV"/>
        </w:rPr>
        <w:t xml:space="preserve">Valsts sekretāra vietā – </w:t>
      </w:r>
    </w:p>
    <w:p w14:paraId="10766B62" w14:textId="548A4B0E" w:rsidR="00862580" w:rsidRPr="00583CBA" w:rsidRDefault="00102B0D" w:rsidP="00B043DE">
      <w:pPr>
        <w:tabs>
          <w:tab w:val="left" w:pos="6237"/>
        </w:tabs>
        <w:ind w:firstLine="720"/>
        <w:contextualSpacing/>
        <w:rPr>
          <w:sz w:val="26"/>
          <w:szCs w:val="26"/>
          <w:lang w:val="lv-LV"/>
        </w:rPr>
      </w:pPr>
      <w:r w:rsidRPr="00583CBA">
        <w:rPr>
          <w:sz w:val="26"/>
          <w:szCs w:val="26"/>
          <w:lang w:val="lv-LV"/>
        </w:rPr>
        <w:t>valsts sekretāra vietnieks</w:t>
      </w:r>
      <w:r w:rsidRPr="00583CBA">
        <w:rPr>
          <w:sz w:val="26"/>
          <w:szCs w:val="26"/>
          <w:lang w:val="lv-LV"/>
        </w:rPr>
        <w:tab/>
      </w:r>
      <w:r w:rsidRPr="00583CBA">
        <w:rPr>
          <w:sz w:val="26"/>
          <w:szCs w:val="26"/>
          <w:lang w:val="lv-LV"/>
        </w:rPr>
        <w:tab/>
      </w:r>
      <w:r w:rsidR="00561126" w:rsidRPr="00583CBA">
        <w:rPr>
          <w:sz w:val="26"/>
          <w:szCs w:val="26"/>
          <w:lang w:val="lv-LV"/>
        </w:rPr>
        <w:t>Edmunds Valantis</w:t>
      </w:r>
    </w:p>
    <w:p w14:paraId="686EDB4F" w14:textId="0FC0C259" w:rsidR="00862580" w:rsidRPr="00583CBA" w:rsidRDefault="00862580" w:rsidP="00B043DE">
      <w:pPr>
        <w:tabs>
          <w:tab w:val="left" w:pos="6237"/>
        </w:tabs>
        <w:contextualSpacing/>
        <w:rPr>
          <w:lang w:val="lv-LV"/>
        </w:rPr>
      </w:pPr>
    </w:p>
    <w:p w14:paraId="7FE050EB" w14:textId="77777777" w:rsidR="00862580" w:rsidRPr="00583CBA" w:rsidRDefault="00862580" w:rsidP="00B043DE">
      <w:pPr>
        <w:tabs>
          <w:tab w:val="left" w:pos="6840"/>
        </w:tabs>
        <w:contextualSpacing/>
        <w:jc w:val="both"/>
        <w:rPr>
          <w:lang w:val="lv-LV"/>
        </w:rPr>
      </w:pPr>
      <w:r w:rsidRPr="00583CBA">
        <w:rPr>
          <w:lang w:val="lv-LV"/>
        </w:rPr>
        <w:t>Tetere, 67013044</w:t>
      </w:r>
    </w:p>
    <w:p w14:paraId="5B8D44CD" w14:textId="335AC42F" w:rsidR="00862580" w:rsidRPr="00583CBA" w:rsidRDefault="00370620" w:rsidP="00B043DE">
      <w:pPr>
        <w:pStyle w:val="Header"/>
        <w:tabs>
          <w:tab w:val="clear" w:pos="4153"/>
          <w:tab w:val="clear" w:pos="8306"/>
        </w:tabs>
        <w:contextualSpacing/>
        <w:rPr>
          <w:lang w:val="lv-LV"/>
        </w:rPr>
      </w:pPr>
      <w:hyperlink r:id="rId10" w:history="1">
        <w:r w:rsidR="00862580" w:rsidRPr="00583CBA">
          <w:rPr>
            <w:rStyle w:val="Hyperlink"/>
            <w:color w:val="auto"/>
            <w:lang w:val="lv-LV"/>
          </w:rPr>
          <w:t>Dita.Tetere@em.gov.lv</w:t>
        </w:r>
      </w:hyperlink>
    </w:p>
    <w:sectPr w:rsidR="00862580" w:rsidRPr="00583CBA" w:rsidSect="006064F8">
      <w:headerReference w:type="default" r:id="rId11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44FD" w14:textId="77777777" w:rsidR="00370620" w:rsidRDefault="00370620" w:rsidP="006B2FEF">
      <w:r>
        <w:separator/>
      </w:r>
    </w:p>
  </w:endnote>
  <w:endnote w:type="continuationSeparator" w:id="0">
    <w:p w14:paraId="09527765" w14:textId="77777777" w:rsidR="00370620" w:rsidRDefault="00370620" w:rsidP="006B2FEF">
      <w:r>
        <w:continuationSeparator/>
      </w:r>
    </w:p>
  </w:endnote>
  <w:endnote w:type="continuationNotice" w:id="1">
    <w:p w14:paraId="1496B8E3" w14:textId="77777777" w:rsidR="00370620" w:rsidRDefault="00370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DE4D" w14:textId="77777777" w:rsidR="00370620" w:rsidRDefault="00370620" w:rsidP="006B2FEF">
      <w:r>
        <w:separator/>
      </w:r>
    </w:p>
  </w:footnote>
  <w:footnote w:type="continuationSeparator" w:id="0">
    <w:p w14:paraId="09E78DE1" w14:textId="77777777" w:rsidR="00370620" w:rsidRDefault="00370620" w:rsidP="006B2FEF">
      <w:r>
        <w:continuationSeparator/>
      </w:r>
    </w:p>
  </w:footnote>
  <w:footnote w:type="continuationNotice" w:id="1">
    <w:p w14:paraId="49C0BA6A" w14:textId="77777777" w:rsidR="00370620" w:rsidRDefault="00370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3B4FED79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C50D1A">
          <w:rPr>
            <w:noProof/>
            <w:sz w:val="24"/>
            <w:szCs w:val="24"/>
          </w:rPr>
          <w:t>2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4760"/>
    <w:multiLevelType w:val="hybridMultilevel"/>
    <w:tmpl w:val="8A3EFC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A0D5B"/>
    <w:multiLevelType w:val="hybridMultilevel"/>
    <w:tmpl w:val="268E5ABE"/>
    <w:lvl w:ilvl="0" w:tplc="A9AEE2D8">
      <w:start w:val="202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58AA"/>
    <w:rsid w:val="0000653D"/>
    <w:rsid w:val="00007491"/>
    <w:rsid w:val="0001048C"/>
    <w:rsid w:val="00013B61"/>
    <w:rsid w:val="00014B9F"/>
    <w:rsid w:val="00016159"/>
    <w:rsid w:val="0002003C"/>
    <w:rsid w:val="000231D2"/>
    <w:rsid w:val="000240CA"/>
    <w:rsid w:val="00024ACB"/>
    <w:rsid w:val="00024D9D"/>
    <w:rsid w:val="0002596F"/>
    <w:rsid w:val="00026F18"/>
    <w:rsid w:val="0003012D"/>
    <w:rsid w:val="00030B7E"/>
    <w:rsid w:val="0003245D"/>
    <w:rsid w:val="00032471"/>
    <w:rsid w:val="0003265E"/>
    <w:rsid w:val="00033F5A"/>
    <w:rsid w:val="00035C7B"/>
    <w:rsid w:val="000430AC"/>
    <w:rsid w:val="0004380E"/>
    <w:rsid w:val="00044683"/>
    <w:rsid w:val="00044743"/>
    <w:rsid w:val="00047095"/>
    <w:rsid w:val="00047962"/>
    <w:rsid w:val="000527A4"/>
    <w:rsid w:val="000678CD"/>
    <w:rsid w:val="00070F56"/>
    <w:rsid w:val="00071082"/>
    <w:rsid w:val="0007156D"/>
    <w:rsid w:val="00071BC9"/>
    <w:rsid w:val="00072B02"/>
    <w:rsid w:val="0007330D"/>
    <w:rsid w:val="00074090"/>
    <w:rsid w:val="000773A5"/>
    <w:rsid w:val="00077D13"/>
    <w:rsid w:val="0008002B"/>
    <w:rsid w:val="00080352"/>
    <w:rsid w:val="000818FB"/>
    <w:rsid w:val="00081EC5"/>
    <w:rsid w:val="0008515E"/>
    <w:rsid w:val="00085640"/>
    <w:rsid w:val="00091668"/>
    <w:rsid w:val="00091F4F"/>
    <w:rsid w:val="0009324B"/>
    <w:rsid w:val="00094B1E"/>
    <w:rsid w:val="00095280"/>
    <w:rsid w:val="00096060"/>
    <w:rsid w:val="000964C6"/>
    <w:rsid w:val="000A0059"/>
    <w:rsid w:val="000A14E3"/>
    <w:rsid w:val="000A3654"/>
    <w:rsid w:val="000A37C3"/>
    <w:rsid w:val="000A38DA"/>
    <w:rsid w:val="000A44CE"/>
    <w:rsid w:val="000A6332"/>
    <w:rsid w:val="000B0748"/>
    <w:rsid w:val="000B1926"/>
    <w:rsid w:val="000B1B64"/>
    <w:rsid w:val="000B2C54"/>
    <w:rsid w:val="000B3449"/>
    <w:rsid w:val="000B3FAB"/>
    <w:rsid w:val="000B492B"/>
    <w:rsid w:val="000B71B4"/>
    <w:rsid w:val="000C090A"/>
    <w:rsid w:val="000C33C1"/>
    <w:rsid w:val="000C4418"/>
    <w:rsid w:val="000D2474"/>
    <w:rsid w:val="000D3D56"/>
    <w:rsid w:val="000D43D9"/>
    <w:rsid w:val="000D74B9"/>
    <w:rsid w:val="000E257B"/>
    <w:rsid w:val="000E53C3"/>
    <w:rsid w:val="000E56F8"/>
    <w:rsid w:val="000E5DD2"/>
    <w:rsid w:val="000E63F3"/>
    <w:rsid w:val="000F0A62"/>
    <w:rsid w:val="000F0E0E"/>
    <w:rsid w:val="000F25D2"/>
    <w:rsid w:val="000F2EA7"/>
    <w:rsid w:val="000F4230"/>
    <w:rsid w:val="001001F5"/>
    <w:rsid w:val="00102922"/>
    <w:rsid w:val="00102B0D"/>
    <w:rsid w:val="00102B1D"/>
    <w:rsid w:val="00105D17"/>
    <w:rsid w:val="00110128"/>
    <w:rsid w:val="0011606F"/>
    <w:rsid w:val="0012624C"/>
    <w:rsid w:val="0013024B"/>
    <w:rsid w:val="00131C9F"/>
    <w:rsid w:val="00137388"/>
    <w:rsid w:val="00137F96"/>
    <w:rsid w:val="00142C3C"/>
    <w:rsid w:val="00143BB6"/>
    <w:rsid w:val="00145366"/>
    <w:rsid w:val="00146697"/>
    <w:rsid w:val="00146D17"/>
    <w:rsid w:val="00151BBD"/>
    <w:rsid w:val="00152387"/>
    <w:rsid w:val="0015295F"/>
    <w:rsid w:val="00156C28"/>
    <w:rsid w:val="0016143E"/>
    <w:rsid w:val="00161BA7"/>
    <w:rsid w:val="001633A3"/>
    <w:rsid w:val="001650AC"/>
    <w:rsid w:val="001655DD"/>
    <w:rsid w:val="00165747"/>
    <w:rsid w:val="00165F5E"/>
    <w:rsid w:val="0016668A"/>
    <w:rsid w:val="00166A8B"/>
    <w:rsid w:val="0016744E"/>
    <w:rsid w:val="00167597"/>
    <w:rsid w:val="00172082"/>
    <w:rsid w:val="00176AB2"/>
    <w:rsid w:val="00177250"/>
    <w:rsid w:val="00177882"/>
    <w:rsid w:val="00177C69"/>
    <w:rsid w:val="00180E2B"/>
    <w:rsid w:val="00183B65"/>
    <w:rsid w:val="00183C0A"/>
    <w:rsid w:val="00186A4D"/>
    <w:rsid w:val="00187140"/>
    <w:rsid w:val="00190B3D"/>
    <w:rsid w:val="001935C8"/>
    <w:rsid w:val="001946C8"/>
    <w:rsid w:val="00195D43"/>
    <w:rsid w:val="001A120C"/>
    <w:rsid w:val="001A1322"/>
    <w:rsid w:val="001A1368"/>
    <w:rsid w:val="001A1439"/>
    <w:rsid w:val="001A2748"/>
    <w:rsid w:val="001A38EA"/>
    <w:rsid w:val="001A3ED2"/>
    <w:rsid w:val="001A7C3A"/>
    <w:rsid w:val="001A7E1D"/>
    <w:rsid w:val="001B70CA"/>
    <w:rsid w:val="001B7454"/>
    <w:rsid w:val="001C0801"/>
    <w:rsid w:val="001C143C"/>
    <w:rsid w:val="001C1B72"/>
    <w:rsid w:val="001C2832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6EFA"/>
    <w:rsid w:val="001D7397"/>
    <w:rsid w:val="001D7DC1"/>
    <w:rsid w:val="001E023A"/>
    <w:rsid w:val="001E1B0F"/>
    <w:rsid w:val="001E3588"/>
    <w:rsid w:val="001E4C2F"/>
    <w:rsid w:val="001E5FBC"/>
    <w:rsid w:val="001E76BE"/>
    <w:rsid w:val="001F2BA2"/>
    <w:rsid w:val="001F6DBE"/>
    <w:rsid w:val="001F7086"/>
    <w:rsid w:val="001F7AAD"/>
    <w:rsid w:val="00200E7D"/>
    <w:rsid w:val="00201D17"/>
    <w:rsid w:val="0020468C"/>
    <w:rsid w:val="002107BF"/>
    <w:rsid w:val="00210E64"/>
    <w:rsid w:val="00211315"/>
    <w:rsid w:val="00215A5A"/>
    <w:rsid w:val="00215C6A"/>
    <w:rsid w:val="0021738A"/>
    <w:rsid w:val="002177B0"/>
    <w:rsid w:val="00217F5B"/>
    <w:rsid w:val="00223778"/>
    <w:rsid w:val="00224E84"/>
    <w:rsid w:val="002267E7"/>
    <w:rsid w:val="00227BC3"/>
    <w:rsid w:val="00227F25"/>
    <w:rsid w:val="00232596"/>
    <w:rsid w:val="0023582E"/>
    <w:rsid w:val="00237878"/>
    <w:rsid w:val="002438ED"/>
    <w:rsid w:val="00244A9E"/>
    <w:rsid w:val="00246849"/>
    <w:rsid w:val="002470A3"/>
    <w:rsid w:val="00250127"/>
    <w:rsid w:val="0025023B"/>
    <w:rsid w:val="00252EEF"/>
    <w:rsid w:val="00253B6C"/>
    <w:rsid w:val="00254651"/>
    <w:rsid w:val="00254901"/>
    <w:rsid w:val="0025543B"/>
    <w:rsid w:val="00255BAC"/>
    <w:rsid w:val="0025654B"/>
    <w:rsid w:val="00257981"/>
    <w:rsid w:val="002601C7"/>
    <w:rsid w:val="00261B97"/>
    <w:rsid w:val="002651EA"/>
    <w:rsid w:val="0027369F"/>
    <w:rsid w:val="00273700"/>
    <w:rsid w:val="00273B21"/>
    <w:rsid w:val="00277D9D"/>
    <w:rsid w:val="00281C0B"/>
    <w:rsid w:val="00282251"/>
    <w:rsid w:val="0028288E"/>
    <w:rsid w:val="00284E46"/>
    <w:rsid w:val="002864ED"/>
    <w:rsid w:val="00290EE2"/>
    <w:rsid w:val="00292062"/>
    <w:rsid w:val="002932D2"/>
    <w:rsid w:val="00293CAD"/>
    <w:rsid w:val="00294DDB"/>
    <w:rsid w:val="00294DF3"/>
    <w:rsid w:val="002957B7"/>
    <w:rsid w:val="002A0435"/>
    <w:rsid w:val="002A0BC1"/>
    <w:rsid w:val="002A166A"/>
    <w:rsid w:val="002A1AA4"/>
    <w:rsid w:val="002A3287"/>
    <w:rsid w:val="002A3EC2"/>
    <w:rsid w:val="002A6400"/>
    <w:rsid w:val="002B071C"/>
    <w:rsid w:val="002B24D2"/>
    <w:rsid w:val="002B3EAE"/>
    <w:rsid w:val="002B4900"/>
    <w:rsid w:val="002B6364"/>
    <w:rsid w:val="002B7681"/>
    <w:rsid w:val="002B7F82"/>
    <w:rsid w:val="002C15A0"/>
    <w:rsid w:val="002C22CF"/>
    <w:rsid w:val="002C3E23"/>
    <w:rsid w:val="002C3E51"/>
    <w:rsid w:val="002C504B"/>
    <w:rsid w:val="002C743D"/>
    <w:rsid w:val="002D339C"/>
    <w:rsid w:val="002D43A2"/>
    <w:rsid w:val="002D6A10"/>
    <w:rsid w:val="002D6BDB"/>
    <w:rsid w:val="002D744A"/>
    <w:rsid w:val="002D7D0E"/>
    <w:rsid w:val="002E024D"/>
    <w:rsid w:val="002E1075"/>
    <w:rsid w:val="002E5019"/>
    <w:rsid w:val="002E5643"/>
    <w:rsid w:val="002E678E"/>
    <w:rsid w:val="002E708A"/>
    <w:rsid w:val="002E7635"/>
    <w:rsid w:val="002F06CE"/>
    <w:rsid w:val="002F5587"/>
    <w:rsid w:val="002F5FB0"/>
    <w:rsid w:val="002F741D"/>
    <w:rsid w:val="00300B84"/>
    <w:rsid w:val="00301A6D"/>
    <w:rsid w:val="0030247A"/>
    <w:rsid w:val="00303955"/>
    <w:rsid w:val="00303F18"/>
    <w:rsid w:val="00304810"/>
    <w:rsid w:val="003055C3"/>
    <w:rsid w:val="003061FB"/>
    <w:rsid w:val="00306270"/>
    <w:rsid w:val="0031008A"/>
    <w:rsid w:val="00310924"/>
    <w:rsid w:val="0031259B"/>
    <w:rsid w:val="00314298"/>
    <w:rsid w:val="0031471E"/>
    <w:rsid w:val="003176D3"/>
    <w:rsid w:val="00320B22"/>
    <w:rsid w:val="003228DE"/>
    <w:rsid w:val="00323C8A"/>
    <w:rsid w:val="00326096"/>
    <w:rsid w:val="00326AE5"/>
    <w:rsid w:val="00330421"/>
    <w:rsid w:val="0033237E"/>
    <w:rsid w:val="003334FB"/>
    <w:rsid w:val="003344E7"/>
    <w:rsid w:val="0033779C"/>
    <w:rsid w:val="00337AC6"/>
    <w:rsid w:val="00343A18"/>
    <w:rsid w:val="0034476B"/>
    <w:rsid w:val="0034593A"/>
    <w:rsid w:val="00346913"/>
    <w:rsid w:val="003469B5"/>
    <w:rsid w:val="00346CE0"/>
    <w:rsid w:val="00354ABE"/>
    <w:rsid w:val="00356492"/>
    <w:rsid w:val="00357C6C"/>
    <w:rsid w:val="00360657"/>
    <w:rsid w:val="00366AFE"/>
    <w:rsid w:val="00367B98"/>
    <w:rsid w:val="00370620"/>
    <w:rsid w:val="00370711"/>
    <w:rsid w:val="00371757"/>
    <w:rsid w:val="00373F39"/>
    <w:rsid w:val="00374F73"/>
    <w:rsid w:val="0037530A"/>
    <w:rsid w:val="00375D4C"/>
    <w:rsid w:val="00375F30"/>
    <w:rsid w:val="00376F09"/>
    <w:rsid w:val="00380AC5"/>
    <w:rsid w:val="00380D03"/>
    <w:rsid w:val="00381382"/>
    <w:rsid w:val="003814A5"/>
    <w:rsid w:val="00381B26"/>
    <w:rsid w:val="00382FEC"/>
    <w:rsid w:val="00385772"/>
    <w:rsid w:val="00387734"/>
    <w:rsid w:val="003911D7"/>
    <w:rsid w:val="0039139B"/>
    <w:rsid w:val="003913FB"/>
    <w:rsid w:val="00391F87"/>
    <w:rsid w:val="00392998"/>
    <w:rsid w:val="0039319E"/>
    <w:rsid w:val="00393E8A"/>
    <w:rsid w:val="003949F0"/>
    <w:rsid w:val="00395460"/>
    <w:rsid w:val="00396152"/>
    <w:rsid w:val="003962D9"/>
    <w:rsid w:val="00397D0E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B1693"/>
    <w:rsid w:val="003B32EC"/>
    <w:rsid w:val="003B3488"/>
    <w:rsid w:val="003B5E55"/>
    <w:rsid w:val="003B5F6A"/>
    <w:rsid w:val="003B623A"/>
    <w:rsid w:val="003B63BE"/>
    <w:rsid w:val="003B7B62"/>
    <w:rsid w:val="003C072B"/>
    <w:rsid w:val="003C3D3D"/>
    <w:rsid w:val="003C5836"/>
    <w:rsid w:val="003C585E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7F0B"/>
    <w:rsid w:val="003E06DF"/>
    <w:rsid w:val="003E145E"/>
    <w:rsid w:val="003E171B"/>
    <w:rsid w:val="003E3100"/>
    <w:rsid w:val="003E4132"/>
    <w:rsid w:val="003E5276"/>
    <w:rsid w:val="003E58C7"/>
    <w:rsid w:val="003E5A6D"/>
    <w:rsid w:val="003E5B81"/>
    <w:rsid w:val="003E5D7B"/>
    <w:rsid w:val="003E637A"/>
    <w:rsid w:val="003E78C2"/>
    <w:rsid w:val="003F0341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38BC"/>
    <w:rsid w:val="00406AE2"/>
    <w:rsid w:val="0041036A"/>
    <w:rsid w:val="00410512"/>
    <w:rsid w:val="0041316A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5AA9"/>
    <w:rsid w:val="00426250"/>
    <w:rsid w:val="00426A69"/>
    <w:rsid w:val="00426B77"/>
    <w:rsid w:val="00430F61"/>
    <w:rsid w:val="00431019"/>
    <w:rsid w:val="00433EC2"/>
    <w:rsid w:val="00434856"/>
    <w:rsid w:val="00434CD9"/>
    <w:rsid w:val="004352F7"/>
    <w:rsid w:val="0043554A"/>
    <w:rsid w:val="00435CF9"/>
    <w:rsid w:val="0043619D"/>
    <w:rsid w:val="004362D3"/>
    <w:rsid w:val="00442A8B"/>
    <w:rsid w:val="00442D1E"/>
    <w:rsid w:val="00443016"/>
    <w:rsid w:val="00444344"/>
    <w:rsid w:val="00445945"/>
    <w:rsid w:val="00450691"/>
    <w:rsid w:val="00450D9C"/>
    <w:rsid w:val="00451F09"/>
    <w:rsid w:val="00452140"/>
    <w:rsid w:val="00453BB3"/>
    <w:rsid w:val="004545A3"/>
    <w:rsid w:val="00454695"/>
    <w:rsid w:val="00457427"/>
    <w:rsid w:val="00457C1C"/>
    <w:rsid w:val="004619FE"/>
    <w:rsid w:val="00462679"/>
    <w:rsid w:val="00463574"/>
    <w:rsid w:val="00464762"/>
    <w:rsid w:val="004666F3"/>
    <w:rsid w:val="00467343"/>
    <w:rsid w:val="0047031A"/>
    <w:rsid w:val="00471A6D"/>
    <w:rsid w:val="0047322E"/>
    <w:rsid w:val="004741BD"/>
    <w:rsid w:val="004757CE"/>
    <w:rsid w:val="00475FA3"/>
    <w:rsid w:val="00476F80"/>
    <w:rsid w:val="00480F68"/>
    <w:rsid w:val="00481C20"/>
    <w:rsid w:val="00483B86"/>
    <w:rsid w:val="00485293"/>
    <w:rsid w:val="00485E47"/>
    <w:rsid w:val="00490499"/>
    <w:rsid w:val="00497AB8"/>
    <w:rsid w:val="004A15EF"/>
    <w:rsid w:val="004A2EE3"/>
    <w:rsid w:val="004A4356"/>
    <w:rsid w:val="004A5EEF"/>
    <w:rsid w:val="004A600C"/>
    <w:rsid w:val="004B0B1D"/>
    <w:rsid w:val="004B1861"/>
    <w:rsid w:val="004B3C41"/>
    <w:rsid w:val="004B6792"/>
    <w:rsid w:val="004B6BF8"/>
    <w:rsid w:val="004C0738"/>
    <w:rsid w:val="004C0D20"/>
    <w:rsid w:val="004C0FE6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E1476"/>
    <w:rsid w:val="004E4946"/>
    <w:rsid w:val="004E5D38"/>
    <w:rsid w:val="004E603B"/>
    <w:rsid w:val="004E626B"/>
    <w:rsid w:val="004E6C7D"/>
    <w:rsid w:val="004F13BD"/>
    <w:rsid w:val="004F478F"/>
    <w:rsid w:val="00501246"/>
    <w:rsid w:val="0050230D"/>
    <w:rsid w:val="0050364D"/>
    <w:rsid w:val="00503D17"/>
    <w:rsid w:val="00504D6E"/>
    <w:rsid w:val="005116FB"/>
    <w:rsid w:val="0051378F"/>
    <w:rsid w:val="00514B75"/>
    <w:rsid w:val="005157B9"/>
    <w:rsid w:val="00515D44"/>
    <w:rsid w:val="00531AFF"/>
    <w:rsid w:val="00532875"/>
    <w:rsid w:val="00534305"/>
    <w:rsid w:val="0053691B"/>
    <w:rsid w:val="00537FF8"/>
    <w:rsid w:val="00542913"/>
    <w:rsid w:val="0054467E"/>
    <w:rsid w:val="005464E6"/>
    <w:rsid w:val="00546938"/>
    <w:rsid w:val="00547ACF"/>
    <w:rsid w:val="005525C7"/>
    <w:rsid w:val="00552639"/>
    <w:rsid w:val="00555557"/>
    <w:rsid w:val="00557927"/>
    <w:rsid w:val="00557AA8"/>
    <w:rsid w:val="00557B17"/>
    <w:rsid w:val="00561126"/>
    <w:rsid w:val="00561296"/>
    <w:rsid w:val="00566916"/>
    <w:rsid w:val="00566F71"/>
    <w:rsid w:val="00567EBC"/>
    <w:rsid w:val="00567FC5"/>
    <w:rsid w:val="00571CCF"/>
    <w:rsid w:val="00572180"/>
    <w:rsid w:val="00572337"/>
    <w:rsid w:val="00573FFE"/>
    <w:rsid w:val="00575FC3"/>
    <w:rsid w:val="0057625C"/>
    <w:rsid w:val="00576743"/>
    <w:rsid w:val="005771D5"/>
    <w:rsid w:val="0058066B"/>
    <w:rsid w:val="0058099B"/>
    <w:rsid w:val="00580B98"/>
    <w:rsid w:val="00581784"/>
    <w:rsid w:val="005836A3"/>
    <w:rsid w:val="00583CBA"/>
    <w:rsid w:val="00584453"/>
    <w:rsid w:val="00591838"/>
    <w:rsid w:val="00592809"/>
    <w:rsid w:val="00593343"/>
    <w:rsid w:val="00594A83"/>
    <w:rsid w:val="005A0C78"/>
    <w:rsid w:val="005A1518"/>
    <w:rsid w:val="005A4807"/>
    <w:rsid w:val="005A5A80"/>
    <w:rsid w:val="005B0FC7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B6FD2"/>
    <w:rsid w:val="005C04E5"/>
    <w:rsid w:val="005C1764"/>
    <w:rsid w:val="005C3B2C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FF9"/>
    <w:rsid w:val="005E30B2"/>
    <w:rsid w:val="005E39B3"/>
    <w:rsid w:val="005E4164"/>
    <w:rsid w:val="005F24C4"/>
    <w:rsid w:val="005F3196"/>
    <w:rsid w:val="005F32D1"/>
    <w:rsid w:val="005F3FC6"/>
    <w:rsid w:val="005F75C4"/>
    <w:rsid w:val="006002BF"/>
    <w:rsid w:val="00600301"/>
    <w:rsid w:val="006008D1"/>
    <w:rsid w:val="00603CC2"/>
    <w:rsid w:val="006064F8"/>
    <w:rsid w:val="006101CF"/>
    <w:rsid w:val="00611ADA"/>
    <w:rsid w:val="00611E18"/>
    <w:rsid w:val="00611FC0"/>
    <w:rsid w:val="00613A4A"/>
    <w:rsid w:val="00614157"/>
    <w:rsid w:val="00614A2A"/>
    <w:rsid w:val="00614ECD"/>
    <w:rsid w:val="006231D7"/>
    <w:rsid w:val="00624A71"/>
    <w:rsid w:val="00626031"/>
    <w:rsid w:val="00630C6C"/>
    <w:rsid w:val="00630ED2"/>
    <w:rsid w:val="00631935"/>
    <w:rsid w:val="00636B91"/>
    <w:rsid w:val="006373FF"/>
    <w:rsid w:val="00637833"/>
    <w:rsid w:val="00641AC4"/>
    <w:rsid w:val="00641D59"/>
    <w:rsid w:val="00646A6F"/>
    <w:rsid w:val="00653397"/>
    <w:rsid w:val="006535C3"/>
    <w:rsid w:val="006553CD"/>
    <w:rsid w:val="006559F5"/>
    <w:rsid w:val="0065752A"/>
    <w:rsid w:val="00661782"/>
    <w:rsid w:val="00662C11"/>
    <w:rsid w:val="0066570F"/>
    <w:rsid w:val="00672822"/>
    <w:rsid w:val="006729D2"/>
    <w:rsid w:val="00673B07"/>
    <w:rsid w:val="00673BC6"/>
    <w:rsid w:val="006775B3"/>
    <w:rsid w:val="00684808"/>
    <w:rsid w:val="0068483E"/>
    <w:rsid w:val="00687967"/>
    <w:rsid w:val="00690F72"/>
    <w:rsid w:val="00695FE4"/>
    <w:rsid w:val="006A0F95"/>
    <w:rsid w:val="006A516C"/>
    <w:rsid w:val="006A6B80"/>
    <w:rsid w:val="006B1301"/>
    <w:rsid w:val="006B2D92"/>
    <w:rsid w:val="006B2FEF"/>
    <w:rsid w:val="006B4B31"/>
    <w:rsid w:val="006B6581"/>
    <w:rsid w:val="006B6D6C"/>
    <w:rsid w:val="006B77B3"/>
    <w:rsid w:val="006C20C5"/>
    <w:rsid w:val="006C43C0"/>
    <w:rsid w:val="006C5DED"/>
    <w:rsid w:val="006C5ECD"/>
    <w:rsid w:val="006D1520"/>
    <w:rsid w:val="006D2482"/>
    <w:rsid w:val="006D2E02"/>
    <w:rsid w:val="006D2F0C"/>
    <w:rsid w:val="006D3604"/>
    <w:rsid w:val="006D416D"/>
    <w:rsid w:val="006D536E"/>
    <w:rsid w:val="006D5EB4"/>
    <w:rsid w:val="006E2082"/>
    <w:rsid w:val="006E3BE5"/>
    <w:rsid w:val="006E5D5B"/>
    <w:rsid w:val="006E67BA"/>
    <w:rsid w:val="006F2362"/>
    <w:rsid w:val="006F47EB"/>
    <w:rsid w:val="006F4B13"/>
    <w:rsid w:val="006F4DE9"/>
    <w:rsid w:val="006F61B5"/>
    <w:rsid w:val="006F71C2"/>
    <w:rsid w:val="007008B0"/>
    <w:rsid w:val="00700AC3"/>
    <w:rsid w:val="00700AD6"/>
    <w:rsid w:val="00700E68"/>
    <w:rsid w:val="00701065"/>
    <w:rsid w:val="0070175E"/>
    <w:rsid w:val="00703DC5"/>
    <w:rsid w:val="007040F2"/>
    <w:rsid w:val="007049DF"/>
    <w:rsid w:val="00705DFA"/>
    <w:rsid w:val="007061B6"/>
    <w:rsid w:val="007120EE"/>
    <w:rsid w:val="0071279F"/>
    <w:rsid w:val="007153C5"/>
    <w:rsid w:val="007161D3"/>
    <w:rsid w:val="00720C35"/>
    <w:rsid w:val="00720E7B"/>
    <w:rsid w:val="0072232C"/>
    <w:rsid w:val="007262F0"/>
    <w:rsid w:val="00727BE9"/>
    <w:rsid w:val="007314F1"/>
    <w:rsid w:val="00731BE9"/>
    <w:rsid w:val="00731E2B"/>
    <w:rsid w:val="0073224C"/>
    <w:rsid w:val="00733C32"/>
    <w:rsid w:val="007366D2"/>
    <w:rsid w:val="007420D7"/>
    <w:rsid w:val="0074545C"/>
    <w:rsid w:val="0074742D"/>
    <w:rsid w:val="00752DBC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2675"/>
    <w:rsid w:val="00762FC8"/>
    <w:rsid w:val="00765825"/>
    <w:rsid w:val="007700D3"/>
    <w:rsid w:val="00770970"/>
    <w:rsid w:val="0077131C"/>
    <w:rsid w:val="0077138B"/>
    <w:rsid w:val="00771628"/>
    <w:rsid w:val="0077183A"/>
    <w:rsid w:val="00774F71"/>
    <w:rsid w:val="0077534E"/>
    <w:rsid w:val="00777133"/>
    <w:rsid w:val="0077733C"/>
    <w:rsid w:val="0078045E"/>
    <w:rsid w:val="00780B70"/>
    <w:rsid w:val="00782502"/>
    <w:rsid w:val="00782847"/>
    <w:rsid w:val="00783777"/>
    <w:rsid w:val="00783D20"/>
    <w:rsid w:val="00785232"/>
    <w:rsid w:val="0078549A"/>
    <w:rsid w:val="007862D0"/>
    <w:rsid w:val="0079247D"/>
    <w:rsid w:val="00794F2D"/>
    <w:rsid w:val="007954D3"/>
    <w:rsid w:val="00796159"/>
    <w:rsid w:val="00797AAD"/>
    <w:rsid w:val="007A2F02"/>
    <w:rsid w:val="007A5127"/>
    <w:rsid w:val="007A5C51"/>
    <w:rsid w:val="007B25FF"/>
    <w:rsid w:val="007B2A03"/>
    <w:rsid w:val="007B41D7"/>
    <w:rsid w:val="007B70B5"/>
    <w:rsid w:val="007C0DB7"/>
    <w:rsid w:val="007C1A7D"/>
    <w:rsid w:val="007C1F6C"/>
    <w:rsid w:val="007C4094"/>
    <w:rsid w:val="007C45C5"/>
    <w:rsid w:val="007C608D"/>
    <w:rsid w:val="007D29EC"/>
    <w:rsid w:val="007D50AE"/>
    <w:rsid w:val="007D516C"/>
    <w:rsid w:val="007E1EA6"/>
    <w:rsid w:val="007E2FDE"/>
    <w:rsid w:val="007E4C1F"/>
    <w:rsid w:val="007E50CC"/>
    <w:rsid w:val="007E6851"/>
    <w:rsid w:val="007E6943"/>
    <w:rsid w:val="007F0204"/>
    <w:rsid w:val="007F3879"/>
    <w:rsid w:val="007F5C3C"/>
    <w:rsid w:val="007F5C58"/>
    <w:rsid w:val="007F6449"/>
    <w:rsid w:val="007F6674"/>
    <w:rsid w:val="0080630B"/>
    <w:rsid w:val="00806AB5"/>
    <w:rsid w:val="00807142"/>
    <w:rsid w:val="008074E3"/>
    <w:rsid w:val="00807802"/>
    <w:rsid w:val="0080799C"/>
    <w:rsid w:val="00810C18"/>
    <w:rsid w:val="00814421"/>
    <w:rsid w:val="00814AFC"/>
    <w:rsid w:val="00814B22"/>
    <w:rsid w:val="00822862"/>
    <w:rsid w:val="0082350A"/>
    <w:rsid w:val="00823765"/>
    <w:rsid w:val="0082597B"/>
    <w:rsid w:val="00831A5D"/>
    <w:rsid w:val="00831DB4"/>
    <w:rsid w:val="008365EC"/>
    <w:rsid w:val="00837390"/>
    <w:rsid w:val="00840A8F"/>
    <w:rsid w:val="00844176"/>
    <w:rsid w:val="00844A32"/>
    <w:rsid w:val="00846A9D"/>
    <w:rsid w:val="008503CA"/>
    <w:rsid w:val="00852BA6"/>
    <w:rsid w:val="0085308E"/>
    <w:rsid w:val="0085318D"/>
    <w:rsid w:val="008565FB"/>
    <w:rsid w:val="008577FA"/>
    <w:rsid w:val="00862580"/>
    <w:rsid w:val="00862834"/>
    <w:rsid w:val="00870E97"/>
    <w:rsid w:val="00871516"/>
    <w:rsid w:val="00871E2F"/>
    <w:rsid w:val="00876284"/>
    <w:rsid w:val="008764DD"/>
    <w:rsid w:val="00876F45"/>
    <w:rsid w:val="00877499"/>
    <w:rsid w:val="008814E9"/>
    <w:rsid w:val="00883C37"/>
    <w:rsid w:val="008841EB"/>
    <w:rsid w:val="0088688D"/>
    <w:rsid w:val="008910B2"/>
    <w:rsid w:val="00891622"/>
    <w:rsid w:val="00891C00"/>
    <w:rsid w:val="008921BE"/>
    <w:rsid w:val="00895E41"/>
    <w:rsid w:val="0089734D"/>
    <w:rsid w:val="008A0A32"/>
    <w:rsid w:val="008A1056"/>
    <w:rsid w:val="008A50CB"/>
    <w:rsid w:val="008A7CC5"/>
    <w:rsid w:val="008B0720"/>
    <w:rsid w:val="008B1C5A"/>
    <w:rsid w:val="008B1CC3"/>
    <w:rsid w:val="008B206C"/>
    <w:rsid w:val="008B34AA"/>
    <w:rsid w:val="008B4335"/>
    <w:rsid w:val="008B5413"/>
    <w:rsid w:val="008B56DF"/>
    <w:rsid w:val="008B5B2C"/>
    <w:rsid w:val="008B5EFB"/>
    <w:rsid w:val="008B69DC"/>
    <w:rsid w:val="008C4728"/>
    <w:rsid w:val="008C7959"/>
    <w:rsid w:val="008D3653"/>
    <w:rsid w:val="008D4F09"/>
    <w:rsid w:val="008D539E"/>
    <w:rsid w:val="008D65D5"/>
    <w:rsid w:val="008D75EB"/>
    <w:rsid w:val="008D7F23"/>
    <w:rsid w:val="008E12FB"/>
    <w:rsid w:val="008E1F57"/>
    <w:rsid w:val="008E5D85"/>
    <w:rsid w:val="008E751B"/>
    <w:rsid w:val="008F5CF9"/>
    <w:rsid w:val="00900C33"/>
    <w:rsid w:val="0090193D"/>
    <w:rsid w:val="009034C7"/>
    <w:rsid w:val="00906ABE"/>
    <w:rsid w:val="00907D1C"/>
    <w:rsid w:val="00907DD7"/>
    <w:rsid w:val="00910BBC"/>
    <w:rsid w:val="0091182D"/>
    <w:rsid w:val="00911DA2"/>
    <w:rsid w:val="00915081"/>
    <w:rsid w:val="009165D6"/>
    <w:rsid w:val="00917D6F"/>
    <w:rsid w:val="00921504"/>
    <w:rsid w:val="00921E12"/>
    <w:rsid w:val="00922352"/>
    <w:rsid w:val="0092710C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5DB"/>
    <w:rsid w:val="00945DB2"/>
    <w:rsid w:val="009511D6"/>
    <w:rsid w:val="00951ED7"/>
    <w:rsid w:val="00954428"/>
    <w:rsid w:val="00954541"/>
    <w:rsid w:val="00954C0F"/>
    <w:rsid w:val="00956218"/>
    <w:rsid w:val="00956C4B"/>
    <w:rsid w:val="00957E64"/>
    <w:rsid w:val="00961605"/>
    <w:rsid w:val="009620C5"/>
    <w:rsid w:val="00963C88"/>
    <w:rsid w:val="00965995"/>
    <w:rsid w:val="00966814"/>
    <w:rsid w:val="00970D58"/>
    <w:rsid w:val="00973167"/>
    <w:rsid w:val="00980174"/>
    <w:rsid w:val="00981A42"/>
    <w:rsid w:val="00985A6C"/>
    <w:rsid w:val="009921E3"/>
    <w:rsid w:val="0099282E"/>
    <w:rsid w:val="00993596"/>
    <w:rsid w:val="009A00EB"/>
    <w:rsid w:val="009A6766"/>
    <w:rsid w:val="009A692C"/>
    <w:rsid w:val="009A7E10"/>
    <w:rsid w:val="009B1CEB"/>
    <w:rsid w:val="009B2576"/>
    <w:rsid w:val="009B3508"/>
    <w:rsid w:val="009B38B2"/>
    <w:rsid w:val="009B3AE3"/>
    <w:rsid w:val="009B430C"/>
    <w:rsid w:val="009B43EB"/>
    <w:rsid w:val="009B584C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5640"/>
    <w:rsid w:val="009C7F6E"/>
    <w:rsid w:val="009D0A96"/>
    <w:rsid w:val="009D1051"/>
    <w:rsid w:val="009D2037"/>
    <w:rsid w:val="009D3F87"/>
    <w:rsid w:val="009D43B2"/>
    <w:rsid w:val="009E03F3"/>
    <w:rsid w:val="009E5C84"/>
    <w:rsid w:val="009F0FC9"/>
    <w:rsid w:val="009F1A7E"/>
    <w:rsid w:val="00A03E32"/>
    <w:rsid w:val="00A075B0"/>
    <w:rsid w:val="00A11259"/>
    <w:rsid w:val="00A12B76"/>
    <w:rsid w:val="00A13FC8"/>
    <w:rsid w:val="00A14369"/>
    <w:rsid w:val="00A154D5"/>
    <w:rsid w:val="00A2067E"/>
    <w:rsid w:val="00A20B99"/>
    <w:rsid w:val="00A21F19"/>
    <w:rsid w:val="00A229AC"/>
    <w:rsid w:val="00A23E8B"/>
    <w:rsid w:val="00A25225"/>
    <w:rsid w:val="00A26607"/>
    <w:rsid w:val="00A26676"/>
    <w:rsid w:val="00A267B2"/>
    <w:rsid w:val="00A27A02"/>
    <w:rsid w:val="00A30DAB"/>
    <w:rsid w:val="00A3172A"/>
    <w:rsid w:val="00A32A3F"/>
    <w:rsid w:val="00A337C5"/>
    <w:rsid w:val="00A33B10"/>
    <w:rsid w:val="00A340FB"/>
    <w:rsid w:val="00A34C17"/>
    <w:rsid w:val="00A34EAB"/>
    <w:rsid w:val="00A3537A"/>
    <w:rsid w:val="00A37CD5"/>
    <w:rsid w:val="00A41FB2"/>
    <w:rsid w:val="00A43105"/>
    <w:rsid w:val="00A43A02"/>
    <w:rsid w:val="00A468F1"/>
    <w:rsid w:val="00A471D7"/>
    <w:rsid w:val="00A50812"/>
    <w:rsid w:val="00A52C79"/>
    <w:rsid w:val="00A541ED"/>
    <w:rsid w:val="00A5551D"/>
    <w:rsid w:val="00A562DC"/>
    <w:rsid w:val="00A56E9B"/>
    <w:rsid w:val="00A56F27"/>
    <w:rsid w:val="00A57518"/>
    <w:rsid w:val="00A60C80"/>
    <w:rsid w:val="00A66F1F"/>
    <w:rsid w:val="00A71824"/>
    <w:rsid w:val="00A718EE"/>
    <w:rsid w:val="00A73448"/>
    <w:rsid w:val="00A76C0A"/>
    <w:rsid w:val="00A82313"/>
    <w:rsid w:val="00A86F1C"/>
    <w:rsid w:val="00A9174A"/>
    <w:rsid w:val="00A92A07"/>
    <w:rsid w:val="00A93054"/>
    <w:rsid w:val="00A94B68"/>
    <w:rsid w:val="00A969CC"/>
    <w:rsid w:val="00A96C8D"/>
    <w:rsid w:val="00A9708B"/>
    <w:rsid w:val="00AA34A6"/>
    <w:rsid w:val="00AA3A72"/>
    <w:rsid w:val="00AA45BA"/>
    <w:rsid w:val="00AA6E88"/>
    <w:rsid w:val="00AB3EB4"/>
    <w:rsid w:val="00AB4677"/>
    <w:rsid w:val="00AB6AE8"/>
    <w:rsid w:val="00AC16D2"/>
    <w:rsid w:val="00AC24BD"/>
    <w:rsid w:val="00AC5779"/>
    <w:rsid w:val="00AD3D79"/>
    <w:rsid w:val="00AD48AA"/>
    <w:rsid w:val="00AD5B91"/>
    <w:rsid w:val="00AD5C75"/>
    <w:rsid w:val="00AD6AEF"/>
    <w:rsid w:val="00AE0055"/>
    <w:rsid w:val="00AE091D"/>
    <w:rsid w:val="00AE3B88"/>
    <w:rsid w:val="00AE4C8F"/>
    <w:rsid w:val="00AE5675"/>
    <w:rsid w:val="00AE57EC"/>
    <w:rsid w:val="00AE64F9"/>
    <w:rsid w:val="00AF1C04"/>
    <w:rsid w:val="00AF2547"/>
    <w:rsid w:val="00AF254A"/>
    <w:rsid w:val="00AF36C9"/>
    <w:rsid w:val="00AF5DF5"/>
    <w:rsid w:val="00AF755E"/>
    <w:rsid w:val="00B014B4"/>
    <w:rsid w:val="00B02EDD"/>
    <w:rsid w:val="00B039A0"/>
    <w:rsid w:val="00B043DE"/>
    <w:rsid w:val="00B04603"/>
    <w:rsid w:val="00B0569D"/>
    <w:rsid w:val="00B1092B"/>
    <w:rsid w:val="00B10B94"/>
    <w:rsid w:val="00B111A5"/>
    <w:rsid w:val="00B117F2"/>
    <w:rsid w:val="00B13379"/>
    <w:rsid w:val="00B13C6F"/>
    <w:rsid w:val="00B14D75"/>
    <w:rsid w:val="00B15DBA"/>
    <w:rsid w:val="00B16A95"/>
    <w:rsid w:val="00B2297A"/>
    <w:rsid w:val="00B230F6"/>
    <w:rsid w:val="00B26202"/>
    <w:rsid w:val="00B300C7"/>
    <w:rsid w:val="00B30CFE"/>
    <w:rsid w:val="00B32793"/>
    <w:rsid w:val="00B33D89"/>
    <w:rsid w:val="00B34F7D"/>
    <w:rsid w:val="00B355D9"/>
    <w:rsid w:val="00B404B6"/>
    <w:rsid w:val="00B414FF"/>
    <w:rsid w:val="00B4164D"/>
    <w:rsid w:val="00B450C4"/>
    <w:rsid w:val="00B457C4"/>
    <w:rsid w:val="00B462F7"/>
    <w:rsid w:val="00B4697F"/>
    <w:rsid w:val="00B46A16"/>
    <w:rsid w:val="00B47747"/>
    <w:rsid w:val="00B47E34"/>
    <w:rsid w:val="00B50D88"/>
    <w:rsid w:val="00B51099"/>
    <w:rsid w:val="00B51427"/>
    <w:rsid w:val="00B5564B"/>
    <w:rsid w:val="00B55A30"/>
    <w:rsid w:val="00B56A48"/>
    <w:rsid w:val="00B56B47"/>
    <w:rsid w:val="00B618A9"/>
    <w:rsid w:val="00B621AF"/>
    <w:rsid w:val="00B652FE"/>
    <w:rsid w:val="00B65A0A"/>
    <w:rsid w:val="00B65CF6"/>
    <w:rsid w:val="00B700CC"/>
    <w:rsid w:val="00B72365"/>
    <w:rsid w:val="00B74B38"/>
    <w:rsid w:val="00B762A0"/>
    <w:rsid w:val="00B77E56"/>
    <w:rsid w:val="00B80371"/>
    <w:rsid w:val="00B8269F"/>
    <w:rsid w:val="00B837AE"/>
    <w:rsid w:val="00B83EED"/>
    <w:rsid w:val="00B84D88"/>
    <w:rsid w:val="00B85597"/>
    <w:rsid w:val="00B85A89"/>
    <w:rsid w:val="00B868AD"/>
    <w:rsid w:val="00B86DD0"/>
    <w:rsid w:val="00B91B04"/>
    <w:rsid w:val="00B9742D"/>
    <w:rsid w:val="00BA131A"/>
    <w:rsid w:val="00BA2274"/>
    <w:rsid w:val="00BA31BC"/>
    <w:rsid w:val="00BB0042"/>
    <w:rsid w:val="00BB0BAA"/>
    <w:rsid w:val="00BB1DB4"/>
    <w:rsid w:val="00BB1EA2"/>
    <w:rsid w:val="00BB480B"/>
    <w:rsid w:val="00BB4E62"/>
    <w:rsid w:val="00BB55EA"/>
    <w:rsid w:val="00BB6326"/>
    <w:rsid w:val="00BB7389"/>
    <w:rsid w:val="00BB7D03"/>
    <w:rsid w:val="00BC2944"/>
    <w:rsid w:val="00BC31E7"/>
    <w:rsid w:val="00BC608E"/>
    <w:rsid w:val="00BC64E8"/>
    <w:rsid w:val="00BC69DC"/>
    <w:rsid w:val="00BC7045"/>
    <w:rsid w:val="00BD07F2"/>
    <w:rsid w:val="00BD20AE"/>
    <w:rsid w:val="00BD746F"/>
    <w:rsid w:val="00BD7AE1"/>
    <w:rsid w:val="00BE0E6C"/>
    <w:rsid w:val="00BE15E4"/>
    <w:rsid w:val="00BE6127"/>
    <w:rsid w:val="00BE786E"/>
    <w:rsid w:val="00BF13E6"/>
    <w:rsid w:val="00BF15B9"/>
    <w:rsid w:val="00BF2AA4"/>
    <w:rsid w:val="00BF5511"/>
    <w:rsid w:val="00BF742F"/>
    <w:rsid w:val="00BF7BD9"/>
    <w:rsid w:val="00BF7D60"/>
    <w:rsid w:val="00C017FE"/>
    <w:rsid w:val="00C03273"/>
    <w:rsid w:val="00C0447C"/>
    <w:rsid w:val="00C04CAF"/>
    <w:rsid w:val="00C050AF"/>
    <w:rsid w:val="00C054A9"/>
    <w:rsid w:val="00C05EF2"/>
    <w:rsid w:val="00C0600E"/>
    <w:rsid w:val="00C07585"/>
    <w:rsid w:val="00C11685"/>
    <w:rsid w:val="00C1189F"/>
    <w:rsid w:val="00C12263"/>
    <w:rsid w:val="00C12CF8"/>
    <w:rsid w:val="00C136CD"/>
    <w:rsid w:val="00C13D67"/>
    <w:rsid w:val="00C14903"/>
    <w:rsid w:val="00C151DF"/>
    <w:rsid w:val="00C1563D"/>
    <w:rsid w:val="00C15EB7"/>
    <w:rsid w:val="00C1626D"/>
    <w:rsid w:val="00C17948"/>
    <w:rsid w:val="00C17A3E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2DF0"/>
    <w:rsid w:val="00C33A18"/>
    <w:rsid w:val="00C353F8"/>
    <w:rsid w:val="00C35A54"/>
    <w:rsid w:val="00C416DB"/>
    <w:rsid w:val="00C423B7"/>
    <w:rsid w:val="00C42887"/>
    <w:rsid w:val="00C42ACD"/>
    <w:rsid w:val="00C42C49"/>
    <w:rsid w:val="00C446A5"/>
    <w:rsid w:val="00C45150"/>
    <w:rsid w:val="00C46737"/>
    <w:rsid w:val="00C50D1A"/>
    <w:rsid w:val="00C52004"/>
    <w:rsid w:val="00C56568"/>
    <w:rsid w:val="00C62D9D"/>
    <w:rsid w:val="00C6333E"/>
    <w:rsid w:val="00C633A8"/>
    <w:rsid w:val="00C64DE5"/>
    <w:rsid w:val="00C65AAE"/>
    <w:rsid w:val="00C66A4D"/>
    <w:rsid w:val="00C70B8B"/>
    <w:rsid w:val="00C7141D"/>
    <w:rsid w:val="00C72945"/>
    <w:rsid w:val="00C74D5C"/>
    <w:rsid w:val="00C75E3A"/>
    <w:rsid w:val="00C77378"/>
    <w:rsid w:val="00C77C68"/>
    <w:rsid w:val="00C82E0E"/>
    <w:rsid w:val="00C85115"/>
    <w:rsid w:val="00C86896"/>
    <w:rsid w:val="00C86AE5"/>
    <w:rsid w:val="00C933DE"/>
    <w:rsid w:val="00C95D2F"/>
    <w:rsid w:val="00CA082C"/>
    <w:rsid w:val="00CA0BCB"/>
    <w:rsid w:val="00CA373F"/>
    <w:rsid w:val="00CB237D"/>
    <w:rsid w:val="00CB2A80"/>
    <w:rsid w:val="00CB2F00"/>
    <w:rsid w:val="00CB5A26"/>
    <w:rsid w:val="00CB5FEE"/>
    <w:rsid w:val="00CB6AC4"/>
    <w:rsid w:val="00CC10D3"/>
    <w:rsid w:val="00CC2DAC"/>
    <w:rsid w:val="00CC4858"/>
    <w:rsid w:val="00CD1C12"/>
    <w:rsid w:val="00CD1D66"/>
    <w:rsid w:val="00CD1F7F"/>
    <w:rsid w:val="00CD2774"/>
    <w:rsid w:val="00CD57A7"/>
    <w:rsid w:val="00CD5FCA"/>
    <w:rsid w:val="00CD7CCA"/>
    <w:rsid w:val="00CE0AC5"/>
    <w:rsid w:val="00CE1DD6"/>
    <w:rsid w:val="00CE261F"/>
    <w:rsid w:val="00CE35E1"/>
    <w:rsid w:val="00CE5541"/>
    <w:rsid w:val="00CE5C53"/>
    <w:rsid w:val="00CF0573"/>
    <w:rsid w:val="00CF4607"/>
    <w:rsid w:val="00CF6767"/>
    <w:rsid w:val="00CF747C"/>
    <w:rsid w:val="00D00576"/>
    <w:rsid w:val="00D0207F"/>
    <w:rsid w:val="00D02CD4"/>
    <w:rsid w:val="00D03E09"/>
    <w:rsid w:val="00D04299"/>
    <w:rsid w:val="00D0506F"/>
    <w:rsid w:val="00D05A7A"/>
    <w:rsid w:val="00D07B78"/>
    <w:rsid w:val="00D12B80"/>
    <w:rsid w:val="00D13BD0"/>
    <w:rsid w:val="00D13D6F"/>
    <w:rsid w:val="00D165F4"/>
    <w:rsid w:val="00D1668E"/>
    <w:rsid w:val="00D16C33"/>
    <w:rsid w:val="00D177EA"/>
    <w:rsid w:val="00D20CC5"/>
    <w:rsid w:val="00D217AC"/>
    <w:rsid w:val="00D27E4D"/>
    <w:rsid w:val="00D31BE1"/>
    <w:rsid w:val="00D33E78"/>
    <w:rsid w:val="00D35B96"/>
    <w:rsid w:val="00D37973"/>
    <w:rsid w:val="00D40EAC"/>
    <w:rsid w:val="00D41F46"/>
    <w:rsid w:val="00D4222D"/>
    <w:rsid w:val="00D42754"/>
    <w:rsid w:val="00D455A4"/>
    <w:rsid w:val="00D51DD0"/>
    <w:rsid w:val="00D5265D"/>
    <w:rsid w:val="00D60415"/>
    <w:rsid w:val="00D62E09"/>
    <w:rsid w:val="00D64101"/>
    <w:rsid w:val="00D64FFD"/>
    <w:rsid w:val="00D671F5"/>
    <w:rsid w:val="00D67CE9"/>
    <w:rsid w:val="00D70AAA"/>
    <w:rsid w:val="00D7105E"/>
    <w:rsid w:val="00D71684"/>
    <w:rsid w:val="00D72D32"/>
    <w:rsid w:val="00D7671C"/>
    <w:rsid w:val="00D767E6"/>
    <w:rsid w:val="00D76D7C"/>
    <w:rsid w:val="00D77A0C"/>
    <w:rsid w:val="00D8131B"/>
    <w:rsid w:val="00D81D94"/>
    <w:rsid w:val="00D8420C"/>
    <w:rsid w:val="00D84DE0"/>
    <w:rsid w:val="00D90CAE"/>
    <w:rsid w:val="00D96FBA"/>
    <w:rsid w:val="00D97622"/>
    <w:rsid w:val="00DA1B53"/>
    <w:rsid w:val="00DA1FCE"/>
    <w:rsid w:val="00DA239C"/>
    <w:rsid w:val="00DA433D"/>
    <w:rsid w:val="00DA58AF"/>
    <w:rsid w:val="00DA7141"/>
    <w:rsid w:val="00DA744D"/>
    <w:rsid w:val="00DB1E78"/>
    <w:rsid w:val="00DB3228"/>
    <w:rsid w:val="00DB3721"/>
    <w:rsid w:val="00DB3D04"/>
    <w:rsid w:val="00DB57B4"/>
    <w:rsid w:val="00DC07AE"/>
    <w:rsid w:val="00DC10A1"/>
    <w:rsid w:val="00DC15CB"/>
    <w:rsid w:val="00DC1AC5"/>
    <w:rsid w:val="00DC3534"/>
    <w:rsid w:val="00DC499A"/>
    <w:rsid w:val="00DC64F8"/>
    <w:rsid w:val="00DC72F1"/>
    <w:rsid w:val="00DD00BE"/>
    <w:rsid w:val="00DD02D4"/>
    <w:rsid w:val="00DD0953"/>
    <w:rsid w:val="00DD0F2E"/>
    <w:rsid w:val="00DD1CB9"/>
    <w:rsid w:val="00DD1F77"/>
    <w:rsid w:val="00DD23E0"/>
    <w:rsid w:val="00DD2637"/>
    <w:rsid w:val="00DD2F35"/>
    <w:rsid w:val="00DD696D"/>
    <w:rsid w:val="00DD7872"/>
    <w:rsid w:val="00DE0896"/>
    <w:rsid w:val="00DE0AD5"/>
    <w:rsid w:val="00DE7E62"/>
    <w:rsid w:val="00DF1C2B"/>
    <w:rsid w:val="00DF2F6B"/>
    <w:rsid w:val="00DF3993"/>
    <w:rsid w:val="00DF6E16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40A6"/>
    <w:rsid w:val="00E15447"/>
    <w:rsid w:val="00E15B7B"/>
    <w:rsid w:val="00E20773"/>
    <w:rsid w:val="00E2107F"/>
    <w:rsid w:val="00E23059"/>
    <w:rsid w:val="00E231E0"/>
    <w:rsid w:val="00E30352"/>
    <w:rsid w:val="00E30F56"/>
    <w:rsid w:val="00E33146"/>
    <w:rsid w:val="00E374D1"/>
    <w:rsid w:val="00E37F50"/>
    <w:rsid w:val="00E40942"/>
    <w:rsid w:val="00E50D80"/>
    <w:rsid w:val="00E50E6F"/>
    <w:rsid w:val="00E51035"/>
    <w:rsid w:val="00E53438"/>
    <w:rsid w:val="00E539B3"/>
    <w:rsid w:val="00E55EC8"/>
    <w:rsid w:val="00E56469"/>
    <w:rsid w:val="00E56D02"/>
    <w:rsid w:val="00E57209"/>
    <w:rsid w:val="00E5727D"/>
    <w:rsid w:val="00E57FAB"/>
    <w:rsid w:val="00E670D3"/>
    <w:rsid w:val="00E713A7"/>
    <w:rsid w:val="00E72404"/>
    <w:rsid w:val="00E73990"/>
    <w:rsid w:val="00E74A15"/>
    <w:rsid w:val="00E7567F"/>
    <w:rsid w:val="00E81F3E"/>
    <w:rsid w:val="00E85807"/>
    <w:rsid w:val="00E86211"/>
    <w:rsid w:val="00E86ACB"/>
    <w:rsid w:val="00E900E0"/>
    <w:rsid w:val="00E90628"/>
    <w:rsid w:val="00E9122B"/>
    <w:rsid w:val="00E93CFE"/>
    <w:rsid w:val="00E953B9"/>
    <w:rsid w:val="00EA0D43"/>
    <w:rsid w:val="00EA0EBB"/>
    <w:rsid w:val="00EA1619"/>
    <w:rsid w:val="00EA49CE"/>
    <w:rsid w:val="00EA4CBA"/>
    <w:rsid w:val="00EA6CD3"/>
    <w:rsid w:val="00EA7EDF"/>
    <w:rsid w:val="00EB184B"/>
    <w:rsid w:val="00EB27FB"/>
    <w:rsid w:val="00EC03E6"/>
    <w:rsid w:val="00EC218F"/>
    <w:rsid w:val="00EC5935"/>
    <w:rsid w:val="00ED053C"/>
    <w:rsid w:val="00ED0911"/>
    <w:rsid w:val="00ED0A46"/>
    <w:rsid w:val="00ED18C9"/>
    <w:rsid w:val="00ED2979"/>
    <w:rsid w:val="00ED377A"/>
    <w:rsid w:val="00ED39FF"/>
    <w:rsid w:val="00ED4255"/>
    <w:rsid w:val="00ED5CF7"/>
    <w:rsid w:val="00ED603E"/>
    <w:rsid w:val="00EE44FE"/>
    <w:rsid w:val="00EE4A54"/>
    <w:rsid w:val="00EE4C51"/>
    <w:rsid w:val="00EE61BD"/>
    <w:rsid w:val="00EE7BA0"/>
    <w:rsid w:val="00EF2696"/>
    <w:rsid w:val="00EF55B6"/>
    <w:rsid w:val="00F00E88"/>
    <w:rsid w:val="00F01691"/>
    <w:rsid w:val="00F019FA"/>
    <w:rsid w:val="00F02EB7"/>
    <w:rsid w:val="00F03D63"/>
    <w:rsid w:val="00F03FAA"/>
    <w:rsid w:val="00F04A99"/>
    <w:rsid w:val="00F0662E"/>
    <w:rsid w:val="00F066C5"/>
    <w:rsid w:val="00F06F21"/>
    <w:rsid w:val="00F1504D"/>
    <w:rsid w:val="00F15773"/>
    <w:rsid w:val="00F1588A"/>
    <w:rsid w:val="00F205D5"/>
    <w:rsid w:val="00F23C9C"/>
    <w:rsid w:val="00F25C34"/>
    <w:rsid w:val="00F2652E"/>
    <w:rsid w:val="00F26DC2"/>
    <w:rsid w:val="00F27363"/>
    <w:rsid w:val="00F30608"/>
    <w:rsid w:val="00F30A0A"/>
    <w:rsid w:val="00F32129"/>
    <w:rsid w:val="00F32822"/>
    <w:rsid w:val="00F32ADC"/>
    <w:rsid w:val="00F352DD"/>
    <w:rsid w:val="00F35567"/>
    <w:rsid w:val="00F40716"/>
    <w:rsid w:val="00F40762"/>
    <w:rsid w:val="00F40F20"/>
    <w:rsid w:val="00F418C2"/>
    <w:rsid w:val="00F42208"/>
    <w:rsid w:val="00F449A8"/>
    <w:rsid w:val="00F44B3E"/>
    <w:rsid w:val="00F51164"/>
    <w:rsid w:val="00F53042"/>
    <w:rsid w:val="00F53217"/>
    <w:rsid w:val="00F53508"/>
    <w:rsid w:val="00F53B91"/>
    <w:rsid w:val="00F542FA"/>
    <w:rsid w:val="00F5586F"/>
    <w:rsid w:val="00F64D33"/>
    <w:rsid w:val="00F652EB"/>
    <w:rsid w:val="00F669EB"/>
    <w:rsid w:val="00F66C35"/>
    <w:rsid w:val="00F70443"/>
    <w:rsid w:val="00F7097D"/>
    <w:rsid w:val="00F716EF"/>
    <w:rsid w:val="00F718FD"/>
    <w:rsid w:val="00F77D50"/>
    <w:rsid w:val="00F81A0A"/>
    <w:rsid w:val="00F838F0"/>
    <w:rsid w:val="00F858D1"/>
    <w:rsid w:val="00F85A24"/>
    <w:rsid w:val="00F9016C"/>
    <w:rsid w:val="00F912B7"/>
    <w:rsid w:val="00F929ED"/>
    <w:rsid w:val="00F9305D"/>
    <w:rsid w:val="00F94D89"/>
    <w:rsid w:val="00F9522F"/>
    <w:rsid w:val="00F96902"/>
    <w:rsid w:val="00FA2346"/>
    <w:rsid w:val="00FA37DC"/>
    <w:rsid w:val="00FA3AB1"/>
    <w:rsid w:val="00FA3B62"/>
    <w:rsid w:val="00FA4EC5"/>
    <w:rsid w:val="00FA5EE1"/>
    <w:rsid w:val="00FA6B7A"/>
    <w:rsid w:val="00FB1472"/>
    <w:rsid w:val="00FC3C5A"/>
    <w:rsid w:val="00FC3C7A"/>
    <w:rsid w:val="00FC4BE9"/>
    <w:rsid w:val="00FC6839"/>
    <w:rsid w:val="00FC6FCC"/>
    <w:rsid w:val="00FD01FC"/>
    <w:rsid w:val="00FD061B"/>
    <w:rsid w:val="00FD5F34"/>
    <w:rsid w:val="00FD5FEF"/>
    <w:rsid w:val="00FE2D33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ta.Teter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CA09-525C-479B-AAD9-132AFC7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5854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Zane Uzuliņa</cp:lastModifiedBy>
  <cp:revision>2</cp:revision>
  <cp:lastPrinted>2017-07-21T07:32:00Z</cp:lastPrinted>
  <dcterms:created xsi:type="dcterms:W3CDTF">2020-03-24T07:23:00Z</dcterms:created>
  <dcterms:modified xsi:type="dcterms:W3CDTF">2020-03-24T07:23:00Z</dcterms:modified>
</cp:coreProperties>
</file>