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A57D4" w14:textId="77777777" w:rsidR="00E315C4" w:rsidRDefault="00E315C4" w:rsidP="00DB5A7F">
      <w:pPr>
        <w:ind w:firstLine="300"/>
        <w:jc w:val="center"/>
        <w:rPr>
          <w:bCs/>
        </w:rPr>
      </w:pPr>
    </w:p>
    <w:p w14:paraId="7B98417E" w14:textId="3C427A6B" w:rsidR="00DB5A7F" w:rsidRPr="009D36DE" w:rsidRDefault="00DB5A7F" w:rsidP="00DB5A7F">
      <w:pPr>
        <w:ind w:firstLine="300"/>
        <w:jc w:val="center"/>
        <w:rPr>
          <w:bCs/>
        </w:rPr>
      </w:pPr>
      <w:r w:rsidRPr="003D6BD2">
        <w:rPr>
          <w:bCs/>
        </w:rPr>
        <w:t>Ministru kabineta rīkojuma projekta</w:t>
      </w:r>
      <w:r w:rsidRPr="003D6BD2">
        <w:rPr>
          <w:b/>
          <w:bCs/>
        </w:rPr>
        <w:t xml:space="preserve"> “Par apropriācijas palielināšanu budžeta resora “74. Gadskārtējā valsts budžeta izpildes procesā pārdalāmais finansējums” programm</w:t>
      </w:r>
      <w:r w:rsidR="00CA173D">
        <w:rPr>
          <w:b/>
          <w:bCs/>
        </w:rPr>
        <w:t xml:space="preserve">ā </w:t>
      </w:r>
      <w:r w:rsidR="008970B4">
        <w:rPr>
          <w:b/>
          <w:bCs/>
        </w:rPr>
        <w:t>02</w:t>
      </w:r>
      <w:r w:rsidRPr="003D6BD2">
        <w:rPr>
          <w:b/>
          <w:bCs/>
        </w:rPr>
        <w:t>.00.00 “</w:t>
      </w:r>
      <w:r w:rsidR="008970B4">
        <w:rPr>
          <w:b/>
          <w:bCs/>
        </w:rPr>
        <w:t>Līdzekļi neparedzētiem gadījumiem</w:t>
      </w:r>
      <w:r w:rsidRPr="003D6BD2">
        <w:rPr>
          <w:b/>
          <w:bCs/>
        </w:rPr>
        <w:t xml:space="preserve">”” </w:t>
      </w:r>
      <w:r w:rsidRPr="003D6BD2">
        <w:rPr>
          <w:bCs/>
        </w:rPr>
        <w:t>sākotnējās ietekmes novērtējuma ziņojums (anotācija)</w:t>
      </w:r>
    </w:p>
    <w:p w14:paraId="1B158B0B" w14:textId="77777777" w:rsidR="00E50E39" w:rsidRDefault="00E50E39" w:rsidP="00DB5A7F">
      <w:pPr>
        <w:ind w:firstLine="300"/>
        <w:jc w:val="center"/>
        <w:rPr>
          <w:b/>
          <w:bCs/>
        </w:rPr>
      </w:pPr>
    </w:p>
    <w:p w14:paraId="2483D9AC" w14:textId="77777777" w:rsidR="00E315C4" w:rsidRDefault="00E315C4" w:rsidP="00DB5A7F">
      <w:pPr>
        <w:ind w:firstLine="300"/>
        <w:jc w:val="center"/>
        <w:rPr>
          <w:b/>
          <w:bCs/>
        </w:rPr>
      </w:pPr>
    </w:p>
    <w:p w14:paraId="7142698F" w14:textId="77777777" w:rsidR="009D36DE"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7D3E6E" w14:paraId="5A5F014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D87722" w14:textId="77777777" w:rsidR="009D36DE" w:rsidRPr="007D3E6E" w:rsidRDefault="009D36DE" w:rsidP="000044FA">
            <w:pPr>
              <w:spacing w:before="100" w:after="100"/>
              <w:jc w:val="center"/>
              <w:rPr>
                <w:b/>
                <w:bCs/>
              </w:rPr>
            </w:pPr>
            <w:r w:rsidRPr="007D3E6E">
              <w:rPr>
                <w:b/>
                <w:bCs/>
              </w:rPr>
              <w:t>Tiesību aktu projektu anotācijas kopsavilkums</w:t>
            </w:r>
          </w:p>
        </w:tc>
      </w:tr>
      <w:tr w:rsidR="009D36DE" w:rsidRPr="007D3E6E" w14:paraId="5DA9EC78"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C10E43" w14:textId="77777777" w:rsidR="009D36DE" w:rsidRPr="007D3E6E" w:rsidRDefault="009D36DE" w:rsidP="00577379">
            <w:pPr>
              <w:spacing w:before="120" w:after="120"/>
              <w:ind w:right="125"/>
              <w:jc w:val="both"/>
            </w:pPr>
            <w:r w:rsidRPr="007D3E6E">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4CD16B" w14:textId="34AACB0E" w:rsidR="009D36DE" w:rsidRPr="00514A88" w:rsidRDefault="00853AC5" w:rsidP="00E10C35">
            <w:pPr>
              <w:pStyle w:val="NoSpacing"/>
              <w:spacing w:before="120" w:after="120"/>
              <w:ind w:left="91" w:right="108"/>
              <w:jc w:val="both"/>
              <w:rPr>
                <w:rFonts w:ascii="Times New Roman" w:eastAsia="Times New Roman" w:hAnsi="Times New Roman"/>
                <w:iCs/>
                <w:sz w:val="24"/>
                <w:szCs w:val="24"/>
                <w:lang w:eastAsia="lv-LV"/>
              </w:rPr>
            </w:pPr>
            <w:r w:rsidRPr="00514A88">
              <w:rPr>
                <w:rFonts w:ascii="Times New Roman" w:eastAsia="Times New Roman" w:hAnsi="Times New Roman"/>
                <w:iCs/>
                <w:sz w:val="24"/>
                <w:szCs w:val="24"/>
                <w:lang w:eastAsia="lv-LV"/>
              </w:rPr>
              <w:t>Ministru kabineta rīkojuma projekta “</w:t>
            </w:r>
            <w:r w:rsidRPr="00514A88">
              <w:rPr>
                <w:rFonts w:ascii="Times New Roman" w:hAnsi="Times New Roman"/>
                <w:bCs/>
                <w:sz w:val="24"/>
                <w:szCs w:val="24"/>
              </w:rPr>
              <w:t>Par apropriācijas palielināšanu budžeta resora “74. Gadskārtējā valsts budžeta izpildes procesā pārdalāmais finansējums” programm</w:t>
            </w:r>
            <w:r w:rsidR="00CA173D">
              <w:rPr>
                <w:rFonts w:ascii="Times New Roman" w:hAnsi="Times New Roman"/>
                <w:bCs/>
                <w:sz w:val="24"/>
                <w:szCs w:val="24"/>
              </w:rPr>
              <w:t>ā</w:t>
            </w:r>
            <w:r w:rsidRPr="00514A88">
              <w:rPr>
                <w:rFonts w:ascii="Times New Roman" w:hAnsi="Times New Roman"/>
                <w:bCs/>
                <w:sz w:val="24"/>
                <w:szCs w:val="24"/>
              </w:rPr>
              <w:t xml:space="preserve"> </w:t>
            </w:r>
            <w:r w:rsidR="00C24A34" w:rsidRPr="00514A88">
              <w:rPr>
                <w:rFonts w:ascii="Times New Roman" w:hAnsi="Times New Roman"/>
                <w:bCs/>
                <w:sz w:val="24"/>
                <w:szCs w:val="24"/>
              </w:rPr>
              <w:t>02</w:t>
            </w:r>
            <w:r w:rsidRPr="00514A88">
              <w:rPr>
                <w:rFonts w:ascii="Times New Roman" w:hAnsi="Times New Roman"/>
                <w:bCs/>
                <w:sz w:val="24"/>
                <w:szCs w:val="24"/>
              </w:rPr>
              <w:t>.00.00 “</w:t>
            </w:r>
            <w:r w:rsidR="00C24A34" w:rsidRPr="00514A88">
              <w:rPr>
                <w:rFonts w:ascii="Times New Roman" w:hAnsi="Times New Roman"/>
                <w:bCs/>
                <w:sz w:val="24"/>
                <w:szCs w:val="24"/>
              </w:rPr>
              <w:t>Līdzekļi neparedzētiem gadījumiem</w:t>
            </w:r>
            <w:r w:rsidRPr="00514A88">
              <w:rPr>
                <w:rFonts w:ascii="Times New Roman" w:hAnsi="Times New Roman"/>
                <w:bCs/>
                <w:sz w:val="24"/>
                <w:szCs w:val="24"/>
              </w:rPr>
              <w:t>”</w:t>
            </w:r>
            <w:r w:rsidRPr="00514A88">
              <w:rPr>
                <w:rFonts w:ascii="Times New Roman" w:eastAsia="Times New Roman" w:hAnsi="Times New Roman"/>
                <w:iCs/>
                <w:sz w:val="24"/>
                <w:szCs w:val="24"/>
                <w:lang w:eastAsia="lv-LV"/>
              </w:rPr>
              <w:t>” (turpmāk –</w:t>
            </w:r>
            <w:r w:rsidR="00E10C35">
              <w:rPr>
                <w:rFonts w:ascii="Times New Roman" w:eastAsia="Times New Roman" w:hAnsi="Times New Roman"/>
                <w:iCs/>
                <w:sz w:val="24"/>
                <w:szCs w:val="24"/>
                <w:lang w:eastAsia="lv-LV"/>
              </w:rPr>
              <w:t xml:space="preserve"> </w:t>
            </w:r>
            <w:r w:rsidRPr="00514A88">
              <w:rPr>
                <w:rFonts w:ascii="Times New Roman" w:eastAsia="Times New Roman" w:hAnsi="Times New Roman"/>
                <w:iCs/>
                <w:sz w:val="24"/>
                <w:szCs w:val="24"/>
                <w:lang w:eastAsia="lv-LV"/>
              </w:rPr>
              <w:t>projekts) mērķis ir n</w:t>
            </w:r>
            <w:r w:rsidR="009228D2" w:rsidRPr="00514A88">
              <w:rPr>
                <w:rFonts w:ascii="Times New Roman" w:eastAsia="Times New Roman" w:hAnsi="Times New Roman"/>
                <w:iCs/>
                <w:sz w:val="24"/>
                <w:szCs w:val="24"/>
                <w:lang w:eastAsia="lv-LV"/>
              </w:rPr>
              <w:t xml:space="preserve">odrošināt </w:t>
            </w:r>
            <w:r w:rsidR="00514A88" w:rsidRPr="00514A88">
              <w:rPr>
                <w:rFonts w:ascii="Times New Roman" w:hAnsi="Times New Roman"/>
                <w:sz w:val="24"/>
                <w:szCs w:val="24"/>
              </w:rPr>
              <w:t xml:space="preserve">finansējumu </w:t>
            </w:r>
            <w:r w:rsidR="00514A88" w:rsidRPr="00514A88">
              <w:rPr>
                <w:rFonts w:ascii="Times New Roman" w:eastAsiaTheme="minorHAnsi" w:hAnsi="Times New Roman"/>
                <w:bCs/>
                <w:sz w:val="24"/>
                <w:szCs w:val="24"/>
                <w:shd w:val="clear" w:color="auto" w:fill="FFFFFF"/>
              </w:rPr>
              <w:t>C</w:t>
            </w:r>
            <w:r w:rsidR="00CA173D">
              <w:rPr>
                <w:rFonts w:ascii="Times New Roman" w:eastAsiaTheme="minorHAnsi" w:hAnsi="Times New Roman"/>
                <w:bCs/>
                <w:sz w:val="24"/>
                <w:szCs w:val="24"/>
                <w:shd w:val="clear" w:color="auto" w:fill="FFFFFF"/>
              </w:rPr>
              <w:t>ovid</w:t>
            </w:r>
            <w:r w:rsidR="00514A88" w:rsidRPr="00514A88">
              <w:rPr>
                <w:rFonts w:ascii="Times New Roman" w:eastAsiaTheme="minorHAnsi" w:hAnsi="Times New Roman"/>
                <w:bCs/>
                <w:sz w:val="24"/>
                <w:szCs w:val="24"/>
                <w:shd w:val="clear" w:color="auto" w:fill="FFFFFF"/>
              </w:rPr>
              <w:t>-19 seku novēršanas un pārvarēšanas pasākumiem.</w:t>
            </w:r>
          </w:p>
          <w:p w14:paraId="740ACEBC" w14:textId="24A53025" w:rsidR="00853AC5" w:rsidRPr="007D3E6E" w:rsidRDefault="00E10C35" w:rsidP="00E10C35">
            <w:pPr>
              <w:pStyle w:val="NoSpacing"/>
              <w:spacing w:before="120" w:after="120"/>
              <w:ind w:left="91" w:right="108"/>
              <w:jc w:val="both"/>
              <w:rPr>
                <w:rFonts w:ascii="Times New Roman" w:hAnsi="Times New Roman"/>
                <w:sz w:val="24"/>
                <w:szCs w:val="24"/>
              </w:rPr>
            </w:pPr>
            <w:r>
              <w:rPr>
                <w:rFonts w:ascii="Times New Roman" w:hAnsi="Times New Roman"/>
                <w:sz w:val="24"/>
                <w:szCs w:val="24"/>
              </w:rPr>
              <w:t>P</w:t>
            </w:r>
            <w:r w:rsidR="00853AC5" w:rsidRPr="007D3E6E">
              <w:rPr>
                <w:rFonts w:ascii="Times New Roman" w:hAnsi="Times New Roman"/>
                <w:sz w:val="24"/>
                <w:szCs w:val="24"/>
              </w:rPr>
              <w:t xml:space="preserve">rojekts stājas spēkā tā </w:t>
            </w:r>
            <w:r w:rsidR="000A6B9A" w:rsidRPr="007D3E6E">
              <w:rPr>
                <w:rFonts w:ascii="Times New Roman" w:hAnsi="Times New Roman"/>
                <w:sz w:val="24"/>
                <w:szCs w:val="24"/>
              </w:rPr>
              <w:t>parakstīšanas brīdī</w:t>
            </w:r>
            <w:r w:rsidR="004B0522" w:rsidRPr="007D3E6E">
              <w:rPr>
                <w:rFonts w:ascii="Times New Roman" w:hAnsi="Times New Roman"/>
                <w:sz w:val="24"/>
                <w:szCs w:val="24"/>
              </w:rPr>
              <w:t xml:space="preserve"> atbilstoši Oficiālo publikāciju un tiesiskās informācijas likuma 7.panta trešajā daļā noteiktajam</w:t>
            </w:r>
            <w:r w:rsidR="00853AC5" w:rsidRPr="007D3E6E">
              <w:rPr>
                <w:rFonts w:ascii="Times New Roman" w:hAnsi="Times New Roman"/>
                <w:sz w:val="24"/>
                <w:szCs w:val="24"/>
              </w:rPr>
              <w:t>.</w:t>
            </w:r>
          </w:p>
        </w:tc>
      </w:tr>
    </w:tbl>
    <w:p w14:paraId="5AE1A044" w14:textId="77777777" w:rsidR="009D36DE" w:rsidRPr="007D3E6E" w:rsidRDefault="009D36DE" w:rsidP="00577379">
      <w:pPr>
        <w:spacing w:before="120" w:after="120"/>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7D3E6E" w14:paraId="30959661"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CE4764" w14:textId="77777777" w:rsidR="009D36DE" w:rsidRPr="007D3E6E" w:rsidRDefault="009D36DE" w:rsidP="000044FA">
            <w:pPr>
              <w:spacing w:before="100" w:after="100"/>
              <w:jc w:val="center"/>
              <w:rPr>
                <w:b/>
                <w:bCs/>
              </w:rPr>
            </w:pPr>
            <w:r w:rsidRPr="007D3E6E">
              <w:rPr>
                <w:b/>
                <w:bCs/>
              </w:rPr>
              <w:t>I. Tiesību aktu projektu izstrādes nepieciešamība</w:t>
            </w:r>
          </w:p>
        </w:tc>
      </w:tr>
      <w:tr w:rsidR="009D36DE" w:rsidRPr="007D3E6E" w14:paraId="47CC67B4"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B6D2EA" w14:textId="77777777" w:rsidR="009D36DE" w:rsidRPr="007D3E6E" w:rsidRDefault="009D36DE" w:rsidP="000044FA">
            <w:pPr>
              <w:spacing w:before="100" w:after="100"/>
            </w:pPr>
            <w:r w:rsidRPr="007D3E6E">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C64662" w14:textId="77777777" w:rsidR="009D36DE" w:rsidRPr="007D3E6E" w:rsidRDefault="009D36DE" w:rsidP="000044FA">
            <w:pPr>
              <w:spacing w:before="100" w:after="100"/>
            </w:pPr>
            <w:r w:rsidRPr="007D3E6E">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6B8B66" w14:textId="1F218773" w:rsidR="00E10C35" w:rsidRDefault="00E10C35" w:rsidP="00577379">
            <w:pPr>
              <w:spacing w:before="120" w:after="120"/>
              <w:ind w:left="125" w:right="113"/>
              <w:jc w:val="both"/>
            </w:pPr>
            <w:r w:rsidRPr="00123503">
              <w:rPr>
                <w:color w:val="000000"/>
                <w:shd w:val="clear" w:color="auto" w:fill="FFFFFF"/>
              </w:rPr>
              <w:t>Ņemot vērā visā valsts teritorijā izsludināto ārkārtējo situāciju (Ministru kabineta 2020.gada 12.marta rīkojums Nr. 103 “Par ārkārtas situācijas izsludināšanu”)</w:t>
            </w:r>
            <w:r w:rsidR="002363C2">
              <w:rPr>
                <w:color w:val="000000"/>
                <w:shd w:val="clear" w:color="auto" w:fill="FFFFFF"/>
              </w:rPr>
              <w:t xml:space="preserve"> un </w:t>
            </w:r>
            <w:r w:rsidRPr="00123503">
              <w:rPr>
                <w:color w:val="000000"/>
                <w:shd w:val="clear" w:color="auto" w:fill="FFFFFF"/>
              </w:rPr>
              <w:t>ar to saistīto prognozējamo iespaidu uz valsts ekonomiku, likum</w:t>
            </w:r>
            <w:r w:rsidR="00CD4261">
              <w:rPr>
                <w:color w:val="000000"/>
                <w:shd w:val="clear" w:color="auto" w:fill="FFFFFF"/>
              </w:rPr>
              <w:t>ā</w:t>
            </w:r>
            <w:r w:rsidRPr="00123503">
              <w:rPr>
                <w:color w:val="000000"/>
                <w:shd w:val="clear" w:color="auto" w:fill="FFFFFF"/>
              </w:rPr>
              <w:t xml:space="preserve"> </w:t>
            </w:r>
            <w:r w:rsidRPr="00123503">
              <w:rPr>
                <w:bCs/>
              </w:rPr>
              <w:t>„Par valsts apdraudējuma un tā seku novēršanas un pārvarēšanas pasākumiem sakarā ar Covid-19 izplatību”</w:t>
            </w:r>
            <w:r w:rsidRPr="00123503">
              <w:rPr>
                <w:b/>
                <w:bCs/>
                <w:sz w:val="28"/>
              </w:rPr>
              <w:t xml:space="preserve"> </w:t>
            </w:r>
            <w:r w:rsidRPr="00123503">
              <w:rPr>
                <w:color w:val="000000"/>
                <w:shd w:val="clear" w:color="auto" w:fill="FFFFFF"/>
              </w:rPr>
              <w:t>paredz</w:t>
            </w:r>
            <w:r w:rsidR="00CD4261">
              <w:rPr>
                <w:color w:val="000000"/>
                <w:shd w:val="clear" w:color="auto" w:fill="FFFFFF"/>
              </w:rPr>
              <w:t>ēti</w:t>
            </w:r>
            <w:r w:rsidRPr="00123503">
              <w:rPr>
                <w:color w:val="000000"/>
                <w:shd w:val="clear" w:color="auto" w:fill="FFFFFF"/>
              </w:rPr>
              <w:t xml:space="preserve"> pasākum</w:t>
            </w:r>
            <w:r w:rsidR="00CD4261">
              <w:rPr>
                <w:color w:val="000000"/>
                <w:shd w:val="clear" w:color="auto" w:fill="FFFFFF"/>
              </w:rPr>
              <w:t>i</w:t>
            </w:r>
            <w:r w:rsidRPr="00123503">
              <w:rPr>
                <w:color w:val="000000"/>
                <w:shd w:val="clear" w:color="auto" w:fill="FFFFFF"/>
              </w:rPr>
              <w:t xml:space="preserve"> C</w:t>
            </w:r>
            <w:r w:rsidR="00CD4261">
              <w:rPr>
                <w:color w:val="000000"/>
                <w:shd w:val="clear" w:color="auto" w:fill="FFFFFF"/>
              </w:rPr>
              <w:t>ovid</w:t>
            </w:r>
            <w:r w:rsidRPr="00123503">
              <w:rPr>
                <w:color w:val="000000"/>
                <w:shd w:val="clear" w:color="auto" w:fill="FFFFFF"/>
              </w:rPr>
              <w:t>-19</w:t>
            </w:r>
            <w:r w:rsidR="00CD4261">
              <w:rPr>
                <w:color w:val="000000"/>
                <w:shd w:val="clear" w:color="auto" w:fill="FFFFFF"/>
              </w:rPr>
              <w:t xml:space="preserve"> </w:t>
            </w:r>
            <w:r>
              <w:rPr>
                <w:color w:val="000000"/>
                <w:shd w:val="clear" w:color="auto" w:fill="FFFFFF"/>
              </w:rPr>
              <w:t xml:space="preserve">pandēmijas </w:t>
            </w:r>
            <w:r w:rsidRPr="00123503">
              <w:rPr>
                <w:color w:val="000000"/>
                <w:shd w:val="clear" w:color="auto" w:fill="FFFFFF"/>
              </w:rPr>
              <w:t>seku pārvarēšanai, tajā ietverot nodokļu, sociālās aizsardzības, atbalsta uzņēmējdarbībai, līdzekļu neparedzētiem gadījumiem palielināšanas, apropriāciju pārdales un citus nozarēm nepieciešamos jautājumus, kas tieši saistīti ar krīzes ātru un efektīvu pārvarēšanu, kā arī priekšlikumus par valsts atbalstu dīkstāves izmaksu kompensēšanai noteiktās krīzes skartajās nozarēs.</w:t>
            </w:r>
          </w:p>
          <w:p w14:paraId="06012AE9" w14:textId="1D55DB71" w:rsidR="00292DE5" w:rsidRDefault="009D36DE" w:rsidP="00292DE5">
            <w:pPr>
              <w:spacing w:before="120" w:after="120"/>
              <w:ind w:left="125" w:right="113"/>
              <w:jc w:val="both"/>
            </w:pPr>
            <w:r w:rsidRPr="007D3E6E">
              <w:t xml:space="preserve">Gadskārtējā valsts budžeta likumā budžeta resora “74. Gadskārtējā valsts budžeta izpildes procesā pārdalāmais finansējums” </w:t>
            </w:r>
            <w:r w:rsidR="00EF79BA">
              <w:t>02</w:t>
            </w:r>
            <w:r w:rsidRPr="007D3E6E">
              <w:t xml:space="preserve">.00.00 programmā </w:t>
            </w:r>
            <w:r w:rsidRPr="007D3E6E">
              <w:rPr>
                <w:bCs/>
              </w:rPr>
              <w:t>“</w:t>
            </w:r>
            <w:r w:rsidR="00EF79BA">
              <w:t>Līdzekļi neparedzētiem gadījumiem</w:t>
            </w:r>
            <w:r w:rsidR="002363C2">
              <w:rPr>
                <w:bCs/>
              </w:rPr>
              <w:t xml:space="preserve">” </w:t>
            </w:r>
            <w:r w:rsidR="004A5A78">
              <w:rPr>
                <w:bCs/>
              </w:rPr>
              <w:t>plānots</w:t>
            </w:r>
            <w:r w:rsidRPr="007D3E6E">
              <w:rPr>
                <w:bCs/>
              </w:rPr>
              <w:t xml:space="preserve"> finansējums</w:t>
            </w:r>
            <w:r w:rsidR="00EF79BA">
              <w:t xml:space="preserve">, lai </w:t>
            </w:r>
            <w:r w:rsidR="00EF79BA" w:rsidRPr="00BA7B8A">
              <w:t>nodrošināt</w:t>
            </w:r>
            <w:r w:rsidR="00EF79BA">
              <w:t>u</w:t>
            </w:r>
            <w:r w:rsidR="00EF79BA" w:rsidRPr="00BA7B8A">
              <w:t xml:space="preserve"> valsts pamatbudžeta apropriāciju līdzekļiem neparedzētiem izdevumiem saskaņā ar Ministru kabineta 2018.gada 17.jūlija noteikumiem Nr.421 “Kārtība, kādā veic gadskārtējā valsts budžeta likumā noteiktās apropriācijas izmaiņas” valstiski īpaši nozīmīgiem pasākumiem, valsts pamatbudžeta apropriācijās neparedzētiem izdevumiem katastrofu un dabas stihiju seku novēršanai un to radīto zaudējumu kompensēšanai un citiem neparedzētiem gadījumiem.</w:t>
            </w:r>
          </w:p>
          <w:p w14:paraId="65389C2D" w14:textId="5CFD8C6D" w:rsidR="009D36DE" w:rsidRPr="002363C2" w:rsidRDefault="004A5A78" w:rsidP="00292DE5">
            <w:pPr>
              <w:spacing w:before="120" w:after="120"/>
              <w:ind w:left="125" w:right="113"/>
              <w:jc w:val="both"/>
              <w:rPr>
                <w:b/>
              </w:rPr>
            </w:pPr>
            <w:r w:rsidRPr="002363C2">
              <w:rPr>
                <w:b/>
                <w:iCs/>
              </w:rPr>
              <w:t xml:space="preserve">Likuma </w:t>
            </w:r>
            <w:r w:rsidRPr="002363C2">
              <w:rPr>
                <w:b/>
                <w:color w:val="000000"/>
              </w:rPr>
              <w:t>“</w:t>
            </w:r>
            <w:r w:rsidRPr="002363C2">
              <w:rPr>
                <w:b/>
              </w:rPr>
              <w:t>Par valsts apdraudējuma un tā seku novēršanas un pārvarēšanas pasākumiem sakarā ar Covid-19 izplatību”</w:t>
            </w:r>
            <w:r w:rsidRPr="002363C2">
              <w:rPr>
                <w:b/>
                <w:color w:val="000000"/>
              </w:rPr>
              <w:t xml:space="preserve"> 23.pantā noteikts, ka f</w:t>
            </w:r>
            <w:r w:rsidRPr="002363C2">
              <w:rPr>
                <w:b/>
              </w:rPr>
              <w:t xml:space="preserve">inanšu ministram ir tiesības, informējot par to Saeimu, palielināt likumā “Par valsts budžetu 2020. </w:t>
            </w:r>
            <w:r w:rsidRPr="002363C2">
              <w:rPr>
                <w:b/>
              </w:rPr>
              <w:lastRenderedPageBreak/>
              <w:t>gadam” noteikto apropriāciju budžeta resora “74. Gadskārtējā valsts budžeta izpildes procesā pārdalāmais finansējums” programmā 02.00.00 “Līdzekļi neparedzētiem gadījumiem” un paplašināt valdības rīcības pieļaujamās robežas valdības saistību izpildei, ja ir pieņemts attiecīgs Ministru kabineta lēmums.</w:t>
            </w:r>
          </w:p>
        </w:tc>
      </w:tr>
      <w:tr w:rsidR="00D6079A" w:rsidRPr="007D3E6E" w14:paraId="4C69F073" w14:textId="77777777" w:rsidTr="003F1B84">
        <w:trPr>
          <w:trHeight w:val="68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B339D0" w14:textId="77777777" w:rsidR="00D6079A" w:rsidRPr="007D3E6E" w:rsidRDefault="00D6079A" w:rsidP="000044FA">
            <w:pPr>
              <w:spacing w:before="100" w:after="100"/>
            </w:pPr>
            <w:r w:rsidRPr="007D3E6E">
              <w:lastRenderedPageBreak/>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BD96BD" w14:textId="77777777" w:rsidR="00D6079A" w:rsidRPr="007D3E6E" w:rsidRDefault="00D6079A" w:rsidP="000044FA">
            <w:pPr>
              <w:spacing w:before="100" w:after="100"/>
            </w:pPr>
            <w:r w:rsidRPr="007D3E6E">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B5489" w14:textId="523C4EFC" w:rsidR="000512B4" w:rsidRPr="00AA5380" w:rsidRDefault="00D6079A" w:rsidP="009430A2">
            <w:pPr>
              <w:spacing w:before="240" w:after="240"/>
              <w:ind w:left="123" w:right="111"/>
              <w:jc w:val="both"/>
              <w:rPr>
                <w:i/>
              </w:rPr>
            </w:pPr>
            <w:r w:rsidRPr="005E37B5">
              <w:t>Likumā “Par valsts budžetu 20</w:t>
            </w:r>
            <w:r w:rsidR="00F2550C">
              <w:t>20</w:t>
            </w:r>
            <w:r w:rsidRPr="005E37B5">
              <w:t xml:space="preserve">.gadam” </w:t>
            </w:r>
            <w:r w:rsidR="00F2550C">
              <w:t>02</w:t>
            </w:r>
            <w:r w:rsidRPr="005E37B5">
              <w:t xml:space="preserve">.00.00 programmas </w:t>
            </w:r>
            <w:r w:rsidR="002363C2" w:rsidRPr="007D3E6E">
              <w:rPr>
                <w:bCs/>
              </w:rPr>
              <w:t>“</w:t>
            </w:r>
            <w:r w:rsidR="002363C2">
              <w:t>Līdzekļi neparedzētiem gadījumiem</w:t>
            </w:r>
            <w:r w:rsidR="002363C2" w:rsidRPr="007D3E6E">
              <w:rPr>
                <w:bCs/>
              </w:rPr>
              <w:t xml:space="preserve">” </w:t>
            </w:r>
            <w:r w:rsidRPr="005E37B5">
              <w:t xml:space="preserve">finansējums ir plānots </w:t>
            </w:r>
            <w:r w:rsidR="00F2550C" w:rsidRPr="00F2550C">
              <w:rPr>
                <w:b/>
              </w:rPr>
              <w:t>23</w:t>
            </w:r>
            <w:r w:rsidR="00F2550C">
              <w:rPr>
                <w:b/>
              </w:rPr>
              <w:t xml:space="preserve"> </w:t>
            </w:r>
            <w:r w:rsidR="00F2550C" w:rsidRPr="00F2550C">
              <w:rPr>
                <w:b/>
              </w:rPr>
              <w:t>479</w:t>
            </w:r>
            <w:r w:rsidR="00F2550C">
              <w:rPr>
                <w:b/>
              </w:rPr>
              <w:t xml:space="preserve"> </w:t>
            </w:r>
            <w:r w:rsidR="00F2550C" w:rsidRPr="00F2550C">
              <w:rPr>
                <w:b/>
              </w:rPr>
              <w:t>067</w:t>
            </w:r>
            <w:r w:rsidRPr="005E37B5">
              <w:rPr>
                <w:b/>
              </w:rPr>
              <w:t xml:space="preserve"> </w:t>
            </w:r>
            <w:proofErr w:type="spellStart"/>
            <w:r w:rsidRPr="005E37B5">
              <w:rPr>
                <w:b/>
                <w:i/>
              </w:rPr>
              <w:t>euro</w:t>
            </w:r>
            <w:proofErr w:type="spellEnd"/>
            <w:r w:rsidRPr="005E37B5">
              <w:t>. Līdz 20</w:t>
            </w:r>
            <w:r w:rsidR="00F2550C">
              <w:t>20</w:t>
            </w:r>
            <w:r w:rsidRPr="005E37B5">
              <w:t xml:space="preserve">.gada </w:t>
            </w:r>
            <w:r w:rsidR="00F2550C">
              <w:t>2</w:t>
            </w:r>
            <w:r w:rsidR="001729A2">
              <w:t>3</w:t>
            </w:r>
            <w:r w:rsidR="00F2550C">
              <w:t>.martam</w:t>
            </w:r>
            <w:r w:rsidRPr="005E37B5">
              <w:t xml:space="preserve"> </w:t>
            </w:r>
            <w:r w:rsidR="00BC3853" w:rsidRPr="005E37B5">
              <w:t xml:space="preserve">ministrijām un citām centrālajām valsts iestādēm (turpmāk – </w:t>
            </w:r>
            <w:r w:rsidRPr="005E37B5">
              <w:t>ministrij</w:t>
            </w:r>
            <w:r w:rsidR="00BC3853" w:rsidRPr="005E37B5">
              <w:t>as)</w:t>
            </w:r>
            <w:r w:rsidRPr="005E37B5">
              <w:t xml:space="preserve"> atbilstoši </w:t>
            </w:r>
            <w:r w:rsidR="003145BF">
              <w:t xml:space="preserve">jau </w:t>
            </w:r>
            <w:r w:rsidRPr="005E37B5">
              <w:t>pieņemtajiem finanšu ministra rīkojumiem</w:t>
            </w:r>
            <w:r w:rsidR="003145BF">
              <w:t xml:space="preserve"> un Ministru kabineta lēmumiem</w:t>
            </w:r>
            <w:r w:rsidRPr="005E37B5">
              <w:t xml:space="preserve"> veikta apropriā</w:t>
            </w:r>
            <w:r w:rsidR="007275D7">
              <w:t xml:space="preserve">cijas pārdale </w:t>
            </w:r>
            <w:r w:rsidR="0074000A">
              <w:rPr>
                <w:b/>
              </w:rPr>
              <w:t>1</w:t>
            </w:r>
            <w:r w:rsidR="001729A2">
              <w:rPr>
                <w:b/>
              </w:rPr>
              <w:t>8</w:t>
            </w:r>
            <w:r w:rsidRPr="005E37B5">
              <w:rPr>
                <w:b/>
              </w:rPr>
              <w:t> </w:t>
            </w:r>
            <w:r w:rsidR="001729A2">
              <w:rPr>
                <w:b/>
              </w:rPr>
              <w:t>1</w:t>
            </w:r>
            <w:r w:rsidR="009343F4">
              <w:rPr>
                <w:b/>
              </w:rPr>
              <w:t>91</w:t>
            </w:r>
            <w:r w:rsidRPr="005E37B5">
              <w:rPr>
                <w:b/>
              </w:rPr>
              <w:t> </w:t>
            </w:r>
            <w:r w:rsidR="001729A2">
              <w:rPr>
                <w:b/>
              </w:rPr>
              <w:t>249</w:t>
            </w:r>
            <w:r w:rsidRPr="005E37B5">
              <w:rPr>
                <w:b/>
              </w:rPr>
              <w:t xml:space="preserve"> </w:t>
            </w:r>
            <w:proofErr w:type="spellStart"/>
            <w:r w:rsidRPr="005E37B5">
              <w:rPr>
                <w:b/>
                <w:i/>
              </w:rPr>
              <w:t>euro</w:t>
            </w:r>
            <w:proofErr w:type="spellEnd"/>
            <w:r w:rsidRPr="005E37B5">
              <w:t xml:space="preserve">. </w:t>
            </w:r>
            <w:r w:rsidR="000512B4">
              <w:t xml:space="preserve">Ņemot vērā jau veiktās pārdales </w:t>
            </w:r>
            <w:r w:rsidR="0074000A">
              <w:t>02</w:t>
            </w:r>
            <w:r w:rsidRPr="005E37B5">
              <w:t xml:space="preserve">.00.00 programmas </w:t>
            </w:r>
            <w:r w:rsidR="00BE79DA" w:rsidRPr="007D3E6E">
              <w:rPr>
                <w:bCs/>
              </w:rPr>
              <w:t>“</w:t>
            </w:r>
            <w:r w:rsidR="00BE79DA">
              <w:t>Līdzekļi neparedzētiem gadījumiem</w:t>
            </w:r>
            <w:r w:rsidR="00BE79DA" w:rsidRPr="007D3E6E">
              <w:rPr>
                <w:bCs/>
              </w:rPr>
              <w:t xml:space="preserve">” </w:t>
            </w:r>
            <w:r w:rsidRPr="005E37B5">
              <w:t>atlikums uz 20</w:t>
            </w:r>
            <w:r w:rsidR="0074000A">
              <w:t>20</w:t>
            </w:r>
            <w:r w:rsidRPr="005E37B5">
              <w:t xml:space="preserve">.gada </w:t>
            </w:r>
            <w:r w:rsidR="005A0D60">
              <w:t>2</w:t>
            </w:r>
            <w:r w:rsidR="001729A2">
              <w:t>3</w:t>
            </w:r>
            <w:r w:rsidR="005A0D60">
              <w:t>.martu</w:t>
            </w:r>
            <w:r w:rsidRPr="005E37B5">
              <w:t xml:space="preserve"> ir </w:t>
            </w:r>
            <w:r w:rsidR="00C608C1">
              <w:rPr>
                <w:b/>
              </w:rPr>
              <w:t>5 </w:t>
            </w:r>
            <w:r w:rsidR="009343F4">
              <w:rPr>
                <w:b/>
              </w:rPr>
              <w:t>287</w:t>
            </w:r>
            <w:r w:rsidR="00C608C1">
              <w:rPr>
                <w:b/>
              </w:rPr>
              <w:t xml:space="preserve"> </w:t>
            </w:r>
            <w:r w:rsidR="002C2C90">
              <w:rPr>
                <w:b/>
              </w:rPr>
              <w:t>8</w:t>
            </w:r>
            <w:r w:rsidR="00B92025">
              <w:rPr>
                <w:b/>
              </w:rPr>
              <w:t>18</w:t>
            </w:r>
            <w:r w:rsidRPr="005E37B5">
              <w:rPr>
                <w:b/>
              </w:rPr>
              <w:t xml:space="preserve"> </w:t>
            </w:r>
            <w:proofErr w:type="spellStart"/>
            <w:r w:rsidR="000512B4">
              <w:rPr>
                <w:b/>
                <w:i/>
              </w:rPr>
              <w:t>euro</w:t>
            </w:r>
            <w:proofErr w:type="spellEnd"/>
            <w:r w:rsidR="000512B4">
              <w:rPr>
                <w:b/>
                <w:i/>
              </w:rPr>
              <w:t xml:space="preserve">, </w:t>
            </w:r>
            <w:r w:rsidR="000512B4">
              <w:t>bet kopā ar ministrij</w:t>
            </w:r>
            <w:r w:rsidR="00AA5380">
              <w:t>u</w:t>
            </w:r>
            <w:r w:rsidR="000512B4">
              <w:t xml:space="preserve"> iesnieg</w:t>
            </w:r>
            <w:r w:rsidR="00AA5380">
              <w:t>tajiem</w:t>
            </w:r>
            <w:r w:rsidR="000512B4">
              <w:t xml:space="preserve"> projekt</w:t>
            </w:r>
            <w:r w:rsidR="00AA5380">
              <w:t>iem</w:t>
            </w:r>
            <w:r w:rsidR="000512B4">
              <w:t xml:space="preserve"> </w:t>
            </w:r>
            <w:r w:rsidR="00AA5380">
              <w:t xml:space="preserve">līdzekļu neparedzētiem gadījumiem </w:t>
            </w:r>
            <w:r w:rsidR="000512B4">
              <w:t xml:space="preserve">pieprasījumiem (dažādās saskaņošanas stadijās) </w:t>
            </w:r>
            <w:r w:rsidR="00AA5380">
              <w:t>atlikums ir</w:t>
            </w:r>
            <w:r w:rsidR="000512B4">
              <w:t xml:space="preserve"> </w:t>
            </w:r>
            <w:r w:rsidR="001729A2">
              <w:rPr>
                <w:b/>
              </w:rPr>
              <w:t>1 7</w:t>
            </w:r>
            <w:r w:rsidR="009343F4">
              <w:rPr>
                <w:b/>
              </w:rPr>
              <w:t>01</w:t>
            </w:r>
            <w:r w:rsidR="001729A2">
              <w:rPr>
                <w:b/>
              </w:rPr>
              <w:t xml:space="preserve"> 829</w:t>
            </w:r>
            <w:r w:rsidR="000512B4" w:rsidRPr="003F733E">
              <w:rPr>
                <w:b/>
              </w:rPr>
              <w:t xml:space="preserve"> </w:t>
            </w:r>
            <w:proofErr w:type="spellStart"/>
            <w:r w:rsidR="00AA5380" w:rsidRPr="00AA5380">
              <w:rPr>
                <w:b/>
                <w:i/>
                <w:iCs/>
              </w:rPr>
              <w:t>euro</w:t>
            </w:r>
            <w:proofErr w:type="spellEnd"/>
            <w:r w:rsidR="00AA5380" w:rsidRPr="00AA5380">
              <w:rPr>
                <w:b/>
                <w:i/>
                <w:iCs/>
              </w:rPr>
              <w:t>.</w:t>
            </w:r>
            <w:bookmarkStart w:id="0" w:name="_GoBack"/>
            <w:bookmarkEnd w:id="0"/>
          </w:p>
          <w:p w14:paraId="45145437" w14:textId="1515FFF7" w:rsidR="007275D7" w:rsidRPr="006312E3" w:rsidRDefault="00D6079A" w:rsidP="00BE79DA">
            <w:pPr>
              <w:spacing w:before="120" w:after="120"/>
              <w:ind w:left="125" w:right="113"/>
              <w:jc w:val="both"/>
            </w:pPr>
            <w:r w:rsidRPr="00BE79DA">
              <w:t xml:space="preserve">Lai </w:t>
            </w:r>
            <w:r w:rsidR="007275D7" w:rsidRPr="00BE79DA">
              <w:t xml:space="preserve">atbilstoši situācijai varētu operatīvi reaģēt un piešķirt nepieciešamo finansējumu </w:t>
            </w:r>
            <w:r w:rsidR="007275D7" w:rsidRPr="00BE79DA">
              <w:rPr>
                <w:color w:val="000000"/>
                <w:shd w:val="clear" w:color="auto" w:fill="FFFFFF"/>
              </w:rPr>
              <w:t xml:space="preserve">likumā </w:t>
            </w:r>
            <w:r w:rsidR="007275D7" w:rsidRPr="00BE79DA">
              <w:rPr>
                <w:bCs/>
              </w:rPr>
              <w:t>„Par valsts apdraudējuma un tā seku novēršanas un pārvarēšanas pasākumiem sakarā ar Covid-19 izplatību”</w:t>
            </w:r>
            <w:r w:rsidR="007275D7" w:rsidRPr="00BE79DA">
              <w:rPr>
                <w:bCs/>
                <w:sz w:val="28"/>
              </w:rPr>
              <w:t xml:space="preserve"> </w:t>
            </w:r>
            <w:r w:rsidR="007275D7" w:rsidRPr="00BE79DA">
              <w:rPr>
                <w:color w:val="000000"/>
                <w:shd w:val="clear" w:color="auto" w:fill="FFFFFF"/>
              </w:rPr>
              <w:t>paredzētajiem pasākumiem</w:t>
            </w:r>
            <w:r w:rsidR="009E28C2" w:rsidRPr="00BE79DA">
              <w:rPr>
                <w:color w:val="000000"/>
                <w:shd w:val="clear" w:color="auto" w:fill="FFFFFF"/>
              </w:rPr>
              <w:t xml:space="preserve"> Covid-19 pandēmijas seku pārvarēšanai, tajā skaitā sociālās aizsardzības, atbalsta uzņēmējdarbībai, kā arī valsts atbalstam dīkstāves izmaksu kompensēšanai not</w:t>
            </w:r>
            <w:r w:rsidR="00BE79DA" w:rsidRPr="00BE79DA">
              <w:rPr>
                <w:color w:val="000000"/>
                <w:shd w:val="clear" w:color="auto" w:fill="FFFFFF"/>
              </w:rPr>
              <w:t xml:space="preserve">eiktās krīzes skartajās nozarēs, </w:t>
            </w:r>
            <w:r w:rsidR="00BE79DA" w:rsidRPr="006312E3">
              <w:rPr>
                <w:color w:val="000000"/>
                <w:shd w:val="clear" w:color="auto" w:fill="FFFFFF"/>
              </w:rPr>
              <w:t>Finanšu ministrija ierosina palielināt apropriāciju</w:t>
            </w:r>
            <w:r w:rsidR="00BE79DA" w:rsidRPr="006312E3">
              <w:t xml:space="preserve"> 02.00.00 programmā </w:t>
            </w:r>
            <w:r w:rsidR="00BE79DA" w:rsidRPr="006312E3">
              <w:rPr>
                <w:bCs/>
              </w:rPr>
              <w:t>“</w:t>
            </w:r>
            <w:r w:rsidR="00BE79DA" w:rsidRPr="006312E3">
              <w:t>Līdzekļi neparedzētiem gadījumiem</w:t>
            </w:r>
            <w:r w:rsidR="00BE79DA" w:rsidRPr="006312E3">
              <w:rPr>
                <w:bCs/>
              </w:rPr>
              <w:t>”, lai programmas finansējums nepārsniegtu 1%</w:t>
            </w:r>
            <w:r w:rsidR="00BE79DA" w:rsidRPr="006312E3">
              <w:t xml:space="preserve"> </w:t>
            </w:r>
            <w:r w:rsidR="009E28C2" w:rsidRPr="006312E3">
              <w:t xml:space="preserve">no </w:t>
            </w:r>
            <w:r w:rsidR="00BE79DA" w:rsidRPr="006312E3">
              <w:t xml:space="preserve">likumā “Par valsts budžetu 2020.gadam” </w:t>
            </w:r>
            <w:r w:rsidR="009E28C2" w:rsidRPr="006312E3">
              <w:t>noteiktās iekšzemes kopprodukta prognozes apjoma</w:t>
            </w:r>
            <w:r w:rsidR="00BE79DA" w:rsidRPr="006312E3">
              <w:t>.</w:t>
            </w:r>
          </w:p>
          <w:p w14:paraId="1BD16DB1" w14:textId="4414BA04" w:rsidR="00D6079A" w:rsidRPr="007D3E6E" w:rsidRDefault="00895C1A" w:rsidP="00895C1A">
            <w:pPr>
              <w:spacing w:before="240"/>
              <w:ind w:left="125" w:right="113"/>
              <w:jc w:val="both"/>
              <w:rPr>
                <w:bCs/>
              </w:rPr>
            </w:pPr>
            <w:r w:rsidRPr="006312E3">
              <w:t xml:space="preserve">Ņemot vērā iepriekš minēto, </w:t>
            </w:r>
            <w:r w:rsidR="00D6079A" w:rsidRPr="006312E3">
              <w:t>Finanšu ministrija ir sagatavojusi</w:t>
            </w:r>
            <w:r w:rsidR="00D6079A" w:rsidRPr="005E37B5">
              <w:t xml:space="preserve"> Mini</w:t>
            </w:r>
            <w:r>
              <w:t>stru kabineta rīkojuma projektu</w:t>
            </w:r>
            <w:r w:rsidR="00D6079A" w:rsidRPr="005E37B5">
              <w:t xml:space="preserve"> </w:t>
            </w:r>
            <w:r>
              <w:t>par</w:t>
            </w:r>
            <w:r w:rsidR="00D6079A" w:rsidRPr="005E37B5">
              <w:t xml:space="preserve"> </w:t>
            </w:r>
            <w:r>
              <w:t xml:space="preserve">apropriācijas palielināšanu </w:t>
            </w:r>
            <w:r w:rsidR="00D6079A" w:rsidRPr="005E37B5">
              <w:t xml:space="preserve"> </w:t>
            </w:r>
            <w:r w:rsidR="009430A2">
              <w:rPr>
                <w:bCs/>
              </w:rPr>
              <w:t>02</w:t>
            </w:r>
            <w:r w:rsidR="00D6079A" w:rsidRPr="005E37B5">
              <w:rPr>
                <w:bCs/>
              </w:rPr>
              <w:t>.00.00 programm</w:t>
            </w:r>
            <w:r>
              <w:rPr>
                <w:bCs/>
              </w:rPr>
              <w:t>ā</w:t>
            </w:r>
            <w:r w:rsidR="00D6079A" w:rsidRPr="005E37B5">
              <w:rPr>
                <w:bCs/>
              </w:rPr>
              <w:t xml:space="preserve"> </w:t>
            </w:r>
            <w:r w:rsidRPr="00BE79DA">
              <w:rPr>
                <w:bCs/>
              </w:rPr>
              <w:t>“</w:t>
            </w:r>
            <w:r w:rsidRPr="00BE79DA">
              <w:t>Līdzekļi neparedzētiem gadījumiem</w:t>
            </w:r>
            <w:r w:rsidRPr="00BE79DA">
              <w:rPr>
                <w:bCs/>
              </w:rPr>
              <w:t>”</w:t>
            </w:r>
            <w:r>
              <w:rPr>
                <w:bCs/>
              </w:rPr>
              <w:t xml:space="preserve"> </w:t>
            </w:r>
            <w:r w:rsidR="009430A2">
              <w:rPr>
                <w:b/>
              </w:rPr>
              <w:t>300</w:t>
            </w:r>
            <w:r w:rsidR="00BB2AB5" w:rsidRPr="005E37B5">
              <w:rPr>
                <w:b/>
              </w:rPr>
              <w:t> 000 000</w:t>
            </w:r>
            <w:r w:rsidR="00814BB4" w:rsidRPr="005E37B5">
              <w:rPr>
                <w:b/>
              </w:rPr>
              <w:t xml:space="preserve"> </w:t>
            </w:r>
            <w:proofErr w:type="spellStart"/>
            <w:r w:rsidR="00D6079A" w:rsidRPr="005E37B5">
              <w:rPr>
                <w:b/>
                <w:i/>
              </w:rPr>
              <w:t>euro</w:t>
            </w:r>
            <w:proofErr w:type="spellEnd"/>
            <w:r>
              <w:rPr>
                <w:b/>
                <w:i/>
              </w:rPr>
              <w:t xml:space="preserve"> </w:t>
            </w:r>
            <w:r>
              <w:t>apmērā</w:t>
            </w:r>
            <w:r w:rsidR="00D6079A" w:rsidRPr="005E37B5">
              <w:t>.</w:t>
            </w:r>
          </w:p>
        </w:tc>
      </w:tr>
      <w:tr w:rsidR="009D36DE" w:rsidRPr="007D3E6E" w14:paraId="3BB49A49"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3A3AC1" w14:textId="77777777" w:rsidR="009D36DE" w:rsidRPr="007D3E6E" w:rsidRDefault="009D36DE" w:rsidP="000044FA">
            <w:pPr>
              <w:spacing w:before="100" w:after="100"/>
            </w:pPr>
            <w:r w:rsidRPr="007D3E6E">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ECC2D3" w14:textId="77777777" w:rsidR="009D36DE" w:rsidRPr="007D3E6E" w:rsidRDefault="009D36DE" w:rsidP="000044FA">
            <w:pPr>
              <w:spacing w:before="100" w:after="100"/>
            </w:pPr>
            <w:r w:rsidRPr="007D3E6E">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FAE1C9" w14:textId="77777777" w:rsidR="009D36DE" w:rsidRPr="007D3E6E" w:rsidRDefault="003B60B8" w:rsidP="006D245F">
            <w:pPr>
              <w:spacing w:before="100" w:after="100"/>
              <w:ind w:firstLine="123"/>
              <w:jc w:val="both"/>
            </w:pPr>
            <w:r w:rsidRPr="007D3E6E">
              <w:t>Nav</w:t>
            </w:r>
          </w:p>
        </w:tc>
      </w:tr>
      <w:tr w:rsidR="009D36DE" w:rsidRPr="007D3E6E" w14:paraId="5652B384"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8FBA30" w14:textId="77777777" w:rsidR="009D36DE" w:rsidRPr="007D3E6E" w:rsidRDefault="009D36DE" w:rsidP="000044FA">
            <w:pPr>
              <w:spacing w:before="100" w:after="100"/>
            </w:pPr>
            <w:r w:rsidRPr="007D3E6E">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E68AD9" w14:textId="77777777" w:rsidR="009D36DE" w:rsidRPr="007D3E6E" w:rsidRDefault="009D36DE" w:rsidP="000044FA">
            <w:pPr>
              <w:spacing w:before="100" w:after="100"/>
            </w:pPr>
            <w:r w:rsidRPr="007D3E6E">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695E48" w14:textId="77777777" w:rsidR="009D36DE" w:rsidRPr="007D3E6E" w:rsidRDefault="003B60B8" w:rsidP="006D245F">
            <w:pPr>
              <w:spacing w:before="100" w:after="100"/>
              <w:ind w:firstLine="123"/>
              <w:jc w:val="both"/>
            </w:pPr>
            <w:r w:rsidRPr="007D3E6E">
              <w:rPr>
                <w:bCs/>
              </w:rPr>
              <w:t>Nav</w:t>
            </w:r>
          </w:p>
        </w:tc>
      </w:tr>
    </w:tbl>
    <w:p w14:paraId="3DBDB41B" w14:textId="77777777" w:rsidR="009D36DE" w:rsidRPr="007D3E6E" w:rsidRDefault="009D36DE" w:rsidP="000044FA"/>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7D3E6E" w14:paraId="4C146E2F"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B351E4" w14:textId="77777777" w:rsidR="009D36DE" w:rsidRPr="007D3E6E" w:rsidRDefault="009D36DE" w:rsidP="004B4E72">
            <w:pPr>
              <w:ind w:right="-19"/>
              <w:jc w:val="center"/>
              <w:rPr>
                <w:b/>
                <w:bCs/>
              </w:rPr>
            </w:pPr>
            <w:r w:rsidRPr="007D3E6E">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475968C0" w14:textId="77777777" w:rsidR="009D36DE" w:rsidRPr="007D3E6E" w:rsidRDefault="009D36DE" w:rsidP="000044FA">
            <w:pPr>
              <w:ind w:firstLine="1113"/>
              <w:jc w:val="center"/>
              <w:rPr>
                <w:b/>
                <w:bCs/>
              </w:rPr>
            </w:pPr>
          </w:p>
        </w:tc>
      </w:tr>
      <w:tr w:rsidR="001611E9" w:rsidRPr="007D3E6E" w14:paraId="5B31CB64"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D3D226" w14:textId="77777777" w:rsidR="001611E9" w:rsidRPr="007D3E6E" w:rsidRDefault="001611E9" w:rsidP="004B4E72">
            <w:pPr>
              <w:jc w:val="center"/>
              <w:rPr>
                <w:b/>
                <w:bCs/>
                <w:highlight w:val="green"/>
              </w:rPr>
            </w:pPr>
            <w:r w:rsidRPr="007D3E6E">
              <w:t>Projekts šo jomu neskar</w:t>
            </w:r>
          </w:p>
        </w:tc>
        <w:tc>
          <w:tcPr>
            <w:tcW w:w="40" w:type="dxa"/>
            <w:shd w:val="clear" w:color="auto" w:fill="auto"/>
            <w:tcMar>
              <w:top w:w="0" w:type="dxa"/>
              <w:left w:w="10" w:type="dxa"/>
              <w:bottom w:w="0" w:type="dxa"/>
              <w:right w:w="10" w:type="dxa"/>
            </w:tcMar>
          </w:tcPr>
          <w:p w14:paraId="4731C3D0" w14:textId="77777777" w:rsidR="001611E9" w:rsidRPr="007D3E6E" w:rsidRDefault="001611E9" w:rsidP="000044FA">
            <w:pPr>
              <w:ind w:firstLine="1113"/>
              <w:jc w:val="center"/>
              <w:rPr>
                <w:b/>
                <w:bCs/>
                <w:highlight w:val="green"/>
              </w:rPr>
            </w:pPr>
          </w:p>
        </w:tc>
      </w:tr>
    </w:tbl>
    <w:p w14:paraId="2054AA73" w14:textId="77777777" w:rsidR="00064F32" w:rsidRDefault="00064F32"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413"/>
        <w:gridCol w:w="1701"/>
        <w:gridCol w:w="1417"/>
        <w:gridCol w:w="851"/>
        <w:gridCol w:w="1134"/>
        <w:gridCol w:w="850"/>
        <w:gridCol w:w="993"/>
        <w:gridCol w:w="1134"/>
        <w:gridCol w:w="8"/>
      </w:tblGrid>
      <w:tr w:rsidR="00064F32" w14:paraId="2290E396" w14:textId="77777777" w:rsidTr="00962079">
        <w:trPr>
          <w:jc w:val="center"/>
        </w:trPr>
        <w:tc>
          <w:tcPr>
            <w:tcW w:w="9501" w:type="dxa"/>
            <w:gridSpan w:val="9"/>
          </w:tcPr>
          <w:p w14:paraId="6B1BBF90" w14:textId="77777777" w:rsidR="00064F32" w:rsidRPr="00E47E33" w:rsidRDefault="00064F32" w:rsidP="000044FA">
            <w:pPr>
              <w:pStyle w:val="NoSpacing"/>
              <w:jc w:val="center"/>
              <w:rPr>
                <w:rFonts w:ascii="Times New Roman" w:hAnsi="Times New Roman"/>
                <w:sz w:val="24"/>
                <w:szCs w:val="24"/>
                <w:lang w:eastAsia="lv-LV"/>
              </w:rPr>
            </w:pPr>
            <w:r w:rsidRPr="00E47E33">
              <w:rPr>
                <w:rFonts w:ascii="Times New Roman" w:hAnsi="Times New Roman"/>
                <w:b/>
                <w:sz w:val="24"/>
                <w:szCs w:val="24"/>
                <w:lang w:eastAsia="lv-LV"/>
              </w:rPr>
              <w:t>III. Tiesību akta projekta ietekme uz valsts budžetu un pašvaldību budžetiem</w:t>
            </w:r>
          </w:p>
        </w:tc>
      </w:tr>
      <w:tr w:rsidR="00064F32" w14:paraId="5EF10583" w14:textId="77777777" w:rsidTr="00B14E12">
        <w:trPr>
          <w:jc w:val="center"/>
        </w:trPr>
        <w:tc>
          <w:tcPr>
            <w:tcW w:w="1413" w:type="dxa"/>
            <w:vMerge w:val="restart"/>
          </w:tcPr>
          <w:p w14:paraId="70055DE7" w14:textId="77777777" w:rsidR="00372421" w:rsidRPr="007338E3" w:rsidRDefault="00372421" w:rsidP="00372421">
            <w:pPr>
              <w:pStyle w:val="NoSpacing"/>
              <w:jc w:val="center"/>
              <w:rPr>
                <w:rFonts w:ascii="Times New Roman" w:hAnsi="Times New Roman"/>
                <w:sz w:val="20"/>
                <w:szCs w:val="20"/>
                <w:lang w:eastAsia="lv-LV"/>
              </w:rPr>
            </w:pPr>
          </w:p>
          <w:p w14:paraId="164D976C" w14:textId="77777777" w:rsidR="00372421" w:rsidRPr="007338E3" w:rsidRDefault="00372421" w:rsidP="00372421">
            <w:pPr>
              <w:pStyle w:val="NoSpacing"/>
              <w:jc w:val="center"/>
              <w:rPr>
                <w:rFonts w:ascii="Times New Roman" w:hAnsi="Times New Roman"/>
                <w:sz w:val="20"/>
                <w:szCs w:val="20"/>
                <w:lang w:eastAsia="lv-LV"/>
              </w:rPr>
            </w:pPr>
          </w:p>
          <w:p w14:paraId="7F95A946" w14:textId="77777777" w:rsidR="00372421" w:rsidRPr="007338E3" w:rsidRDefault="00372421" w:rsidP="00372421">
            <w:pPr>
              <w:pStyle w:val="NoSpacing"/>
              <w:jc w:val="center"/>
              <w:rPr>
                <w:rFonts w:ascii="Times New Roman" w:hAnsi="Times New Roman"/>
                <w:sz w:val="20"/>
                <w:szCs w:val="20"/>
                <w:lang w:eastAsia="lv-LV"/>
              </w:rPr>
            </w:pPr>
          </w:p>
          <w:p w14:paraId="1337BA23" w14:textId="77777777" w:rsidR="00372421" w:rsidRPr="007338E3" w:rsidRDefault="00372421" w:rsidP="00372421">
            <w:pPr>
              <w:pStyle w:val="NoSpacing"/>
              <w:jc w:val="center"/>
              <w:rPr>
                <w:rFonts w:ascii="Times New Roman" w:hAnsi="Times New Roman"/>
                <w:sz w:val="20"/>
                <w:szCs w:val="20"/>
                <w:lang w:eastAsia="lv-LV"/>
              </w:rPr>
            </w:pPr>
          </w:p>
          <w:p w14:paraId="2B77B71A" w14:textId="32842978"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Rādītāji</w:t>
            </w:r>
          </w:p>
        </w:tc>
        <w:tc>
          <w:tcPr>
            <w:tcW w:w="3118" w:type="dxa"/>
            <w:gridSpan w:val="2"/>
            <w:vMerge w:val="restart"/>
          </w:tcPr>
          <w:p w14:paraId="2AB83078" w14:textId="4B3205EE" w:rsidR="00064F32" w:rsidRPr="007338E3" w:rsidRDefault="008322A7"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lastRenderedPageBreak/>
              <w:t>20</w:t>
            </w:r>
            <w:r w:rsidR="00E8717E" w:rsidRPr="007338E3">
              <w:rPr>
                <w:rFonts w:ascii="Times New Roman" w:hAnsi="Times New Roman"/>
                <w:sz w:val="20"/>
                <w:szCs w:val="20"/>
                <w:lang w:eastAsia="lv-LV"/>
              </w:rPr>
              <w:t>20</w:t>
            </w:r>
            <w:r w:rsidR="00064F32" w:rsidRPr="007338E3">
              <w:rPr>
                <w:rFonts w:ascii="Times New Roman" w:hAnsi="Times New Roman"/>
                <w:sz w:val="20"/>
                <w:szCs w:val="20"/>
                <w:lang w:eastAsia="lv-LV"/>
              </w:rPr>
              <w:t>. gads</w:t>
            </w:r>
          </w:p>
        </w:tc>
        <w:tc>
          <w:tcPr>
            <w:tcW w:w="4970" w:type="dxa"/>
            <w:gridSpan w:val="6"/>
          </w:tcPr>
          <w:p w14:paraId="77284521" w14:textId="77777777"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Turpmākie trīs gadi (</w:t>
            </w:r>
            <w:proofErr w:type="spellStart"/>
            <w:r w:rsidRPr="007338E3">
              <w:rPr>
                <w:rFonts w:ascii="Times New Roman" w:hAnsi="Times New Roman"/>
                <w:i/>
                <w:iCs/>
                <w:sz w:val="20"/>
                <w:szCs w:val="20"/>
                <w:lang w:eastAsia="lv-LV"/>
              </w:rPr>
              <w:t>euro</w:t>
            </w:r>
            <w:proofErr w:type="spellEnd"/>
            <w:r w:rsidRPr="007338E3">
              <w:rPr>
                <w:rFonts w:ascii="Times New Roman" w:hAnsi="Times New Roman"/>
                <w:sz w:val="20"/>
                <w:szCs w:val="20"/>
                <w:lang w:eastAsia="lv-LV"/>
              </w:rPr>
              <w:t>)</w:t>
            </w:r>
          </w:p>
        </w:tc>
      </w:tr>
      <w:tr w:rsidR="00064F32" w14:paraId="72722EC7" w14:textId="77777777" w:rsidTr="00B14E12">
        <w:trPr>
          <w:jc w:val="center"/>
        </w:trPr>
        <w:tc>
          <w:tcPr>
            <w:tcW w:w="1413" w:type="dxa"/>
            <w:vMerge/>
          </w:tcPr>
          <w:p w14:paraId="5F6D5C9D" w14:textId="77777777" w:rsidR="00064F32" w:rsidRPr="007338E3" w:rsidRDefault="00064F32" w:rsidP="00372421">
            <w:pPr>
              <w:pStyle w:val="NoSpacing"/>
              <w:jc w:val="center"/>
              <w:rPr>
                <w:rFonts w:ascii="Times New Roman" w:hAnsi="Times New Roman"/>
                <w:sz w:val="20"/>
                <w:szCs w:val="20"/>
                <w:lang w:eastAsia="lv-LV"/>
              </w:rPr>
            </w:pPr>
          </w:p>
        </w:tc>
        <w:tc>
          <w:tcPr>
            <w:tcW w:w="3118" w:type="dxa"/>
            <w:gridSpan w:val="2"/>
            <w:vMerge/>
          </w:tcPr>
          <w:p w14:paraId="0186CDB4" w14:textId="77777777" w:rsidR="00064F32" w:rsidRPr="007338E3" w:rsidRDefault="00064F32" w:rsidP="00372421">
            <w:pPr>
              <w:pStyle w:val="NoSpacing"/>
              <w:jc w:val="center"/>
              <w:rPr>
                <w:rFonts w:ascii="Times New Roman" w:hAnsi="Times New Roman"/>
                <w:sz w:val="20"/>
                <w:szCs w:val="20"/>
                <w:lang w:eastAsia="lv-LV"/>
              </w:rPr>
            </w:pPr>
          </w:p>
        </w:tc>
        <w:tc>
          <w:tcPr>
            <w:tcW w:w="1985" w:type="dxa"/>
            <w:gridSpan w:val="2"/>
          </w:tcPr>
          <w:p w14:paraId="2B8E1DA0" w14:textId="0DF24701" w:rsidR="00064F32" w:rsidRPr="007338E3" w:rsidRDefault="008322A7"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202</w:t>
            </w:r>
            <w:r w:rsidR="00E8717E" w:rsidRPr="007338E3">
              <w:rPr>
                <w:rFonts w:ascii="Times New Roman" w:hAnsi="Times New Roman"/>
                <w:sz w:val="20"/>
                <w:szCs w:val="20"/>
                <w:lang w:eastAsia="lv-LV"/>
              </w:rPr>
              <w:t>1</w:t>
            </w:r>
            <w:r w:rsidR="00064F32" w:rsidRPr="007338E3">
              <w:rPr>
                <w:rFonts w:ascii="Times New Roman" w:hAnsi="Times New Roman"/>
                <w:sz w:val="20"/>
                <w:szCs w:val="20"/>
                <w:lang w:eastAsia="lv-LV"/>
              </w:rPr>
              <w:t>.gads</w:t>
            </w:r>
          </w:p>
        </w:tc>
        <w:tc>
          <w:tcPr>
            <w:tcW w:w="1843" w:type="dxa"/>
            <w:gridSpan w:val="2"/>
          </w:tcPr>
          <w:p w14:paraId="0613558D" w14:textId="0FCA40E8" w:rsidR="00064F32" w:rsidRPr="007338E3" w:rsidRDefault="008322A7"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202</w:t>
            </w:r>
            <w:r w:rsidR="00E8717E" w:rsidRPr="007338E3">
              <w:rPr>
                <w:rFonts w:ascii="Times New Roman" w:hAnsi="Times New Roman"/>
                <w:sz w:val="20"/>
                <w:szCs w:val="20"/>
                <w:lang w:eastAsia="lv-LV"/>
              </w:rPr>
              <w:t>2</w:t>
            </w:r>
            <w:r w:rsidR="00064F32" w:rsidRPr="007338E3">
              <w:rPr>
                <w:rFonts w:ascii="Times New Roman" w:hAnsi="Times New Roman"/>
                <w:sz w:val="20"/>
                <w:szCs w:val="20"/>
                <w:lang w:eastAsia="lv-LV"/>
              </w:rPr>
              <w:t>.gads</w:t>
            </w:r>
          </w:p>
        </w:tc>
        <w:tc>
          <w:tcPr>
            <w:tcW w:w="1142" w:type="dxa"/>
            <w:gridSpan w:val="2"/>
          </w:tcPr>
          <w:p w14:paraId="2EC5B9B5" w14:textId="1698BA38" w:rsidR="00064F32" w:rsidRPr="007338E3" w:rsidRDefault="00064F32"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202</w:t>
            </w:r>
            <w:r w:rsidR="00E8717E" w:rsidRPr="007338E3">
              <w:rPr>
                <w:rFonts w:ascii="Times New Roman" w:hAnsi="Times New Roman"/>
                <w:sz w:val="20"/>
                <w:szCs w:val="20"/>
                <w:lang w:eastAsia="lv-LV"/>
              </w:rPr>
              <w:t>3</w:t>
            </w:r>
            <w:r w:rsidRPr="007338E3">
              <w:rPr>
                <w:rFonts w:ascii="Times New Roman" w:hAnsi="Times New Roman"/>
                <w:sz w:val="20"/>
                <w:szCs w:val="20"/>
                <w:lang w:eastAsia="lv-LV"/>
              </w:rPr>
              <w:t>.gads</w:t>
            </w:r>
          </w:p>
        </w:tc>
      </w:tr>
      <w:tr w:rsidR="00064F32" w14:paraId="704E5777" w14:textId="77777777" w:rsidTr="00B14E12">
        <w:trPr>
          <w:gridAfter w:val="1"/>
          <w:wAfter w:w="8" w:type="dxa"/>
          <w:jc w:val="center"/>
        </w:trPr>
        <w:tc>
          <w:tcPr>
            <w:tcW w:w="1413" w:type="dxa"/>
            <w:vMerge/>
          </w:tcPr>
          <w:p w14:paraId="21797E92" w14:textId="77777777" w:rsidR="00064F32" w:rsidRPr="007338E3" w:rsidRDefault="00064F32" w:rsidP="00372421">
            <w:pPr>
              <w:pStyle w:val="NoSpacing"/>
              <w:jc w:val="center"/>
              <w:rPr>
                <w:rFonts w:ascii="Times New Roman" w:hAnsi="Times New Roman"/>
                <w:sz w:val="20"/>
                <w:szCs w:val="20"/>
                <w:lang w:eastAsia="lv-LV"/>
              </w:rPr>
            </w:pPr>
          </w:p>
        </w:tc>
        <w:tc>
          <w:tcPr>
            <w:tcW w:w="1701" w:type="dxa"/>
          </w:tcPr>
          <w:p w14:paraId="4CF9630E" w14:textId="77777777"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saskaņā ar valsts budžetu kārtējam gadam</w:t>
            </w:r>
          </w:p>
        </w:tc>
        <w:tc>
          <w:tcPr>
            <w:tcW w:w="1417" w:type="dxa"/>
          </w:tcPr>
          <w:p w14:paraId="1659FCE2" w14:textId="77777777"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izmaiņas kārtējā gadā, salīdzinot ar valsts budžetu kārtējam gadam</w:t>
            </w:r>
          </w:p>
        </w:tc>
        <w:tc>
          <w:tcPr>
            <w:tcW w:w="851" w:type="dxa"/>
          </w:tcPr>
          <w:p w14:paraId="15473A0E" w14:textId="77777777"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saskaņā ar vidēja termiņa budžeta ietvaru</w:t>
            </w:r>
          </w:p>
        </w:tc>
        <w:tc>
          <w:tcPr>
            <w:tcW w:w="1134" w:type="dxa"/>
          </w:tcPr>
          <w:p w14:paraId="688AD74B" w14:textId="68EB70FB" w:rsidR="00064F32" w:rsidRPr="007338E3" w:rsidRDefault="00064F32"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izmaiņas, salīdzinot ar vidēja termiņa budžeta ietvaru 20</w:t>
            </w:r>
            <w:r w:rsidR="00C142F2" w:rsidRPr="007338E3">
              <w:rPr>
                <w:rFonts w:ascii="Times New Roman" w:hAnsi="Times New Roman"/>
                <w:sz w:val="20"/>
                <w:szCs w:val="20"/>
                <w:lang w:eastAsia="lv-LV"/>
              </w:rPr>
              <w:t>2</w:t>
            </w:r>
            <w:r w:rsidR="00E8717E" w:rsidRPr="007338E3">
              <w:rPr>
                <w:rFonts w:ascii="Times New Roman" w:hAnsi="Times New Roman"/>
                <w:sz w:val="20"/>
                <w:szCs w:val="20"/>
                <w:lang w:eastAsia="lv-LV"/>
              </w:rPr>
              <w:t>1</w:t>
            </w:r>
            <w:r w:rsidRPr="007338E3">
              <w:rPr>
                <w:rFonts w:ascii="Times New Roman" w:hAnsi="Times New Roman"/>
                <w:sz w:val="20"/>
                <w:szCs w:val="20"/>
                <w:lang w:eastAsia="lv-LV"/>
              </w:rPr>
              <w:t>. gadam</w:t>
            </w:r>
          </w:p>
        </w:tc>
        <w:tc>
          <w:tcPr>
            <w:tcW w:w="850" w:type="dxa"/>
          </w:tcPr>
          <w:p w14:paraId="31723888" w14:textId="77777777" w:rsidR="00064F32" w:rsidRPr="007338E3" w:rsidRDefault="00064F32" w:rsidP="00372421">
            <w:pPr>
              <w:pStyle w:val="NoSpacing"/>
              <w:ind w:left="-102"/>
              <w:jc w:val="center"/>
              <w:rPr>
                <w:rFonts w:ascii="Times New Roman" w:hAnsi="Times New Roman"/>
                <w:sz w:val="20"/>
                <w:szCs w:val="20"/>
                <w:lang w:eastAsia="lv-LV"/>
              </w:rPr>
            </w:pPr>
            <w:r w:rsidRPr="007338E3">
              <w:rPr>
                <w:rFonts w:ascii="Times New Roman" w:hAnsi="Times New Roman"/>
                <w:sz w:val="20"/>
                <w:szCs w:val="20"/>
                <w:lang w:eastAsia="lv-LV"/>
              </w:rPr>
              <w:t>saskaņā ar vidēja termiņa budžeta ietvaru</w:t>
            </w:r>
          </w:p>
        </w:tc>
        <w:tc>
          <w:tcPr>
            <w:tcW w:w="993" w:type="dxa"/>
          </w:tcPr>
          <w:p w14:paraId="05EF7C8C" w14:textId="011FBA35" w:rsidR="00064F32" w:rsidRPr="007338E3" w:rsidRDefault="00064F32" w:rsidP="00E8717E">
            <w:pPr>
              <w:pStyle w:val="NoSpacing"/>
              <w:ind w:left="-102"/>
              <w:jc w:val="center"/>
              <w:rPr>
                <w:rFonts w:ascii="Times New Roman" w:hAnsi="Times New Roman"/>
                <w:sz w:val="20"/>
                <w:szCs w:val="20"/>
                <w:lang w:eastAsia="lv-LV"/>
              </w:rPr>
            </w:pPr>
            <w:r w:rsidRPr="007338E3">
              <w:rPr>
                <w:rFonts w:ascii="Times New Roman" w:hAnsi="Times New Roman"/>
                <w:sz w:val="20"/>
                <w:szCs w:val="20"/>
                <w:lang w:eastAsia="lv-LV"/>
              </w:rPr>
              <w:t>izmaiņas, salīdzinot ar vid</w:t>
            </w:r>
            <w:r w:rsidR="00C142F2" w:rsidRPr="007338E3">
              <w:rPr>
                <w:rFonts w:ascii="Times New Roman" w:hAnsi="Times New Roman"/>
                <w:sz w:val="20"/>
                <w:szCs w:val="20"/>
                <w:lang w:eastAsia="lv-LV"/>
              </w:rPr>
              <w:t>ēja termiņa budžeta ietvaru 202</w:t>
            </w:r>
            <w:r w:rsidR="00E8717E" w:rsidRPr="007338E3">
              <w:rPr>
                <w:rFonts w:ascii="Times New Roman" w:hAnsi="Times New Roman"/>
                <w:sz w:val="20"/>
                <w:szCs w:val="20"/>
                <w:lang w:eastAsia="lv-LV"/>
              </w:rPr>
              <w:t>2</w:t>
            </w:r>
            <w:r w:rsidRPr="007338E3">
              <w:rPr>
                <w:rFonts w:ascii="Times New Roman" w:hAnsi="Times New Roman"/>
                <w:sz w:val="20"/>
                <w:szCs w:val="20"/>
                <w:lang w:eastAsia="lv-LV"/>
              </w:rPr>
              <w:t>. gadam</w:t>
            </w:r>
          </w:p>
        </w:tc>
        <w:tc>
          <w:tcPr>
            <w:tcW w:w="1134" w:type="dxa"/>
          </w:tcPr>
          <w:p w14:paraId="4F89B0BE" w14:textId="22994E9F" w:rsidR="00064F32" w:rsidRPr="007338E3" w:rsidRDefault="00064F32"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izmaiņas, salīdzinot ar vidēja termiņa budžeta ietvaru 202</w:t>
            </w:r>
            <w:r w:rsidR="00E8717E" w:rsidRPr="007338E3">
              <w:rPr>
                <w:rFonts w:ascii="Times New Roman" w:hAnsi="Times New Roman"/>
                <w:sz w:val="20"/>
                <w:szCs w:val="20"/>
                <w:lang w:eastAsia="lv-LV"/>
              </w:rPr>
              <w:t>2</w:t>
            </w:r>
            <w:r w:rsidRPr="007338E3">
              <w:rPr>
                <w:rFonts w:ascii="Times New Roman" w:hAnsi="Times New Roman"/>
                <w:sz w:val="20"/>
                <w:szCs w:val="20"/>
                <w:lang w:eastAsia="lv-LV"/>
              </w:rPr>
              <w:t>. gadam</w:t>
            </w:r>
          </w:p>
        </w:tc>
      </w:tr>
      <w:tr w:rsidR="00064F32" w14:paraId="06738653" w14:textId="77777777" w:rsidTr="00B14E12">
        <w:trPr>
          <w:gridAfter w:val="1"/>
          <w:wAfter w:w="8" w:type="dxa"/>
          <w:jc w:val="center"/>
        </w:trPr>
        <w:tc>
          <w:tcPr>
            <w:tcW w:w="1413" w:type="dxa"/>
            <w:vAlign w:val="center"/>
          </w:tcPr>
          <w:p w14:paraId="087E6665"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1</w:t>
            </w:r>
          </w:p>
        </w:tc>
        <w:tc>
          <w:tcPr>
            <w:tcW w:w="1701" w:type="dxa"/>
            <w:vAlign w:val="center"/>
          </w:tcPr>
          <w:p w14:paraId="742AF566"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2</w:t>
            </w:r>
          </w:p>
        </w:tc>
        <w:tc>
          <w:tcPr>
            <w:tcW w:w="1417" w:type="dxa"/>
            <w:vAlign w:val="center"/>
          </w:tcPr>
          <w:p w14:paraId="2F15398D"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3</w:t>
            </w:r>
          </w:p>
        </w:tc>
        <w:tc>
          <w:tcPr>
            <w:tcW w:w="851" w:type="dxa"/>
            <w:vAlign w:val="center"/>
          </w:tcPr>
          <w:p w14:paraId="5C4D947D"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4</w:t>
            </w:r>
          </w:p>
        </w:tc>
        <w:tc>
          <w:tcPr>
            <w:tcW w:w="1134" w:type="dxa"/>
            <w:vAlign w:val="center"/>
          </w:tcPr>
          <w:p w14:paraId="27465714"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5</w:t>
            </w:r>
          </w:p>
        </w:tc>
        <w:tc>
          <w:tcPr>
            <w:tcW w:w="850" w:type="dxa"/>
            <w:vAlign w:val="center"/>
          </w:tcPr>
          <w:p w14:paraId="508761AC"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6</w:t>
            </w:r>
          </w:p>
        </w:tc>
        <w:tc>
          <w:tcPr>
            <w:tcW w:w="993" w:type="dxa"/>
            <w:vAlign w:val="center"/>
          </w:tcPr>
          <w:p w14:paraId="74BAE14B"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7</w:t>
            </w:r>
          </w:p>
        </w:tc>
        <w:tc>
          <w:tcPr>
            <w:tcW w:w="1134" w:type="dxa"/>
            <w:vAlign w:val="center"/>
          </w:tcPr>
          <w:p w14:paraId="4061E3F8"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8</w:t>
            </w:r>
          </w:p>
        </w:tc>
      </w:tr>
      <w:tr w:rsidR="007338E3" w:rsidRPr="007D3E6E" w14:paraId="6285ABA3" w14:textId="77777777" w:rsidTr="00B14E12">
        <w:trPr>
          <w:gridAfter w:val="1"/>
          <w:wAfter w:w="8" w:type="dxa"/>
          <w:jc w:val="center"/>
        </w:trPr>
        <w:tc>
          <w:tcPr>
            <w:tcW w:w="1413" w:type="dxa"/>
          </w:tcPr>
          <w:p w14:paraId="18F4E0D7" w14:textId="77777777" w:rsidR="007338E3" w:rsidRPr="00962079" w:rsidRDefault="007338E3" w:rsidP="007338E3">
            <w:pPr>
              <w:pStyle w:val="NoSpacing"/>
              <w:rPr>
                <w:rFonts w:ascii="Times New Roman" w:hAnsi="Times New Roman"/>
                <w:lang w:eastAsia="lv-LV"/>
              </w:rPr>
            </w:pPr>
            <w:r w:rsidRPr="00962079">
              <w:rPr>
                <w:rFonts w:ascii="Times New Roman" w:hAnsi="Times New Roman"/>
                <w:lang w:eastAsia="lv-LV"/>
              </w:rPr>
              <w:t>1. Budžeta ieņēmumi</w:t>
            </w:r>
          </w:p>
        </w:tc>
        <w:tc>
          <w:tcPr>
            <w:tcW w:w="1701" w:type="dxa"/>
          </w:tcPr>
          <w:p w14:paraId="056264E9" w14:textId="1B336DF9" w:rsidR="007338E3" w:rsidRPr="007D3E6E" w:rsidRDefault="007338E3" w:rsidP="007338E3">
            <w:pPr>
              <w:pStyle w:val="NoSpacing"/>
              <w:ind w:left="-253"/>
              <w:jc w:val="right"/>
              <w:rPr>
                <w:rFonts w:ascii="Times New Roman" w:hAnsi="Times New Roman"/>
                <w:sz w:val="24"/>
                <w:szCs w:val="24"/>
                <w:lang w:eastAsia="lv-LV"/>
              </w:rPr>
            </w:pPr>
            <w:r w:rsidRPr="00191879">
              <w:rPr>
                <w:rFonts w:ascii="Times New Roman" w:hAnsi="Times New Roman"/>
                <w:sz w:val="24"/>
                <w:szCs w:val="24"/>
                <w:lang w:eastAsia="lv-LV"/>
              </w:rPr>
              <w:t>9</w:t>
            </w:r>
            <w:r>
              <w:rPr>
                <w:rFonts w:ascii="Times New Roman" w:hAnsi="Times New Roman"/>
                <w:sz w:val="24"/>
                <w:szCs w:val="24"/>
                <w:lang w:eastAsia="lv-LV"/>
              </w:rPr>
              <w:t xml:space="preserve"> </w:t>
            </w:r>
            <w:r w:rsidRPr="00191879">
              <w:rPr>
                <w:rFonts w:ascii="Times New Roman" w:hAnsi="Times New Roman"/>
                <w:sz w:val="24"/>
                <w:szCs w:val="24"/>
                <w:lang w:eastAsia="lv-LV"/>
              </w:rPr>
              <w:t>907</w:t>
            </w:r>
            <w:r>
              <w:rPr>
                <w:rFonts w:ascii="Times New Roman" w:hAnsi="Times New Roman"/>
                <w:sz w:val="24"/>
                <w:szCs w:val="24"/>
                <w:lang w:eastAsia="lv-LV"/>
              </w:rPr>
              <w:t xml:space="preserve"> </w:t>
            </w:r>
            <w:r w:rsidRPr="00191879">
              <w:rPr>
                <w:rFonts w:ascii="Times New Roman" w:hAnsi="Times New Roman"/>
                <w:sz w:val="24"/>
                <w:szCs w:val="24"/>
                <w:lang w:eastAsia="lv-LV"/>
              </w:rPr>
              <w:t>335</w:t>
            </w:r>
            <w:r>
              <w:rPr>
                <w:rFonts w:ascii="Times New Roman" w:hAnsi="Times New Roman"/>
                <w:sz w:val="24"/>
                <w:szCs w:val="24"/>
                <w:lang w:eastAsia="lv-LV"/>
              </w:rPr>
              <w:t xml:space="preserve"> </w:t>
            </w:r>
            <w:r w:rsidRPr="00191879">
              <w:rPr>
                <w:rFonts w:ascii="Times New Roman" w:hAnsi="Times New Roman"/>
                <w:sz w:val="24"/>
                <w:szCs w:val="24"/>
                <w:lang w:eastAsia="lv-LV"/>
              </w:rPr>
              <w:t>199</w:t>
            </w:r>
          </w:p>
        </w:tc>
        <w:tc>
          <w:tcPr>
            <w:tcW w:w="1417" w:type="dxa"/>
          </w:tcPr>
          <w:p w14:paraId="2AC5F917"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07F1B4E9"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EB6020B"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7795111"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5427B052"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1A42E02"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7338E3" w:rsidRPr="007D3E6E" w14:paraId="6E564720" w14:textId="77777777" w:rsidTr="00B14E12">
        <w:trPr>
          <w:gridAfter w:val="1"/>
          <w:wAfter w:w="8" w:type="dxa"/>
          <w:jc w:val="center"/>
        </w:trPr>
        <w:tc>
          <w:tcPr>
            <w:tcW w:w="1413" w:type="dxa"/>
          </w:tcPr>
          <w:p w14:paraId="3D166CCC" w14:textId="751794B3" w:rsidR="007338E3" w:rsidRPr="00962079" w:rsidRDefault="007338E3" w:rsidP="007338E3">
            <w:pPr>
              <w:pStyle w:val="NoSpacing"/>
              <w:rPr>
                <w:rFonts w:ascii="Times New Roman" w:hAnsi="Times New Roman"/>
                <w:lang w:eastAsia="lv-LV"/>
              </w:rPr>
            </w:pPr>
            <w:r w:rsidRPr="00962079">
              <w:rPr>
                <w:rFonts w:ascii="Times New Roman" w:hAnsi="Times New Roman"/>
                <w:lang w:eastAsia="lv-LV"/>
              </w:rPr>
              <w:t>1.1. valsts pamatbudžets, tai skaitā ieņēmumi no maksas pakalpojumiem un citi pašu ieņēmumi</w:t>
            </w:r>
            <w:r w:rsidR="004B10FE">
              <w:rPr>
                <w:rFonts w:ascii="Times New Roman" w:hAnsi="Times New Roman"/>
                <w:lang w:eastAsia="lv-LV"/>
              </w:rPr>
              <w:t xml:space="preserve"> </w:t>
            </w:r>
            <w:r w:rsidR="004B10FE">
              <w:rPr>
                <w:rFonts w:ascii="Times New Roman" w:hAnsi="Times New Roman"/>
                <w:sz w:val="24"/>
                <w:szCs w:val="24"/>
                <w:lang w:eastAsia="lv-LV"/>
              </w:rPr>
              <w:t>(neto)</w:t>
            </w:r>
          </w:p>
        </w:tc>
        <w:tc>
          <w:tcPr>
            <w:tcW w:w="1701" w:type="dxa"/>
          </w:tcPr>
          <w:p w14:paraId="2058AD1F" w14:textId="0E795092" w:rsidR="007338E3" w:rsidRPr="007D3E6E" w:rsidRDefault="007338E3" w:rsidP="007338E3">
            <w:pPr>
              <w:pStyle w:val="NoSpacing"/>
              <w:ind w:left="-253"/>
              <w:jc w:val="right"/>
              <w:rPr>
                <w:rFonts w:ascii="Times New Roman" w:hAnsi="Times New Roman"/>
                <w:sz w:val="24"/>
                <w:szCs w:val="24"/>
                <w:lang w:eastAsia="lv-LV"/>
              </w:rPr>
            </w:pPr>
            <w:r w:rsidRPr="00B50A1F">
              <w:rPr>
                <w:rFonts w:ascii="Times New Roman" w:hAnsi="Times New Roman"/>
                <w:sz w:val="24"/>
                <w:szCs w:val="24"/>
                <w:lang w:eastAsia="lv-LV"/>
              </w:rPr>
              <w:t>6</w:t>
            </w:r>
            <w:r>
              <w:rPr>
                <w:rFonts w:ascii="Times New Roman" w:hAnsi="Times New Roman"/>
                <w:sz w:val="24"/>
                <w:szCs w:val="24"/>
                <w:lang w:eastAsia="lv-LV"/>
              </w:rPr>
              <w:t xml:space="preserve"> </w:t>
            </w:r>
            <w:r w:rsidRPr="00B50A1F">
              <w:rPr>
                <w:rFonts w:ascii="Times New Roman" w:hAnsi="Times New Roman"/>
                <w:sz w:val="24"/>
                <w:szCs w:val="24"/>
                <w:lang w:eastAsia="lv-LV"/>
              </w:rPr>
              <w:t>896</w:t>
            </w:r>
            <w:r>
              <w:rPr>
                <w:rFonts w:ascii="Times New Roman" w:hAnsi="Times New Roman"/>
                <w:sz w:val="24"/>
                <w:szCs w:val="24"/>
                <w:lang w:eastAsia="lv-LV"/>
              </w:rPr>
              <w:t xml:space="preserve"> </w:t>
            </w:r>
            <w:r w:rsidRPr="00B50A1F">
              <w:rPr>
                <w:rFonts w:ascii="Times New Roman" w:hAnsi="Times New Roman"/>
                <w:sz w:val="24"/>
                <w:szCs w:val="24"/>
                <w:lang w:eastAsia="lv-LV"/>
              </w:rPr>
              <w:t>124</w:t>
            </w:r>
            <w:r>
              <w:rPr>
                <w:rFonts w:ascii="Times New Roman" w:hAnsi="Times New Roman"/>
                <w:sz w:val="24"/>
                <w:szCs w:val="24"/>
                <w:lang w:eastAsia="lv-LV"/>
              </w:rPr>
              <w:t xml:space="preserve"> </w:t>
            </w:r>
            <w:r w:rsidRPr="00B50A1F">
              <w:rPr>
                <w:rFonts w:ascii="Times New Roman" w:hAnsi="Times New Roman"/>
                <w:sz w:val="24"/>
                <w:szCs w:val="24"/>
                <w:lang w:eastAsia="lv-LV"/>
              </w:rPr>
              <w:t>760</w:t>
            </w:r>
          </w:p>
        </w:tc>
        <w:tc>
          <w:tcPr>
            <w:tcW w:w="1417" w:type="dxa"/>
          </w:tcPr>
          <w:p w14:paraId="04F63E08"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75B65C1F"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FF8F956"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3D823D9F"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4882CD76"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D10F365"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7338E3" w:rsidRPr="007D3E6E" w14:paraId="68E4CF1A" w14:textId="77777777" w:rsidTr="00B14E12">
        <w:trPr>
          <w:gridAfter w:val="1"/>
          <w:wAfter w:w="8" w:type="dxa"/>
          <w:jc w:val="center"/>
        </w:trPr>
        <w:tc>
          <w:tcPr>
            <w:tcW w:w="1413" w:type="dxa"/>
          </w:tcPr>
          <w:p w14:paraId="7EF383DE" w14:textId="74F6CEAA" w:rsidR="007338E3" w:rsidRPr="00962079" w:rsidRDefault="007338E3" w:rsidP="007338E3">
            <w:pPr>
              <w:pStyle w:val="NoSpacing"/>
              <w:rPr>
                <w:rFonts w:ascii="Times New Roman" w:hAnsi="Times New Roman"/>
                <w:lang w:eastAsia="lv-LV"/>
              </w:rPr>
            </w:pPr>
            <w:r w:rsidRPr="00962079">
              <w:rPr>
                <w:rFonts w:ascii="Times New Roman" w:hAnsi="Times New Roman"/>
                <w:lang w:eastAsia="lv-LV"/>
              </w:rPr>
              <w:t>1.2. valsts speciālais budžets</w:t>
            </w:r>
            <w:r w:rsidR="004B10FE">
              <w:rPr>
                <w:rFonts w:ascii="Times New Roman" w:hAnsi="Times New Roman"/>
                <w:lang w:eastAsia="lv-LV"/>
              </w:rPr>
              <w:t xml:space="preserve"> </w:t>
            </w:r>
            <w:r w:rsidR="004B10FE">
              <w:rPr>
                <w:rFonts w:ascii="Times New Roman" w:hAnsi="Times New Roman"/>
                <w:sz w:val="24"/>
                <w:szCs w:val="24"/>
                <w:lang w:eastAsia="lv-LV"/>
              </w:rPr>
              <w:t>(neto)</w:t>
            </w:r>
          </w:p>
        </w:tc>
        <w:tc>
          <w:tcPr>
            <w:tcW w:w="1701" w:type="dxa"/>
          </w:tcPr>
          <w:p w14:paraId="5F16D58E" w14:textId="34490106" w:rsidR="007338E3" w:rsidRPr="007D3E6E" w:rsidRDefault="007338E3" w:rsidP="007338E3">
            <w:pPr>
              <w:pStyle w:val="NoSpacing"/>
              <w:ind w:left="-253"/>
              <w:jc w:val="right"/>
              <w:rPr>
                <w:rFonts w:ascii="Times New Roman" w:hAnsi="Times New Roman"/>
                <w:sz w:val="24"/>
                <w:szCs w:val="24"/>
                <w:lang w:eastAsia="lv-LV"/>
              </w:rPr>
            </w:pPr>
            <w:r w:rsidRPr="00B50A1F">
              <w:rPr>
                <w:rFonts w:ascii="Times New Roman" w:hAnsi="Times New Roman"/>
                <w:sz w:val="24"/>
                <w:szCs w:val="24"/>
                <w:lang w:eastAsia="lv-LV"/>
              </w:rPr>
              <w:t>3</w:t>
            </w:r>
            <w:r>
              <w:rPr>
                <w:rFonts w:ascii="Times New Roman" w:hAnsi="Times New Roman"/>
                <w:sz w:val="24"/>
                <w:szCs w:val="24"/>
                <w:lang w:eastAsia="lv-LV"/>
              </w:rPr>
              <w:t xml:space="preserve"> </w:t>
            </w:r>
            <w:r w:rsidRPr="00B50A1F">
              <w:rPr>
                <w:rFonts w:ascii="Times New Roman" w:hAnsi="Times New Roman"/>
                <w:sz w:val="24"/>
                <w:szCs w:val="24"/>
                <w:lang w:eastAsia="lv-LV"/>
              </w:rPr>
              <w:t>011</w:t>
            </w:r>
            <w:r>
              <w:rPr>
                <w:rFonts w:ascii="Times New Roman" w:hAnsi="Times New Roman"/>
                <w:sz w:val="24"/>
                <w:szCs w:val="24"/>
                <w:lang w:eastAsia="lv-LV"/>
              </w:rPr>
              <w:t xml:space="preserve"> </w:t>
            </w:r>
            <w:r w:rsidRPr="00B50A1F">
              <w:rPr>
                <w:rFonts w:ascii="Times New Roman" w:hAnsi="Times New Roman"/>
                <w:sz w:val="24"/>
                <w:szCs w:val="24"/>
                <w:lang w:eastAsia="lv-LV"/>
              </w:rPr>
              <w:t>210</w:t>
            </w:r>
            <w:r>
              <w:rPr>
                <w:rFonts w:ascii="Times New Roman" w:hAnsi="Times New Roman"/>
                <w:sz w:val="24"/>
                <w:szCs w:val="24"/>
                <w:lang w:eastAsia="lv-LV"/>
              </w:rPr>
              <w:t xml:space="preserve"> </w:t>
            </w:r>
            <w:r w:rsidRPr="00B50A1F">
              <w:rPr>
                <w:rFonts w:ascii="Times New Roman" w:hAnsi="Times New Roman"/>
                <w:sz w:val="24"/>
                <w:szCs w:val="24"/>
                <w:lang w:eastAsia="lv-LV"/>
              </w:rPr>
              <w:t>439</w:t>
            </w:r>
          </w:p>
        </w:tc>
        <w:tc>
          <w:tcPr>
            <w:tcW w:w="1417" w:type="dxa"/>
          </w:tcPr>
          <w:p w14:paraId="0A0B96CF"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79A53E17"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34BEFB7"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233826F5"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3C3B58ED"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4BCF405B"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3FFC3881" w14:textId="77777777" w:rsidTr="00B14E12">
        <w:trPr>
          <w:gridAfter w:val="1"/>
          <w:wAfter w:w="8" w:type="dxa"/>
          <w:jc w:val="center"/>
        </w:trPr>
        <w:tc>
          <w:tcPr>
            <w:tcW w:w="1413" w:type="dxa"/>
          </w:tcPr>
          <w:p w14:paraId="2CEA15CD"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1.3. pašvaldību budžets</w:t>
            </w:r>
          </w:p>
        </w:tc>
        <w:tc>
          <w:tcPr>
            <w:tcW w:w="1701" w:type="dxa"/>
          </w:tcPr>
          <w:p w14:paraId="2B532EE4" w14:textId="77777777" w:rsidR="00064F32" w:rsidRPr="007D3E6E" w:rsidRDefault="00064F32" w:rsidP="00962079">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7" w:type="dxa"/>
          </w:tcPr>
          <w:p w14:paraId="313ABD5E"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851" w:type="dxa"/>
          </w:tcPr>
          <w:p w14:paraId="357F7F23"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773D403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3D4C03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13DFCA9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B6BC1F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334364" w:rsidRPr="007D3E6E" w14:paraId="1C3F2C8B" w14:textId="77777777" w:rsidTr="00B14E12">
        <w:trPr>
          <w:gridAfter w:val="1"/>
          <w:wAfter w:w="8" w:type="dxa"/>
          <w:jc w:val="center"/>
        </w:trPr>
        <w:tc>
          <w:tcPr>
            <w:tcW w:w="1413" w:type="dxa"/>
          </w:tcPr>
          <w:p w14:paraId="4A1093AA" w14:textId="77777777" w:rsidR="00334364" w:rsidRPr="00962079" w:rsidRDefault="00334364" w:rsidP="00334364">
            <w:pPr>
              <w:pStyle w:val="NoSpacing"/>
              <w:rPr>
                <w:rFonts w:ascii="Times New Roman" w:hAnsi="Times New Roman"/>
                <w:lang w:eastAsia="lv-LV"/>
              </w:rPr>
            </w:pPr>
            <w:r w:rsidRPr="00962079">
              <w:rPr>
                <w:rFonts w:ascii="Times New Roman" w:hAnsi="Times New Roman"/>
                <w:lang w:eastAsia="lv-LV"/>
              </w:rPr>
              <w:t>2. Budžeta izdevumi</w:t>
            </w:r>
          </w:p>
        </w:tc>
        <w:tc>
          <w:tcPr>
            <w:tcW w:w="1701" w:type="dxa"/>
          </w:tcPr>
          <w:p w14:paraId="78FDC2B0" w14:textId="362BBDA9" w:rsidR="00334364" w:rsidRPr="007D3E6E" w:rsidRDefault="00334364" w:rsidP="00334364">
            <w:pPr>
              <w:pStyle w:val="NoSpacing"/>
              <w:ind w:left="-253"/>
              <w:jc w:val="right"/>
              <w:rPr>
                <w:rFonts w:ascii="Times New Roman" w:hAnsi="Times New Roman"/>
                <w:sz w:val="24"/>
                <w:szCs w:val="24"/>
                <w:lang w:eastAsia="lv-LV"/>
              </w:rPr>
            </w:pPr>
            <w:r w:rsidRPr="00B50A1F">
              <w:rPr>
                <w:rFonts w:ascii="Times New Roman" w:hAnsi="Times New Roman"/>
                <w:sz w:val="24"/>
                <w:szCs w:val="24"/>
                <w:lang w:eastAsia="lv-LV"/>
              </w:rPr>
              <w:t>10</w:t>
            </w:r>
            <w:r>
              <w:rPr>
                <w:rFonts w:ascii="Times New Roman" w:hAnsi="Times New Roman"/>
                <w:sz w:val="24"/>
                <w:szCs w:val="24"/>
                <w:lang w:eastAsia="lv-LV"/>
              </w:rPr>
              <w:t xml:space="preserve"> </w:t>
            </w:r>
            <w:r w:rsidRPr="00B50A1F">
              <w:rPr>
                <w:rFonts w:ascii="Times New Roman" w:hAnsi="Times New Roman"/>
                <w:sz w:val="24"/>
                <w:szCs w:val="24"/>
                <w:lang w:eastAsia="lv-LV"/>
              </w:rPr>
              <w:t>014</w:t>
            </w:r>
            <w:r>
              <w:rPr>
                <w:rFonts w:ascii="Times New Roman" w:hAnsi="Times New Roman"/>
                <w:sz w:val="24"/>
                <w:szCs w:val="24"/>
                <w:lang w:eastAsia="lv-LV"/>
              </w:rPr>
              <w:t xml:space="preserve"> </w:t>
            </w:r>
            <w:r w:rsidRPr="00B50A1F">
              <w:rPr>
                <w:rFonts w:ascii="Times New Roman" w:hAnsi="Times New Roman"/>
                <w:sz w:val="24"/>
                <w:szCs w:val="24"/>
                <w:lang w:eastAsia="lv-LV"/>
              </w:rPr>
              <w:t>842</w:t>
            </w:r>
            <w:r>
              <w:rPr>
                <w:rFonts w:ascii="Times New Roman" w:hAnsi="Times New Roman"/>
                <w:sz w:val="24"/>
                <w:szCs w:val="24"/>
                <w:lang w:eastAsia="lv-LV"/>
              </w:rPr>
              <w:t xml:space="preserve"> </w:t>
            </w:r>
            <w:r w:rsidRPr="00B50A1F">
              <w:rPr>
                <w:rFonts w:ascii="Times New Roman" w:hAnsi="Times New Roman"/>
                <w:sz w:val="24"/>
                <w:szCs w:val="24"/>
                <w:lang w:eastAsia="lv-LV"/>
              </w:rPr>
              <w:t>838</w:t>
            </w:r>
          </w:p>
        </w:tc>
        <w:tc>
          <w:tcPr>
            <w:tcW w:w="1417" w:type="dxa"/>
          </w:tcPr>
          <w:p w14:paraId="3A22C34A" w14:textId="5F3AE792" w:rsidR="00334364" w:rsidRPr="005E37B5" w:rsidRDefault="00334364" w:rsidP="00334364">
            <w:pPr>
              <w:pStyle w:val="NoSpacing"/>
              <w:jc w:val="right"/>
              <w:rPr>
                <w:rFonts w:ascii="Times New Roman" w:hAnsi="Times New Roman"/>
                <w:b/>
                <w:sz w:val="24"/>
                <w:szCs w:val="24"/>
                <w:lang w:eastAsia="lv-LV"/>
              </w:rPr>
            </w:pPr>
            <w:r>
              <w:rPr>
                <w:rFonts w:ascii="Times New Roman" w:hAnsi="Times New Roman"/>
                <w:b/>
                <w:sz w:val="24"/>
                <w:szCs w:val="24"/>
              </w:rPr>
              <w:t>3</w:t>
            </w:r>
            <w:r w:rsidRPr="005E37B5">
              <w:rPr>
                <w:rFonts w:ascii="Times New Roman" w:hAnsi="Times New Roman"/>
                <w:b/>
                <w:sz w:val="24"/>
                <w:szCs w:val="24"/>
              </w:rPr>
              <w:t>00 000 000</w:t>
            </w:r>
          </w:p>
        </w:tc>
        <w:tc>
          <w:tcPr>
            <w:tcW w:w="851" w:type="dxa"/>
          </w:tcPr>
          <w:p w14:paraId="62AAB058" w14:textId="77777777" w:rsidR="00334364" w:rsidRPr="005E37B5" w:rsidRDefault="00334364" w:rsidP="00334364">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93BFE3A"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1D94E43E"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7404EAF3"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BB6509A"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334364" w:rsidRPr="007D3E6E" w14:paraId="5F14C625" w14:textId="77777777" w:rsidTr="00B14E12">
        <w:trPr>
          <w:gridAfter w:val="1"/>
          <w:wAfter w:w="8" w:type="dxa"/>
          <w:jc w:val="center"/>
        </w:trPr>
        <w:tc>
          <w:tcPr>
            <w:tcW w:w="1413" w:type="dxa"/>
          </w:tcPr>
          <w:p w14:paraId="3E9C8911" w14:textId="435463D5" w:rsidR="00334364" w:rsidRPr="00962079" w:rsidRDefault="00334364" w:rsidP="00334364">
            <w:pPr>
              <w:pStyle w:val="NoSpacing"/>
              <w:rPr>
                <w:rFonts w:ascii="Times New Roman" w:hAnsi="Times New Roman"/>
                <w:sz w:val="21"/>
                <w:szCs w:val="21"/>
                <w:lang w:eastAsia="lv-LV"/>
              </w:rPr>
            </w:pPr>
            <w:r w:rsidRPr="00962079">
              <w:rPr>
                <w:rFonts w:ascii="Times New Roman" w:hAnsi="Times New Roman"/>
                <w:sz w:val="21"/>
                <w:szCs w:val="21"/>
                <w:lang w:eastAsia="lv-LV"/>
              </w:rPr>
              <w:t>2.1. valsts pamatbudžets</w:t>
            </w:r>
            <w:r>
              <w:rPr>
                <w:rFonts w:ascii="Times New Roman" w:hAnsi="Times New Roman"/>
                <w:sz w:val="21"/>
                <w:szCs w:val="21"/>
                <w:lang w:eastAsia="lv-LV"/>
              </w:rPr>
              <w:t xml:space="preserve"> </w:t>
            </w:r>
            <w:r>
              <w:rPr>
                <w:rFonts w:ascii="Times New Roman" w:hAnsi="Times New Roman"/>
                <w:sz w:val="24"/>
                <w:szCs w:val="24"/>
                <w:lang w:eastAsia="lv-LV"/>
              </w:rPr>
              <w:t>(neto)</w:t>
            </w:r>
          </w:p>
        </w:tc>
        <w:tc>
          <w:tcPr>
            <w:tcW w:w="1701" w:type="dxa"/>
          </w:tcPr>
          <w:p w14:paraId="16433056" w14:textId="74667CCD" w:rsidR="00334364" w:rsidRPr="007D3E6E" w:rsidRDefault="00334364" w:rsidP="00334364">
            <w:pPr>
              <w:pStyle w:val="NoSpacing"/>
              <w:ind w:left="-253"/>
              <w:jc w:val="right"/>
              <w:rPr>
                <w:rFonts w:ascii="Times New Roman" w:hAnsi="Times New Roman"/>
                <w:sz w:val="24"/>
                <w:szCs w:val="24"/>
                <w:lang w:eastAsia="lv-LV"/>
              </w:rPr>
            </w:pPr>
            <w:r w:rsidRPr="00B50A1F">
              <w:rPr>
                <w:rFonts w:ascii="Times New Roman" w:hAnsi="Times New Roman"/>
                <w:sz w:val="24"/>
                <w:szCs w:val="24"/>
                <w:lang w:eastAsia="lv-LV"/>
              </w:rPr>
              <w:t>7</w:t>
            </w:r>
            <w:r>
              <w:rPr>
                <w:rFonts w:ascii="Times New Roman" w:hAnsi="Times New Roman"/>
                <w:sz w:val="24"/>
                <w:szCs w:val="24"/>
                <w:lang w:eastAsia="lv-LV"/>
              </w:rPr>
              <w:t xml:space="preserve"> </w:t>
            </w:r>
            <w:r w:rsidRPr="00B50A1F">
              <w:rPr>
                <w:rFonts w:ascii="Times New Roman" w:hAnsi="Times New Roman"/>
                <w:sz w:val="24"/>
                <w:szCs w:val="24"/>
                <w:lang w:eastAsia="lv-LV"/>
              </w:rPr>
              <w:t>037</w:t>
            </w:r>
            <w:r>
              <w:rPr>
                <w:rFonts w:ascii="Times New Roman" w:hAnsi="Times New Roman"/>
                <w:sz w:val="24"/>
                <w:szCs w:val="24"/>
                <w:lang w:eastAsia="lv-LV"/>
              </w:rPr>
              <w:t xml:space="preserve"> </w:t>
            </w:r>
            <w:r w:rsidRPr="00B50A1F">
              <w:rPr>
                <w:rFonts w:ascii="Times New Roman" w:hAnsi="Times New Roman"/>
                <w:sz w:val="24"/>
                <w:szCs w:val="24"/>
                <w:lang w:eastAsia="lv-LV"/>
              </w:rPr>
              <w:t>866</w:t>
            </w:r>
            <w:r>
              <w:rPr>
                <w:rFonts w:ascii="Times New Roman" w:hAnsi="Times New Roman"/>
                <w:sz w:val="24"/>
                <w:szCs w:val="24"/>
                <w:lang w:eastAsia="lv-LV"/>
              </w:rPr>
              <w:t xml:space="preserve"> </w:t>
            </w:r>
            <w:r w:rsidRPr="00B50A1F">
              <w:rPr>
                <w:rFonts w:ascii="Times New Roman" w:hAnsi="Times New Roman"/>
                <w:sz w:val="24"/>
                <w:szCs w:val="24"/>
                <w:lang w:eastAsia="lv-LV"/>
              </w:rPr>
              <w:t>978</w:t>
            </w:r>
          </w:p>
        </w:tc>
        <w:tc>
          <w:tcPr>
            <w:tcW w:w="1417" w:type="dxa"/>
          </w:tcPr>
          <w:p w14:paraId="2AA220F2" w14:textId="6DDBD6F1" w:rsidR="00334364" w:rsidRPr="005E37B5" w:rsidRDefault="00334364" w:rsidP="00334364">
            <w:pPr>
              <w:pStyle w:val="NoSpacing"/>
              <w:jc w:val="right"/>
              <w:rPr>
                <w:rFonts w:ascii="Times New Roman" w:hAnsi="Times New Roman"/>
                <w:sz w:val="24"/>
                <w:szCs w:val="24"/>
                <w:lang w:eastAsia="lv-LV"/>
              </w:rPr>
            </w:pPr>
            <w:r>
              <w:rPr>
                <w:rFonts w:ascii="Times New Roman" w:hAnsi="Times New Roman"/>
                <w:b/>
                <w:sz w:val="24"/>
                <w:szCs w:val="24"/>
              </w:rPr>
              <w:t>3</w:t>
            </w:r>
            <w:r w:rsidRPr="005E37B5">
              <w:rPr>
                <w:rFonts w:ascii="Times New Roman" w:hAnsi="Times New Roman"/>
                <w:b/>
                <w:sz w:val="24"/>
                <w:szCs w:val="24"/>
              </w:rPr>
              <w:t>00 000 000</w:t>
            </w:r>
          </w:p>
        </w:tc>
        <w:tc>
          <w:tcPr>
            <w:tcW w:w="851" w:type="dxa"/>
          </w:tcPr>
          <w:p w14:paraId="28D6A541" w14:textId="77777777" w:rsidR="00334364" w:rsidRPr="005E37B5" w:rsidRDefault="00334364" w:rsidP="00334364">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D8E7113"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C94C429"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22364611"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72AC6AE"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E16501" w:rsidRPr="007D3E6E" w14:paraId="5DAFDD09" w14:textId="77777777" w:rsidTr="00B14E12">
        <w:trPr>
          <w:gridAfter w:val="1"/>
          <w:wAfter w:w="8" w:type="dxa"/>
          <w:jc w:val="center"/>
        </w:trPr>
        <w:tc>
          <w:tcPr>
            <w:tcW w:w="1413" w:type="dxa"/>
          </w:tcPr>
          <w:p w14:paraId="3B02577A" w14:textId="0B04F514" w:rsidR="00E16501" w:rsidRPr="00962079" w:rsidRDefault="00E16501" w:rsidP="00E8717E">
            <w:pPr>
              <w:pStyle w:val="NoSpacing"/>
              <w:rPr>
                <w:rFonts w:ascii="Times New Roman" w:hAnsi="Times New Roman"/>
                <w:i/>
                <w:lang w:eastAsia="lv-LV"/>
              </w:rPr>
            </w:pPr>
            <w:r w:rsidRPr="00962079">
              <w:rPr>
                <w:rFonts w:ascii="Times New Roman" w:hAnsi="Times New Roman"/>
                <w:i/>
              </w:rPr>
              <w:t xml:space="preserve">budžeta resora “74. Gadskārtējā valsts budžeta izpildes procesā pārdalāmais finansējums” </w:t>
            </w:r>
            <w:r w:rsidR="00E8717E">
              <w:rPr>
                <w:rFonts w:ascii="Times New Roman" w:hAnsi="Times New Roman"/>
                <w:i/>
              </w:rPr>
              <w:t>02</w:t>
            </w:r>
            <w:r w:rsidRPr="00962079">
              <w:rPr>
                <w:rFonts w:ascii="Times New Roman" w:hAnsi="Times New Roman"/>
                <w:i/>
              </w:rPr>
              <w:t>.00.00 programma</w:t>
            </w:r>
          </w:p>
        </w:tc>
        <w:tc>
          <w:tcPr>
            <w:tcW w:w="1701" w:type="dxa"/>
          </w:tcPr>
          <w:p w14:paraId="63E2BB95" w14:textId="1A7EB1F7" w:rsidR="00E16501" w:rsidRPr="00944529" w:rsidRDefault="00944529" w:rsidP="00962079">
            <w:pPr>
              <w:pStyle w:val="NoSpacing"/>
              <w:ind w:left="-253"/>
              <w:jc w:val="right"/>
              <w:rPr>
                <w:rFonts w:ascii="Times New Roman" w:hAnsi="Times New Roman"/>
                <w:i/>
                <w:sz w:val="24"/>
                <w:szCs w:val="24"/>
                <w:lang w:eastAsia="lv-LV"/>
              </w:rPr>
            </w:pPr>
            <w:r w:rsidRPr="00944529">
              <w:rPr>
                <w:rFonts w:ascii="Times New Roman" w:hAnsi="Times New Roman"/>
                <w:i/>
                <w:sz w:val="24"/>
                <w:szCs w:val="24"/>
              </w:rPr>
              <w:t>23 479 067</w:t>
            </w:r>
          </w:p>
        </w:tc>
        <w:tc>
          <w:tcPr>
            <w:tcW w:w="1417" w:type="dxa"/>
          </w:tcPr>
          <w:p w14:paraId="0C434249" w14:textId="3BC682F9" w:rsidR="00E16501" w:rsidRPr="005E37B5" w:rsidRDefault="00E8717E" w:rsidP="00DE1003">
            <w:pPr>
              <w:pStyle w:val="NoSpacing"/>
              <w:jc w:val="right"/>
              <w:rPr>
                <w:rFonts w:ascii="Times New Roman" w:hAnsi="Times New Roman"/>
                <w:b/>
                <w:i/>
                <w:sz w:val="24"/>
                <w:szCs w:val="24"/>
              </w:rPr>
            </w:pPr>
            <w:r>
              <w:rPr>
                <w:rFonts w:ascii="Times New Roman" w:hAnsi="Times New Roman"/>
                <w:b/>
                <w:i/>
                <w:sz w:val="24"/>
                <w:szCs w:val="24"/>
              </w:rPr>
              <w:t>3</w:t>
            </w:r>
            <w:r w:rsidR="00EA6C2F" w:rsidRPr="005E37B5">
              <w:rPr>
                <w:rFonts w:ascii="Times New Roman" w:hAnsi="Times New Roman"/>
                <w:b/>
                <w:i/>
                <w:sz w:val="24"/>
                <w:szCs w:val="24"/>
              </w:rPr>
              <w:t>00</w:t>
            </w:r>
            <w:r w:rsidR="00F14F02" w:rsidRPr="005E37B5">
              <w:rPr>
                <w:rFonts w:ascii="Times New Roman" w:hAnsi="Times New Roman"/>
                <w:b/>
                <w:i/>
                <w:sz w:val="24"/>
                <w:szCs w:val="24"/>
              </w:rPr>
              <w:t> </w:t>
            </w:r>
            <w:r w:rsidR="000B283D" w:rsidRPr="005E37B5">
              <w:rPr>
                <w:rFonts w:ascii="Times New Roman" w:hAnsi="Times New Roman"/>
                <w:b/>
                <w:i/>
                <w:sz w:val="24"/>
                <w:szCs w:val="24"/>
              </w:rPr>
              <w:t>0</w:t>
            </w:r>
            <w:r w:rsidR="00F14F02" w:rsidRPr="005E37B5">
              <w:rPr>
                <w:rFonts w:ascii="Times New Roman" w:hAnsi="Times New Roman"/>
                <w:b/>
                <w:i/>
                <w:sz w:val="24"/>
                <w:szCs w:val="24"/>
              </w:rPr>
              <w:t>00 000</w:t>
            </w:r>
          </w:p>
        </w:tc>
        <w:tc>
          <w:tcPr>
            <w:tcW w:w="851" w:type="dxa"/>
          </w:tcPr>
          <w:p w14:paraId="0B52A75D" w14:textId="77777777" w:rsidR="00E16501" w:rsidRPr="005E37B5" w:rsidRDefault="00E16501" w:rsidP="000044FA">
            <w:pPr>
              <w:pStyle w:val="NoSpacing"/>
              <w:jc w:val="right"/>
              <w:rPr>
                <w:rFonts w:ascii="Times New Roman" w:hAnsi="Times New Roman"/>
                <w:sz w:val="24"/>
                <w:szCs w:val="24"/>
                <w:lang w:eastAsia="lv-LV"/>
              </w:rPr>
            </w:pPr>
          </w:p>
        </w:tc>
        <w:tc>
          <w:tcPr>
            <w:tcW w:w="1134" w:type="dxa"/>
          </w:tcPr>
          <w:p w14:paraId="7CEB6124" w14:textId="77777777" w:rsidR="00E16501" w:rsidRPr="007D3E6E" w:rsidRDefault="00E16501" w:rsidP="000044FA">
            <w:pPr>
              <w:pStyle w:val="NoSpacing"/>
              <w:jc w:val="right"/>
              <w:rPr>
                <w:rFonts w:ascii="Times New Roman" w:hAnsi="Times New Roman"/>
                <w:sz w:val="24"/>
                <w:szCs w:val="24"/>
                <w:lang w:eastAsia="lv-LV"/>
              </w:rPr>
            </w:pPr>
          </w:p>
        </w:tc>
        <w:tc>
          <w:tcPr>
            <w:tcW w:w="850" w:type="dxa"/>
          </w:tcPr>
          <w:p w14:paraId="6CFA916B" w14:textId="77777777" w:rsidR="00E16501" w:rsidRPr="007D3E6E" w:rsidRDefault="00E16501" w:rsidP="000044FA">
            <w:pPr>
              <w:pStyle w:val="NoSpacing"/>
              <w:jc w:val="right"/>
              <w:rPr>
                <w:rFonts w:ascii="Times New Roman" w:hAnsi="Times New Roman"/>
                <w:sz w:val="24"/>
                <w:szCs w:val="24"/>
                <w:lang w:eastAsia="lv-LV"/>
              </w:rPr>
            </w:pPr>
          </w:p>
        </w:tc>
        <w:tc>
          <w:tcPr>
            <w:tcW w:w="993" w:type="dxa"/>
          </w:tcPr>
          <w:p w14:paraId="63A9B313" w14:textId="77777777" w:rsidR="00E16501" w:rsidRPr="007D3E6E" w:rsidRDefault="00E16501" w:rsidP="000044FA">
            <w:pPr>
              <w:pStyle w:val="NoSpacing"/>
              <w:jc w:val="right"/>
              <w:rPr>
                <w:rFonts w:ascii="Times New Roman" w:hAnsi="Times New Roman"/>
                <w:sz w:val="24"/>
                <w:szCs w:val="24"/>
                <w:lang w:eastAsia="lv-LV"/>
              </w:rPr>
            </w:pPr>
          </w:p>
        </w:tc>
        <w:tc>
          <w:tcPr>
            <w:tcW w:w="1134" w:type="dxa"/>
          </w:tcPr>
          <w:p w14:paraId="0047CDD4" w14:textId="77777777" w:rsidR="00E16501" w:rsidRPr="007D3E6E" w:rsidRDefault="00E16501" w:rsidP="000044FA">
            <w:pPr>
              <w:pStyle w:val="NoSpacing"/>
              <w:jc w:val="right"/>
              <w:rPr>
                <w:rFonts w:ascii="Times New Roman" w:hAnsi="Times New Roman"/>
                <w:sz w:val="24"/>
                <w:szCs w:val="24"/>
                <w:lang w:eastAsia="lv-LV"/>
              </w:rPr>
            </w:pPr>
          </w:p>
        </w:tc>
      </w:tr>
      <w:tr w:rsidR="00064F32" w:rsidRPr="007D3E6E" w14:paraId="7FB0B2A6" w14:textId="77777777" w:rsidTr="00B14E12">
        <w:trPr>
          <w:gridAfter w:val="1"/>
          <w:wAfter w:w="8" w:type="dxa"/>
          <w:jc w:val="center"/>
        </w:trPr>
        <w:tc>
          <w:tcPr>
            <w:tcW w:w="1413" w:type="dxa"/>
          </w:tcPr>
          <w:p w14:paraId="3EBF83C1"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2.2. valsts speciālais budžets</w:t>
            </w:r>
          </w:p>
        </w:tc>
        <w:tc>
          <w:tcPr>
            <w:tcW w:w="1701" w:type="dxa"/>
          </w:tcPr>
          <w:p w14:paraId="542E510A" w14:textId="42FEC4BB" w:rsidR="00064F32" w:rsidRPr="007D3E6E" w:rsidRDefault="001779C5" w:rsidP="00372421">
            <w:pPr>
              <w:pStyle w:val="NoSpacing"/>
              <w:ind w:left="-253"/>
              <w:jc w:val="right"/>
              <w:rPr>
                <w:rFonts w:ascii="Times New Roman" w:hAnsi="Times New Roman"/>
                <w:sz w:val="24"/>
                <w:szCs w:val="24"/>
                <w:lang w:eastAsia="lv-LV"/>
              </w:rPr>
            </w:pPr>
            <w:r w:rsidRPr="00EF1444">
              <w:rPr>
                <w:rFonts w:ascii="Times New Roman" w:hAnsi="Times New Roman"/>
                <w:sz w:val="24"/>
                <w:szCs w:val="24"/>
                <w:lang w:eastAsia="lv-LV"/>
              </w:rPr>
              <w:t>2</w:t>
            </w:r>
            <w:r>
              <w:rPr>
                <w:rFonts w:ascii="Times New Roman" w:hAnsi="Times New Roman"/>
                <w:sz w:val="24"/>
                <w:szCs w:val="24"/>
                <w:lang w:eastAsia="lv-LV"/>
              </w:rPr>
              <w:t xml:space="preserve"> </w:t>
            </w:r>
            <w:r w:rsidRPr="00EF1444">
              <w:rPr>
                <w:rFonts w:ascii="Times New Roman" w:hAnsi="Times New Roman"/>
                <w:sz w:val="24"/>
                <w:szCs w:val="24"/>
                <w:lang w:eastAsia="lv-LV"/>
              </w:rPr>
              <w:t>976</w:t>
            </w:r>
            <w:r>
              <w:rPr>
                <w:rFonts w:ascii="Times New Roman" w:hAnsi="Times New Roman"/>
                <w:sz w:val="24"/>
                <w:szCs w:val="24"/>
                <w:lang w:eastAsia="lv-LV"/>
              </w:rPr>
              <w:t xml:space="preserve"> </w:t>
            </w:r>
            <w:r w:rsidRPr="00EF1444">
              <w:rPr>
                <w:rFonts w:ascii="Times New Roman" w:hAnsi="Times New Roman"/>
                <w:sz w:val="24"/>
                <w:szCs w:val="24"/>
                <w:lang w:eastAsia="lv-LV"/>
              </w:rPr>
              <w:t>975</w:t>
            </w:r>
            <w:r>
              <w:rPr>
                <w:rFonts w:ascii="Times New Roman" w:hAnsi="Times New Roman"/>
                <w:sz w:val="24"/>
                <w:szCs w:val="24"/>
                <w:lang w:eastAsia="lv-LV"/>
              </w:rPr>
              <w:t xml:space="preserve"> </w:t>
            </w:r>
            <w:r w:rsidRPr="00EF1444">
              <w:rPr>
                <w:rFonts w:ascii="Times New Roman" w:hAnsi="Times New Roman"/>
                <w:sz w:val="24"/>
                <w:szCs w:val="24"/>
                <w:lang w:eastAsia="lv-LV"/>
              </w:rPr>
              <w:t>860</w:t>
            </w:r>
          </w:p>
        </w:tc>
        <w:tc>
          <w:tcPr>
            <w:tcW w:w="1417" w:type="dxa"/>
          </w:tcPr>
          <w:p w14:paraId="0FE7C2E1"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851" w:type="dxa"/>
          </w:tcPr>
          <w:p w14:paraId="492BE7D6"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3469DC20"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5C2E9A3B"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2DFA4C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8C10384"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372F9969" w14:textId="77777777" w:rsidTr="00B14E12">
        <w:trPr>
          <w:gridAfter w:val="1"/>
          <w:wAfter w:w="8" w:type="dxa"/>
          <w:jc w:val="center"/>
        </w:trPr>
        <w:tc>
          <w:tcPr>
            <w:tcW w:w="1413" w:type="dxa"/>
          </w:tcPr>
          <w:p w14:paraId="38C27707"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2.3. pašvaldību budžets</w:t>
            </w:r>
          </w:p>
        </w:tc>
        <w:tc>
          <w:tcPr>
            <w:tcW w:w="1701" w:type="dxa"/>
          </w:tcPr>
          <w:p w14:paraId="175D109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7" w:type="dxa"/>
          </w:tcPr>
          <w:p w14:paraId="68529B3E"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851" w:type="dxa"/>
          </w:tcPr>
          <w:p w14:paraId="441A7550"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613451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C4E8B0C"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1C3949B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CCCC85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1779C5" w:rsidRPr="007D3E6E" w14:paraId="73CD7EDA" w14:textId="77777777" w:rsidTr="00B14E12">
        <w:trPr>
          <w:gridAfter w:val="1"/>
          <w:wAfter w:w="8" w:type="dxa"/>
          <w:jc w:val="center"/>
        </w:trPr>
        <w:tc>
          <w:tcPr>
            <w:tcW w:w="1413" w:type="dxa"/>
          </w:tcPr>
          <w:p w14:paraId="381D3420" w14:textId="77777777" w:rsidR="001779C5" w:rsidRPr="00962079" w:rsidRDefault="001779C5" w:rsidP="001779C5">
            <w:pPr>
              <w:pStyle w:val="NoSpacing"/>
              <w:rPr>
                <w:rFonts w:ascii="Times New Roman" w:hAnsi="Times New Roman"/>
                <w:lang w:eastAsia="lv-LV"/>
              </w:rPr>
            </w:pPr>
            <w:r w:rsidRPr="00962079">
              <w:rPr>
                <w:rFonts w:ascii="Times New Roman" w:hAnsi="Times New Roman"/>
                <w:lang w:eastAsia="lv-LV"/>
              </w:rPr>
              <w:t>3. Finansiālā ietekme</w:t>
            </w:r>
          </w:p>
        </w:tc>
        <w:tc>
          <w:tcPr>
            <w:tcW w:w="1701" w:type="dxa"/>
          </w:tcPr>
          <w:p w14:paraId="53658771" w14:textId="6987AB3E" w:rsidR="001779C5" w:rsidRPr="007D3E6E" w:rsidRDefault="001779C5" w:rsidP="001779C5">
            <w:pPr>
              <w:pStyle w:val="NoSpacing"/>
              <w:jc w:val="right"/>
              <w:rPr>
                <w:rFonts w:ascii="Times New Roman" w:hAnsi="Times New Roman"/>
                <w:sz w:val="24"/>
                <w:szCs w:val="24"/>
                <w:lang w:eastAsia="lv-LV"/>
              </w:rPr>
            </w:pPr>
            <w:r w:rsidRPr="00B50A1F">
              <w:rPr>
                <w:rFonts w:ascii="Times New Roman" w:hAnsi="Times New Roman"/>
                <w:sz w:val="24"/>
                <w:szCs w:val="24"/>
                <w:lang w:eastAsia="lv-LV"/>
              </w:rPr>
              <w:t>-107</w:t>
            </w:r>
            <w:r>
              <w:rPr>
                <w:rFonts w:ascii="Times New Roman" w:hAnsi="Times New Roman"/>
                <w:sz w:val="24"/>
                <w:szCs w:val="24"/>
                <w:lang w:eastAsia="lv-LV"/>
              </w:rPr>
              <w:t xml:space="preserve"> </w:t>
            </w:r>
            <w:r w:rsidRPr="00B50A1F">
              <w:rPr>
                <w:rFonts w:ascii="Times New Roman" w:hAnsi="Times New Roman"/>
                <w:sz w:val="24"/>
                <w:szCs w:val="24"/>
                <w:lang w:eastAsia="lv-LV"/>
              </w:rPr>
              <w:t>507</w:t>
            </w:r>
            <w:r>
              <w:rPr>
                <w:rFonts w:ascii="Times New Roman" w:hAnsi="Times New Roman"/>
                <w:sz w:val="24"/>
                <w:szCs w:val="24"/>
                <w:lang w:eastAsia="lv-LV"/>
              </w:rPr>
              <w:t xml:space="preserve"> </w:t>
            </w:r>
            <w:r w:rsidRPr="00B50A1F">
              <w:rPr>
                <w:rFonts w:ascii="Times New Roman" w:hAnsi="Times New Roman"/>
                <w:sz w:val="24"/>
                <w:szCs w:val="24"/>
                <w:lang w:eastAsia="lv-LV"/>
              </w:rPr>
              <w:t>639</w:t>
            </w:r>
          </w:p>
        </w:tc>
        <w:tc>
          <w:tcPr>
            <w:tcW w:w="1417" w:type="dxa"/>
          </w:tcPr>
          <w:p w14:paraId="7909CF64" w14:textId="03310142" w:rsidR="001779C5" w:rsidRPr="005E37B5" w:rsidRDefault="001779C5" w:rsidP="001779C5">
            <w:pPr>
              <w:ind w:left="-112"/>
              <w:jc w:val="right"/>
            </w:pPr>
            <w:r w:rsidRPr="005E37B5">
              <w:rPr>
                <w:b/>
              </w:rPr>
              <w:t>-</w:t>
            </w:r>
            <w:r>
              <w:rPr>
                <w:b/>
              </w:rPr>
              <w:t>3</w:t>
            </w:r>
            <w:r w:rsidRPr="005E37B5">
              <w:rPr>
                <w:b/>
              </w:rPr>
              <w:t>00 000 000</w:t>
            </w:r>
          </w:p>
        </w:tc>
        <w:tc>
          <w:tcPr>
            <w:tcW w:w="851" w:type="dxa"/>
          </w:tcPr>
          <w:p w14:paraId="08662B43" w14:textId="77777777" w:rsidR="001779C5" w:rsidRPr="005E37B5" w:rsidRDefault="001779C5" w:rsidP="001779C5">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52966D99"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FF772A0"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2F5617C"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AA9812E"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1779C5" w:rsidRPr="007D3E6E" w14:paraId="3363C3F7" w14:textId="77777777" w:rsidTr="00B14E12">
        <w:trPr>
          <w:gridAfter w:val="1"/>
          <w:wAfter w:w="8" w:type="dxa"/>
          <w:jc w:val="center"/>
        </w:trPr>
        <w:tc>
          <w:tcPr>
            <w:tcW w:w="1413" w:type="dxa"/>
          </w:tcPr>
          <w:p w14:paraId="2D886A6E" w14:textId="77777777" w:rsidR="001779C5" w:rsidRPr="00962079" w:rsidRDefault="001779C5" w:rsidP="001779C5">
            <w:pPr>
              <w:pStyle w:val="NoSpacing"/>
              <w:rPr>
                <w:rFonts w:ascii="Times New Roman" w:hAnsi="Times New Roman"/>
                <w:sz w:val="21"/>
                <w:szCs w:val="21"/>
                <w:lang w:eastAsia="lv-LV"/>
              </w:rPr>
            </w:pPr>
            <w:r w:rsidRPr="00962079">
              <w:rPr>
                <w:rFonts w:ascii="Times New Roman" w:hAnsi="Times New Roman"/>
                <w:sz w:val="21"/>
                <w:szCs w:val="21"/>
                <w:lang w:eastAsia="lv-LV"/>
              </w:rPr>
              <w:t>3.1. valsts pamatbudžets</w:t>
            </w:r>
          </w:p>
        </w:tc>
        <w:tc>
          <w:tcPr>
            <w:tcW w:w="1701" w:type="dxa"/>
          </w:tcPr>
          <w:p w14:paraId="6567D3E7" w14:textId="5B3E3386" w:rsidR="001779C5" w:rsidRPr="007D3E6E" w:rsidRDefault="001779C5" w:rsidP="001779C5">
            <w:pPr>
              <w:pStyle w:val="NoSpacing"/>
              <w:jc w:val="right"/>
              <w:rPr>
                <w:rFonts w:ascii="Times New Roman" w:hAnsi="Times New Roman"/>
                <w:sz w:val="24"/>
                <w:szCs w:val="24"/>
                <w:lang w:eastAsia="lv-LV"/>
              </w:rPr>
            </w:pPr>
            <w:r w:rsidRPr="000E4F21">
              <w:rPr>
                <w:rFonts w:ascii="Times New Roman" w:hAnsi="Times New Roman"/>
                <w:sz w:val="24"/>
                <w:szCs w:val="24"/>
                <w:lang w:eastAsia="lv-LV"/>
              </w:rPr>
              <w:t>-341</w:t>
            </w:r>
            <w:r>
              <w:rPr>
                <w:rFonts w:ascii="Times New Roman" w:hAnsi="Times New Roman"/>
                <w:sz w:val="24"/>
                <w:szCs w:val="24"/>
                <w:lang w:eastAsia="lv-LV"/>
              </w:rPr>
              <w:t xml:space="preserve"> </w:t>
            </w:r>
            <w:r w:rsidRPr="000E4F21">
              <w:rPr>
                <w:rFonts w:ascii="Times New Roman" w:hAnsi="Times New Roman"/>
                <w:sz w:val="24"/>
                <w:szCs w:val="24"/>
                <w:lang w:eastAsia="lv-LV"/>
              </w:rPr>
              <w:t>991</w:t>
            </w:r>
            <w:r>
              <w:rPr>
                <w:rFonts w:ascii="Times New Roman" w:hAnsi="Times New Roman"/>
                <w:sz w:val="24"/>
                <w:szCs w:val="24"/>
                <w:lang w:eastAsia="lv-LV"/>
              </w:rPr>
              <w:t xml:space="preserve"> </w:t>
            </w:r>
            <w:r w:rsidRPr="000E4F21">
              <w:rPr>
                <w:rFonts w:ascii="Times New Roman" w:hAnsi="Times New Roman"/>
                <w:sz w:val="24"/>
                <w:szCs w:val="24"/>
                <w:lang w:eastAsia="lv-LV"/>
              </w:rPr>
              <w:t>779</w:t>
            </w:r>
          </w:p>
        </w:tc>
        <w:tc>
          <w:tcPr>
            <w:tcW w:w="1417" w:type="dxa"/>
          </w:tcPr>
          <w:p w14:paraId="5B392BDE" w14:textId="7225FB30" w:rsidR="001779C5" w:rsidRPr="005E37B5" w:rsidRDefault="001779C5" w:rsidP="001779C5">
            <w:pPr>
              <w:ind w:left="-112"/>
              <w:jc w:val="right"/>
            </w:pPr>
            <w:r w:rsidRPr="005E37B5">
              <w:rPr>
                <w:b/>
              </w:rPr>
              <w:t>-</w:t>
            </w:r>
            <w:r>
              <w:rPr>
                <w:b/>
              </w:rPr>
              <w:t>3</w:t>
            </w:r>
            <w:r w:rsidRPr="005E37B5">
              <w:rPr>
                <w:b/>
              </w:rPr>
              <w:t>00 000 000</w:t>
            </w:r>
          </w:p>
        </w:tc>
        <w:tc>
          <w:tcPr>
            <w:tcW w:w="851" w:type="dxa"/>
          </w:tcPr>
          <w:p w14:paraId="3B54D384" w14:textId="77777777" w:rsidR="001779C5" w:rsidRPr="005E37B5" w:rsidRDefault="001779C5" w:rsidP="001779C5">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043500F"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716338DF"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689B2A9"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B97A361"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1779C5" w:rsidRPr="007D3E6E" w14:paraId="08C899AA" w14:textId="77777777" w:rsidTr="00B14E12">
        <w:trPr>
          <w:gridAfter w:val="1"/>
          <w:wAfter w:w="8" w:type="dxa"/>
          <w:jc w:val="center"/>
        </w:trPr>
        <w:tc>
          <w:tcPr>
            <w:tcW w:w="1413" w:type="dxa"/>
          </w:tcPr>
          <w:p w14:paraId="15619ACC" w14:textId="77777777" w:rsidR="001779C5" w:rsidRPr="00962079" w:rsidRDefault="001779C5" w:rsidP="001779C5">
            <w:pPr>
              <w:pStyle w:val="NoSpacing"/>
              <w:rPr>
                <w:rFonts w:ascii="Times New Roman" w:hAnsi="Times New Roman"/>
                <w:lang w:eastAsia="lv-LV"/>
              </w:rPr>
            </w:pPr>
            <w:r w:rsidRPr="00962079">
              <w:rPr>
                <w:rFonts w:ascii="Times New Roman" w:hAnsi="Times New Roman"/>
                <w:lang w:eastAsia="lv-LV"/>
              </w:rPr>
              <w:t>3.2. speciālais budžets</w:t>
            </w:r>
          </w:p>
        </w:tc>
        <w:tc>
          <w:tcPr>
            <w:tcW w:w="1701" w:type="dxa"/>
          </w:tcPr>
          <w:p w14:paraId="5C7C4333" w14:textId="7A1E307D" w:rsidR="001779C5" w:rsidRPr="007D3E6E" w:rsidRDefault="001779C5" w:rsidP="001779C5">
            <w:pPr>
              <w:pStyle w:val="NoSpacing"/>
              <w:jc w:val="right"/>
              <w:rPr>
                <w:rFonts w:ascii="Times New Roman" w:hAnsi="Times New Roman"/>
                <w:sz w:val="24"/>
                <w:szCs w:val="24"/>
                <w:lang w:eastAsia="lv-LV"/>
              </w:rPr>
            </w:pPr>
            <w:r w:rsidRPr="00EF1444">
              <w:rPr>
                <w:rFonts w:ascii="Times New Roman" w:hAnsi="Times New Roman"/>
                <w:sz w:val="24"/>
                <w:szCs w:val="24"/>
                <w:lang w:eastAsia="lv-LV"/>
              </w:rPr>
              <w:t>234</w:t>
            </w:r>
            <w:r>
              <w:rPr>
                <w:rFonts w:ascii="Times New Roman" w:hAnsi="Times New Roman"/>
                <w:sz w:val="24"/>
                <w:szCs w:val="24"/>
                <w:lang w:eastAsia="lv-LV"/>
              </w:rPr>
              <w:t xml:space="preserve"> </w:t>
            </w:r>
            <w:r w:rsidRPr="00EF1444">
              <w:rPr>
                <w:rFonts w:ascii="Times New Roman" w:hAnsi="Times New Roman"/>
                <w:sz w:val="24"/>
                <w:szCs w:val="24"/>
                <w:lang w:eastAsia="lv-LV"/>
              </w:rPr>
              <w:t>484</w:t>
            </w:r>
            <w:r>
              <w:rPr>
                <w:rFonts w:ascii="Times New Roman" w:hAnsi="Times New Roman"/>
                <w:sz w:val="24"/>
                <w:szCs w:val="24"/>
                <w:lang w:eastAsia="lv-LV"/>
              </w:rPr>
              <w:t xml:space="preserve"> </w:t>
            </w:r>
            <w:r w:rsidRPr="00EF1444">
              <w:rPr>
                <w:rFonts w:ascii="Times New Roman" w:hAnsi="Times New Roman"/>
                <w:sz w:val="24"/>
                <w:szCs w:val="24"/>
                <w:lang w:eastAsia="lv-LV"/>
              </w:rPr>
              <w:t>140</w:t>
            </w:r>
          </w:p>
        </w:tc>
        <w:tc>
          <w:tcPr>
            <w:tcW w:w="1417" w:type="dxa"/>
          </w:tcPr>
          <w:p w14:paraId="262AD31F"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53F20CB3"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7DE10F6"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D3D705A"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690C155E"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F9CADEA"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4AABF1C2" w14:textId="77777777" w:rsidTr="00B14E12">
        <w:trPr>
          <w:gridAfter w:val="1"/>
          <w:wAfter w:w="8" w:type="dxa"/>
          <w:jc w:val="center"/>
        </w:trPr>
        <w:tc>
          <w:tcPr>
            <w:tcW w:w="1413" w:type="dxa"/>
          </w:tcPr>
          <w:p w14:paraId="12BBD651"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lastRenderedPageBreak/>
              <w:t>3.3. pašvaldību budžets</w:t>
            </w:r>
          </w:p>
        </w:tc>
        <w:tc>
          <w:tcPr>
            <w:tcW w:w="1701" w:type="dxa"/>
          </w:tcPr>
          <w:p w14:paraId="4B19A6C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7" w:type="dxa"/>
          </w:tcPr>
          <w:p w14:paraId="322134A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3EEEDD1D"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CA57C9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23A8E17B"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20DEE9A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22B6677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25FC07B2" w14:textId="77777777" w:rsidTr="00B14E12">
        <w:trPr>
          <w:gridAfter w:val="1"/>
          <w:wAfter w:w="8" w:type="dxa"/>
          <w:jc w:val="center"/>
        </w:trPr>
        <w:tc>
          <w:tcPr>
            <w:tcW w:w="1413" w:type="dxa"/>
          </w:tcPr>
          <w:p w14:paraId="41667BCA"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4. Finanšu līdzekļi papildu izdevumu finansēšanai (kompensējošu izdevumu samazinājumu norāda ar "+" zīmi)</w:t>
            </w:r>
          </w:p>
        </w:tc>
        <w:tc>
          <w:tcPr>
            <w:tcW w:w="1701" w:type="dxa"/>
          </w:tcPr>
          <w:p w14:paraId="13A7C5D5"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X</w:t>
            </w:r>
          </w:p>
        </w:tc>
        <w:tc>
          <w:tcPr>
            <w:tcW w:w="1417" w:type="dxa"/>
          </w:tcPr>
          <w:p w14:paraId="265D40DE" w14:textId="77777777" w:rsidR="00064F32" w:rsidRPr="007D3E6E" w:rsidRDefault="00E16501"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851" w:type="dxa"/>
          </w:tcPr>
          <w:p w14:paraId="628E38D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528B40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58E60E9"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4228764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254D6A84"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49558BB9" w14:textId="77777777" w:rsidTr="00B14E12">
        <w:trPr>
          <w:gridAfter w:val="1"/>
          <w:wAfter w:w="8" w:type="dxa"/>
          <w:jc w:val="center"/>
        </w:trPr>
        <w:tc>
          <w:tcPr>
            <w:tcW w:w="1413" w:type="dxa"/>
          </w:tcPr>
          <w:p w14:paraId="50C004EA"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 Precizēta finansiālā ietekme</w:t>
            </w:r>
          </w:p>
        </w:tc>
        <w:tc>
          <w:tcPr>
            <w:tcW w:w="1701" w:type="dxa"/>
            <w:vMerge w:val="restart"/>
          </w:tcPr>
          <w:p w14:paraId="7189694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X</w:t>
            </w:r>
          </w:p>
        </w:tc>
        <w:tc>
          <w:tcPr>
            <w:tcW w:w="1417" w:type="dxa"/>
          </w:tcPr>
          <w:p w14:paraId="3F980A8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851" w:type="dxa"/>
            <w:vMerge w:val="restart"/>
          </w:tcPr>
          <w:p w14:paraId="46D8B92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34309E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val="restart"/>
          </w:tcPr>
          <w:p w14:paraId="3DDF670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3E80C41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CEFDF4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65B33339" w14:textId="77777777" w:rsidTr="00B14E12">
        <w:trPr>
          <w:gridAfter w:val="1"/>
          <w:wAfter w:w="8" w:type="dxa"/>
          <w:jc w:val="center"/>
        </w:trPr>
        <w:tc>
          <w:tcPr>
            <w:tcW w:w="1413" w:type="dxa"/>
          </w:tcPr>
          <w:p w14:paraId="71DE0575" w14:textId="77777777" w:rsidR="00064F32" w:rsidRPr="00962079" w:rsidRDefault="00064F32" w:rsidP="000044FA">
            <w:pPr>
              <w:pStyle w:val="NoSpacing"/>
              <w:rPr>
                <w:rFonts w:ascii="Times New Roman" w:hAnsi="Times New Roman"/>
                <w:sz w:val="20"/>
                <w:szCs w:val="20"/>
                <w:lang w:eastAsia="lv-LV"/>
              </w:rPr>
            </w:pPr>
            <w:r w:rsidRPr="00962079">
              <w:rPr>
                <w:rFonts w:ascii="Times New Roman" w:hAnsi="Times New Roman"/>
                <w:sz w:val="20"/>
                <w:szCs w:val="20"/>
                <w:lang w:eastAsia="lv-LV"/>
              </w:rPr>
              <w:t>5.1. valsts pamatbudžets</w:t>
            </w:r>
          </w:p>
        </w:tc>
        <w:tc>
          <w:tcPr>
            <w:tcW w:w="1701" w:type="dxa"/>
            <w:vMerge/>
          </w:tcPr>
          <w:p w14:paraId="6D843DC1" w14:textId="77777777" w:rsidR="00064F32" w:rsidRPr="007D3E6E" w:rsidRDefault="00064F32" w:rsidP="000044FA">
            <w:pPr>
              <w:pStyle w:val="NoSpacing"/>
              <w:jc w:val="right"/>
              <w:rPr>
                <w:rFonts w:ascii="Times New Roman" w:hAnsi="Times New Roman"/>
                <w:sz w:val="24"/>
                <w:szCs w:val="24"/>
                <w:lang w:eastAsia="lv-LV"/>
              </w:rPr>
            </w:pPr>
          </w:p>
        </w:tc>
        <w:tc>
          <w:tcPr>
            <w:tcW w:w="1417" w:type="dxa"/>
          </w:tcPr>
          <w:p w14:paraId="054216D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851" w:type="dxa"/>
            <w:vMerge/>
          </w:tcPr>
          <w:p w14:paraId="53721396"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5A663C2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1F1E9C21"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7458706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FDD3E7D"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75A000B9" w14:textId="77777777" w:rsidTr="00B14E12">
        <w:trPr>
          <w:gridAfter w:val="1"/>
          <w:wAfter w:w="8" w:type="dxa"/>
          <w:jc w:val="center"/>
        </w:trPr>
        <w:tc>
          <w:tcPr>
            <w:tcW w:w="1413" w:type="dxa"/>
          </w:tcPr>
          <w:p w14:paraId="26C10E9D"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5.2. speciālais budžets</w:t>
            </w:r>
          </w:p>
        </w:tc>
        <w:tc>
          <w:tcPr>
            <w:tcW w:w="1701" w:type="dxa"/>
            <w:vMerge/>
          </w:tcPr>
          <w:p w14:paraId="575A6F01" w14:textId="77777777" w:rsidR="00064F32" w:rsidRPr="007D3E6E" w:rsidRDefault="00064F32" w:rsidP="000044FA">
            <w:pPr>
              <w:pStyle w:val="NoSpacing"/>
              <w:jc w:val="right"/>
              <w:rPr>
                <w:rFonts w:ascii="Times New Roman" w:hAnsi="Times New Roman"/>
                <w:sz w:val="24"/>
                <w:szCs w:val="24"/>
                <w:lang w:eastAsia="lv-LV"/>
              </w:rPr>
            </w:pPr>
          </w:p>
        </w:tc>
        <w:tc>
          <w:tcPr>
            <w:tcW w:w="1417" w:type="dxa"/>
          </w:tcPr>
          <w:p w14:paraId="43616EA0"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vMerge/>
          </w:tcPr>
          <w:p w14:paraId="0BDDD43C"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5823A8A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6B0B25D3"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25B71135"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B1BD3F9"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6B097274" w14:textId="77777777" w:rsidTr="00B14E12">
        <w:trPr>
          <w:gridAfter w:val="1"/>
          <w:wAfter w:w="8" w:type="dxa"/>
          <w:jc w:val="center"/>
        </w:trPr>
        <w:tc>
          <w:tcPr>
            <w:tcW w:w="1413" w:type="dxa"/>
          </w:tcPr>
          <w:p w14:paraId="1648B06C"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5.3. pašvaldību budžets</w:t>
            </w:r>
          </w:p>
        </w:tc>
        <w:tc>
          <w:tcPr>
            <w:tcW w:w="1701" w:type="dxa"/>
            <w:vMerge/>
          </w:tcPr>
          <w:p w14:paraId="7DA4D268" w14:textId="77777777" w:rsidR="00064F32" w:rsidRPr="007D3E6E" w:rsidRDefault="00064F32" w:rsidP="000044FA">
            <w:pPr>
              <w:pStyle w:val="NoSpacing"/>
              <w:jc w:val="right"/>
              <w:rPr>
                <w:rFonts w:ascii="Times New Roman" w:hAnsi="Times New Roman"/>
                <w:sz w:val="24"/>
                <w:szCs w:val="24"/>
                <w:lang w:eastAsia="lv-LV"/>
              </w:rPr>
            </w:pPr>
          </w:p>
        </w:tc>
        <w:tc>
          <w:tcPr>
            <w:tcW w:w="1417" w:type="dxa"/>
          </w:tcPr>
          <w:p w14:paraId="3728E24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vMerge/>
          </w:tcPr>
          <w:p w14:paraId="367EB45C"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35DA081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08750598"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0C64444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D9C2A2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422AFA" w14:paraId="2F5C9D08" w14:textId="77777777" w:rsidTr="00B14E12">
        <w:trPr>
          <w:jc w:val="center"/>
        </w:trPr>
        <w:tc>
          <w:tcPr>
            <w:tcW w:w="1413" w:type="dxa"/>
          </w:tcPr>
          <w:p w14:paraId="6478C227"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6. Detalizēts ieņēmumu un izdevumu aprēķins (ja nepieciešams, detalizētu ieņēmumu un izdevumu aprēķinu var pievienot anotācijas pielikumā)</w:t>
            </w:r>
          </w:p>
        </w:tc>
        <w:tc>
          <w:tcPr>
            <w:tcW w:w="8088" w:type="dxa"/>
            <w:gridSpan w:val="8"/>
            <w:vMerge w:val="restart"/>
          </w:tcPr>
          <w:p w14:paraId="07BD2F4F" w14:textId="77777777" w:rsidR="00422AFA" w:rsidRPr="007D3E6E" w:rsidRDefault="00422AFA" w:rsidP="00422AFA">
            <w:pPr>
              <w:pStyle w:val="NoSpacing"/>
              <w:rPr>
                <w:rFonts w:ascii="Times New Roman" w:hAnsi="Times New Roman"/>
                <w:sz w:val="24"/>
                <w:szCs w:val="24"/>
                <w:lang w:eastAsia="lv-LV"/>
              </w:rPr>
            </w:pPr>
          </w:p>
          <w:p w14:paraId="07117E4C" w14:textId="66DDED3A" w:rsidR="007D7AC1" w:rsidRDefault="00AD3761" w:rsidP="007D7AC1">
            <w:pPr>
              <w:spacing w:before="120" w:after="120"/>
              <w:jc w:val="both"/>
              <w:rPr>
                <w:iCs/>
              </w:rPr>
            </w:pPr>
            <w:r w:rsidRPr="005E37B5">
              <w:t xml:space="preserve">Palielinot apropriāciju par </w:t>
            </w:r>
            <w:r w:rsidR="00CC644C">
              <w:t>3</w:t>
            </w:r>
            <w:r w:rsidRPr="005E37B5">
              <w:t xml:space="preserve">00,0 milj. </w:t>
            </w:r>
            <w:proofErr w:type="spellStart"/>
            <w:r w:rsidRPr="005E37B5">
              <w:rPr>
                <w:i/>
                <w:iCs/>
              </w:rPr>
              <w:t>euro</w:t>
            </w:r>
            <w:proofErr w:type="spellEnd"/>
            <w:r w:rsidRPr="005E37B5">
              <w:t>,</w:t>
            </w:r>
            <w:r w:rsidR="007D7AC1">
              <w:t xml:space="preserve"> attiecīgi palielināsies </w:t>
            </w:r>
            <w:r w:rsidR="007D7AC1" w:rsidRPr="009D1C04">
              <w:rPr>
                <w:iCs/>
              </w:rPr>
              <w:t>valst</w:t>
            </w:r>
            <w:r w:rsidR="007D7AC1">
              <w:rPr>
                <w:iCs/>
              </w:rPr>
              <w:t>s konsolidētā budžeta finansiālais deficīts</w:t>
            </w:r>
            <w:r w:rsidR="007D7AC1" w:rsidRPr="009D1C04">
              <w:rPr>
                <w:iCs/>
              </w:rPr>
              <w:t>.</w:t>
            </w:r>
          </w:p>
          <w:p w14:paraId="215480FE" w14:textId="051E7D60" w:rsidR="007505C3" w:rsidRDefault="007505C3" w:rsidP="007505C3">
            <w:pPr>
              <w:spacing w:before="120" w:after="120"/>
              <w:jc w:val="both"/>
            </w:pPr>
            <w:r w:rsidRPr="00621FE6">
              <w:t>Latvijai, tāpat kā citām Eiropas Savienības dalībvalstīm tiek atļauts pēc nepieciešamības īstenot budžeta atbalsta pasākumus gan ieņēmumu, gan izdevumu pusē</w:t>
            </w:r>
            <w:r>
              <w:t>, lai ierobežotu Covid-19 negatīvo ietekmi uz valsts ekonomiku. Tas nozīmē, ka valsts budžeta deficīta pieaugs un normālā situācijā tas novestu pie Eiropas Savienības budžeta disciplīnas nosacījumu pārkāpuma. Tomēr šajā situācijā, valstīm tiek ļauts neievērot budžeta disciplīnas nosacījumus, tik tālu cik tas nepieciešams</w:t>
            </w:r>
            <w:r w:rsidRPr="00AA6209">
              <w:t xml:space="preserve">, lai dalībvalstis varētu īstenot pasākumus </w:t>
            </w:r>
            <w:r>
              <w:t xml:space="preserve">Covid-19 </w:t>
            </w:r>
            <w:r w:rsidRPr="00AA6209">
              <w:t>uzliesmojuma ierobežošanai un mazinātu tā negatīvo sociālekonomisko ietekmi.</w:t>
            </w:r>
          </w:p>
          <w:p w14:paraId="6AE2C420" w14:textId="77777777" w:rsidR="007505C3" w:rsidRPr="007D7AC1" w:rsidRDefault="007505C3" w:rsidP="007D7AC1">
            <w:pPr>
              <w:spacing w:before="120" w:after="120"/>
              <w:jc w:val="both"/>
            </w:pPr>
          </w:p>
          <w:p w14:paraId="38D71C11" w14:textId="63462D76" w:rsidR="007D7AC1" w:rsidRPr="007D3E6E" w:rsidRDefault="007D7AC1" w:rsidP="00CC644C">
            <w:pPr>
              <w:spacing w:before="120" w:after="120"/>
              <w:jc w:val="both"/>
              <w:rPr>
                <w:color w:val="FF0000"/>
              </w:rPr>
            </w:pPr>
          </w:p>
        </w:tc>
      </w:tr>
      <w:tr w:rsidR="00422AFA" w14:paraId="032D437D" w14:textId="77777777" w:rsidTr="00B14E12">
        <w:trPr>
          <w:jc w:val="center"/>
        </w:trPr>
        <w:tc>
          <w:tcPr>
            <w:tcW w:w="1413" w:type="dxa"/>
          </w:tcPr>
          <w:p w14:paraId="0F01021E"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6.1. detalizēts ieņēmumu aprēķins</w:t>
            </w:r>
          </w:p>
        </w:tc>
        <w:tc>
          <w:tcPr>
            <w:tcW w:w="8088" w:type="dxa"/>
            <w:gridSpan w:val="8"/>
            <w:vMerge/>
          </w:tcPr>
          <w:p w14:paraId="34BAF3F1" w14:textId="77777777" w:rsidR="00422AFA" w:rsidRPr="004B0522" w:rsidRDefault="00422AFA" w:rsidP="000044FA">
            <w:pPr>
              <w:pStyle w:val="NoSpacing"/>
              <w:jc w:val="right"/>
              <w:rPr>
                <w:rFonts w:ascii="Times New Roman" w:hAnsi="Times New Roman"/>
                <w:sz w:val="20"/>
                <w:szCs w:val="20"/>
                <w:lang w:eastAsia="lv-LV"/>
              </w:rPr>
            </w:pPr>
          </w:p>
        </w:tc>
      </w:tr>
      <w:tr w:rsidR="00422AFA" w14:paraId="3B7EF858" w14:textId="77777777" w:rsidTr="00B14E12">
        <w:trPr>
          <w:jc w:val="center"/>
        </w:trPr>
        <w:tc>
          <w:tcPr>
            <w:tcW w:w="1413" w:type="dxa"/>
          </w:tcPr>
          <w:p w14:paraId="7A82CB34"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6.2. detalizēts izdevumu aprēķins</w:t>
            </w:r>
          </w:p>
        </w:tc>
        <w:tc>
          <w:tcPr>
            <w:tcW w:w="8088" w:type="dxa"/>
            <w:gridSpan w:val="8"/>
            <w:vMerge/>
          </w:tcPr>
          <w:p w14:paraId="06BA7DF6" w14:textId="77777777" w:rsidR="00422AFA" w:rsidRPr="004B0522" w:rsidRDefault="00422AFA" w:rsidP="000044FA">
            <w:pPr>
              <w:pStyle w:val="NoSpacing"/>
              <w:jc w:val="right"/>
              <w:rPr>
                <w:rFonts w:ascii="Times New Roman" w:hAnsi="Times New Roman"/>
                <w:sz w:val="20"/>
                <w:szCs w:val="20"/>
                <w:lang w:eastAsia="lv-LV"/>
              </w:rPr>
            </w:pPr>
          </w:p>
        </w:tc>
      </w:tr>
      <w:tr w:rsidR="001611E9" w14:paraId="7DEA98C3" w14:textId="77777777" w:rsidTr="00B14E12">
        <w:trPr>
          <w:jc w:val="center"/>
        </w:trPr>
        <w:tc>
          <w:tcPr>
            <w:tcW w:w="1413" w:type="dxa"/>
          </w:tcPr>
          <w:p w14:paraId="110A27BB"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7. Amata vietu skaita izmaiņas</w:t>
            </w:r>
          </w:p>
        </w:tc>
        <w:tc>
          <w:tcPr>
            <w:tcW w:w="8088" w:type="dxa"/>
            <w:gridSpan w:val="8"/>
          </w:tcPr>
          <w:p w14:paraId="4DA2E9A7" w14:textId="77777777" w:rsidR="001611E9" w:rsidRPr="004B0522" w:rsidRDefault="00B4749B" w:rsidP="000044FA">
            <w:pPr>
              <w:pStyle w:val="NoSpacing"/>
              <w:rPr>
                <w:rFonts w:ascii="Times New Roman" w:hAnsi="Times New Roman"/>
                <w:sz w:val="24"/>
                <w:szCs w:val="24"/>
                <w:lang w:eastAsia="lv-LV"/>
              </w:rPr>
            </w:pPr>
            <w:r>
              <w:rPr>
                <w:rFonts w:ascii="Times New Roman" w:hAnsi="Times New Roman"/>
                <w:sz w:val="24"/>
                <w:szCs w:val="24"/>
              </w:rPr>
              <w:t>Projekts šo jomu neskar</w:t>
            </w:r>
          </w:p>
        </w:tc>
      </w:tr>
      <w:tr w:rsidR="001611E9" w14:paraId="75D4CB1E" w14:textId="77777777" w:rsidTr="00B14E12">
        <w:trPr>
          <w:jc w:val="center"/>
        </w:trPr>
        <w:tc>
          <w:tcPr>
            <w:tcW w:w="1413" w:type="dxa"/>
          </w:tcPr>
          <w:p w14:paraId="2BF35CAA"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8. Cita informācija</w:t>
            </w:r>
          </w:p>
        </w:tc>
        <w:tc>
          <w:tcPr>
            <w:tcW w:w="8088" w:type="dxa"/>
            <w:gridSpan w:val="8"/>
          </w:tcPr>
          <w:p w14:paraId="3236A7EC" w14:textId="77777777" w:rsidR="001611E9" w:rsidRPr="004B0522" w:rsidRDefault="001611E9" w:rsidP="000044FA">
            <w:pPr>
              <w:jc w:val="both"/>
              <w:rPr>
                <w:bCs/>
                <w:color w:val="000000"/>
              </w:rPr>
            </w:pPr>
            <w:r w:rsidRPr="004B0522">
              <w:rPr>
                <w:bCs/>
                <w:color w:val="000000"/>
              </w:rPr>
              <w:t>Nav</w:t>
            </w:r>
          </w:p>
        </w:tc>
      </w:tr>
    </w:tbl>
    <w:p w14:paraId="7F813B8D" w14:textId="77777777" w:rsidR="009D36DE" w:rsidRPr="009D36DE"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7D3E6E" w14:paraId="0F3650F4"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BD68197" w14:textId="77777777" w:rsidR="009D36DE" w:rsidRPr="007D3E6E" w:rsidRDefault="009D36DE" w:rsidP="000044FA">
            <w:pPr>
              <w:spacing w:before="100" w:after="100" w:line="293" w:lineRule="atLeast"/>
              <w:jc w:val="center"/>
            </w:pPr>
            <w:r w:rsidRPr="007D3E6E">
              <w:rPr>
                <w:b/>
                <w:bCs/>
              </w:rPr>
              <w:t>IV. Tiesību aktu projektu ietekme uz spēkā esošo tiesību normu sistēmu</w:t>
            </w:r>
          </w:p>
        </w:tc>
      </w:tr>
      <w:tr w:rsidR="009D36DE" w:rsidRPr="007D3E6E" w14:paraId="094A977A"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1CC64FA" w14:textId="77777777" w:rsidR="009D36DE" w:rsidRPr="007D3E6E" w:rsidRDefault="009D36DE" w:rsidP="009C7442">
            <w:pPr>
              <w:spacing w:before="100" w:after="100"/>
              <w:jc w:val="center"/>
            </w:pPr>
            <w:r w:rsidRPr="007D3E6E">
              <w:t>Projekts šo jomu neskar</w:t>
            </w:r>
          </w:p>
        </w:tc>
      </w:tr>
    </w:tbl>
    <w:p w14:paraId="0DA1CFD5" w14:textId="77777777" w:rsidR="009D36DE" w:rsidRPr="007D3E6E" w:rsidRDefault="009D36DE" w:rsidP="000044FA"/>
    <w:tbl>
      <w:tblPr>
        <w:tblW w:w="5160" w:type="pct"/>
        <w:tblInd w:w="-145" w:type="dxa"/>
        <w:tblCellMar>
          <w:left w:w="10" w:type="dxa"/>
          <w:right w:w="10" w:type="dxa"/>
        </w:tblCellMar>
        <w:tblLook w:val="0000" w:firstRow="0" w:lastRow="0" w:firstColumn="0" w:lastColumn="0" w:noHBand="0" w:noVBand="0"/>
      </w:tblPr>
      <w:tblGrid>
        <w:gridCol w:w="747"/>
        <w:gridCol w:w="2514"/>
        <w:gridCol w:w="6095"/>
      </w:tblGrid>
      <w:tr w:rsidR="009D36DE" w:rsidRPr="007D3E6E" w14:paraId="341A5737" w14:textId="77777777" w:rsidTr="00465143">
        <w:tc>
          <w:tcPr>
            <w:tcW w:w="9356" w:type="dxa"/>
            <w:gridSpan w:val="3"/>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3AECDD0" w14:textId="77777777" w:rsidR="009D36DE" w:rsidRPr="007D3E6E" w:rsidRDefault="009D36DE" w:rsidP="000044FA">
            <w:pPr>
              <w:spacing w:before="100" w:after="100" w:line="293" w:lineRule="atLeast"/>
              <w:jc w:val="center"/>
            </w:pPr>
            <w:r w:rsidRPr="007D3E6E">
              <w:rPr>
                <w:b/>
                <w:bCs/>
              </w:rPr>
              <w:lastRenderedPageBreak/>
              <w:t>V. Tiesību aktu projektu atbilstība Latvijas Republikas starptautiskajām saistībām</w:t>
            </w:r>
          </w:p>
        </w:tc>
      </w:tr>
      <w:tr w:rsidR="00465143" w:rsidRPr="007D3E6E" w14:paraId="057C309B"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F17542" w14:textId="77777777" w:rsidR="00465143" w:rsidRPr="007D3E6E" w:rsidRDefault="00465143" w:rsidP="003D6F8A">
            <w:pPr>
              <w:spacing w:before="100" w:after="100"/>
            </w:pPr>
            <w:r w:rsidRPr="007D3E6E">
              <w:t>1.</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2C469D" w14:textId="17753AAA" w:rsidR="00465143" w:rsidRPr="007D3E6E" w:rsidRDefault="00465143" w:rsidP="003D6F8A">
            <w:pPr>
              <w:spacing w:before="100" w:after="100"/>
            </w:pPr>
            <w:r w:rsidRPr="00385822">
              <w:rPr>
                <w:iCs/>
              </w:rPr>
              <w:t>Saistības pret Eiropas Savienību</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8A1D87" w14:textId="77777777" w:rsidR="00DC735E" w:rsidRDefault="00DC735E" w:rsidP="00DC735E">
            <w:pPr>
              <w:spacing w:before="120" w:after="120"/>
              <w:jc w:val="both"/>
            </w:pPr>
            <w:r>
              <w:t>Eiropas Savienības budžeta disciplīnas ietvars jeb tā sauktais Stabilitātes un izaugsmes pakts paredz dalībvalstīm nodrošināt “veselīgas” publiskās finanses t.i. samērīgu budžeta deficīta un parāda apmēru, kā arī koordinēt dalībvalstu budžeta politiku Eiropas Savienības līmenī.</w:t>
            </w:r>
          </w:p>
          <w:p w14:paraId="169B9D49" w14:textId="77777777" w:rsidR="00DC735E" w:rsidRDefault="00DC735E" w:rsidP="00DC735E">
            <w:pPr>
              <w:spacing w:before="120" w:after="120"/>
              <w:jc w:val="both"/>
            </w:pPr>
            <w:r>
              <w:t xml:space="preserve">Stabilitātes un izaugsmes pakts nosaka ierobežojumus attiecībā uz dalībvalstu pieļaujamo budžeta deficīta un parāda apmēru, kā arī regulē trajektoriju, ar kādu dalībvalstīm ir jānodrošina virzība uz Stabilitātes un izaugsmes </w:t>
            </w:r>
            <w:proofErr w:type="spellStart"/>
            <w:r>
              <w:t>paktā</w:t>
            </w:r>
            <w:proofErr w:type="spellEnd"/>
            <w:r>
              <w:t xml:space="preserve"> noteiktajām budžeta deficīta un parāda robežvērtībām. </w:t>
            </w:r>
          </w:p>
          <w:p w14:paraId="6AEDB9CE" w14:textId="77777777" w:rsidR="00DC735E" w:rsidRDefault="00DC735E" w:rsidP="00DC735E">
            <w:pPr>
              <w:spacing w:before="120" w:after="120"/>
              <w:jc w:val="both"/>
            </w:pPr>
            <w:r>
              <w:t>Vienlaikus šajā ietvarā ir noteikti mehānismi, kas specifiskās situācijās ļauj dalībvalstīm uz laiku atkāpties no budžeta disciplīnas nosacījumiem.</w:t>
            </w:r>
          </w:p>
          <w:p w14:paraId="48A88AB3" w14:textId="2AD8C1C9" w:rsidR="00465143" w:rsidRDefault="00465143" w:rsidP="00DC735E">
            <w:pPr>
              <w:spacing w:before="120" w:after="120"/>
              <w:jc w:val="both"/>
            </w:pPr>
            <w:r w:rsidRPr="00386E12">
              <w:t xml:space="preserve">Valsts </w:t>
            </w:r>
            <w:r>
              <w:t>atbalsts C</w:t>
            </w:r>
            <w:r w:rsidR="005D20D4">
              <w:t>ovid</w:t>
            </w:r>
            <w:r>
              <w:t>-19 negatīvo seku mazināšanai tiek finansēts nevis ar pašu nopelnīto naudu, bet gan ar aizņemto naudu, palielinot valsts deficītu un parādu virs iepriekš plānotā līmeņa.</w:t>
            </w:r>
          </w:p>
          <w:p w14:paraId="3C9D9C26" w14:textId="5B56F038" w:rsidR="00FA1F6A" w:rsidRPr="007D3E6E" w:rsidRDefault="00465143" w:rsidP="006400F2">
            <w:pPr>
              <w:spacing w:before="120" w:after="120"/>
              <w:jc w:val="both"/>
            </w:pPr>
            <w:r>
              <w:t>Stabilitātes un izaugsmes pakts paredz iespēju neievērot iepriekš noteikto pieļaujamo deficīta un parāda līmeni, ja (1) iestājas ārkārtēji apstākļi, kas ir ārpus valdību kontroles, vai arī, ja  (2) iestājas būtiska recesija ES vai tās dalībvalstī. Iepriekš EK jau sniedza paziņojumu, ka tā atzīst C</w:t>
            </w:r>
            <w:r w:rsidR="005D20D4">
              <w:t>ovid</w:t>
            </w:r>
            <w:r>
              <w:t>-19 par atbilstošu pirmajam kritērijam. 20.marta paziņojumā tā atzina, ka C</w:t>
            </w:r>
            <w:r w:rsidR="005D20D4">
              <w:t>ovid</w:t>
            </w:r>
            <w:r>
              <w:t>-19 atbilst arī otrajam kritērijam.</w:t>
            </w:r>
          </w:p>
        </w:tc>
      </w:tr>
      <w:tr w:rsidR="00465143" w:rsidRPr="007D3E6E" w14:paraId="5544F8D7" w14:textId="77777777" w:rsidTr="00465143">
        <w:trPr>
          <w:trHeight w:val="513"/>
        </w:trPr>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6152C6" w14:textId="77777777" w:rsidR="00465143" w:rsidRPr="007D3E6E" w:rsidRDefault="00465143" w:rsidP="003D6F8A">
            <w:pPr>
              <w:spacing w:before="100" w:after="100"/>
            </w:pPr>
            <w:r w:rsidRPr="007D3E6E">
              <w:t>2.</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0CC6C3" w14:textId="588439CF" w:rsidR="00465143" w:rsidRPr="007D3E6E" w:rsidRDefault="00465143" w:rsidP="003D6F8A">
            <w:pPr>
              <w:spacing w:before="100" w:after="100"/>
            </w:pPr>
            <w:r w:rsidRPr="00122F4B">
              <w:rPr>
                <w:iCs/>
              </w:rPr>
              <w:t>Citas starptautiskās saistības</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D2138D" w14:textId="018E0F72" w:rsidR="00465143" w:rsidRPr="007D3E6E" w:rsidRDefault="00465143" w:rsidP="00465143">
            <w:pPr>
              <w:shd w:val="clear" w:color="auto" w:fill="FFFFFF"/>
              <w:spacing w:before="120" w:after="120"/>
              <w:jc w:val="both"/>
            </w:pPr>
            <w:r w:rsidRPr="007D3E6E">
              <w:t>Projekts šo jomu neskar</w:t>
            </w:r>
          </w:p>
        </w:tc>
      </w:tr>
      <w:tr w:rsidR="00465143" w:rsidRPr="007D3E6E" w14:paraId="1D850DF0"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0B2A2B" w14:textId="77777777" w:rsidR="00465143" w:rsidRPr="007D3E6E" w:rsidRDefault="00465143" w:rsidP="003D6F8A">
            <w:r w:rsidRPr="007D3E6E">
              <w:t>3.</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5D9A33" w14:textId="77777777" w:rsidR="00465143" w:rsidRPr="007D3E6E" w:rsidRDefault="00465143" w:rsidP="003D6F8A">
            <w:r w:rsidRPr="007D3E6E">
              <w:t>Cita informācija</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F1638E" w14:textId="77777777" w:rsidR="00465143" w:rsidRPr="007D3E6E" w:rsidRDefault="00465143" w:rsidP="003D6F8A">
            <w:pPr>
              <w:jc w:val="both"/>
            </w:pPr>
            <w:r w:rsidRPr="007D3E6E">
              <w:t>Nav</w:t>
            </w:r>
          </w:p>
        </w:tc>
      </w:tr>
    </w:tbl>
    <w:p w14:paraId="536F51B7" w14:textId="161DE399" w:rsidR="009D36DE" w:rsidRDefault="009D36DE" w:rsidP="000044FA"/>
    <w:tbl>
      <w:tblPr>
        <w:tblW w:w="5159" w:type="pct"/>
        <w:jc w:val="center"/>
        <w:tblCellMar>
          <w:left w:w="10" w:type="dxa"/>
          <w:right w:w="10" w:type="dxa"/>
        </w:tblCellMar>
        <w:tblLook w:val="0000" w:firstRow="0" w:lastRow="0" w:firstColumn="0" w:lastColumn="0" w:noHBand="0" w:noVBand="0"/>
      </w:tblPr>
      <w:tblGrid>
        <w:gridCol w:w="9350"/>
      </w:tblGrid>
      <w:tr w:rsidR="00465143" w:rsidRPr="007D3E6E" w14:paraId="4F251BD8" w14:textId="77777777" w:rsidTr="003D6F8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0E57E25" w14:textId="4CF83A96" w:rsidR="00465143" w:rsidRPr="007D3E6E" w:rsidRDefault="00465143" w:rsidP="00465143">
            <w:pPr>
              <w:ind w:firstLine="301"/>
              <w:jc w:val="center"/>
              <w:rPr>
                <w:b/>
                <w:bCs/>
              </w:rPr>
            </w:pPr>
            <w:r w:rsidRPr="00D91400">
              <w:rPr>
                <w:b/>
                <w:bCs/>
                <w:iCs/>
              </w:rPr>
              <w:t>1. tabula</w:t>
            </w:r>
            <w:r w:rsidRPr="00D91400">
              <w:rPr>
                <w:b/>
                <w:bCs/>
                <w:iCs/>
              </w:rPr>
              <w:br/>
              <w:t>Tiesību akta projekta atbilstība ES tiesību aktiem</w:t>
            </w:r>
          </w:p>
        </w:tc>
      </w:tr>
      <w:tr w:rsidR="00465143" w:rsidRPr="007D3E6E" w14:paraId="61067AED" w14:textId="77777777" w:rsidTr="003D6F8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AA1578" w14:textId="77777777" w:rsidR="00465143" w:rsidRPr="007D3E6E" w:rsidRDefault="00465143" w:rsidP="009C7442">
            <w:pPr>
              <w:spacing w:before="100" w:after="100"/>
              <w:ind w:firstLine="301"/>
              <w:jc w:val="center"/>
              <w:rPr>
                <w:b/>
                <w:bCs/>
              </w:rPr>
            </w:pPr>
            <w:r w:rsidRPr="007D3E6E">
              <w:t>Projekts šo jomu neskar</w:t>
            </w:r>
          </w:p>
        </w:tc>
      </w:tr>
    </w:tbl>
    <w:p w14:paraId="13B11A15" w14:textId="442EC98D" w:rsidR="00465143"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465143" w:rsidRPr="007D3E6E" w14:paraId="4F3A0DB9" w14:textId="77777777" w:rsidTr="003D6F8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57EDEE6" w14:textId="66169F51" w:rsidR="00465143" w:rsidRPr="007D3E6E" w:rsidRDefault="00465143" w:rsidP="00465143">
            <w:pPr>
              <w:ind w:firstLine="301"/>
              <w:jc w:val="center"/>
              <w:rPr>
                <w:b/>
                <w:bCs/>
              </w:rPr>
            </w:pPr>
            <w:r w:rsidRPr="00D91400">
              <w:rPr>
                <w:b/>
                <w:bCs/>
                <w:iCs/>
              </w:rPr>
              <w:t>2. tabula</w:t>
            </w:r>
            <w:r w:rsidRPr="00D91400">
              <w:rPr>
                <w:b/>
                <w:bCs/>
                <w:iCs/>
              </w:rPr>
              <w:br/>
              <w:t>Ar tiesību akta projektu izpildītās vai uzņemtās saistības, kas izriet no starptautiskajiem tiesību aktiem vai starptautiskas institūcijas vai organizācijas dokumentiem.</w:t>
            </w:r>
            <w:r w:rsidRPr="00D91400">
              <w:rPr>
                <w:b/>
                <w:bCs/>
                <w:iCs/>
              </w:rPr>
              <w:br/>
              <w:t>Pasākumi šo saistību izpildei</w:t>
            </w:r>
          </w:p>
        </w:tc>
      </w:tr>
      <w:tr w:rsidR="00465143" w:rsidRPr="007D3E6E" w14:paraId="414F9F98" w14:textId="77777777" w:rsidTr="003D6F8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12D48D4" w14:textId="77777777" w:rsidR="00465143" w:rsidRPr="007D3E6E" w:rsidRDefault="00465143" w:rsidP="009C7442">
            <w:pPr>
              <w:spacing w:before="100" w:after="100"/>
              <w:ind w:firstLine="301"/>
              <w:jc w:val="center"/>
              <w:rPr>
                <w:b/>
                <w:bCs/>
              </w:rPr>
            </w:pPr>
            <w:r w:rsidRPr="007D3E6E">
              <w:t>Projekts šo jomu neskar</w:t>
            </w:r>
          </w:p>
        </w:tc>
      </w:tr>
    </w:tbl>
    <w:p w14:paraId="51B23118" w14:textId="77777777" w:rsidR="00465143" w:rsidRPr="007D3E6E"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9D36DE" w:rsidRPr="007D3E6E" w14:paraId="135AC213"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9EB38B" w14:textId="77777777" w:rsidR="009D36DE" w:rsidRPr="007D3E6E" w:rsidRDefault="009D36DE" w:rsidP="000044FA">
            <w:pPr>
              <w:spacing w:before="100" w:after="100" w:line="360" w:lineRule="auto"/>
              <w:ind w:firstLine="300"/>
              <w:jc w:val="center"/>
              <w:rPr>
                <w:b/>
                <w:bCs/>
              </w:rPr>
            </w:pPr>
            <w:r w:rsidRPr="007D3E6E">
              <w:rPr>
                <w:b/>
                <w:bCs/>
              </w:rPr>
              <w:t>VI. Sabiedrības līdzdalība un komunikācijas aktivitātes</w:t>
            </w:r>
          </w:p>
        </w:tc>
      </w:tr>
      <w:tr w:rsidR="003B60B8" w:rsidRPr="007D3E6E" w14:paraId="33DC9CAF"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BD42002" w14:textId="77777777" w:rsidR="003B60B8" w:rsidRPr="007D3E6E" w:rsidRDefault="003B60B8" w:rsidP="009C7442">
            <w:pPr>
              <w:spacing w:before="100" w:after="100"/>
              <w:ind w:firstLine="301"/>
              <w:jc w:val="center"/>
              <w:rPr>
                <w:b/>
                <w:bCs/>
              </w:rPr>
            </w:pPr>
            <w:r w:rsidRPr="007D3E6E">
              <w:t>Projekts šo jomu neskar</w:t>
            </w:r>
          </w:p>
        </w:tc>
      </w:tr>
    </w:tbl>
    <w:p w14:paraId="3173A2A4" w14:textId="77777777" w:rsidR="009D36DE" w:rsidRPr="007D3E6E" w:rsidRDefault="009D36DE" w:rsidP="000044FA"/>
    <w:tbl>
      <w:tblPr>
        <w:tblW w:w="5166" w:type="pct"/>
        <w:tblInd w:w="-150" w:type="dxa"/>
        <w:tblCellMar>
          <w:left w:w="10" w:type="dxa"/>
          <w:right w:w="10" w:type="dxa"/>
        </w:tblCellMar>
        <w:tblLook w:val="0000" w:firstRow="0" w:lastRow="0" w:firstColumn="0" w:lastColumn="0" w:noHBand="0" w:noVBand="0"/>
      </w:tblPr>
      <w:tblGrid>
        <w:gridCol w:w="748"/>
        <w:gridCol w:w="4214"/>
        <w:gridCol w:w="4395"/>
      </w:tblGrid>
      <w:tr w:rsidR="009D36DE" w:rsidRPr="007D3E6E" w14:paraId="167E4317" w14:textId="77777777" w:rsidTr="00372421">
        <w:tc>
          <w:tcPr>
            <w:tcW w:w="9357"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3348D7" w14:textId="77777777" w:rsidR="009D36DE" w:rsidRPr="007D3E6E" w:rsidRDefault="009D36DE" w:rsidP="000044FA">
            <w:pPr>
              <w:spacing w:before="100" w:after="100"/>
              <w:jc w:val="center"/>
              <w:rPr>
                <w:b/>
                <w:bCs/>
              </w:rPr>
            </w:pPr>
            <w:r w:rsidRPr="007D3E6E">
              <w:rPr>
                <w:b/>
                <w:bCs/>
              </w:rPr>
              <w:lastRenderedPageBreak/>
              <w:t>VII. Tiesību akta projekta izpildes nodrošināšana un tās ietekme uz institūcijām</w:t>
            </w:r>
          </w:p>
        </w:tc>
      </w:tr>
      <w:tr w:rsidR="003B60B8" w:rsidRPr="007D3E6E" w14:paraId="56989E49"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E07AD0" w14:textId="77777777" w:rsidR="003B60B8" w:rsidRPr="007D3E6E" w:rsidRDefault="003B60B8" w:rsidP="000044FA">
            <w:pPr>
              <w:spacing w:before="100" w:after="100"/>
            </w:pPr>
            <w:r w:rsidRPr="007D3E6E">
              <w:t>1.</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42C8B" w14:textId="77777777" w:rsidR="003B60B8" w:rsidRPr="007D3E6E" w:rsidRDefault="003B60B8" w:rsidP="000044FA">
            <w:pPr>
              <w:spacing w:before="100" w:after="100"/>
            </w:pPr>
            <w:r w:rsidRPr="007D3E6E">
              <w:t>Projekta izpildē iesaistītās institūcijas</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BDA611" w14:textId="77777777" w:rsidR="003B60B8" w:rsidRPr="007D3E6E" w:rsidRDefault="004422AA" w:rsidP="009C7442">
            <w:pPr>
              <w:shd w:val="clear" w:color="auto" w:fill="FFFFFF"/>
              <w:spacing w:before="120" w:after="120"/>
              <w:jc w:val="both"/>
            </w:pPr>
            <w:r w:rsidRPr="007D3E6E">
              <w:rPr>
                <w:bCs/>
                <w:color w:val="000000"/>
              </w:rPr>
              <w:t xml:space="preserve">Ministrijas un </w:t>
            </w:r>
            <w:r w:rsidR="00B4749B" w:rsidRPr="007D3E6E">
              <w:rPr>
                <w:bCs/>
                <w:color w:val="000000"/>
              </w:rPr>
              <w:t>citas centrālās valsts iestādes</w:t>
            </w:r>
          </w:p>
        </w:tc>
      </w:tr>
      <w:tr w:rsidR="003B60B8" w:rsidRPr="007D3E6E" w14:paraId="7B922FD7"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FD34A1" w14:textId="77777777" w:rsidR="003B60B8" w:rsidRPr="007D3E6E" w:rsidRDefault="003B60B8" w:rsidP="000044FA">
            <w:pPr>
              <w:spacing w:before="100" w:after="100"/>
            </w:pPr>
            <w:r w:rsidRPr="007D3E6E">
              <w:t>2.</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D8E3BA" w14:textId="77777777" w:rsidR="003B60B8" w:rsidRPr="007D3E6E" w:rsidRDefault="003B60B8" w:rsidP="000044FA">
            <w:pPr>
              <w:spacing w:before="100" w:after="100"/>
            </w:pPr>
            <w:r w:rsidRPr="007D3E6E">
              <w:t xml:space="preserve">Projekta izpildes ietekme uz pārvaldes funkcijām un institucionālo struktūru. </w:t>
            </w:r>
          </w:p>
          <w:p w14:paraId="26A504E1" w14:textId="77777777" w:rsidR="003B60B8" w:rsidRPr="007D3E6E" w:rsidRDefault="003B60B8" w:rsidP="000044FA">
            <w:pPr>
              <w:spacing w:before="100" w:after="100"/>
            </w:pPr>
            <w:r w:rsidRPr="007D3E6E">
              <w:t>Jaunu institūciju izveide, esošu institūciju likvidācija vai reorganizācija, to ietekme uz institūcijas cilvēkresursiem</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B8E8F5" w14:textId="77777777" w:rsidR="003B60B8" w:rsidRPr="007D3E6E" w:rsidRDefault="00B4749B" w:rsidP="009C7442">
            <w:pPr>
              <w:shd w:val="clear" w:color="auto" w:fill="FFFFFF"/>
              <w:spacing w:before="120" w:after="120"/>
              <w:jc w:val="both"/>
            </w:pPr>
            <w:r w:rsidRPr="007D3E6E">
              <w:t>Projekts šo jomu neskar</w:t>
            </w:r>
          </w:p>
          <w:p w14:paraId="07CDC1D8" w14:textId="77777777" w:rsidR="003B60B8" w:rsidRPr="007D3E6E" w:rsidRDefault="003B60B8" w:rsidP="009C7442">
            <w:pPr>
              <w:shd w:val="clear" w:color="auto" w:fill="FFFFFF"/>
              <w:jc w:val="both"/>
            </w:pPr>
          </w:p>
        </w:tc>
      </w:tr>
      <w:tr w:rsidR="009D36DE" w:rsidRPr="007D3E6E" w14:paraId="06E6EC7B"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424A09" w14:textId="77777777" w:rsidR="009D36DE" w:rsidRPr="007D3E6E" w:rsidRDefault="009D36DE" w:rsidP="000044FA">
            <w:r w:rsidRPr="007D3E6E">
              <w:t>3.</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1F09B8" w14:textId="77777777" w:rsidR="009D36DE" w:rsidRPr="007D3E6E" w:rsidRDefault="009D36DE" w:rsidP="000044FA">
            <w:r w:rsidRPr="007D3E6E">
              <w:t>Cita informācija</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C4B881" w14:textId="77777777" w:rsidR="009D36DE" w:rsidRPr="007D3E6E" w:rsidRDefault="009D36DE" w:rsidP="009C7442">
            <w:pPr>
              <w:jc w:val="both"/>
            </w:pPr>
            <w:r w:rsidRPr="007D3E6E">
              <w:t>Nav</w:t>
            </w:r>
          </w:p>
        </w:tc>
      </w:tr>
    </w:tbl>
    <w:p w14:paraId="640AE653" w14:textId="77777777" w:rsidR="009D36DE" w:rsidRPr="007D3E6E" w:rsidRDefault="009D36DE" w:rsidP="000044FA">
      <w:pPr>
        <w:ind w:firstLine="720"/>
      </w:pPr>
    </w:p>
    <w:p w14:paraId="7F84DDB1" w14:textId="77777777" w:rsidR="00372421" w:rsidRDefault="00372421" w:rsidP="00E218B9">
      <w:pPr>
        <w:pStyle w:val="BodyText"/>
        <w:jc w:val="both"/>
        <w:rPr>
          <w:sz w:val="26"/>
          <w:szCs w:val="26"/>
        </w:rPr>
      </w:pPr>
    </w:p>
    <w:p w14:paraId="039B4DD4" w14:textId="77777777" w:rsidR="00372421" w:rsidRDefault="00372421" w:rsidP="00E218B9">
      <w:pPr>
        <w:pStyle w:val="BodyText"/>
        <w:jc w:val="both"/>
        <w:rPr>
          <w:sz w:val="26"/>
          <w:szCs w:val="26"/>
        </w:rPr>
      </w:pPr>
    </w:p>
    <w:p w14:paraId="5EE3DBBF" w14:textId="77777777" w:rsidR="00372421" w:rsidRDefault="00372421" w:rsidP="00E218B9">
      <w:pPr>
        <w:pStyle w:val="BodyText"/>
        <w:jc w:val="both"/>
        <w:rPr>
          <w:sz w:val="26"/>
          <w:szCs w:val="26"/>
        </w:rPr>
      </w:pPr>
    </w:p>
    <w:p w14:paraId="1721EC2D" w14:textId="37C0D6F3" w:rsidR="00D444BA" w:rsidRPr="00372421" w:rsidRDefault="00AC1A2E" w:rsidP="00E218B9">
      <w:pPr>
        <w:pStyle w:val="BodyText"/>
        <w:jc w:val="both"/>
        <w:rPr>
          <w:sz w:val="26"/>
          <w:szCs w:val="26"/>
        </w:rPr>
      </w:pPr>
      <w:r w:rsidRPr="00372421">
        <w:rPr>
          <w:sz w:val="26"/>
          <w:szCs w:val="26"/>
        </w:rPr>
        <w:t>Finanšu ministrs</w:t>
      </w:r>
      <w:r w:rsidR="00857FA9" w:rsidRPr="00372421">
        <w:rPr>
          <w:sz w:val="26"/>
          <w:szCs w:val="26"/>
        </w:rPr>
        <w:tab/>
      </w:r>
      <w:r w:rsidR="00857FA9" w:rsidRPr="00372421">
        <w:rPr>
          <w:sz w:val="26"/>
          <w:szCs w:val="26"/>
        </w:rPr>
        <w:tab/>
      </w:r>
      <w:r w:rsidR="00857FA9" w:rsidRPr="00372421">
        <w:rPr>
          <w:sz w:val="26"/>
          <w:szCs w:val="26"/>
        </w:rPr>
        <w:tab/>
      </w:r>
      <w:r w:rsidR="00857FA9" w:rsidRPr="00372421">
        <w:rPr>
          <w:sz w:val="26"/>
          <w:szCs w:val="26"/>
        </w:rPr>
        <w:tab/>
      </w:r>
      <w:r w:rsidR="0091691A" w:rsidRPr="00372421">
        <w:rPr>
          <w:sz w:val="26"/>
          <w:szCs w:val="26"/>
        </w:rPr>
        <w:tab/>
      </w:r>
      <w:r w:rsidR="0091691A" w:rsidRPr="00372421">
        <w:rPr>
          <w:sz w:val="26"/>
          <w:szCs w:val="26"/>
        </w:rPr>
        <w:tab/>
      </w:r>
      <w:r w:rsidR="009D1F15" w:rsidRPr="00372421">
        <w:rPr>
          <w:sz w:val="26"/>
          <w:szCs w:val="26"/>
        </w:rPr>
        <w:t xml:space="preserve">                       </w:t>
      </w:r>
      <w:r w:rsidR="00F154FE" w:rsidRPr="00372421">
        <w:rPr>
          <w:sz w:val="26"/>
          <w:szCs w:val="26"/>
        </w:rPr>
        <w:t xml:space="preserve">   </w:t>
      </w:r>
      <w:r w:rsidR="0091691A" w:rsidRPr="00372421">
        <w:rPr>
          <w:sz w:val="26"/>
          <w:szCs w:val="26"/>
        </w:rPr>
        <w:t xml:space="preserve">  </w:t>
      </w:r>
      <w:r w:rsidR="00F154FE" w:rsidRPr="00372421">
        <w:rPr>
          <w:sz w:val="26"/>
          <w:szCs w:val="26"/>
        </w:rPr>
        <w:t xml:space="preserve">  </w:t>
      </w:r>
      <w:r w:rsidRPr="00372421">
        <w:rPr>
          <w:sz w:val="26"/>
          <w:szCs w:val="26"/>
        </w:rPr>
        <w:t>J.</w:t>
      </w:r>
      <w:r w:rsidR="00855994">
        <w:rPr>
          <w:sz w:val="26"/>
          <w:szCs w:val="26"/>
        </w:rPr>
        <w:t xml:space="preserve"> </w:t>
      </w:r>
      <w:r w:rsidRPr="00372421">
        <w:rPr>
          <w:sz w:val="26"/>
          <w:szCs w:val="26"/>
        </w:rPr>
        <w:t>Reirs</w:t>
      </w:r>
      <w:r w:rsidR="0091691A" w:rsidRPr="00372421">
        <w:rPr>
          <w:sz w:val="26"/>
          <w:szCs w:val="26"/>
        </w:rPr>
        <w:tab/>
      </w:r>
    </w:p>
    <w:p w14:paraId="0B6E3685" w14:textId="77777777" w:rsidR="00E218B9" w:rsidRPr="007D3E6E" w:rsidRDefault="00E218B9" w:rsidP="00E218B9">
      <w:pPr>
        <w:pStyle w:val="BodyText"/>
        <w:jc w:val="both"/>
        <w:rPr>
          <w:sz w:val="24"/>
        </w:rPr>
      </w:pPr>
    </w:p>
    <w:p w14:paraId="3329C5E9" w14:textId="58953457" w:rsidR="002837F3" w:rsidRDefault="002837F3" w:rsidP="000C703D">
      <w:pPr>
        <w:pStyle w:val="BodyText"/>
        <w:jc w:val="left"/>
        <w:rPr>
          <w:sz w:val="20"/>
          <w:szCs w:val="20"/>
        </w:rPr>
      </w:pPr>
    </w:p>
    <w:p w14:paraId="6F05E33E" w14:textId="4C14E173" w:rsidR="00DE03E0" w:rsidRDefault="00DE03E0" w:rsidP="000C703D">
      <w:pPr>
        <w:pStyle w:val="BodyText"/>
        <w:jc w:val="left"/>
        <w:rPr>
          <w:sz w:val="20"/>
          <w:szCs w:val="20"/>
        </w:rPr>
      </w:pPr>
    </w:p>
    <w:p w14:paraId="5819CEA5" w14:textId="77777777" w:rsidR="00DE03E0" w:rsidRDefault="00DE03E0" w:rsidP="000C703D">
      <w:pPr>
        <w:pStyle w:val="BodyText"/>
        <w:jc w:val="left"/>
        <w:rPr>
          <w:sz w:val="20"/>
          <w:szCs w:val="20"/>
        </w:rPr>
      </w:pPr>
    </w:p>
    <w:p w14:paraId="0CDD299B" w14:textId="77777777" w:rsidR="002837F3" w:rsidRPr="00372421" w:rsidRDefault="002837F3" w:rsidP="000C703D">
      <w:pPr>
        <w:pStyle w:val="BodyText"/>
        <w:jc w:val="left"/>
        <w:rPr>
          <w:sz w:val="16"/>
          <w:szCs w:val="16"/>
        </w:rPr>
      </w:pPr>
    </w:p>
    <w:p w14:paraId="314F4DF0" w14:textId="77777777" w:rsidR="00855994" w:rsidRPr="00A541A8" w:rsidRDefault="00855994" w:rsidP="00855994">
      <w:pPr>
        <w:pStyle w:val="BodyText"/>
        <w:jc w:val="left"/>
        <w:rPr>
          <w:sz w:val="20"/>
          <w:szCs w:val="20"/>
        </w:rPr>
      </w:pPr>
      <w:r>
        <w:rPr>
          <w:sz w:val="20"/>
          <w:szCs w:val="20"/>
        </w:rPr>
        <w:t>Adijāne</w:t>
      </w:r>
      <w:r w:rsidRPr="00A541A8">
        <w:rPr>
          <w:sz w:val="20"/>
          <w:szCs w:val="20"/>
        </w:rPr>
        <w:t xml:space="preserve"> 670</w:t>
      </w:r>
      <w:r>
        <w:rPr>
          <w:sz w:val="20"/>
          <w:szCs w:val="20"/>
        </w:rPr>
        <w:t>95437</w:t>
      </w:r>
    </w:p>
    <w:p w14:paraId="4A6DB772" w14:textId="77777777" w:rsidR="00855994" w:rsidRDefault="009343F4" w:rsidP="00855994">
      <w:pPr>
        <w:pStyle w:val="BodyText"/>
        <w:jc w:val="left"/>
        <w:rPr>
          <w:sz w:val="20"/>
          <w:szCs w:val="20"/>
        </w:rPr>
      </w:pPr>
      <w:hyperlink r:id="rId8" w:history="1">
        <w:r w:rsidR="00855994" w:rsidRPr="004E4979">
          <w:rPr>
            <w:rStyle w:val="Hyperlink"/>
            <w:sz w:val="20"/>
            <w:szCs w:val="20"/>
          </w:rPr>
          <w:t>zane.adijane@fm.gov.lv</w:t>
        </w:r>
      </w:hyperlink>
    </w:p>
    <w:p w14:paraId="6E236049" w14:textId="77777777" w:rsidR="00855994" w:rsidRPr="006D49B1" w:rsidRDefault="00855994" w:rsidP="00855994">
      <w:pPr>
        <w:rPr>
          <w:lang w:eastAsia="en-US"/>
        </w:rPr>
      </w:pPr>
    </w:p>
    <w:p w14:paraId="54A3AF50" w14:textId="72B1FD4C" w:rsidR="002204E8" w:rsidRPr="00372421" w:rsidRDefault="002204E8" w:rsidP="00855994">
      <w:pPr>
        <w:pStyle w:val="BodyText"/>
        <w:jc w:val="left"/>
        <w:rPr>
          <w:sz w:val="16"/>
          <w:szCs w:val="16"/>
        </w:rPr>
      </w:pPr>
    </w:p>
    <w:sectPr w:rsidR="002204E8" w:rsidRPr="00372421" w:rsidSect="002D3E38">
      <w:headerReference w:type="default" r:id="rId9"/>
      <w:footerReference w:type="default" r:id="rId10"/>
      <w:footerReference w:type="first" r:id="rId11"/>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4C55B" w14:textId="77777777" w:rsidR="0026098D" w:rsidRDefault="0026098D" w:rsidP="009A7EE9">
      <w:r>
        <w:separator/>
      </w:r>
    </w:p>
  </w:endnote>
  <w:endnote w:type="continuationSeparator" w:id="0">
    <w:p w14:paraId="128048A4" w14:textId="77777777" w:rsidR="0026098D" w:rsidRDefault="0026098D"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8027" w14:textId="1C137D0F" w:rsidR="00320C6A" w:rsidRPr="00DE03E0" w:rsidRDefault="003F1B84" w:rsidP="009D6DC8">
    <w:pPr>
      <w:pStyle w:val="Footer"/>
      <w:rPr>
        <w:sz w:val="20"/>
        <w:szCs w:val="20"/>
      </w:rP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F2550C">
      <w:rPr>
        <w:noProof/>
        <w:sz w:val="20"/>
        <w:szCs w:val="20"/>
      </w:rPr>
      <w:t>FMAnot_200320_LNG_paliel</w:t>
    </w:r>
    <w:r w:rsidRPr="00DE03E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CCB2" w14:textId="036C0F65" w:rsidR="00DE03E0" w:rsidRDefault="00DE03E0">
    <w:pPr>
      <w:pStyle w:val="Foote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F2550C">
      <w:rPr>
        <w:noProof/>
        <w:sz w:val="20"/>
        <w:szCs w:val="20"/>
      </w:rPr>
      <w:t>FMAnot_200320_LNG_paliel</w:t>
    </w:r>
    <w:r w:rsidRPr="00DE03E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12466" w14:textId="77777777" w:rsidR="0026098D" w:rsidRDefault="0026098D" w:rsidP="009A7EE9">
      <w:r>
        <w:separator/>
      </w:r>
    </w:p>
  </w:footnote>
  <w:footnote w:type="continuationSeparator" w:id="0">
    <w:p w14:paraId="3B919E8D" w14:textId="77777777" w:rsidR="0026098D" w:rsidRDefault="0026098D"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12465"/>
      <w:docPartObj>
        <w:docPartGallery w:val="Page Numbers (Top of Page)"/>
        <w:docPartUnique/>
      </w:docPartObj>
    </w:sdtPr>
    <w:sdtEndPr>
      <w:rPr>
        <w:noProof/>
      </w:rPr>
    </w:sdtEndPr>
    <w:sdtContent>
      <w:p w14:paraId="47A5915D" w14:textId="549D0D7D" w:rsidR="00320C6A" w:rsidRDefault="00320C6A">
        <w:pPr>
          <w:pStyle w:val="Header"/>
          <w:jc w:val="center"/>
        </w:pPr>
        <w:r>
          <w:fldChar w:fldCharType="begin"/>
        </w:r>
        <w:r>
          <w:instrText xml:space="preserve"> PAGE   \* MERGEFORMAT </w:instrText>
        </w:r>
        <w:r>
          <w:fldChar w:fldCharType="separate"/>
        </w:r>
        <w:r w:rsidR="009343F4">
          <w:rPr>
            <w:noProof/>
          </w:rPr>
          <w:t>2</w:t>
        </w:r>
        <w:r>
          <w:rPr>
            <w:noProof/>
          </w:rPr>
          <w:fldChar w:fldCharType="end"/>
        </w:r>
      </w:p>
    </w:sdtContent>
  </w:sdt>
  <w:p w14:paraId="35C688AF"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1AE16DC8"/>
    <w:multiLevelType w:val="hybridMultilevel"/>
    <w:tmpl w:val="9E2EF1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4"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6"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2"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9"/>
  </w:num>
  <w:num w:numId="6">
    <w:abstractNumId w:val="13"/>
  </w:num>
  <w:num w:numId="7">
    <w:abstractNumId w:val="7"/>
  </w:num>
  <w:num w:numId="8">
    <w:abstractNumId w:val="14"/>
  </w:num>
  <w:num w:numId="9">
    <w:abstractNumId w:val="12"/>
  </w:num>
  <w:num w:numId="10">
    <w:abstractNumId w:val="11"/>
  </w:num>
  <w:num w:numId="11">
    <w:abstractNumId w:val="5"/>
  </w:num>
  <w:num w:numId="12">
    <w:abstractNumId w:val="3"/>
  </w:num>
  <w:num w:numId="13">
    <w:abstractNumId w:val="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11587"/>
    <w:rsid w:val="00011820"/>
    <w:rsid w:val="0005038A"/>
    <w:rsid w:val="000512B4"/>
    <w:rsid w:val="00056C2A"/>
    <w:rsid w:val="000614F5"/>
    <w:rsid w:val="00064F32"/>
    <w:rsid w:val="000766F8"/>
    <w:rsid w:val="000818D2"/>
    <w:rsid w:val="00085845"/>
    <w:rsid w:val="000916CE"/>
    <w:rsid w:val="000A6B9A"/>
    <w:rsid w:val="000B194B"/>
    <w:rsid w:val="000B283D"/>
    <w:rsid w:val="000B2CA0"/>
    <w:rsid w:val="000C07B8"/>
    <w:rsid w:val="000C703D"/>
    <w:rsid w:val="000D0EFF"/>
    <w:rsid w:val="00110F94"/>
    <w:rsid w:val="00111617"/>
    <w:rsid w:val="0012264C"/>
    <w:rsid w:val="001509E7"/>
    <w:rsid w:val="00152ECC"/>
    <w:rsid w:val="00156E18"/>
    <w:rsid w:val="001611E9"/>
    <w:rsid w:val="00162EB9"/>
    <w:rsid w:val="00170CFC"/>
    <w:rsid w:val="00171A81"/>
    <w:rsid w:val="001729A2"/>
    <w:rsid w:val="001779C5"/>
    <w:rsid w:val="00183027"/>
    <w:rsid w:val="0019469A"/>
    <w:rsid w:val="001B419D"/>
    <w:rsid w:val="001C0756"/>
    <w:rsid w:val="001C1669"/>
    <w:rsid w:val="001C59ED"/>
    <w:rsid w:val="001D0A1B"/>
    <w:rsid w:val="00202D39"/>
    <w:rsid w:val="0020584E"/>
    <w:rsid w:val="002128BD"/>
    <w:rsid w:val="002204E8"/>
    <w:rsid w:val="002363C2"/>
    <w:rsid w:val="00243679"/>
    <w:rsid w:val="002601C3"/>
    <w:rsid w:val="0026098D"/>
    <w:rsid w:val="00261740"/>
    <w:rsid w:val="0027336A"/>
    <w:rsid w:val="0028027D"/>
    <w:rsid w:val="002837F3"/>
    <w:rsid w:val="00283E0D"/>
    <w:rsid w:val="00285775"/>
    <w:rsid w:val="00292DE5"/>
    <w:rsid w:val="002A5180"/>
    <w:rsid w:val="002B19A5"/>
    <w:rsid w:val="002B3D2F"/>
    <w:rsid w:val="002B5EE7"/>
    <w:rsid w:val="002C2C90"/>
    <w:rsid w:val="002C3DC9"/>
    <w:rsid w:val="002D34CC"/>
    <w:rsid w:val="002D3E38"/>
    <w:rsid w:val="002F5428"/>
    <w:rsid w:val="00301CBB"/>
    <w:rsid w:val="00304F3B"/>
    <w:rsid w:val="003145BF"/>
    <w:rsid w:val="00320C6A"/>
    <w:rsid w:val="0032120D"/>
    <w:rsid w:val="0032647A"/>
    <w:rsid w:val="00334364"/>
    <w:rsid w:val="00335619"/>
    <w:rsid w:val="00352431"/>
    <w:rsid w:val="00363F9A"/>
    <w:rsid w:val="00370F44"/>
    <w:rsid w:val="00372421"/>
    <w:rsid w:val="003735E2"/>
    <w:rsid w:val="003B60B8"/>
    <w:rsid w:val="003C21F6"/>
    <w:rsid w:val="003C6F6D"/>
    <w:rsid w:val="003D6BD2"/>
    <w:rsid w:val="003E3E05"/>
    <w:rsid w:val="003F10D1"/>
    <w:rsid w:val="003F1B84"/>
    <w:rsid w:val="003F4BF1"/>
    <w:rsid w:val="00407869"/>
    <w:rsid w:val="004170B3"/>
    <w:rsid w:val="00422AFA"/>
    <w:rsid w:val="004422AA"/>
    <w:rsid w:val="00453528"/>
    <w:rsid w:val="00455577"/>
    <w:rsid w:val="00465143"/>
    <w:rsid w:val="0047084C"/>
    <w:rsid w:val="00474ED8"/>
    <w:rsid w:val="00480A1B"/>
    <w:rsid w:val="00482307"/>
    <w:rsid w:val="004876F3"/>
    <w:rsid w:val="00493060"/>
    <w:rsid w:val="004A456A"/>
    <w:rsid w:val="004A5A78"/>
    <w:rsid w:val="004A7D0E"/>
    <w:rsid w:val="004B0522"/>
    <w:rsid w:val="004B10FE"/>
    <w:rsid w:val="004B4E72"/>
    <w:rsid w:val="004C4D7F"/>
    <w:rsid w:val="004D1D9A"/>
    <w:rsid w:val="004D5A33"/>
    <w:rsid w:val="004F70B8"/>
    <w:rsid w:val="00514A88"/>
    <w:rsid w:val="005222BD"/>
    <w:rsid w:val="00524414"/>
    <w:rsid w:val="00524926"/>
    <w:rsid w:val="005331D5"/>
    <w:rsid w:val="0053409A"/>
    <w:rsid w:val="00542B98"/>
    <w:rsid w:val="005437C3"/>
    <w:rsid w:val="00545A7B"/>
    <w:rsid w:val="00567C3A"/>
    <w:rsid w:val="005717CC"/>
    <w:rsid w:val="00577379"/>
    <w:rsid w:val="005802FC"/>
    <w:rsid w:val="00580CBE"/>
    <w:rsid w:val="00583D19"/>
    <w:rsid w:val="005A0D60"/>
    <w:rsid w:val="005B0615"/>
    <w:rsid w:val="005B7346"/>
    <w:rsid w:val="005C5BDA"/>
    <w:rsid w:val="005D0284"/>
    <w:rsid w:val="005D20D4"/>
    <w:rsid w:val="005D2988"/>
    <w:rsid w:val="005D489A"/>
    <w:rsid w:val="005D7B3B"/>
    <w:rsid w:val="005E0012"/>
    <w:rsid w:val="005E37B5"/>
    <w:rsid w:val="005E435A"/>
    <w:rsid w:val="005E6150"/>
    <w:rsid w:val="00603455"/>
    <w:rsid w:val="00611862"/>
    <w:rsid w:val="00630442"/>
    <w:rsid w:val="006312E3"/>
    <w:rsid w:val="00632159"/>
    <w:rsid w:val="006400F2"/>
    <w:rsid w:val="00641D60"/>
    <w:rsid w:val="006423EF"/>
    <w:rsid w:val="00645290"/>
    <w:rsid w:val="00652E48"/>
    <w:rsid w:val="00664DE2"/>
    <w:rsid w:val="00666039"/>
    <w:rsid w:val="00684B77"/>
    <w:rsid w:val="006A556C"/>
    <w:rsid w:val="006B05E0"/>
    <w:rsid w:val="006B3BBA"/>
    <w:rsid w:val="006D245F"/>
    <w:rsid w:val="006F2B5A"/>
    <w:rsid w:val="006F4715"/>
    <w:rsid w:val="0070316C"/>
    <w:rsid w:val="00705A8F"/>
    <w:rsid w:val="0071285B"/>
    <w:rsid w:val="00725640"/>
    <w:rsid w:val="007275D7"/>
    <w:rsid w:val="007338E3"/>
    <w:rsid w:val="0074000A"/>
    <w:rsid w:val="007505C3"/>
    <w:rsid w:val="00751999"/>
    <w:rsid w:val="00754E7D"/>
    <w:rsid w:val="0076081E"/>
    <w:rsid w:val="00763F04"/>
    <w:rsid w:val="0076428F"/>
    <w:rsid w:val="00764807"/>
    <w:rsid w:val="007733C9"/>
    <w:rsid w:val="00777791"/>
    <w:rsid w:val="00790DC9"/>
    <w:rsid w:val="00793B6F"/>
    <w:rsid w:val="007B6C93"/>
    <w:rsid w:val="007C0493"/>
    <w:rsid w:val="007C300C"/>
    <w:rsid w:val="007C4626"/>
    <w:rsid w:val="007D1247"/>
    <w:rsid w:val="007D3E6E"/>
    <w:rsid w:val="007D693E"/>
    <w:rsid w:val="007D7AC1"/>
    <w:rsid w:val="007E0FA9"/>
    <w:rsid w:val="007E157D"/>
    <w:rsid w:val="007E492A"/>
    <w:rsid w:val="007F18B8"/>
    <w:rsid w:val="00811EAA"/>
    <w:rsid w:val="00811F34"/>
    <w:rsid w:val="00814BB4"/>
    <w:rsid w:val="008278B4"/>
    <w:rsid w:val="008322A7"/>
    <w:rsid w:val="008336C8"/>
    <w:rsid w:val="008412CC"/>
    <w:rsid w:val="00853AC5"/>
    <w:rsid w:val="00855737"/>
    <w:rsid w:val="00855994"/>
    <w:rsid w:val="00857FA9"/>
    <w:rsid w:val="0086037C"/>
    <w:rsid w:val="00860930"/>
    <w:rsid w:val="00870008"/>
    <w:rsid w:val="00871282"/>
    <w:rsid w:val="00875E3E"/>
    <w:rsid w:val="00895C1A"/>
    <w:rsid w:val="008970B4"/>
    <w:rsid w:val="008A5638"/>
    <w:rsid w:val="008B46B2"/>
    <w:rsid w:val="008C0091"/>
    <w:rsid w:val="008C4C8E"/>
    <w:rsid w:val="008C54BF"/>
    <w:rsid w:val="008E0870"/>
    <w:rsid w:val="008E3C19"/>
    <w:rsid w:val="008E5B7C"/>
    <w:rsid w:val="008F6918"/>
    <w:rsid w:val="00905312"/>
    <w:rsid w:val="0091691A"/>
    <w:rsid w:val="009226DC"/>
    <w:rsid w:val="009228D2"/>
    <w:rsid w:val="00923946"/>
    <w:rsid w:val="00927A17"/>
    <w:rsid w:val="00930BF9"/>
    <w:rsid w:val="00932481"/>
    <w:rsid w:val="009343F4"/>
    <w:rsid w:val="009430A2"/>
    <w:rsid w:val="00944529"/>
    <w:rsid w:val="00945363"/>
    <w:rsid w:val="00962079"/>
    <w:rsid w:val="009757FD"/>
    <w:rsid w:val="00977221"/>
    <w:rsid w:val="00982034"/>
    <w:rsid w:val="009873B8"/>
    <w:rsid w:val="0099499C"/>
    <w:rsid w:val="009A18FB"/>
    <w:rsid w:val="009A48FE"/>
    <w:rsid w:val="009A4A62"/>
    <w:rsid w:val="009A6715"/>
    <w:rsid w:val="009A7EE9"/>
    <w:rsid w:val="009C6D89"/>
    <w:rsid w:val="009C7442"/>
    <w:rsid w:val="009C7F21"/>
    <w:rsid w:val="009D1F15"/>
    <w:rsid w:val="009D36DE"/>
    <w:rsid w:val="009D6DC8"/>
    <w:rsid w:val="009E28C2"/>
    <w:rsid w:val="009E5A67"/>
    <w:rsid w:val="009F065F"/>
    <w:rsid w:val="00A0018F"/>
    <w:rsid w:val="00A02827"/>
    <w:rsid w:val="00A11E5A"/>
    <w:rsid w:val="00A12EFD"/>
    <w:rsid w:val="00A23985"/>
    <w:rsid w:val="00A26A03"/>
    <w:rsid w:val="00A310DC"/>
    <w:rsid w:val="00A37ADF"/>
    <w:rsid w:val="00A511BA"/>
    <w:rsid w:val="00A8127B"/>
    <w:rsid w:val="00A85919"/>
    <w:rsid w:val="00A914D2"/>
    <w:rsid w:val="00A93CF7"/>
    <w:rsid w:val="00A97367"/>
    <w:rsid w:val="00AA1528"/>
    <w:rsid w:val="00AA4A17"/>
    <w:rsid w:val="00AA5033"/>
    <w:rsid w:val="00AA5380"/>
    <w:rsid w:val="00AB45E9"/>
    <w:rsid w:val="00AB7DDF"/>
    <w:rsid w:val="00AC14B6"/>
    <w:rsid w:val="00AC1A2E"/>
    <w:rsid w:val="00AC7C0E"/>
    <w:rsid w:val="00AD2335"/>
    <w:rsid w:val="00AD3761"/>
    <w:rsid w:val="00AD6E8B"/>
    <w:rsid w:val="00AE7DAC"/>
    <w:rsid w:val="00B03683"/>
    <w:rsid w:val="00B05D95"/>
    <w:rsid w:val="00B14C2E"/>
    <w:rsid w:val="00B14E12"/>
    <w:rsid w:val="00B17BAC"/>
    <w:rsid w:val="00B2761E"/>
    <w:rsid w:val="00B2791A"/>
    <w:rsid w:val="00B344E5"/>
    <w:rsid w:val="00B3568E"/>
    <w:rsid w:val="00B37017"/>
    <w:rsid w:val="00B4749B"/>
    <w:rsid w:val="00B61A29"/>
    <w:rsid w:val="00B64477"/>
    <w:rsid w:val="00B672D4"/>
    <w:rsid w:val="00B71A99"/>
    <w:rsid w:val="00B7663C"/>
    <w:rsid w:val="00B87AF4"/>
    <w:rsid w:val="00B92025"/>
    <w:rsid w:val="00B946E5"/>
    <w:rsid w:val="00BA091C"/>
    <w:rsid w:val="00BA10D2"/>
    <w:rsid w:val="00BA4D20"/>
    <w:rsid w:val="00BA7526"/>
    <w:rsid w:val="00BB2AB5"/>
    <w:rsid w:val="00BC3853"/>
    <w:rsid w:val="00BD2338"/>
    <w:rsid w:val="00BD4180"/>
    <w:rsid w:val="00BD7B24"/>
    <w:rsid w:val="00BE79DA"/>
    <w:rsid w:val="00BF0C19"/>
    <w:rsid w:val="00BF18C9"/>
    <w:rsid w:val="00BF7635"/>
    <w:rsid w:val="00C13638"/>
    <w:rsid w:val="00C142F2"/>
    <w:rsid w:val="00C24A34"/>
    <w:rsid w:val="00C335C5"/>
    <w:rsid w:val="00C41B93"/>
    <w:rsid w:val="00C41E55"/>
    <w:rsid w:val="00C437F7"/>
    <w:rsid w:val="00C44880"/>
    <w:rsid w:val="00C57036"/>
    <w:rsid w:val="00C608C1"/>
    <w:rsid w:val="00C621A0"/>
    <w:rsid w:val="00C63854"/>
    <w:rsid w:val="00C64112"/>
    <w:rsid w:val="00C656FF"/>
    <w:rsid w:val="00C66B75"/>
    <w:rsid w:val="00C73478"/>
    <w:rsid w:val="00C8713F"/>
    <w:rsid w:val="00C94740"/>
    <w:rsid w:val="00CA173D"/>
    <w:rsid w:val="00CB2E04"/>
    <w:rsid w:val="00CC1E07"/>
    <w:rsid w:val="00CC3A0B"/>
    <w:rsid w:val="00CC644C"/>
    <w:rsid w:val="00CD4261"/>
    <w:rsid w:val="00CF1350"/>
    <w:rsid w:val="00CF2F7B"/>
    <w:rsid w:val="00D0076B"/>
    <w:rsid w:val="00D06149"/>
    <w:rsid w:val="00D25421"/>
    <w:rsid w:val="00D309B0"/>
    <w:rsid w:val="00D312A6"/>
    <w:rsid w:val="00D4035B"/>
    <w:rsid w:val="00D43AB3"/>
    <w:rsid w:val="00D444BA"/>
    <w:rsid w:val="00D54B2D"/>
    <w:rsid w:val="00D6079A"/>
    <w:rsid w:val="00D81DFB"/>
    <w:rsid w:val="00D82EC1"/>
    <w:rsid w:val="00D84D37"/>
    <w:rsid w:val="00D94EC3"/>
    <w:rsid w:val="00D97850"/>
    <w:rsid w:val="00DA451A"/>
    <w:rsid w:val="00DB1865"/>
    <w:rsid w:val="00DB37C4"/>
    <w:rsid w:val="00DB5A7F"/>
    <w:rsid w:val="00DB7B48"/>
    <w:rsid w:val="00DC37EA"/>
    <w:rsid w:val="00DC735E"/>
    <w:rsid w:val="00DE03E0"/>
    <w:rsid w:val="00DE1003"/>
    <w:rsid w:val="00DE3336"/>
    <w:rsid w:val="00DE6271"/>
    <w:rsid w:val="00E10C35"/>
    <w:rsid w:val="00E16501"/>
    <w:rsid w:val="00E218B9"/>
    <w:rsid w:val="00E315C4"/>
    <w:rsid w:val="00E366AD"/>
    <w:rsid w:val="00E458CF"/>
    <w:rsid w:val="00E47E33"/>
    <w:rsid w:val="00E50E39"/>
    <w:rsid w:val="00E8499A"/>
    <w:rsid w:val="00E8717E"/>
    <w:rsid w:val="00EA6C2F"/>
    <w:rsid w:val="00ED59B9"/>
    <w:rsid w:val="00EE3ADF"/>
    <w:rsid w:val="00EE4FC4"/>
    <w:rsid w:val="00EF79BA"/>
    <w:rsid w:val="00F14DB0"/>
    <w:rsid w:val="00F14F02"/>
    <w:rsid w:val="00F154FE"/>
    <w:rsid w:val="00F21AC1"/>
    <w:rsid w:val="00F2550C"/>
    <w:rsid w:val="00F32B28"/>
    <w:rsid w:val="00F405EC"/>
    <w:rsid w:val="00F529F2"/>
    <w:rsid w:val="00F920C2"/>
    <w:rsid w:val="00F95876"/>
    <w:rsid w:val="00FA0AC6"/>
    <w:rsid w:val="00FA1F6A"/>
    <w:rsid w:val="00FA753E"/>
    <w:rsid w:val="00FC73BD"/>
    <w:rsid w:val="00FD4884"/>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B454"/>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A26A03"/>
    <w:rPr>
      <w:sz w:val="16"/>
      <w:szCs w:val="16"/>
    </w:rPr>
  </w:style>
  <w:style w:type="paragraph" w:styleId="CommentText">
    <w:name w:val="annotation text"/>
    <w:basedOn w:val="Normal"/>
    <w:link w:val="CommentTextChar"/>
    <w:uiPriority w:val="99"/>
    <w:semiHidden/>
    <w:unhideWhenUsed/>
    <w:rsid w:val="00A26A03"/>
    <w:rPr>
      <w:sz w:val="20"/>
      <w:szCs w:val="20"/>
    </w:rPr>
  </w:style>
  <w:style w:type="character" w:customStyle="1" w:styleId="CommentTextChar">
    <w:name w:val="Comment Text Char"/>
    <w:basedOn w:val="DefaultParagraphFont"/>
    <w:link w:val="CommentText"/>
    <w:uiPriority w:val="99"/>
    <w:semiHidden/>
    <w:rsid w:val="00A26A0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26A03"/>
    <w:rPr>
      <w:b/>
      <w:bCs/>
    </w:rPr>
  </w:style>
  <w:style w:type="character" w:customStyle="1" w:styleId="CommentSubjectChar">
    <w:name w:val="Comment Subject Char"/>
    <w:basedOn w:val="CommentTextChar"/>
    <w:link w:val="CommentSubject"/>
    <w:uiPriority w:val="99"/>
    <w:semiHidden/>
    <w:rsid w:val="00A26A0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679309524">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947929919">
      <w:bodyDiv w:val="1"/>
      <w:marLeft w:val="0"/>
      <w:marRight w:val="0"/>
      <w:marTop w:val="0"/>
      <w:marBottom w:val="0"/>
      <w:divBdr>
        <w:top w:val="none" w:sz="0" w:space="0" w:color="auto"/>
        <w:left w:val="none" w:sz="0" w:space="0" w:color="auto"/>
        <w:bottom w:val="none" w:sz="0" w:space="0" w:color="auto"/>
        <w:right w:val="none" w:sz="0" w:space="0" w:color="auto"/>
      </w:divBdr>
    </w:div>
    <w:div w:id="1603949695">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adijan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CD70-75F4-4CE9-AB9E-1265BBE0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apropriācijas palielināšanu budžeta resora “74. Gadskārtējā valsts budžeta izpildes procesā pārdalāmais finansējums” programmā 02.00.00 “L'dzekļi neparedzētiem gadījumiem”” sākotnējās ietekmes novērtējuma ziņojums </vt:lpstr>
    </vt:vector>
  </TitlesOfParts>
  <Company>Finanšu ministrija</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palielināšanu budžeta resora “74. Gadskārtējā valsts budžeta izpildes procesā pārdalāmais finansējums” programmā 02.00.00 “L'dzekļi neparedzētiem gadījumiem”” sākotnējās ietekmes novērtējuma ziņojums (anotācija)</dc:title>
  <dc:subject>Anotācija</dc:subject>
  <dc:creator>Zane Adijāne</dc:creator>
  <cp:keywords/>
  <dc:description>zane.adijane@fm.gov.lv; 67095437</dc:description>
  <cp:lastModifiedBy>Zane Adijāne</cp:lastModifiedBy>
  <cp:revision>9</cp:revision>
  <cp:lastPrinted>2019-09-11T11:17:00Z</cp:lastPrinted>
  <dcterms:created xsi:type="dcterms:W3CDTF">2020-03-22T17:29:00Z</dcterms:created>
  <dcterms:modified xsi:type="dcterms:W3CDTF">2020-03-23T11:39:00Z</dcterms:modified>
</cp:coreProperties>
</file>