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7DE53" w14:textId="77777777" w:rsidR="00653440" w:rsidRPr="00FA5770" w:rsidRDefault="00446103" w:rsidP="00653440">
      <w:pPr>
        <w:shd w:val="clear" w:color="auto" w:fill="FFFFFF"/>
        <w:spacing w:after="120"/>
        <w:jc w:val="center"/>
        <w:rPr>
          <w:b/>
          <w:bCs/>
        </w:rPr>
      </w:pPr>
      <w:r w:rsidRPr="00FA5770">
        <w:rPr>
          <w:b/>
          <w:bCs/>
        </w:rPr>
        <w:t>Ministru kabineta noteikumu projekta</w:t>
      </w:r>
      <w:r w:rsidR="00DB0AC9" w:rsidRPr="00FA5770">
        <w:rPr>
          <w:b/>
          <w:bCs/>
        </w:rPr>
        <w:t xml:space="preserve"> “</w:t>
      </w:r>
      <w:r w:rsidR="00B14751" w:rsidRPr="00FA5770">
        <w:rPr>
          <w:b/>
          <w:bCs/>
        </w:rPr>
        <w:t>Licenču un sertifikātu reģistra noteikumi</w:t>
      </w:r>
      <w:r w:rsidR="00DB0AC9" w:rsidRPr="00FA5770">
        <w:rPr>
          <w:b/>
          <w:bCs/>
        </w:rPr>
        <w:t>” sākotnējās ietekmes novērtējuma ziņojums (anotācija)</w:t>
      </w:r>
    </w:p>
    <w:p w14:paraId="6A08FE27" w14:textId="77777777" w:rsidR="00DB0AC9" w:rsidRPr="00FA5770" w:rsidRDefault="00DB0AC9" w:rsidP="00DB0AC9">
      <w:pPr>
        <w:shd w:val="clear" w:color="auto" w:fill="FFFFFF"/>
        <w:ind w:firstLine="300"/>
        <w:jc w:val="center"/>
        <w:rPr>
          <w:iCs/>
        </w:rPr>
      </w:pPr>
    </w:p>
    <w:tbl>
      <w:tblPr>
        <w:tblStyle w:val="TableGrid"/>
        <w:tblW w:w="5000" w:type="pct"/>
        <w:shd w:val="clear" w:color="auto" w:fill="FFFFFF" w:themeFill="background1"/>
        <w:tblLook w:val="04A0" w:firstRow="1" w:lastRow="0" w:firstColumn="1" w:lastColumn="0" w:noHBand="0" w:noVBand="1"/>
      </w:tblPr>
      <w:tblGrid>
        <w:gridCol w:w="2546"/>
        <w:gridCol w:w="6515"/>
      </w:tblGrid>
      <w:tr w:rsidR="00FA5770" w:rsidRPr="00FA5770" w14:paraId="1E85AEA4" w14:textId="77777777" w:rsidTr="000F0975">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60AFC80" w14:textId="77777777" w:rsidR="00DB0AC9" w:rsidRPr="00FA5770" w:rsidRDefault="00DB0AC9" w:rsidP="00BD02FB">
            <w:pPr>
              <w:jc w:val="center"/>
              <w:rPr>
                <w:b/>
              </w:rPr>
            </w:pPr>
            <w:r w:rsidRPr="00FA5770">
              <w:rPr>
                <w:b/>
              </w:rPr>
              <w:t xml:space="preserve">Tiesību akta projekta anotācijas kopsavilkums </w:t>
            </w:r>
          </w:p>
        </w:tc>
      </w:tr>
      <w:tr w:rsidR="00FA5770" w:rsidRPr="00FA5770" w14:paraId="73927850" w14:textId="77777777" w:rsidTr="009F5964">
        <w:tc>
          <w:tcPr>
            <w:tcW w:w="14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89920A" w14:textId="77777777" w:rsidR="00DB0AC9" w:rsidRPr="00FA5770" w:rsidRDefault="00DB0AC9" w:rsidP="00DB0AC9">
            <w:r w:rsidRPr="00FA5770">
              <w:t xml:space="preserve">Mērķis, risinājums un projekta spēkā stāšanās laiks </w:t>
            </w:r>
          </w:p>
        </w:tc>
        <w:tc>
          <w:tcPr>
            <w:tcW w:w="359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BD963" w14:textId="26C83A12" w:rsidR="009339AA" w:rsidRPr="00E83326" w:rsidRDefault="009339AA" w:rsidP="00DA166C">
            <w:pPr>
              <w:ind w:firstLine="459"/>
              <w:jc w:val="both"/>
            </w:pPr>
            <w:r w:rsidRPr="00E83326">
              <w:t>Saskaņā ar Ieroču aprites likuma Pārejas noteikumu 3.punktu Ministru kabinets līdz 2019. gada 13.decembrim izdod šā likuma 27.panta sestās daļas 3.punktā, 72. panta desmitajā daļā, 73. panta devītajā daļā paredzētos noteikumus. Līdz attiecīgo Ministru kabineta noteikumu spēkā stāšanās dienai, bet ne ilgāk kā līdz 2019. gada 13. decembrim ir piemērojami šādi Ministru kabineta noteikumi, ciktāl tie nav pretrunā ar šo likumu Ministru kabineta 2015. gada 10. februāra noteikumi Nr. 63 "Licenču un sertifikātu reģistra noteikumi".</w:t>
            </w:r>
          </w:p>
          <w:p w14:paraId="18D7748D" w14:textId="406AE07D" w:rsidR="009339AA" w:rsidRPr="00E83326" w:rsidRDefault="009339AA" w:rsidP="00DA166C">
            <w:pPr>
              <w:ind w:firstLine="459"/>
              <w:jc w:val="both"/>
            </w:pPr>
            <w:r w:rsidRPr="00E83326">
              <w:t xml:space="preserve">Ņemot vēro minēto, </w:t>
            </w:r>
            <w:r w:rsidR="009F5964" w:rsidRPr="00E83326">
              <w:t>ir izstrādāts</w:t>
            </w:r>
            <w:proofErr w:type="gramStart"/>
            <w:r w:rsidR="009F5964" w:rsidRPr="00E83326">
              <w:t xml:space="preserve">  </w:t>
            </w:r>
            <w:proofErr w:type="gramEnd"/>
            <w:r w:rsidR="009F5964" w:rsidRPr="00E83326">
              <w:t>Ministru kabineta noteikumu projekts “Licenču un sertifikātu reģistra noteikumi” (turpm</w:t>
            </w:r>
            <w:r w:rsidR="003205E9" w:rsidRPr="00E83326">
              <w:t>āk – Ministru kabineta noteikumu p</w:t>
            </w:r>
            <w:r w:rsidR="009F5964" w:rsidRPr="00E83326">
              <w:t xml:space="preserve">rojekts), kas noteiks </w:t>
            </w:r>
            <w:r w:rsidR="009F5964" w:rsidRPr="00E83326">
              <w:rPr>
                <w:rFonts w:eastAsiaTheme="minorHAnsi"/>
                <w:szCs w:val="28"/>
                <w:lang w:eastAsia="en-US"/>
              </w:rPr>
              <w:t>reģistrējamo ziņu apjomu, šo ziņu iekļaušanas, izmantošanas, glabāšanas un dzēšanas kārtību, kā arī institūcijas, kurām piešķirama piekļuve reģistrā iekļautajām ziņām.</w:t>
            </w:r>
          </w:p>
          <w:p w14:paraId="459155B9" w14:textId="6EEB42E3" w:rsidR="008412F4" w:rsidRPr="009F5964" w:rsidRDefault="008412F4" w:rsidP="009339AA">
            <w:pPr>
              <w:jc w:val="both"/>
              <w:rPr>
                <w:color w:val="FF0000"/>
              </w:rPr>
            </w:pPr>
          </w:p>
        </w:tc>
      </w:tr>
    </w:tbl>
    <w:p w14:paraId="551E9AA9" w14:textId="77777777" w:rsidR="00DB0AC9" w:rsidRPr="00FA5770" w:rsidRDefault="00DB0AC9" w:rsidP="00DB0AC9">
      <w:pPr>
        <w:shd w:val="clear" w:color="auto" w:fill="FFFFFF"/>
        <w:ind w:firstLine="300"/>
        <w:jc w:val="center"/>
        <w:rPr>
          <w:i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1996"/>
        <w:gridCol w:w="6511"/>
      </w:tblGrid>
      <w:tr w:rsidR="00FA5770" w:rsidRPr="00FA5770" w14:paraId="74979B43" w14:textId="77777777" w:rsidTr="000F0975">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201A24" w14:textId="77777777" w:rsidR="00DB0AC9" w:rsidRPr="00FA5770" w:rsidRDefault="00DB0AC9" w:rsidP="00BD02FB">
            <w:pPr>
              <w:jc w:val="center"/>
              <w:rPr>
                <w:b/>
                <w:bCs/>
              </w:rPr>
            </w:pPr>
            <w:r w:rsidRPr="00FA5770">
              <w:rPr>
                <w:b/>
                <w:bCs/>
              </w:rPr>
              <w:t>I. Tiesību akta projekta izstrādes nepieciešamība</w:t>
            </w:r>
          </w:p>
        </w:tc>
      </w:tr>
      <w:tr w:rsidR="00FA5770" w:rsidRPr="00FA5770" w14:paraId="65F073BF" w14:textId="77777777" w:rsidTr="0018770F">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772C3E6A" w14:textId="77777777" w:rsidR="00DB0AC9" w:rsidRPr="00FA5770" w:rsidRDefault="00DB0AC9" w:rsidP="00BD02FB">
            <w:pPr>
              <w:jc w:val="center"/>
            </w:pPr>
            <w:r w:rsidRPr="00FA5770">
              <w:t>1.</w:t>
            </w:r>
          </w:p>
        </w:tc>
        <w:tc>
          <w:tcPr>
            <w:tcW w:w="1102" w:type="pct"/>
            <w:tcBorders>
              <w:top w:val="outset" w:sz="6" w:space="0" w:color="414142"/>
              <w:left w:val="outset" w:sz="6" w:space="0" w:color="414142"/>
              <w:bottom w:val="outset" w:sz="6" w:space="0" w:color="414142"/>
              <w:right w:val="outset" w:sz="6" w:space="0" w:color="414142"/>
            </w:tcBorders>
            <w:hideMark/>
          </w:tcPr>
          <w:p w14:paraId="77636A0E" w14:textId="77777777" w:rsidR="00DB0AC9" w:rsidRPr="00FA5770" w:rsidRDefault="00DB0AC9" w:rsidP="00BD02FB">
            <w:r w:rsidRPr="00FA5770">
              <w:t>Pamatojums</w:t>
            </w:r>
          </w:p>
        </w:tc>
        <w:tc>
          <w:tcPr>
            <w:tcW w:w="3595" w:type="pct"/>
            <w:tcBorders>
              <w:top w:val="outset" w:sz="6" w:space="0" w:color="414142"/>
              <w:left w:val="outset" w:sz="6" w:space="0" w:color="414142"/>
              <w:bottom w:val="outset" w:sz="6" w:space="0" w:color="414142"/>
              <w:right w:val="outset" w:sz="6" w:space="0" w:color="414142"/>
            </w:tcBorders>
            <w:hideMark/>
          </w:tcPr>
          <w:p w14:paraId="6E16C64F" w14:textId="6138CD03" w:rsidR="00DB0AC9" w:rsidRPr="00E83326" w:rsidRDefault="00F96EE5" w:rsidP="00DA166C">
            <w:pPr>
              <w:ind w:firstLine="397"/>
              <w:jc w:val="both"/>
            </w:pPr>
            <w:r w:rsidRPr="00E83326">
              <w:t>Ministru kabineta noteikumu pr</w:t>
            </w:r>
            <w:r w:rsidR="00480D99" w:rsidRPr="00E83326">
              <w:t xml:space="preserve">ojekts izstrādāts, pamatojoties uz </w:t>
            </w:r>
            <w:r w:rsidR="00320435" w:rsidRPr="00E83326">
              <w:t>Apsardzes darbības likuma 5.panta otro daļu, Civilām vajadzībām paredzētu sprāgstvielu aprites likuma 10.panta sesto daļu un 26.panta otro daļu, Detektīvdarbības likuma 15.panta otro daļu, Ieroču aprites likuma 27.panta sestās daļas 3.punktu, 72.panta desmito daļu un 73.panta devīto daļu un</w:t>
            </w:r>
            <w:proofErr w:type="gramStart"/>
            <w:r w:rsidR="00320435" w:rsidRPr="00E83326">
              <w:t xml:space="preserve">  </w:t>
            </w:r>
            <w:proofErr w:type="gramEnd"/>
            <w:r w:rsidR="00320435" w:rsidRPr="00E83326">
              <w:t>Pirotehnisko izstrādājumu aprites likuma 6.panta sesto daļu un 19.panta astoto daļu.</w:t>
            </w:r>
          </w:p>
          <w:p w14:paraId="3BE89D89" w14:textId="3F991065" w:rsidR="00320435" w:rsidRPr="00FA5770" w:rsidRDefault="00320435" w:rsidP="00320435">
            <w:pPr>
              <w:jc w:val="both"/>
            </w:pPr>
          </w:p>
        </w:tc>
      </w:tr>
      <w:tr w:rsidR="00FA5770" w:rsidRPr="00FA5770" w14:paraId="14C22C54" w14:textId="77777777" w:rsidTr="0018770F">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4956491" w14:textId="77777777" w:rsidR="00DB0AC9" w:rsidRPr="00FA5770" w:rsidRDefault="00DB0AC9" w:rsidP="00BD02FB">
            <w:pPr>
              <w:jc w:val="center"/>
            </w:pPr>
            <w:r w:rsidRPr="00FA5770">
              <w:t>2.</w:t>
            </w:r>
          </w:p>
        </w:tc>
        <w:tc>
          <w:tcPr>
            <w:tcW w:w="1102" w:type="pct"/>
            <w:tcBorders>
              <w:top w:val="outset" w:sz="6" w:space="0" w:color="414142"/>
              <w:left w:val="outset" w:sz="6" w:space="0" w:color="414142"/>
              <w:bottom w:val="outset" w:sz="6" w:space="0" w:color="414142"/>
              <w:right w:val="outset" w:sz="6" w:space="0" w:color="414142"/>
            </w:tcBorders>
            <w:hideMark/>
          </w:tcPr>
          <w:p w14:paraId="023FE406" w14:textId="77777777" w:rsidR="00DB0AC9" w:rsidRPr="00FA5770" w:rsidRDefault="00DB0AC9" w:rsidP="00BD02FB">
            <w:r w:rsidRPr="00FA5770">
              <w:t>Pašreizējā situācija un problēmas, kuru risināšanai tiesību akta projekts izstrādāts, tiesiskā regulējuma mērķis un būtība</w:t>
            </w:r>
          </w:p>
        </w:tc>
        <w:tc>
          <w:tcPr>
            <w:tcW w:w="3595" w:type="pct"/>
            <w:tcBorders>
              <w:top w:val="outset" w:sz="6" w:space="0" w:color="414142"/>
              <w:left w:val="outset" w:sz="6" w:space="0" w:color="414142"/>
              <w:bottom w:val="outset" w:sz="6" w:space="0" w:color="414142"/>
              <w:right w:val="outset" w:sz="6" w:space="0" w:color="414142"/>
            </w:tcBorders>
            <w:hideMark/>
          </w:tcPr>
          <w:p w14:paraId="0B88CF2A" w14:textId="5C5352D0" w:rsidR="005958E4" w:rsidRPr="00E83326" w:rsidRDefault="005958E4" w:rsidP="00DA166C">
            <w:pPr>
              <w:ind w:firstLine="397"/>
              <w:jc w:val="both"/>
            </w:pPr>
            <w:r w:rsidRPr="00E83326">
              <w:t>Apsardzes darbības likuma 5.panta otrā daļa noteic,</w:t>
            </w:r>
            <w:r w:rsidR="00DA166C" w:rsidRPr="00E83326">
              <w:t xml:space="preserve"> ka Licenču un sertifikātu reģistrā (turpmāk - reģistrs) reģistrējamo ziņu apjomu, ziņu iekļaušanas, izmantošanas, glabāšanas un dzēšanas kārtību, kā arī institūcijas, kurām piešķirama piekļuve šajā reģistrā iekļautajām ziņām, nosaka Ministru kabinets.</w:t>
            </w:r>
          </w:p>
          <w:p w14:paraId="039CD8EC" w14:textId="01A2F41A" w:rsidR="007F4EBC" w:rsidRPr="00E83326" w:rsidRDefault="007F4EBC" w:rsidP="003F7915">
            <w:pPr>
              <w:ind w:firstLine="397"/>
              <w:jc w:val="both"/>
            </w:pPr>
            <w:r w:rsidRPr="00E83326">
              <w:t>Atbilstoši Civilām vajadzībām paredzētu sprāgstvielu aprites likuma 10.panta sestajai daļai</w:t>
            </w:r>
            <w:r w:rsidR="003F7915" w:rsidRPr="00E83326">
              <w:t xml:space="preserve"> ziņas par speciālajām atļaujām (licencēm), licencēto komersantu vadītājiem un personām, kuras ieņem amatus komersantu pārvaldes institūcijās, kā arī par darbiniekiem, uz kuriem attiecas šajā likumā paredzētie ierobežojumi, reģistrē Valsts policija Iekšlietu ministrijas Informācijas centra licenču un sertifikātu reģistrā. Reģistrējamo ziņu apjomu, iekļaušanas, izmantošanas un dzēšanas kārtību, kā arī institūcijas, kurām piešķirama piekļuve šajā reģistrā iekļautajām ziņām, nosaka Ministru kabinets. Savukārt minētā likuma 26.panta otrā daļa noteic, ka Iekšlietu ministrijas Informācijas centra licenču un sertifikātu reģistrā reģistrējamo ziņu apjomu, iekļaušanas, izmantošanas un dzēšanas kārtību, kā arī institūcijas, kurām piešķirama piekļuve šajā reģistrā iekļautajām ziņām, nosaka Ministru kabinets. </w:t>
            </w:r>
          </w:p>
          <w:p w14:paraId="1DA7642C" w14:textId="3E523B4D" w:rsidR="003F7915" w:rsidRPr="00E83326" w:rsidRDefault="003F7915" w:rsidP="00DA166C">
            <w:pPr>
              <w:ind w:firstLine="397"/>
              <w:jc w:val="both"/>
            </w:pPr>
            <w:r w:rsidRPr="00E83326">
              <w:lastRenderedPageBreak/>
              <w:t>Saskaņā ar Detektīvdarbības likuma 15.panta otro daļu</w:t>
            </w:r>
            <w:proofErr w:type="gramStart"/>
            <w:r w:rsidRPr="00E83326">
              <w:t xml:space="preserve">  </w:t>
            </w:r>
            <w:proofErr w:type="gramEnd"/>
            <w:r w:rsidRPr="00E83326">
              <w:t>Licenču un sertifikātu reģistrā reģistrējamo ziņu apjomu, ziņu iekļaušanas, izmantošanas un dzēšanas kārtību, kā arī institūcijas, kurām piešķirama piekļuve šajā reģistrā iekļautajām ziņām, nosaka Ministru kabinets.</w:t>
            </w:r>
          </w:p>
          <w:p w14:paraId="374D3D48" w14:textId="0A64E89B" w:rsidR="00243226" w:rsidRPr="00E83326" w:rsidRDefault="003F7915" w:rsidP="00243226">
            <w:pPr>
              <w:ind w:firstLine="397"/>
              <w:jc w:val="both"/>
            </w:pPr>
            <w:r w:rsidRPr="00E83326">
              <w:t xml:space="preserve">Ieroču aprites likuma 27.panta sestās daļas 3.punkts noteic, ka Ministru kabinets </w:t>
            </w:r>
            <w:r w:rsidR="001241D8" w:rsidRPr="00E83326">
              <w:t>informācijas apjomu un kārtību, kādā ārstniecības iestādes iekļauj Ieroču reģistrā un Licenču un sertifikātu reģistrā ziņas par personas veselības stāvokļa atbilstību ieroču glabāšanai (nēsāšanai) un darbam ar ieročiem. Atbilstoši minētā likuma</w:t>
            </w:r>
            <w:proofErr w:type="gramStart"/>
            <w:r w:rsidR="001241D8" w:rsidRPr="00E83326">
              <w:t xml:space="preserve">  </w:t>
            </w:r>
            <w:proofErr w:type="gramEnd"/>
            <w:r w:rsidR="001241D8" w:rsidRPr="00E83326">
              <w:t xml:space="preserve">72.panta desmitajai daļai </w:t>
            </w:r>
            <w:r w:rsidR="00243226" w:rsidRPr="00E83326">
              <w:t>ziņas par izsniegtajiem šaušanas instruktoru sertifikātiem biedrība "Latvijas Sporta federāciju padome" reģistrē Licenču un sertifikātu reģistrā. Licenču un sertifikātu reģistrā reģistrējamo ziņu apjomu, to iekļaušanas, izmantošanas un dzēšanas kārtību, kā arī institūcijas, kurām piešķirama piekļuve šajā reģistrā iekļautajām ziņām, nosaka Ministru kabinets. Savukārt minētā likuma 73.panta devītā daļa paredz, ka Licenču un sertifikātu reģistrā iekļaujamo ziņu apjomu, to iekļaušanas, izmantošanas un dzēšanas kārtību, kā arī institūcijas, kurām piešķirama piekļuve reģistrā iekļautajām ziņām, nosaka Ministru kabinets.</w:t>
            </w:r>
          </w:p>
          <w:p w14:paraId="300C117D" w14:textId="7BD493A9" w:rsidR="00243226" w:rsidRPr="00E83326" w:rsidRDefault="00243226" w:rsidP="00243226">
            <w:pPr>
              <w:ind w:firstLine="397"/>
              <w:jc w:val="both"/>
            </w:pPr>
            <w:r w:rsidRPr="00E83326">
              <w:t>Saskaņā ar Pirotehnisko izstrādājumu aprites likuma 6.panta sesto daļu Licenču un sertifikātu reģistrā iekļaujamo ziņu apjomu, ziņu iekļaušanas, izmantošanas un dzēšanas kārtību, kā arī institūcijas, kurām piešķirama piekļuve šajā reģistrā iekļautajām ziņām, nosaka Ministru kabinets. Savukārt minētā likuma 19.panta astotā daļa noteic, ka Valsts policija ziņas par pirotehniķa sertifikātu reģistrē licenču un sertifikātu reģistrā. Licenču un sertifikātu reģistrā reģistrējamo ziņu apjomu, ziņu iekļaušanas, izmantošanas un dzēšanas kārtību, institūcijas, kurām piešķirama piekļuve šajā reģistrā iekļautajām ziņām, nosaka Ministru kabinets.</w:t>
            </w:r>
          </w:p>
          <w:p w14:paraId="2531AD09" w14:textId="1722F013" w:rsidR="00243226" w:rsidRPr="00E83326" w:rsidRDefault="00243226" w:rsidP="003503F1">
            <w:pPr>
              <w:ind w:firstLine="397"/>
              <w:jc w:val="both"/>
            </w:pPr>
            <w:r w:rsidRPr="00E83326">
              <w:t xml:space="preserve">Ņemot vērā, ka minētajos likumos formulētais pilnvarojums Ministru kabinetam ir identisks, nav </w:t>
            </w:r>
            <w:r w:rsidR="003503F1" w:rsidRPr="00E83326">
              <w:t>samērīgi</w:t>
            </w:r>
            <w:r w:rsidRPr="00E83326">
              <w:t xml:space="preserve"> Ministru kabineta noteikumu projekta 1.punktā</w:t>
            </w:r>
            <w:r w:rsidR="00D4415A" w:rsidRPr="00E83326">
              <w:t xml:space="preserve"> </w:t>
            </w:r>
            <w:r w:rsidR="003503F1" w:rsidRPr="00E83326">
              <w:t>norādīt visos minētajos</w:t>
            </w:r>
            <w:proofErr w:type="gramStart"/>
            <w:r w:rsidR="00D4415A" w:rsidRPr="00E83326">
              <w:t xml:space="preserve">  </w:t>
            </w:r>
            <w:proofErr w:type="gramEnd"/>
            <w:r w:rsidR="00D4415A" w:rsidRPr="00E83326">
              <w:t xml:space="preserve">likumos </w:t>
            </w:r>
            <w:r w:rsidR="003503F1" w:rsidRPr="00E83326">
              <w:t xml:space="preserve">ietverto deleģējumu, tādējādi rakstot vairākus identiskus </w:t>
            </w:r>
            <w:r w:rsidR="00D66380" w:rsidRPr="00E83326">
              <w:t>apak</w:t>
            </w:r>
            <w:r w:rsidR="00533EF6" w:rsidRPr="00E83326">
              <w:t>špunktus.</w:t>
            </w:r>
          </w:p>
          <w:p w14:paraId="644F9B4F" w14:textId="29B5BCA6" w:rsidR="00243226" w:rsidRPr="00E83326" w:rsidRDefault="00D66380" w:rsidP="00B37996">
            <w:pPr>
              <w:ind w:firstLine="397"/>
              <w:jc w:val="both"/>
            </w:pPr>
            <w:r w:rsidRPr="00E83326">
              <w:t>Līdz ar to projekta 1.punktā ir ietverts regul</w:t>
            </w:r>
            <w:r w:rsidR="000C4BA4" w:rsidRPr="00E83326">
              <w:t>ējum</w:t>
            </w:r>
            <w:r w:rsidR="007D0DA5" w:rsidRPr="00E83326">
              <w:t>s</w:t>
            </w:r>
            <w:r w:rsidR="000C4BA4" w:rsidRPr="00E83326">
              <w:t>, kas atspoguļo likumos doto pilnvarojumu</w:t>
            </w:r>
            <w:r w:rsidR="00B37996" w:rsidRPr="00E83326">
              <w:t xml:space="preserve"> Ministru kabinetam</w:t>
            </w:r>
            <w:r w:rsidR="00683122" w:rsidRPr="00E83326">
              <w:t>,</w:t>
            </w:r>
            <w:r w:rsidR="00B37996" w:rsidRPr="00E83326">
              <w:t xml:space="preserve"> kā arī,</w:t>
            </w:r>
            <w:r w:rsidR="00683122" w:rsidRPr="00E83326">
              <w:t xml:space="preserve"> ņemot vērā iepriekšminētajos likums noteikto,</w:t>
            </w:r>
            <w:proofErr w:type="gramStart"/>
            <w:r w:rsidR="00683122" w:rsidRPr="00E83326">
              <w:t xml:space="preserve">  </w:t>
            </w:r>
            <w:proofErr w:type="gramEnd"/>
            <w:r w:rsidR="00683122" w:rsidRPr="00E83326">
              <w:t>ir ietverts regulējums, kas noteic</w:t>
            </w:r>
            <w:r w:rsidR="00B37996" w:rsidRPr="00E83326">
              <w:t xml:space="preserve"> </w:t>
            </w:r>
            <w:r w:rsidR="007D0DA5" w:rsidRPr="00E83326">
              <w:t>reģistrā iekļaujamās ziņas, tādējādi nodrošinot nepārprotamu skaidrību par tiesisko regulējumu.</w:t>
            </w:r>
          </w:p>
          <w:p w14:paraId="37000416" w14:textId="6636F598" w:rsidR="004D4B92" w:rsidRPr="001017C5" w:rsidRDefault="00B37996" w:rsidP="001017C5">
            <w:pPr>
              <w:ind w:firstLine="397"/>
              <w:jc w:val="both"/>
              <w:rPr>
                <w:color w:val="FF0000"/>
              </w:rPr>
            </w:pPr>
            <w:r w:rsidRPr="00E83326">
              <w:t>Līdzīga</w:t>
            </w:r>
            <w:r w:rsidR="001017C5" w:rsidRPr="00E83326">
              <w:t xml:space="preserve"> projekta struktūr</w:t>
            </w:r>
            <w:r w:rsidRPr="00E83326">
              <w:t>a</w:t>
            </w:r>
            <w:r w:rsidR="001017C5" w:rsidRPr="00E83326">
              <w:t xml:space="preserve"> bija arī </w:t>
            </w:r>
            <w:r w:rsidR="004D4B92" w:rsidRPr="00FA5770">
              <w:t>Ministru kabineta 2015.gada 10.februāra noteikumi Nr.63 „</w:t>
            </w:r>
            <w:r w:rsidR="004D4B92" w:rsidRPr="00FA5770">
              <w:rPr>
                <w:bCs/>
              </w:rPr>
              <w:t>Licenču un sertifikātu reģistra noteikumi</w:t>
            </w:r>
            <w:r w:rsidR="004D4B92" w:rsidRPr="00FA5770">
              <w:t xml:space="preserve">” regulē vienotās uzskaites kārtību par </w:t>
            </w:r>
            <w:r w:rsidR="001017C5">
              <w:t>šādām licencēm un sertifikātiem.</w:t>
            </w:r>
          </w:p>
          <w:p w14:paraId="3CAE54AF" w14:textId="66A105DF" w:rsidR="00C51B8B" w:rsidRPr="00685F4F" w:rsidRDefault="00685F4F" w:rsidP="00685F4F">
            <w:pPr>
              <w:ind w:firstLine="397"/>
              <w:jc w:val="both"/>
              <w:rPr>
                <w:color w:val="FF0000"/>
              </w:rPr>
            </w:pPr>
            <w:r w:rsidRPr="00E83326">
              <w:t xml:space="preserve">Ieroču aprites likuma 73.panta astotā daļa noteic, ka ziņas par licencēm, ieroču komersantiem, ieroču brokeriem, personām, kuras ir tiesīgas pārstāvēt komercsabiedrību, tās dalībniekiem, kā arī darbiniekiem, kuriem šajā likumā ir noteikti ierobežojumi, Valsts policija reģistrē Licenču un sertifikātu reģistrā. Minētā reģistra turētājs un pārzinis ir Iekšlietu ministrijas Informācijas centrs. Līdz </w:t>
            </w:r>
            <w:r w:rsidRPr="00E83326">
              <w:lastRenderedPageBreak/>
              <w:t xml:space="preserve">ar to </w:t>
            </w:r>
            <w:r w:rsidR="00141526" w:rsidRPr="00E83326">
              <w:t>Mini</w:t>
            </w:r>
            <w:r w:rsidR="00C51B8B" w:rsidRPr="00E83326">
              <w:t>s</w:t>
            </w:r>
            <w:r w:rsidRPr="00E83326">
              <w:t xml:space="preserve">tru kabineta noteikumu projekts tiek papildināts, paredzot, ka </w:t>
            </w:r>
            <w:r w:rsidR="00C51B8B" w:rsidRPr="00FA5770">
              <w:t xml:space="preserve">turpmāk tiks uzskaitītas </w:t>
            </w:r>
            <w:r w:rsidR="00C51B8B" w:rsidRPr="00FA5770">
              <w:rPr>
                <w:szCs w:val="28"/>
              </w:rPr>
              <w:t>ieroču broker</w:t>
            </w:r>
            <w:r w:rsidR="000A6C6C" w:rsidRPr="00FA5770">
              <w:rPr>
                <w:szCs w:val="28"/>
              </w:rPr>
              <w:t>u licences</w:t>
            </w:r>
            <w:r w:rsidR="00C51B8B" w:rsidRPr="00FA5770">
              <w:rPr>
                <w:szCs w:val="28"/>
              </w:rPr>
              <w:t xml:space="preserve"> komercdarījumiem ar</w:t>
            </w:r>
            <w:r w:rsidR="00C51B8B" w:rsidRPr="00FA5770">
              <w:rPr>
                <w:rFonts w:eastAsiaTheme="minorHAnsi"/>
                <w:szCs w:val="28"/>
              </w:rPr>
              <w:t xml:space="preserve"> ieročiem, munīciju un speciāliem līdzekļiem, komercsabiedrībām un individuālajiem komersantiem, kas tās saņēmuši, personām, kas ir tiesīgas pārstāvēt komercsabiedrību, tās dalībniekiem, kā arī darbiniekiem, kuriem Ieroču aprites likumā ir paredzēti ierobežojumi.</w:t>
            </w:r>
            <w:r w:rsidR="00615358" w:rsidRPr="00FA5770">
              <w:rPr>
                <w:rFonts w:eastAsiaTheme="minorHAnsi"/>
                <w:szCs w:val="28"/>
              </w:rPr>
              <w:t xml:space="preserve"> </w:t>
            </w:r>
          </w:p>
          <w:p w14:paraId="046F8F67" w14:textId="65F1068A" w:rsidR="002C35B2" w:rsidRPr="00E83326" w:rsidRDefault="001E0AC2" w:rsidP="001E0AC2">
            <w:pPr>
              <w:ind w:firstLine="397"/>
              <w:jc w:val="both"/>
            </w:pPr>
            <w:r w:rsidRPr="00E83326">
              <w:t xml:space="preserve">Ņemot vērā, ka Ieroču aprites likums paredz, ka atsevišķas licences tiks izsniegtas uz noteiktu laiku, tad </w:t>
            </w:r>
            <w:r w:rsidR="000F47C3" w:rsidRPr="00E83326">
              <w:t>Minis</w:t>
            </w:r>
            <w:r w:rsidR="002C35B2" w:rsidRPr="00E83326">
              <w:t xml:space="preserve">tru kabineta noteikumu projektā tiek ietverts regulējums, kas paredz, ka turpmāk tiks norādīts derīguma termiņš </w:t>
            </w:r>
            <w:r w:rsidR="002C35B2" w:rsidRPr="00E83326">
              <w:rPr>
                <w:rFonts w:eastAsiaTheme="minorHAnsi"/>
                <w:szCs w:val="28"/>
                <w:lang w:eastAsia="en-US"/>
              </w:rPr>
              <w:t>speciālajām atļaujām (licencēm) ieroču, munīcijas un speciālo līdzekļu komerciālajai apritei, tās dublikātu vai atkārtoti izsniegtām speciālajām atļaujām (licencēm) ieroču, munīcijas un speciālo līdzekļu komerciālajai apritei.</w:t>
            </w:r>
          </w:p>
          <w:p w14:paraId="0FDC3FEA" w14:textId="1E252652" w:rsidR="00FD5D5A" w:rsidRPr="00FA5770" w:rsidRDefault="00467419" w:rsidP="00DA166C">
            <w:pPr>
              <w:ind w:firstLine="397"/>
              <w:jc w:val="both"/>
              <w:rPr>
                <w:rFonts w:eastAsiaTheme="minorHAnsi"/>
                <w:lang w:eastAsia="en-US"/>
              </w:rPr>
            </w:pPr>
            <w:r w:rsidRPr="00FA5770">
              <w:t xml:space="preserve">Ministru kabineta noteikumu projekta </w:t>
            </w:r>
            <w:r w:rsidR="000A6C6C" w:rsidRPr="00FA5770">
              <w:t>2</w:t>
            </w:r>
            <w:r w:rsidR="00E5154B">
              <w:t>0</w:t>
            </w:r>
            <w:r w:rsidR="006F36F2" w:rsidRPr="00FA5770">
              <w:t xml:space="preserve">.punkts </w:t>
            </w:r>
            <w:r w:rsidR="000952E2">
              <w:t>noteic</w:t>
            </w:r>
            <w:r w:rsidR="006F36F2" w:rsidRPr="00FA5770">
              <w:t xml:space="preserve"> apstrādājamo ziņu apjomu </w:t>
            </w:r>
            <w:r w:rsidR="006F36F2" w:rsidRPr="00FA5770">
              <w:rPr>
                <w:rFonts w:eastAsiaTheme="minorHAnsi"/>
                <w:lang w:eastAsia="en-US"/>
              </w:rPr>
              <w:t>valsts informācijas sistēmas „Integrētā iekš</w:t>
            </w:r>
            <w:r w:rsidR="0017494C" w:rsidRPr="00FA5770">
              <w:rPr>
                <w:rFonts w:eastAsiaTheme="minorHAnsi"/>
                <w:lang w:eastAsia="en-US"/>
              </w:rPr>
              <w:t>l</w:t>
            </w:r>
            <w:r w:rsidR="006F36F2" w:rsidRPr="00FA5770">
              <w:rPr>
                <w:rFonts w:eastAsiaTheme="minorHAnsi"/>
                <w:lang w:eastAsia="en-US"/>
              </w:rPr>
              <w:t xml:space="preserve">ietu informācijas sistēma” apakšsistēmā „Licenču un sertifikātu reģistrs” par </w:t>
            </w:r>
            <w:r w:rsidR="00166DF1" w:rsidRPr="00FA5770">
              <w:rPr>
                <w:rFonts w:eastAsia="Calibri"/>
                <w:lang w:eastAsia="en-US"/>
              </w:rPr>
              <w:t xml:space="preserve">ieroča </w:t>
            </w:r>
            <w:r w:rsidR="006F36F2" w:rsidRPr="00FA5770">
              <w:rPr>
                <w:rFonts w:eastAsiaTheme="minorHAnsi"/>
                <w:lang w:eastAsia="en-US"/>
              </w:rPr>
              <w:t xml:space="preserve">brokera licenci </w:t>
            </w:r>
            <w:r w:rsidR="006F36F2" w:rsidRPr="00FA5770">
              <w:rPr>
                <w:lang w:eastAsia="en-US"/>
              </w:rPr>
              <w:t>komercdarījumiem</w:t>
            </w:r>
            <w:r w:rsidR="006F36F2" w:rsidRPr="00FA5770">
              <w:rPr>
                <w:rFonts w:eastAsiaTheme="minorHAnsi"/>
                <w:lang w:eastAsia="en-US"/>
              </w:rPr>
              <w:t xml:space="preserve"> ar ieročiem, munīciju un speciāliem līdzekļiem, tās dublikātu vai atkārtoti izsniegtu </w:t>
            </w:r>
            <w:r w:rsidR="000A6C6C" w:rsidRPr="00FA5770">
              <w:rPr>
                <w:rFonts w:eastAsiaTheme="minorHAnsi"/>
                <w:lang w:eastAsia="en-US"/>
              </w:rPr>
              <w:t xml:space="preserve">ieroču </w:t>
            </w:r>
            <w:r w:rsidR="006F36F2" w:rsidRPr="00FA5770">
              <w:rPr>
                <w:rFonts w:eastAsiaTheme="minorHAnsi"/>
                <w:lang w:eastAsia="en-US"/>
              </w:rPr>
              <w:t>brokera licenci</w:t>
            </w:r>
            <w:r w:rsidR="000A6C6C" w:rsidRPr="00FA5770">
              <w:rPr>
                <w:rFonts w:eastAsiaTheme="minorHAnsi"/>
                <w:lang w:eastAsia="en-US"/>
              </w:rPr>
              <w:t xml:space="preserve"> </w:t>
            </w:r>
            <w:r w:rsidR="006F36F2" w:rsidRPr="00FA5770">
              <w:rPr>
                <w:rFonts w:eastAsiaTheme="minorHAnsi"/>
                <w:lang w:eastAsia="en-US"/>
              </w:rPr>
              <w:t>komercdarījumiem ar ieročiem, munīciju un speciāliem līdzekļiem.</w:t>
            </w:r>
          </w:p>
          <w:p w14:paraId="179CE92E" w14:textId="6F8E9D90" w:rsidR="00D44E46" w:rsidRPr="00FA5770" w:rsidRDefault="00004ABA" w:rsidP="00DA166C">
            <w:pPr>
              <w:ind w:firstLine="397"/>
              <w:jc w:val="both"/>
              <w:rPr>
                <w:rFonts w:eastAsiaTheme="minorHAnsi"/>
                <w:lang w:eastAsia="en-US"/>
              </w:rPr>
            </w:pPr>
            <w:r w:rsidRPr="00FA5770">
              <w:rPr>
                <w:rFonts w:eastAsiaTheme="minorHAnsi"/>
                <w:lang w:eastAsia="en-US"/>
              </w:rPr>
              <w:t>Tā kā daļu apstrādājamo ziņu valsts informācijas sistēmas „Integrētā iekš</w:t>
            </w:r>
            <w:r w:rsidR="0017494C" w:rsidRPr="00FA5770">
              <w:rPr>
                <w:rFonts w:eastAsiaTheme="minorHAnsi"/>
                <w:lang w:eastAsia="en-US"/>
              </w:rPr>
              <w:t>l</w:t>
            </w:r>
            <w:r w:rsidRPr="00FA5770">
              <w:rPr>
                <w:rFonts w:eastAsiaTheme="minorHAnsi"/>
                <w:lang w:eastAsia="en-US"/>
              </w:rPr>
              <w:t xml:space="preserve">ietu informācijas sistēma” apakšsistēmā „Licenču un sertifikātu reģistrs” par </w:t>
            </w:r>
            <w:r w:rsidR="00210E62" w:rsidRPr="00FA5770">
              <w:rPr>
                <w:rFonts w:eastAsia="Calibri"/>
                <w:lang w:eastAsia="en-US"/>
              </w:rPr>
              <w:t xml:space="preserve">ieroču </w:t>
            </w:r>
            <w:r w:rsidRPr="00FA5770">
              <w:rPr>
                <w:rFonts w:eastAsiaTheme="minorHAnsi"/>
                <w:lang w:eastAsia="en-US"/>
              </w:rPr>
              <w:t xml:space="preserve">brokera licenci </w:t>
            </w:r>
            <w:r w:rsidRPr="00FA5770">
              <w:rPr>
                <w:lang w:eastAsia="en-US"/>
              </w:rPr>
              <w:t>komercdarījumiem</w:t>
            </w:r>
            <w:r w:rsidRPr="00FA5770">
              <w:rPr>
                <w:rFonts w:eastAsiaTheme="minorHAnsi"/>
                <w:lang w:eastAsia="en-US"/>
              </w:rPr>
              <w:t xml:space="preserve"> ar ieročiem, munīciju un speciāliem līdzekļiem, tās dublikātu vai atkārtoti izsniegtu </w:t>
            </w:r>
            <w:r w:rsidR="00210E62" w:rsidRPr="00FA5770">
              <w:rPr>
                <w:rFonts w:eastAsiaTheme="minorHAnsi"/>
                <w:lang w:eastAsia="en-US"/>
              </w:rPr>
              <w:t xml:space="preserve">ieroču </w:t>
            </w:r>
            <w:r w:rsidRPr="00FA5770">
              <w:rPr>
                <w:rFonts w:eastAsiaTheme="minorHAnsi"/>
                <w:lang w:eastAsia="en-US"/>
              </w:rPr>
              <w:t xml:space="preserve">brokera licenci komercdarījumiem ar ieročiem, munīciju un speciāliem līdzekļiem var saņemt no Uzņēmumu reģistra un Iedzīvotāju reģistra, tad attiecīgi ir papildināts arī Ministru kabineta noteikumu projekta </w:t>
            </w:r>
            <w:r w:rsidR="00CF4C38" w:rsidRPr="00FA5770">
              <w:rPr>
                <w:rFonts w:eastAsia="Calibri"/>
                <w:lang w:eastAsia="en-US"/>
              </w:rPr>
              <w:t>2</w:t>
            </w:r>
            <w:r w:rsidR="000A226F">
              <w:rPr>
                <w:rFonts w:eastAsia="Calibri"/>
                <w:lang w:eastAsia="en-US"/>
              </w:rPr>
              <w:t>3</w:t>
            </w:r>
            <w:r w:rsidRPr="00FA5770">
              <w:rPr>
                <w:rFonts w:eastAsiaTheme="minorHAnsi"/>
                <w:lang w:eastAsia="en-US"/>
              </w:rPr>
              <w:t>.punkts.</w:t>
            </w:r>
            <w:r w:rsidR="00927AF8" w:rsidRPr="00FA5770">
              <w:rPr>
                <w:rFonts w:eastAsiaTheme="minorHAnsi"/>
                <w:lang w:eastAsia="en-US"/>
              </w:rPr>
              <w:t xml:space="preserve"> Izmaiņas Iedzīvotāju reģistrā un Uzņēmumu reģistrā nav nepieciešamas. </w:t>
            </w:r>
          </w:p>
          <w:p w14:paraId="51C60FBB" w14:textId="0E27A08C" w:rsidR="000F0975" w:rsidRDefault="00D44E46" w:rsidP="00DA166C">
            <w:pPr>
              <w:ind w:firstLine="397"/>
              <w:jc w:val="both"/>
              <w:rPr>
                <w:rFonts w:eastAsia="Arial"/>
              </w:rPr>
            </w:pPr>
            <w:r w:rsidRPr="00FA5770">
              <w:rPr>
                <w:rFonts w:eastAsia="Arial"/>
              </w:rPr>
              <w:t>Ar katru institūciju un ārstniecības iestādi, kurai ir tiesības apstrādāt datus Licenču un sertifikātu reģistrā tiek slēgts līgums, kurā ir atrunātas datu aizsardzības prasības.</w:t>
            </w:r>
          </w:p>
          <w:p w14:paraId="2146DB9A" w14:textId="25B1B880" w:rsidR="00F730A8" w:rsidRPr="005004E7" w:rsidRDefault="00F730A8" w:rsidP="005004E7">
            <w:pPr>
              <w:ind w:firstLine="397"/>
              <w:jc w:val="both"/>
              <w:rPr>
                <w:rFonts w:eastAsia="Arial"/>
                <w:color w:val="FF0000"/>
              </w:rPr>
            </w:pPr>
            <w:r w:rsidRPr="00DC520F">
              <w:rPr>
                <w:rFonts w:eastAsia="Arial"/>
              </w:rPr>
              <w:t>Vienlaikus Ministru kabineta noteikumu projekts paredz papildin</w:t>
            </w:r>
            <w:r w:rsidR="005004E7" w:rsidRPr="00DC520F">
              <w:rPr>
                <w:rFonts w:eastAsia="Arial"/>
              </w:rPr>
              <w:t>āt to subjektu loku, kam būs tiesības p</w:t>
            </w:r>
            <w:r w:rsidRPr="00DC520F">
              <w:rPr>
                <w:rFonts w:eastAsia="Arial"/>
              </w:rPr>
              <w:t>iekļūt reģistrā iekļautajām ziņām un izmantot tās normatīvajos aktos noteikto funkciju veikšanai</w:t>
            </w:r>
            <w:r w:rsidR="005004E7" w:rsidRPr="00DC520F">
              <w:rPr>
                <w:rFonts w:eastAsia="Arial"/>
              </w:rPr>
              <w:t>, ar jaunu subjektu – Aizsardzības ministriju. Šāda piekļuve Aizsardzības ministrijai nepieciešama, lai veiktu</w:t>
            </w:r>
            <w:r w:rsidRPr="00DC520F">
              <w:rPr>
                <w:rFonts w:eastAsia="Arial"/>
              </w:rPr>
              <w:t xml:space="preserve"> v Stratēģiskās nozīmes preču aprites likuma 5.panta ceturtās daļ</w:t>
            </w:r>
            <w:r w:rsidR="005004E7" w:rsidRPr="00DC520F">
              <w:rPr>
                <w:rFonts w:eastAsia="Arial"/>
              </w:rPr>
              <w:t>as 13.punktā noteikto pārbaudi.</w:t>
            </w:r>
          </w:p>
          <w:p w14:paraId="560A2F57" w14:textId="3F9C6F4C" w:rsidR="006727CF" w:rsidRPr="00FA5770" w:rsidRDefault="00F730A8" w:rsidP="00DA166C">
            <w:pPr>
              <w:ind w:firstLine="397"/>
              <w:jc w:val="both"/>
              <w:rPr>
                <w:rFonts w:eastAsia="Arial"/>
              </w:rPr>
            </w:pPr>
            <w:r>
              <w:rPr>
                <w:rFonts w:eastAsia="Arial"/>
              </w:rPr>
              <w:t>Ministru kabineta noteikumu p</w:t>
            </w:r>
            <w:r w:rsidR="006727CF" w:rsidRPr="00FA5770">
              <w:rPr>
                <w:rFonts w:eastAsia="Arial"/>
              </w:rPr>
              <w:t xml:space="preserve">rojekts paredz </w:t>
            </w:r>
            <w:r w:rsidR="00FF6325" w:rsidRPr="00FA5770">
              <w:rPr>
                <w:rFonts w:eastAsia="Arial"/>
              </w:rPr>
              <w:t>noteikt</w:t>
            </w:r>
            <w:r w:rsidR="006727CF" w:rsidRPr="00FA5770">
              <w:rPr>
                <w:rFonts w:eastAsia="Arial"/>
              </w:rPr>
              <w:t xml:space="preserve"> datu glabāšanas termiņu </w:t>
            </w:r>
            <w:r w:rsidR="000940AB" w:rsidRPr="00FA5770">
              <w:rPr>
                <w:rFonts w:eastAsia="Arial"/>
              </w:rPr>
              <w:t>15 gadus</w:t>
            </w:r>
            <w:r w:rsidR="006727CF" w:rsidRPr="00FA5770">
              <w:rPr>
                <w:rFonts w:eastAsia="Arial"/>
              </w:rPr>
              <w:t>.</w:t>
            </w:r>
          </w:p>
          <w:p w14:paraId="39718871" w14:textId="749F22EF" w:rsidR="00D44E46" w:rsidRPr="00FA5770" w:rsidRDefault="00D44E46" w:rsidP="00DA166C">
            <w:pPr>
              <w:ind w:firstLine="397"/>
              <w:jc w:val="both"/>
              <w:rPr>
                <w:rFonts w:eastAsia="Arial"/>
              </w:rPr>
            </w:pPr>
            <w:r w:rsidRPr="00FA5770">
              <w:rPr>
                <w:rFonts w:eastAsia="Arial"/>
              </w:rPr>
              <w:t>Krimināllikuma 233.panta trešā daļa</w:t>
            </w:r>
            <w:proofErr w:type="gramStart"/>
            <w:r w:rsidRPr="00FA5770">
              <w:rPr>
                <w:rFonts w:eastAsia="Arial"/>
              </w:rPr>
              <w:t xml:space="preserve">  </w:t>
            </w:r>
            <w:proofErr w:type="gramEnd"/>
            <w:r w:rsidRPr="00FA5770">
              <w:rPr>
                <w:rFonts w:eastAsia="Arial"/>
              </w:rPr>
              <w:t>paredz atbildību par  šaujamieroča, šaujamieroča būtisko sastāvdaļu, šaujamieroča munīcijas, lielas enerģijas pneimatiskā ieroča, sprāgstvielas vai spridzināšanas ietaises izgatavošanu, remontēšanu, iegādāšanos, glabāšanu, nēsāšanu, pārvadāšanu, pārsūtīšanu vai realizēšanu bez attiecīgas atļaujas</w:t>
            </w:r>
            <w:r w:rsidR="00DB3D6A" w:rsidRPr="00FA5770">
              <w:rPr>
                <w:rFonts w:eastAsia="Arial"/>
              </w:rPr>
              <w:t xml:space="preserve">, ja to izdarījusi organizēta grupa, </w:t>
            </w:r>
            <w:r w:rsidR="00126629" w:rsidRPr="00FA5770">
              <w:rPr>
                <w:rFonts w:eastAsia="Arial"/>
              </w:rPr>
              <w:t xml:space="preserve">par kuru soda ar </w:t>
            </w:r>
            <w:r w:rsidR="00DB3D6A" w:rsidRPr="00FA5770">
              <w:rPr>
                <w:rFonts w:eastAsia="Arial"/>
              </w:rPr>
              <w:t xml:space="preserve">brīvības atņemšanu uz laiku līdz desmit gadiem, konfiscējot mantu </w:t>
            </w:r>
            <w:r w:rsidR="00DB3D6A" w:rsidRPr="00FA5770">
              <w:rPr>
                <w:rFonts w:eastAsia="Arial"/>
              </w:rPr>
              <w:lastRenderedPageBreak/>
              <w:t>vai bez mantas konfiskācijas, un ar probācijas uzraudzību uz laiku līdz trim gadiem.</w:t>
            </w:r>
          </w:p>
          <w:p w14:paraId="25A5454B" w14:textId="1968217B" w:rsidR="00F41E13" w:rsidRPr="00FA5770" w:rsidRDefault="00113F6C" w:rsidP="00DA166C">
            <w:pPr>
              <w:ind w:firstLine="397"/>
              <w:jc w:val="both"/>
              <w:rPr>
                <w:rFonts w:eastAsia="Arial"/>
              </w:rPr>
            </w:pPr>
            <w:r w:rsidRPr="00FA5770">
              <w:rPr>
                <w:rFonts w:eastAsia="Arial"/>
              </w:rPr>
              <w:t>Minētais noziedzīgais nodarījums s</w:t>
            </w:r>
            <w:r w:rsidR="00F41E13" w:rsidRPr="00FA5770">
              <w:rPr>
                <w:rFonts w:eastAsia="Arial"/>
              </w:rPr>
              <w:t>askaņā ar Krimināllikuma 7.panta piekto daļu</w:t>
            </w:r>
            <w:r w:rsidRPr="00FA5770">
              <w:rPr>
                <w:rFonts w:eastAsia="Arial"/>
              </w:rPr>
              <w:t xml:space="preserve"> klasificējams kā</w:t>
            </w:r>
            <w:r w:rsidR="00F41E13" w:rsidRPr="00FA5770">
              <w:rPr>
                <w:rFonts w:eastAsia="Arial"/>
              </w:rPr>
              <w:t xml:space="preserve"> sevišķi smags noziegums </w:t>
            </w:r>
            <w:r w:rsidRPr="00FA5770">
              <w:rPr>
                <w:rFonts w:eastAsia="Arial"/>
              </w:rPr>
              <w:t>u</w:t>
            </w:r>
            <w:r w:rsidR="00F41E13" w:rsidRPr="00FA5770">
              <w:rPr>
                <w:rFonts w:eastAsia="Arial"/>
              </w:rPr>
              <w:t>n atbilstoši</w:t>
            </w:r>
            <w:proofErr w:type="gramStart"/>
            <w:r w:rsidR="00F41E13" w:rsidRPr="00FA5770">
              <w:rPr>
                <w:rFonts w:eastAsia="Arial"/>
              </w:rPr>
              <w:t xml:space="preserve">  </w:t>
            </w:r>
            <w:proofErr w:type="gramEnd"/>
            <w:r w:rsidR="00F41E13" w:rsidRPr="00FA5770">
              <w:rPr>
                <w:rFonts w:eastAsia="Arial"/>
              </w:rPr>
              <w:t xml:space="preserve">Krimināllikuma 56.panta pirmās daļas 5.punktam šādam noziedzīgam nodarījumam kriminālatbildības noilgums ir </w:t>
            </w:r>
            <w:r w:rsidRPr="00FA5770">
              <w:rPr>
                <w:rFonts w:eastAsia="Arial"/>
              </w:rPr>
              <w:t>piecpadsmit gadi.</w:t>
            </w:r>
          </w:p>
          <w:p w14:paraId="2BC73828" w14:textId="18BDCA9C" w:rsidR="00E92D34" w:rsidRPr="00FA5770" w:rsidRDefault="00F41E13" w:rsidP="00DA166C">
            <w:pPr>
              <w:ind w:firstLine="397"/>
              <w:jc w:val="both"/>
              <w:rPr>
                <w:rFonts w:eastAsia="Arial"/>
              </w:rPr>
            </w:pPr>
            <w:r w:rsidRPr="00FA5770">
              <w:rPr>
                <w:rFonts w:eastAsia="Arial"/>
              </w:rPr>
              <w:t>Ņemot vērā</w:t>
            </w:r>
            <w:proofErr w:type="gramStart"/>
            <w:r w:rsidRPr="00FA5770">
              <w:rPr>
                <w:rFonts w:eastAsia="Arial"/>
              </w:rPr>
              <w:t xml:space="preserve">  </w:t>
            </w:r>
            <w:proofErr w:type="gramEnd"/>
            <w:r w:rsidRPr="00FA5770">
              <w:rPr>
                <w:rFonts w:eastAsia="Arial"/>
              </w:rPr>
              <w:t>minēto,</w:t>
            </w:r>
            <w:r w:rsidR="0061509A" w:rsidRPr="00FA5770">
              <w:rPr>
                <w:rFonts w:eastAsia="Arial"/>
              </w:rPr>
              <w:t xml:space="preserve"> </w:t>
            </w:r>
            <w:r w:rsidR="000940AB" w:rsidRPr="00FA5770">
              <w:rPr>
                <w:rFonts w:eastAsia="Arial"/>
              </w:rPr>
              <w:t>noziedzīgā nodarījuma priekšmeta bīstamību un ilgderīgumu, ziņas par subjektiem, kas veic darbības ar minētajiem priekšmetiem  ir saglabājamas līdz attiecīgā noziedzīgā nodarījuma noilguma iestāšanās brīdim, proti, 15 gadus.</w:t>
            </w:r>
          </w:p>
        </w:tc>
      </w:tr>
      <w:tr w:rsidR="00FA5770" w:rsidRPr="00FA5770" w14:paraId="71C97733" w14:textId="77777777" w:rsidTr="0018770F">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782B452A" w14:textId="67093697" w:rsidR="00DB0AC9" w:rsidRPr="00FA5770" w:rsidRDefault="00DB0AC9" w:rsidP="00BD02FB">
            <w:pPr>
              <w:jc w:val="center"/>
            </w:pPr>
            <w:r w:rsidRPr="00FA5770">
              <w:lastRenderedPageBreak/>
              <w:t>3.</w:t>
            </w:r>
          </w:p>
        </w:tc>
        <w:tc>
          <w:tcPr>
            <w:tcW w:w="1102" w:type="pct"/>
            <w:tcBorders>
              <w:top w:val="outset" w:sz="6" w:space="0" w:color="414142"/>
              <w:left w:val="outset" w:sz="6" w:space="0" w:color="414142"/>
              <w:bottom w:val="outset" w:sz="6" w:space="0" w:color="414142"/>
              <w:right w:val="outset" w:sz="6" w:space="0" w:color="414142"/>
            </w:tcBorders>
            <w:hideMark/>
          </w:tcPr>
          <w:p w14:paraId="2F09545F" w14:textId="77777777" w:rsidR="00DB0AC9" w:rsidRPr="00FA5770" w:rsidRDefault="00DB0AC9" w:rsidP="00BD02FB">
            <w:r w:rsidRPr="00FA5770">
              <w:t>Projekta izstrādē iesaistītās institūcijas un publiskas personas kapitālsabiedrības</w:t>
            </w:r>
          </w:p>
        </w:tc>
        <w:tc>
          <w:tcPr>
            <w:tcW w:w="3595" w:type="pct"/>
            <w:tcBorders>
              <w:top w:val="outset" w:sz="6" w:space="0" w:color="414142"/>
              <w:left w:val="outset" w:sz="6" w:space="0" w:color="414142"/>
              <w:bottom w:val="outset" w:sz="6" w:space="0" w:color="414142"/>
              <w:right w:val="outset" w:sz="6" w:space="0" w:color="414142"/>
            </w:tcBorders>
            <w:hideMark/>
          </w:tcPr>
          <w:p w14:paraId="13F67A96" w14:textId="77777777" w:rsidR="00DB0AC9" w:rsidRPr="00FA5770" w:rsidRDefault="00DB0AC9" w:rsidP="00253920">
            <w:pPr>
              <w:spacing w:after="120"/>
              <w:jc w:val="both"/>
            </w:pPr>
            <w:r w:rsidRPr="00FA5770">
              <w:t>Iekšlietu ministrija</w:t>
            </w:r>
            <w:r w:rsidR="00253920" w:rsidRPr="00FA5770">
              <w:t>s Informācijas centrs</w:t>
            </w:r>
            <w:r w:rsidR="00C23E69" w:rsidRPr="00FA5770">
              <w:t>, Valsts policija</w:t>
            </w:r>
            <w:r w:rsidR="00253920" w:rsidRPr="00FA5770">
              <w:t>.</w:t>
            </w:r>
          </w:p>
        </w:tc>
      </w:tr>
      <w:tr w:rsidR="00FA5770" w:rsidRPr="00FA5770" w14:paraId="3A168BE3" w14:textId="77777777" w:rsidTr="0018770F">
        <w:tc>
          <w:tcPr>
            <w:tcW w:w="303" w:type="pct"/>
            <w:tcBorders>
              <w:top w:val="outset" w:sz="6" w:space="0" w:color="414142"/>
              <w:left w:val="outset" w:sz="6" w:space="0" w:color="414142"/>
              <w:bottom w:val="outset" w:sz="6" w:space="0" w:color="414142"/>
              <w:right w:val="outset" w:sz="6" w:space="0" w:color="414142"/>
            </w:tcBorders>
            <w:hideMark/>
          </w:tcPr>
          <w:p w14:paraId="58EECDE5" w14:textId="77777777" w:rsidR="00DB0AC9" w:rsidRPr="00FA5770" w:rsidRDefault="00DB0AC9" w:rsidP="00BD02FB">
            <w:pPr>
              <w:jc w:val="center"/>
            </w:pPr>
            <w:r w:rsidRPr="00FA5770">
              <w:t>4.</w:t>
            </w:r>
          </w:p>
        </w:tc>
        <w:tc>
          <w:tcPr>
            <w:tcW w:w="1102" w:type="pct"/>
            <w:tcBorders>
              <w:top w:val="outset" w:sz="6" w:space="0" w:color="414142"/>
              <w:left w:val="outset" w:sz="6" w:space="0" w:color="414142"/>
              <w:bottom w:val="outset" w:sz="6" w:space="0" w:color="414142"/>
              <w:right w:val="outset" w:sz="6" w:space="0" w:color="414142"/>
            </w:tcBorders>
            <w:hideMark/>
          </w:tcPr>
          <w:p w14:paraId="5C5DB975" w14:textId="77777777" w:rsidR="00DB0AC9" w:rsidRPr="00FA5770" w:rsidRDefault="00DB0AC9" w:rsidP="00BD02FB">
            <w:r w:rsidRPr="00FA5770">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12A0B398" w14:textId="77777777" w:rsidR="00DB0AC9" w:rsidRPr="00FA5770" w:rsidRDefault="00DB0AC9" w:rsidP="00BD02FB">
            <w:r w:rsidRPr="00FA5770">
              <w:t>Nav</w:t>
            </w:r>
          </w:p>
        </w:tc>
      </w:tr>
    </w:tbl>
    <w:p w14:paraId="0E0149C0" w14:textId="77777777" w:rsidR="00DB0AC9" w:rsidRPr="00FA5770" w:rsidRDefault="00DB0AC9" w:rsidP="00DB0AC9">
      <w:pPr>
        <w:shd w:val="clear" w:color="auto" w:fill="FFFFFF"/>
        <w:ind w:firstLine="300"/>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738"/>
        <w:gridCol w:w="5919"/>
      </w:tblGrid>
      <w:tr w:rsidR="00FA5770" w:rsidRPr="00FA5770" w14:paraId="0C316FA8" w14:textId="77777777" w:rsidTr="0084623B">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770CC3" w14:textId="77777777" w:rsidR="00DB0AC9" w:rsidRPr="00FA5770" w:rsidRDefault="00DB0AC9" w:rsidP="00BD02FB">
            <w:pPr>
              <w:jc w:val="center"/>
              <w:rPr>
                <w:b/>
                <w:bCs/>
              </w:rPr>
            </w:pPr>
            <w:r w:rsidRPr="00FA5770">
              <w:rPr>
                <w:b/>
                <w:bCs/>
              </w:rPr>
              <w:t>II. Tiesību akta projekta ietekme uz sabiedrību, tautsaimniecības attīstību un administratīvo slogu</w:t>
            </w:r>
          </w:p>
        </w:tc>
      </w:tr>
      <w:tr w:rsidR="00FA5770" w:rsidRPr="00FA5770" w14:paraId="1854F5B0" w14:textId="77777777" w:rsidTr="0084623B">
        <w:trPr>
          <w:trHeight w:val="465"/>
        </w:trPr>
        <w:tc>
          <w:tcPr>
            <w:tcW w:w="298" w:type="pct"/>
            <w:tcBorders>
              <w:top w:val="outset" w:sz="6" w:space="0" w:color="414142"/>
              <w:left w:val="outset" w:sz="6" w:space="0" w:color="414142"/>
              <w:bottom w:val="outset" w:sz="6" w:space="0" w:color="414142"/>
              <w:right w:val="outset" w:sz="6" w:space="0" w:color="414142"/>
            </w:tcBorders>
            <w:hideMark/>
          </w:tcPr>
          <w:p w14:paraId="5F953933" w14:textId="77777777" w:rsidR="00DB0AC9" w:rsidRPr="00FA5770" w:rsidRDefault="00DB0AC9" w:rsidP="00BD02FB">
            <w:r w:rsidRPr="00FA5770">
              <w:t>1.</w:t>
            </w:r>
          </w:p>
        </w:tc>
        <w:tc>
          <w:tcPr>
            <w:tcW w:w="1487" w:type="pct"/>
            <w:tcBorders>
              <w:top w:val="outset" w:sz="6" w:space="0" w:color="414142"/>
              <w:left w:val="outset" w:sz="6" w:space="0" w:color="414142"/>
              <w:bottom w:val="outset" w:sz="6" w:space="0" w:color="414142"/>
              <w:right w:val="outset" w:sz="6" w:space="0" w:color="414142"/>
            </w:tcBorders>
            <w:hideMark/>
          </w:tcPr>
          <w:p w14:paraId="7AC04A11" w14:textId="77777777" w:rsidR="00DB0AC9" w:rsidRPr="00FA5770" w:rsidRDefault="00DB0AC9" w:rsidP="00BD02FB">
            <w:r w:rsidRPr="00FA5770">
              <w:t xml:space="preserve">Sabiedrības </w:t>
            </w:r>
            <w:proofErr w:type="spellStart"/>
            <w:r w:rsidRPr="00FA5770">
              <w:t>mērķgrupas</w:t>
            </w:r>
            <w:proofErr w:type="spellEnd"/>
            <w:r w:rsidRPr="00FA5770">
              <w:t>, kuras tiesiskais regulējums ietekmē vai varētu ietekmēt</w:t>
            </w:r>
          </w:p>
        </w:tc>
        <w:tc>
          <w:tcPr>
            <w:tcW w:w="3215" w:type="pct"/>
            <w:tcBorders>
              <w:top w:val="outset" w:sz="6" w:space="0" w:color="414142"/>
              <w:left w:val="outset" w:sz="6" w:space="0" w:color="414142"/>
              <w:bottom w:val="outset" w:sz="6" w:space="0" w:color="414142"/>
              <w:right w:val="outset" w:sz="6" w:space="0" w:color="414142"/>
            </w:tcBorders>
            <w:hideMark/>
          </w:tcPr>
          <w:p w14:paraId="4249CF2B" w14:textId="77777777" w:rsidR="005B7004" w:rsidRPr="00FA5770" w:rsidRDefault="005B7004" w:rsidP="0004380A">
            <w:pPr>
              <w:ind w:firstLine="356"/>
              <w:jc w:val="both"/>
            </w:pPr>
            <w:r w:rsidRPr="00FA5770">
              <w:t>Saskaņā ar Iekšlietu ministrijas Informācijas centra rīcībā esošo informāciju:</w:t>
            </w:r>
          </w:p>
          <w:p w14:paraId="377B7A07" w14:textId="21122354" w:rsidR="000F0975" w:rsidRPr="00FA5770" w:rsidRDefault="000F0975" w:rsidP="0004380A">
            <w:pPr>
              <w:pStyle w:val="ListParagraph"/>
              <w:numPr>
                <w:ilvl w:val="0"/>
                <w:numId w:val="10"/>
              </w:numPr>
              <w:spacing w:after="0" w:line="240" w:lineRule="auto"/>
              <w:ind w:firstLine="356"/>
              <w:jc w:val="both"/>
              <w:rPr>
                <w:rFonts w:ascii="Times New Roman" w:hAnsi="Times New Roman" w:cs="Times New Roman"/>
                <w:sz w:val="24"/>
                <w:szCs w:val="24"/>
              </w:rPr>
            </w:pPr>
            <w:r w:rsidRPr="00FA5770">
              <w:rPr>
                <w:rFonts w:ascii="Times New Roman" w:hAnsi="Times New Roman" w:cs="Times New Roman"/>
                <w:sz w:val="24"/>
                <w:szCs w:val="24"/>
              </w:rPr>
              <w:t>ieroču komersanti –</w:t>
            </w:r>
            <w:r w:rsidR="009379B8" w:rsidRPr="00FA5770">
              <w:rPr>
                <w:rFonts w:ascii="Times New Roman" w:hAnsi="Times New Roman" w:cs="Times New Roman"/>
                <w:sz w:val="24"/>
                <w:szCs w:val="24"/>
              </w:rPr>
              <w:t xml:space="preserve"> 44</w:t>
            </w:r>
          </w:p>
          <w:p w14:paraId="68F4528B" w14:textId="4FE20ACE" w:rsidR="000F0975" w:rsidRPr="00FA5770" w:rsidRDefault="000F0975" w:rsidP="0004380A">
            <w:pPr>
              <w:pStyle w:val="ListParagraph"/>
              <w:numPr>
                <w:ilvl w:val="0"/>
                <w:numId w:val="10"/>
              </w:numPr>
              <w:spacing w:after="0" w:line="240" w:lineRule="auto"/>
              <w:ind w:firstLine="356"/>
              <w:jc w:val="both"/>
              <w:rPr>
                <w:rFonts w:ascii="Times New Roman" w:hAnsi="Times New Roman" w:cs="Times New Roman"/>
                <w:sz w:val="24"/>
                <w:szCs w:val="24"/>
              </w:rPr>
            </w:pPr>
            <w:r w:rsidRPr="00FA5770">
              <w:rPr>
                <w:rFonts w:ascii="Times New Roman" w:hAnsi="Times New Roman" w:cs="Times New Roman"/>
                <w:sz w:val="24"/>
                <w:szCs w:val="24"/>
              </w:rPr>
              <w:t xml:space="preserve">pirotehnikas komersanti - </w:t>
            </w:r>
            <w:r w:rsidR="009379B8" w:rsidRPr="00FA5770">
              <w:rPr>
                <w:rFonts w:ascii="Times New Roman" w:hAnsi="Times New Roman" w:cs="Times New Roman"/>
                <w:sz w:val="24"/>
                <w:szCs w:val="24"/>
              </w:rPr>
              <w:t>54</w:t>
            </w:r>
          </w:p>
          <w:p w14:paraId="5856454D" w14:textId="77777777" w:rsidR="0004380A" w:rsidRDefault="000F0975" w:rsidP="0004380A">
            <w:pPr>
              <w:pStyle w:val="ListParagraph"/>
              <w:numPr>
                <w:ilvl w:val="0"/>
                <w:numId w:val="10"/>
              </w:numPr>
              <w:spacing w:after="0" w:line="240" w:lineRule="auto"/>
              <w:ind w:firstLine="356"/>
              <w:jc w:val="both"/>
              <w:rPr>
                <w:rFonts w:ascii="Times New Roman" w:hAnsi="Times New Roman" w:cs="Times New Roman"/>
                <w:sz w:val="24"/>
                <w:szCs w:val="24"/>
              </w:rPr>
            </w:pPr>
            <w:r w:rsidRPr="00FA5770">
              <w:rPr>
                <w:rFonts w:ascii="Times New Roman" w:hAnsi="Times New Roman" w:cs="Times New Roman"/>
                <w:sz w:val="24"/>
                <w:szCs w:val="24"/>
              </w:rPr>
              <w:t>sprāgstvielu un spridzināšanas ietaišu realizācijas uzņēmumi -2</w:t>
            </w:r>
          </w:p>
          <w:p w14:paraId="2C195AE3" w14:textId="10BA5B89" w:rsidR="000F0975" w:rsidRPr="0004380A" w:rsidRDefault="000F0975" w:rsidP="0004380A">
            <w:pPr>
              <w:pStyle w:val="ListParagraph"/>
              <w:numPr>
                <w:ilvl w:val="0"/>
                <w:numId w:val="10"/>
              </w:numPr>
              <w:spacing w:after="0" w:line="240" w:lineRule="auto"/>
              <w:ind w:firstLine="356"/>
              <w:jc w:val="both"/>
              <w:rPr>
                <w:rFonts w:ascii="Times New Roman" w:hAnsi="Times New Roman" w:cs="Times New Roman"/>
                <w:sz w:val="24"/>
                <w:szCs w:val="24"/>
              </w:rPr>
            </w:pPr>
            <w:r w:rsidRPr="0004380A">
              <w:rPr>
                <w:rFonts w:ascii="Times New Roman" w:eastAsia="Times New Roman" w:hAnsi="Times New Roman" w:cs="Times New Roman"/>
                <w:bCs/>
                <w:sz w:val="24"/>
                <w:szCs w:val="24"/>
                <w:lang w:eastAsia="lv-LV"/>
              </w:rPr>
              <w:t>sprāgstvielu un spridzināšanas ietaišu realizācijas uzņēmumu -2</w:t>
            </w:r>
          </w:p>
          <w:p w14:paraId="04AD2F12" w14:textId="3C20C496" w:rsidR="000F0975" w:rsidRPr="00FA5770" w:rsidRDefault="000F0975" w:rsidP="0004380A">
            <w:pPr>
              <w:pStyle w:val="ListParagraph"/>
              <w:numPr>
                <w:ilvl w:val="0"/>
                <w:numId w:val="10"/>
              </w:numPr>
              <w:spacing w:after="0" w:line="240" w:lineRule="auto"/>
              <w:ind w:firstLine="356"/>
              <w:jc w:val="both"/>
              <w:rPr>
                <w:rFonts w:ascii="Times New Roman" w:hAnsi="Times New Roman" w:cs="Times New Roman"/>
                <w:sz w:val="24"/>
                <w:szCs w:val="24"/>
              </w:rPr>
            </w:pPr>
            <w:proofErr w:type="spellStart"/>
            <w:r w:rsidRPr="00FA5770">
              <w:rPr>
                <w:rFonts w:ascii="Times New Roman" w:eastAsia="Times New Roman" w:hAnsi="Times New Roman" w:cs="Times New Roman"/>
                <w:bCs/>
                <w:sz w:val="24"/>
                <w:szCs w:val="24"/>
                <w:lang w:eastAsia="lv-LV"/>
              </w:rPr>
              <w:t>detektīvsabiedrības</w:t>
            </w:r>
            <w:proofErr w:type="spellEnd"/>
            <w:r w:rsidRPr="00FA5770">
              <w:rPr>
                <w:rFonts w:ascii="Times New Roman" w:eastAsia="Times New Roman" w:hAnsi="Times New Roman" w:cs="Times New Roman"/>
                <w:bCs/>
                <w:sz w:val="24"/>
                <w:szCs w:val="24"/>
                <w:lang w:eastAsia="lv-LV"/>
              </w:rPr>
              <w:t xml:space="preserve"> - 43</w:t>
            </w:r>
          </w:p>
          <w:p w14:paraId="28A224C6" w14:textId="501B4331" w:rsidR="000F0975" w:rsidRPr="00FA5770" w:rsidRDefault="000F0975" w:rsidP="0004380A">
            <w:pPr>
              <w:pStyle w:val="ListParagraph"/>
              <w:numPr>
                <w:ilvl w:val="0"/>
                <w:numId w:val="10"/>
              </w:numPr>
              <w:spacing w:after="0" w:line="240" w:lineRule="auto"/>
              <w:ind w:firstLine="356"/>
              <w:jc w:val="both"/>
              <w:rPr>
                <w:rFonts w:ascii="Times New Roman" w:hAnsi="Times New Roman" w:cs="Times New Roman"/>
                <w:sz w:val="24"/>
                <w:szCs w:val="24"/>
              </w:rPr>
            </w:pPr>
            <w:r w:rsidRPr="00FA5770">
              <w:rPr>
                <w:rFonts w:ascii="Times New Roman" w:hAnsi="Times New Roman" w:cs="Times New Roman"/>
                <w:sz w:val="24"/>
                <w:szCs w:val="24"/>
              </w:rPr>
              <w:t>sertificētie detektīvi - 124</w:t>
            </w:r>
          </w:p>
          <w:p w14:paraId="53E2CBEE" w14:textId="60B3DE73" w:rsidR="00244289" w:rsidRPr="00FA5770" w:rsidRDefault="005B7004" w:rsidP="0004380A">
            <w:pPr>
              <w:ind w:firstLine="356"/>
              <w:jc w:val="both"/>
            </w:pPr>
            <w:r w:rsidRPr="00FA5770">
              <w:t>Šobrīd nevar identificēt, cik būs personu, kuras vēlēsies saņemt ieroču brokera atļauju (licenci), lai organizētu darījumus ieroču aprites jomā.</w:t>
            </w:r>
          </w:p>
          <w:p w14:paraId="1E1EA2B7" w14:textId="151483EB" w:rsidR="000C6680" w:rsidRPr="00FA5770" w:rsidRDefault="000C6680" w:rsidP="0004380A">
            <w:pPr>
              <w:ind w:firstLine="356"/>
              <w:jc w:val="both"/>
            </w:pPr>
            <w:r w:rsidRPr="00FA5770">
              <w:t>Valsts policija, Valsts meža dienests, ārstniecības iestādes, biedrība „Latvijas Sporta federāciju padome”.</w:t>
            </w:r>
          </w:p>
        </w:tc>
      </w:tr>
      <w:tr w:rsidR="00FA5770" w:rsidRPr="00FA5770" w14:paraId="4658634E" w14:textId="77777777" w:rsidTr="0084623B">
        <w:trPr>
          <w:trHeight w:val="817"/>
        </w:trPr>
        <w:tc>
          <w:tcPr>
            <w:tcW w:w="298" w:type="pct"/>
            <w:tcBorders>
              <w:top w:val="outset" w:sz="6" w:space="0" w:color="414142"/>
              <w:left w:val="outset" w:sz="6" w:space="0" w:color="414142"/>
              <w:bottom w:val="outset" w:sz="6" w:space="0" w:color="414142"/>
              <w:right w:val="outset" w:sz="6" w:space="0" w:color="414142"/>
            </w:tcBorders>
            <w:hideMark/>
          </w:tcPr>
          <w:p w14:paraId="0E62250D" w14:textId="000F82E7" w:rsidR="00DB0AC9" w:rsidRPr="00FA5770" w:rsidRDefault="00DB0AC9" w:rsidP="00BD02FB">
            <w:r w:rsidRPr="00FA5770">
              <w:t>2.</w:t>
            </w:r>
          </w:p>
        </w:tc>
        <w:tc>
          <w:tcPr>
            <w:tcW w:w="1487" w:type="pct"/>
            <w:tcBorders>
              <w:top w:val="outset" w:sz="6" w:space="0" w:color="414142"/>
              <w:left w:val="outset" w:sz="6" w:space="0" w:color="414142"/>
              <w:bottom w:val="outset" w:sz="6" w:space="0" w:color="414142"/>
              <w:right w:val="outset" w:sz="6" w:space="0" w:color="414142"/>
            </w:tcBorders>
            <w:hideMark/>
          </w:tcPr>
          <w:p w14:paraId="66341B78" w14:textId="77777777" w:rsidR="00DB0AC9" w:rsidRPr="00FA5770" w:rsidRDefault="00DB0AC9" w:rsidP="00BD02FB">
            <w:r w:rsidRPr="00FA5770">
              <w:t>Tiesiskā regulējuma ietekme uz tautsaimniecību un administratīvo slogu</w:t>
            </w:r>
          </w:p>
        </w:tc>
        <w:tc>
          <w:tcPr>
            <w:tcW w:w="3215" w:type="pct"/>
            <w:tcBorders>
              <w:top w:val="outset" w:sz="6" w:space="0" w:color="414142"/>
              <w:left w:val="outset" w:sz="6" w:space="0" w:color="414142"/>
              <w:bottom w:val="outset" w:sz="6" w:space="0" w:color="414142"/>
              <w:right w:val="outset" w:sz="6" w:space="0" w:color="414142"/>
            </w:tcBorders>
          </w:tcPr>
          <w:p w14:paraId="2869D194" w14:textId="77777777" w:rsidR="00E507C9" w:rsidRDefault="00E507C9" w:rsidP="00E507C9">
            <w:pPr>
              <w:ind w:firstLine="720"/>
              <w:jc w:val="both"/>
            </w:pPr>
            <w:r>
              <w:t>Fiziskajām un juridiskajām personām projekta tiesiskais regulējums nemaina to pienākumus un veicamās darbības.</w:t>
            </w:r>
          </w:p>
          <w:p w14:paraId="7E99D31C" w14:textId="77777777" w:rsidR="00E507C9" w:rsidRDefault="00E507C9" w:rsidP="00E507C9">
            <w:pPr>
              <w:ind w:firstLine="720"/>
              <w:jc w:val="both"/>
            </w:pPr>
            <w:r>
              <w:t>Licenču un sertifikātu reģistrā informāciju kā līdz šim un tādā pašā apjomā apstrādās Valsts policija, Valsts meža dienests, ārstniecības iestādes, biedrība „Latvijas Sporta federāciju padome". Ieroču aprites likums paredz, ka Licenču un sertifikātu reģistrā nepieciešams ievadīt informāciju par ieroča brokera licenci. Ņemot vērā, ka minētais subjekts ir komersants, tad Licenču un sertifikātu reģistrā iekļaujamā informācija attiecībā uz to ir identiska kā ieroču komersantam.</w:t>
            </w:r>
          </w:p>
          <w:p w14:paraId="6595FEAF" w14:textId="6E44C9C9" w:rsidR="00AC3190" w:rsidRPr="00FA5770" w:rsidRDefault="00E507C9" w:rsidP="00E507C9">
            <w:pPr>
              <w:ind w:firstLine="720"/>
              <w:jc w:val="both"/>
              <w:rPr>
                <w:strike/>
              </w:rPr>
            </w:pPr>
            <w:r>
              <w:t>Ņemot vērā minēto, administratīvais slogs netiek palielināts un ir nemainīgs.</w:t>
            </w:r>
          </w:p>
        </w:tc>
      </w:tr>
      <w:tr w:rsidR="00FA5770" w:rsidRPr="00FA5770" w14:paraId="579E00F1" w14:textId="77777777" w:rsidTr="0084623B">
        <w:trPr>
          <w:trHeight w:val="510"/>
        </w:trPr>
        <w:tc>
          <w:tcPr>
            <w:tcW w:w="298" w:type="pct"/>
            <w:tcBorders>
              <w:top w:val="outset" w:sz="6" w:space="0" w:color="414142"/>
              <w:left w:val="outset" w:sz="6" w:space="0" w:color="414142"/>
              <w:bottom w:val="outset" w:sz="6" w:space="0" w:color="414142"/>
              <w:right w:val="outset" w:sz="6" w:space="0" w:color="414142"/>
            </w:tcBorders>
            <w:hideMark/>
          </w:tcPr>
          <w:p w14:paraId="47E6781C" w14:textId="77777777" w:rsidR="00DB0AC9" w:rsidRPr="00FA5770" w:rsidRDefault="00DB0AC9" w:rsidP="00BD02FB">
            <w:r w:rsidRPr="00FA5770">
              <w:lastRenderedPageBreak/>
              <w:t>3.</w:t>
            </w:r>
          </w:p>
        </w:tc>
        <w:tc>
          <w:tcPr>
            <w:tcW w:w="1487" w:type="pct"/>
            <w:tcBorders>
              <w:top w:val="outset" w:sz="6" w:space="0" w:color="414142"/>
              <w:left w:val="outset" w:sz="6" w:space="0" w:color="414142"/>
              <w:bottom w:val="outset" w:sz="6" w:space="0" w:color="414142"/>
              <w:right w:val="outset" w:sz="6" w:space="0" w:color="414142"/>
            </w:tcBorders>
            <w:hideMark/>
          </w:tcPr>
          <w:p w14:paraId="6F9A9CAA" w14:textId="77777777" w:rsidR="00DB0AC9" w:rsidRPr="00FA5770" w:rsidRDefault="00DB0AC9" w:rsidP="00BD02FB">
            <w:r w:rsidRPr="00FA5770">
              <w:t>Administratīvo izmaksu monetārs novērtējums</w:t>
            </w:r>
          </w:p>
        </w:tc>
        <w:tc>
          <w:tcPr>
            <w:tcW w:w="3215" w:type="pct"/>
            <w:tcBorders>
              <w:top w:val="outset" w:sz="6" w:space="0" w:color="414142"/>
              <w:left w:val="outset" w:sz="6" w:space="0" w:color="414142"/>
              <w:bottom w:val="outset" w:sz="6" w:space="0" w:color="414142"/>
              <w:right w:val="outset" w:sz="6" w:space="0" w:color="414142"/>
            </w:tcBorders>
            <w:hideMark/>
          </w:tcPr>
          <w:p w14:paraId="19792570" w14:textId="77777777" w:rsidR="00DB0AC9" w:rsidRPr="00FA5770" w:rsidRDefault="00501742" w:rsidP="0039407A">
            <w:pPr>
              <w:jc w:val="both"/>
            </w:pPr>
            <w:r w:rsidRPr="00FA5770">
              <w:t>Projekts šo jomu neskar.</w:t>
            </w:r>
          </w:p>
        </w:tc>
      </w:tr>
      <w:tr w:rsidR="00FA5770" w:rsidRPr="00FA5770" w14:paraId="32CCED67" w14:textId="77777777" w:rsidTr="0084623B">
        <w:trPr>
          <w:trHeight w:val="510"/>
        </w:trPr>
        <w:tc>
          <w:tcPr>
            <w:tcW w:w="298" w:type="pct"/>
            <w:tcBorders>
              <w:top w:val="outset" w:sz="6" w:space="0" w:color="414142"/>
              <w:left w:val="outset" w:sz="6" w:space="0" w:color="414142"/>
              <w:bottom w:val="outset" w:sz="6" w:space="0" w:color="414142"/>
              <w:right w:val="outset" w:sz="6" w:space="0" w:color="414142"/>
            </w:tcBorders>
            <w:hideMark/>
          </w:tcPr>
          <w:p w14:paraId="639713C9" w14:textId="77777777" w:rsidR="00DB0AC9" w:rsidRPr="00FA5770" w:rsidRDefault="00DB0AC9" w:rsidP="00BD02FB">
            <w:r w:rsidRPr="00FA5770">
              <w:t>4.</w:t>
            </w:r>
          </w:p>
        </w:tc>
        <w:tc>
          <w:tcPr>
            <w:tcW w:w="1487" w:type="pct"/>
            <w:tcBorders>
              <w:top w:val="outset" w:sz="6" w:space="0" w:color="414142"/>
              <w:left w:val="outset" w:sz="6" w:space="0" w:color="414142"/>
              <w:bottom w:val="outset" w:sz="6" w:space="0" w:color="414142"/>
              <w:right w:val="outset" w:sz="6" w:space="0" w:color="414142"/>
            </w:tcBorders>
            <w:hideMark/>
          </w:tcPr>
          <w:p w14:paraId="35DEF7FD" w14:textId="77777777" w:rsidR="00DB0AC9" w:rsidRPr="00FA5770" w:rsidRDefault="00DB0AC9" w:rsidP="00BD02FB">
            <w:r w:rsidRPr="00FA5770">
              <w:t>Atbilstības izmaksu monetārs novērtējums</w:t>
            </w:r>
          </w:p>
        </w:tc>
        <w:tc>
          <w:tcPr>
            <w:tcW w:w="3215" w:type="pct"/>
            <w:tcBorders>
              <w:top w:val="outset" w:sz="6" w:space="0" w:color="414142"/>
              <w:left w:val="outset" w:sz="6" w:space="0" w:color="414142"/>
              <w:bottom w:val="outset" w:sz="6" w:space="0" w:color="414142"/>
              <w:right w:val="outset" w:sz="6" w:space="0" w:color="414142"/>
            </w:tcBorders>
            <w:hideMark/>
          </w:tcPr>
          <w:p w14:paraId="45DC62F3" w14:textId="77777777" w:rsidR="00DB0AC9" w:rsidRPr="00FA5770" w:rsidRDefault="00501742" w:rsidP="00BD02FB">
            <w:r w:rsidRPr="00FA5770">
              <w:t>Projekts šo jomu neskar.</w:t>
            </w:r>
          </w:p>
        </w:tc>
      </w:tr>
      <w:tr w:rsidR="00FA5770" w:rsidRPr="00FA5770" w14:paraId="71E23655" w14:textId="77777777" w:rsidTr="0084623B">
        <w:trPr>
          <w:trHeight w:val="345"/>
        </w:trPr>
        <w:tc>
          <w:tcPr>
            <w:tcW w:w="298" w:type="pct"/>
            <w:tcBorders>
              <w:top w:val="outset" w:sz="6" w:space="0" w:color="414142"/>
              <w:left w:val="outset" w:sz="6" w:space="0" w:color="414142"/>
              <w:bottom w:val="outset" w:sz="6" w:space="0" w:color="414142"/>
              <w:right w:val="outset" w:sz="6" w:space="0" w:color="414142"/>
            </w:tcBorders>
            <w:hideMark/>
          </w:tcPr>
          <w:p w14:paraId="7ABC5C2F" w14:textId="77777777" w:rsidR="00DB0AC9" w:rsidRPr="00FA5770" w:rsidRDefault="00DB0AC9" w:rsidP="00BD02FB">
            <w:r w:rsidRPr="00FA5770">
              <w:t>5.</w:t>
            </w:r>
          </w:p>
        </w:tc>
        <w:tc>
          <w:tcPr>
            <w:tcW w:w="1487" w:type="pct"/>
            <w:tcBorders>
              <w:top w:val="outset" w:sz="6" w:space="0" w:color="414142"/>
              <w:left w:val="outset" w:sz="6" w:space="0" w:color="414142"/>
              <w:bottom w:val="outset" w:sz="6" w:space="0" w:color="414142"/>
              <w:right w:val="outset" w:sz="6" w:space="0" w:color="414142"/>
            </w:tcBorders>
            <w:hideMark/>
          </w:tcPr>
          <w:p w14:paraId="27297A20" w14:textId="77777777" w:rsidR="00DB0AC9" w:rsidRPr="00FA5770" w:rsidRDefault="00DB0AC9" w:rsidP="00BD02FB">
            <w:r w:rsidRPr="00FA5770">
              <w:t>Cita informācija</w:t>
            </w:r>
          </w:p>
        </w:tc>
        <w:tc>
          <w:tcPr>
            <w:tcW w:w="3215" w:type="pct"/>
            <w:tcBorders>
              <w:top w:val="outset" w:sz="6" w:space="0" w:color="414142"/>
              <w:left w:val="outset" w:sz="6" w:space="0" w:color="414142"/>
              <w:bottom w:val="outset" w:sz="6" w:space="0" w:color="414142"/>
              <w:right w:val="outset" w:sz="6" w:space="0" w:color="414142"/>
            </w:tcBorders>
            <w:hideMark/>
          </w:tcPr>
          <w:p w14:paraId="7D3EEB9F" w14:textId="77777777" w:rsidR="00DB0AC9" w:rsidRPr="00FA5770" w:rsidRDefault="00DB0AC9" w:rsidP="00BD02FB">
            <w:r w:rsidRPr="00FA5770">
              <w:t>Nav</w:t>
            </w:r>
          </w:p>
        </w:tc>
      </w:tr>
    </w:tbl>
    <w:p w14:paraId="0E4B5996" w14:textId="77777777" w:rsidR="00DB0AC9" w:rsidRPr="00FA5770" w:rsidRDefault="00DB0AC9" w:rsidP="003C17D9">
      <w:pPr>
        <w:shd w:val="clear" w:color="auto" w:fill="FFFFFF"/>
        <w:ind w:firstLine="300"/>
      </w:pPr>
      <w:r w:rsidRPr="00FA5770">
        <w:rPr>
          <w:rFonts w:ascii="Arial" w:hAnsi="Arial" w:cs="Arial"/>
        </w:rPr>
        <w:t> </w:t>
      </w:r>
    </w:p>
    <w:tbl>
      <w:tblPr>
        <w:tblW w:w="516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8"/>
      </w:tblGrid>
      <w:tr w:rsidR="00FA5770" w:rsidRPr="00FA5770" w14:paraId="716B2B6B" w14:textId="77777777" w:rsidTr="0084623B">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BB888F5" w14:textId="77777777" w:rsidR="00DB0AC9" w:rsidRPr="00FA5770" w:rsidRDefault="00DB0AC9" w:rsidP="00BD02FB">
            <w:pPr>
              <w:spacing w:after="120"/>
              <w:jc w:val="center"/>
              <w:rPr>
                <w:b/>
                <w:bCs/>
              </w:rPr>
            </w:pPr>
            <w:r w:rsidRPr="00FA5770">
              <w:rPr>
                <w:b/>
                <w:bCs/>
              </w:rPr>
              <w:t>III. Tiesību akta projekta ietekme uz valsts budžetu un pašvaldību budžetiem</w:t>
            </w:r>
          </w:p>
        </w:tc>
      </w:tr>
      <w:tr w:rsidR="00FA5770" w:rsidRPr="00FA5770" w14:paraId="01605A7C" w14:textId="77777777" w:rsidTr="0084623B">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76D90FF" w14:textId="77777777" w:rsidR="00DB0AC9" w:rsidRPr="00FA5770" w:rsidRDefault="00DB0AC9" w:rsidP="00BD02FB">
            <w:pPr>
              <w:spacing w:after="120"/>
              <w:jc w:val="center"/>
              <w:rPr>
                <w:b/>
                <w:bCs/>
              </w:rPr>
            </w:pPr>
            <w:r w:rsidRPr="00FA5770">
              <w:t>Projekts šo jomu neskar.</w:t>
            </w:r>
          </w:p>
        </w:tc>
      </w:tr>
    </w:tbl>
    <w:p w14:paraId="687C0456" w14:textId="77777777" w:rsidR="00DB0AC9" w:rsidRPr="00FA5770" w:rsidRDefault="00DB0AC9" w:rsidP="003C17D9">
      <w:pPr>
        <w:shd w:val="clear" w:color="auto" w:fill="FFFFFF"/>
        <w:rPr>
          <w:sz w:val="22"/>
          <w:szCs w:val="22"/>
        </w:rPr>
      </w:pPr>
    </w:p>
    <w:tbl>
      <w:tblPr>
        <w:tblW w:w="516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7"/>
      </w:tblGrid>
      <w:tr w:rsidR="00FA5770" w:rsidRPr="00FA5770" w14:paraId="5D236939" w14:textId="77777777" w:rsidTr="00CF784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8BF4768" w14:textId="77777777" w:rsidR="00DB0AC9" w:rsidRPr="00FA5770" w:rsidRDefault="00DB0AC9" w:rsidP="00BD02FB">
            <w:pPr>
              <w:jc w:val="center"/>
              <w:rPr>
                <w:b/>
                <w:bCs/>
              </w:rPr>
            </w:pPr>
            <w:r w:rsidRPr="00FA5770">
              <w:rPr>
                <w:b/>
                <w:bCs/>
              </w:rPr>
              <w:t>IV. Tiesību akta projekta ietekme uz spēkā esošo tiesību normu sistēmu</w:t>
            </w:r>
          </w:p>
        </w:tc>
      </w:tr>
      <w:tr w:rsidR="00FA5770" w:rsidRPr="00FA5770" w14:paraId="3F7E1E94" w14:textId="77777777" w:rsidTr="00CF784C">
        <w:trPr>
          <w:jc w:val="center"/>
        </w:trPr>
        <w:tc>
          <w:tcPr>
            <w:tcW w:w="5000" w:type="pct"/>
            <w:tcBorders>
              <w:top w:val="outset" w:sz="6" w:space="0" w:color="414142"/>
              <w:left w:val="outset" w:sz="6" w:space="0" w:color="414142"/>
              <w:bottom w:val="outset" w:sz="6" w:space="0" w:color="414142"/>
              <w:right w:val="outset" w:sz="6" w:space="0" w:color="414142"/>
            </w:tcBorders>
          </w:tcPr>
          <w:p w14:paraId="3288A712" w14:textId="77777777" w:rsidR="00F71CF1" w:rsidRPr="00FA5770" w:rsidRDefault="00F71CF1" w:rsidP="00F71CF1">
            <w:pPr>
              <w:jc w:val="center"/>
            </w:pPr>
            <w:r w:rsidRPr="00FA5770">
              <w:t>Projekts šo jomu neskar.</w:t>
            </w:r>
          </w:p>
        </w:tc>
      </w:tr>
    </w:tbl>
    <w:p w14:paraId="6467E0B7" w14:textId="77777777" w:rsidR="00DB0AC9" w:rsidRPr="00FA5770" w:rsidRDefault="00DB0AC9" w:rsidP="00DB0AC9">
      <w:pPr>
        <w:shd w:val="clear" w:color="auto" w:fill="FFFFFF"/>
        <w:ind w:firstLine="300"/>
      </w:pPr>
      <w:r w:rsidRPr="00FA5770">
        <w:rPr>
          <w:rFonts w:ascii="Arial" w:hAnsi="Arial" w:cs="Arial"/>
        </w:rPr>
        <w:t> </w:t>
      </w: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FA5770" w:rsidRPr="00FA5770" w14:paraId="1C2F6562" w14:textId="77777777" w:rsidTr="0084623B">
        <w:tc>
          <w:tcPr>
            <w:tcW w:w="5000" w:type="pct"/>
            <w:tcBorders>
              <w:top w:val="outset" w:sz="6" w:space="0" w:color="414142"/>
              <w:left w:val="outset" w:sz="6" w:space="0" w:color="414142"/>
              <w:bottom w:val="outset" w:sz="6" w:space="0" w:color="414142"/>
              <w:right w:val="outset" w:sz="6" w:space="0" w:color="414142"/>
            </w:tcBorders>
            <w:vAlign w:val="center"/>
            <w:hideMark/>
          </w:tcPr>
          <w:p w14:paraId="0024BB3B" w14:textId="77777777" w:rsidR="00DB0AC9" w:rsidRPr="00FA5770" w:rsidRDefault="00DB0AC9" w:rsidP="00BD02FB">
            <w:pPr>
              <w:jc w:val="center"/>
              <w:rPr>
                <w:b/>
                <w:bCs/>
              </w:rPr>
            </w:pPr>
            <w:r w:rsidRPr="00FA5770">
              <w:rPr>
                <w:b/>
                <w:bCs/>
              </w:rPr>
              <w:t>V. Tiesību akta projekta atbilstība Latvijas Republikas starptautiskajām saistībām</w:t>
            </w:r>
          </w:p>
        </w:tc>
      </w:tr>
      <w:tr w:rsidR="00FA5770" w:rsidRPr="00FA5770" w14:paraId="7E960228" w14:textId="77777777" w:rsidTr="0084623B">
        <w:tc>
          <w:tcPr>
            <w:tcW w:w="5000" w:type="pct"/>
            <w:tcBorders>
              <w:top w:val="outset" w:sz="6" w:space="0" w:color="414142"/>
              <w:left w:val="outset" w:sz="6" w:space="0" w:color="414142"/>
              <w:bottom w:val="outset" w:sz="6" w:space="0" w:color="414142"/>
              <w:right w:val="outset" w:sz="6" w:space="0" w:color="414142"/>
            </w:tcBorders>
          </w:tcPr>
          <w:p w14:paraId="615114C0" w14:textId="77777777" w:rsidR="00AC711D" w:rsidRPr="00FA5770" w:rsidRDefault="00AC711D" w:rsidP="00AC711D">
            <w:pPr>
              <w:jc w:val="center"/>
            </w:pPr>
            <w:r w:rsidRPr="00FA5770">
              <w:t>Projekts šo jomu neskar.</w:t>
            </w:r>
          </w:p>
        </w:tc>
      </w:tr>
    </w:tbl>
    <w:p w14:paraId="5BDDB4C3" w14:textId="77777777" w:rsidR="00DB0AC9" w:rsidRPr="00FA5770" w:rsidRDefault="00DB0AC9" w:rsidP="005970FA">
      <w:pPr>
        <w:shd w:val="clear" w:color="auto" w:fill="FFFFFF"/>
      </w:pPr>
    </w:p>
    <w:tbl>
      <w:tblPr>
        <w:tblW w:w="516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1423"/>
        <w:gridCol w:w="7655"/>
      </w:tblGrid>
      <w:tr w:rsidR="00FA5770" w:rsidRPr="00FA5770" w14:paraId="54033805" w14:textId="77777777" w:rsidTr="004B158E">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6C7CF9" w14:textId="77777777" w:rsidR="00DB0AC9" w:rsidRPr="00FA5770" w:rsidRDefault="00DB0AC9" w:rsidP="00BD02FB">
            <w:pPr>
              <w:jc w:val="center"/>
              <w:rPr>
                <w:b/>
                <w:bCs/>
              </w:rPr>
            </w:pPr>
            <w:r w:rsidRPr="00FA5770">
              <w:rPr>
                <w:b/>
                <w:bCs/>
              </w:rPr>
              <w:t>VI. Sabiedrības līdzdalība un komunikācijas aktivitātes</w:t>
            </w:r>
          </w:p>
        </w:tc>
      </w:tr>
      <w:tr w:rsidR="00FA5770" w:rsidRPr="00FA5770" w14:paraId="29BF903C" w14:textId="77777777" w:rsidTr="004B158E">
        <w:trPr>
          <w:trHeight w:val="540"/>
          <w:jc w:val="center"/>
        </w:trPr>
        <w:tc>
          <w:tcPr>
            <w:tcW w:w="240" w:type="pct"/>
            <w:tcBorders>
              <w:top w:val="outset" w:sz="6" w:space="0" w:color="414142"/>
              <w:left w:val="outset" w:sz="6" w:space="0" w:color="414142"/>
              <w:bottom w:val="outset" w:sz="6" w:space="0" w:color="414142"/>
              <w:right w:val="outset" w:sz="6" w:space="0" w:color="414142"/>
            </w:tcBorders>
            <w:hideMark/>
          </w:tcPr>
          <w:p w14:paraId="1A88F04F" w14:textId="77777777" w:rsidR="00A26BC0" w:rsidRPr="00FA5770" w:rsidRDefault="00A26BC0" w:rsidP="001F0D03">
            <w:pPr>
              <w:ind w:left="-37"/>
            </w:pPr>
            <w:r w:rsidRPr="00FA5770">
              <w:t>1.</w:t>
            </w:r>
          </w:p>
        </w:tc>
        <w:tc>
          <w:tcPr>
            <w:tcW w:w="761" w:type="pct"/>
            <w:tcBorders>
              <w:top w:val="outset" w:sz="6" w:space="0" w:color="414142"/>
              <w:left w:val="outset" w:sz="6" w:space="0" w:color="414142"/>
              <w:bottom w:val="outset" w:sz="6" w:space="0" w:color="414142"/>
              <w:right w:val="outset" w:sz="6" w:space="0" w:color="414142"/>
            </w:tcBorders>
            <w:hideMark/>
          </w:tcPr>
          <w:p w14:paraId="1277CE09" w14:textId="77777777" w:rsidR="00A26BC0" w:rsidRPr="00FA5770" w:rsidRDefault="00A26BC0" w:rsidP="001F0D03">
            <w:pPr>
              <w:ind w:left="-37"/>
            </w:pPr>
            <w:r w:rsidRPr="00FA5770">
              <w:t>Plānotās sabiedrības līdzdalības un komunikācijas aktivitātes saistībā ar projektu</w:t>
            </w:r>
          </w:p>
        </w:tc>
        <w:tc>
          <w:tcPr>
            <w:tcW w:w="3999" w:type="pct"/>
            <w:tcBorders>
              <w:top w:val="outset" w:sz="6" w:space="0" w:color="414142"/>
              <w:left w:val="outset" w:sz="6" w:space="0" w:color="414142"/>
              <w:bottom w:val="outset" w:sz="6" w:space="0" w:color="414142"/>
              <w:right w:val="outset" w:sz="6" w:space="0" w:color="414142"/>
            </w:tcBorders>
            <w:hideMark/>
          </w:tcPr>
          <w:p w14:paraId="5351DA41" w14:textId="77777777" w:rsidR="002C33AC" w:rsidRPr="00FA5770" w:rsidRDefault="002C33AC" w:rsidP="002C33AC">
            <w:pPr>
              <w:jc w:val="both"/>
            </w:pPr>
            <w:r w:rsidRPr="00FA5770">
              <w:t>Sabiedrības līdzdalība tika nodrošināta saskaņā ar Ministru kabineta 2009.gada 25.augusta noteikumiem Nr.970 “Sabiedrības līdzdalības kārtība attīstības plānošanas procesā”, sagatavojot un publicējot paziņojumu par līdzdalības procesu.</w:t>
            </w:r>
          </w:p>
          <w:p w14:paraId="1927DFC0" w14:textId="754AD81E" w:rsidR="00A26BC0" w:rsidRPr="00FA5770" w:rsidRDefault="00A26BC0" w:rsidP="002C33AC">
            <w:pPr>
              <w:spacing w:after="120"/>
              <w:jc w:val="both"/>
            </w:pPr>
          </w:p>
        </w:tc>
      </w:tr>
      <w:tr w:rsidR="00FA5770" w:rsidRPr="00FA5770" w14:paraId="3EA4AF92" w14:textId="77777777" w:rsidTr="004B158E">
        <w:trPr>
          <w:trHeight w:val="330"/>
          <w:jc w:val="center"/>
        </w:trPr>
        <w:tc>
          <w:tcPr>
            <w:tcW w:w="240" w:type="pct"/>
            <w:tcBorders>
              <w:top w:val="outset" w:sz="6" w:space="0" w:color="414142"/>
              <w:left w:val="outset" w:sz="6" w:space="0" w:color="414142"/>
              <w:bottom w:val="outset" w:sz="6" w:space="0" w:color="414142"/>
              <w:right w:val="outset" w:sz="6" w:space="0" w:color="414142"/>
            </w:tcBorders>
            <w:hideMark/>
          </w:tcPr>
          <w:p w14:paraId="350D0C37" w14:textId="3BCA7E8C" w:rsidR="00A26BC0" w:rsidRPr="00FA5770" w:rsidRDefault="001F0D03" w:rsidP="00BD02FB">
            <w:r w:rsidRPr="00FA5770">
              <w:t>2.</w:t>
            </w:r>
          </w:p>
        </w:tc>
        <w:tc>
          <w:tcPr>
            <w:tcW w:w="761" w:type="pct"/>
            <w:tcBorders>
              <w:top w:val="outset" w:sz="6" w:space="0" w:color="414142"/>
              <w:left w:val="outset" w:sz="6" w:space="0" w:color="414142"/>
              <w:bottom w:val="outset" w:sz="6" w:space="0" w:color="414142"/>
              <w:right w:val="outset" w:sz="6" w:space="0" w:color="414142"/>
            </w:tcBorders>
            <w:hideMark/>
          </w:tcPr>
          <w:p w14:paraId="509A5938" w14:textId="77777777" w:rsidR="00A26BC0" w:rsidRPr="00FA5770" w:rsidRDefault="00A26BC0" w:rsidP="00BD02FB">
            <w:r w:rsidRPr="00FA5770">
              <w:t>Sabiedrības līdzdalība projekta izstrādē</w:t>
            </w:r>
          </w:p>
        </w:tc>
        <w:tc>
          <w:tcPr>
            <w:tcW w:w="3999" w:type="pct"/>
            <w:tcBorders>
              <w:top w:val="outset" w:sz="6" w:space="0" w:color="414142"/>
              <w:left w:val="outset" w:sz="6" w:space="0" w:color="414142"/>
              <w:bottom w:val="outset" w:sz="6" w:space="0" w:color="414142"/>
              <w:right w:val="outset" w:sz="6" w:space="0" w:color="414142"/>
            </w:tcBorders>
            <w:hideMark/>
          </w:tcPr>
          <w:p w14:paraId="55303F80" w14:textId="2A60B401" w:rsidR="001F0D03" w:rsidRPr="00FA5770" w:rsidRDefault="001F0D03" w:rsidP="001F0D03">
            <w:pPr>
              <w:spacing w:after="120"/>
              <w:jc w:val="both"/>
            </w:pPr>
            <w:r w:rsidRPr="00FA5770">
              <w:t>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Ministru kabineta noteikumu projekts 2018.gada 26.jūlijā</w:t>
            </w:r>
            <w:proofErr w:type="gramStart"/>
            <w:r w:rsidRPr="00FA5770">
              <w:t xml:space="preserve">  </w:t>
            </w:r>
            <w:proofErr w:type="gramEnd"/>
            <w:r w:rsidRPr="00FA5770">
              <w:t xml:space="preserve">ievietots Iekšlietu ministrijas mājas lapā sadaļā „Sabiedrības līdzdalība” </w:t>
            </w:r>
            <w:proofErr w:type="spellStart"/>
            <w:r w:rsidRPr="00FA5770">
              <w:t>apakšsadaļā</w:t>
            </w:r>
            <w:proofErr w:type="spellEnd"/>
            <w:r w:rsidRPr="00FA5770">
              <w:t xml:space="preserve"> ,,Diskusiju dokumenti”, tīmekļvietnes adrese: http://www.iem.gov.lv/lat/sadarbiba_ar_nvo/diskusiju_dokumenti/?doc=40775</w:t>
            </w:r>
          </w:p>
          <w:p w14:paraId="4C5D9EDF" w14:textId="533E5134" w:rsidR="00A26BC0" w:rsidRPr="00FA5770" w:rsidRDefault="001F0D03" w:rsidP="000A6C6C">
            <w:pPr>
              <w:spacing w:after="120"/>
              <w:jc w:val="both"/>
            </w:pPr>
            <w:r w:rsidRPr="00FA5770">
              <w:t>Iekšlietu ministrija, izpildot Ministru kabineta 2009.g</w:t>
            </w:r>
            <w:r w:rsidR="000A6C6C" w:rsidRPr="00FA5770">
              <w:t>ada 25.augusta noteikumu Nr.970</w:t>
            </w:r>
            <w:proofErr w:type="gramStart"/>
            <w:r w:rsidR="000A6C6C" w:rsidRPr="00FA5770">
              <w:t xml:space="preserve"> </w:t>
            </w:r>
            <w:r w:rsidRPr="00FA5770">
              <w:t>,,</w:t>
            </w:r>
            <w:proofErr w:type="gramEnd"/>
            <w:r w:rsidRPr="00FA5770">
              <w:t>Sabiedrības līdzdalības kārtība attīstības plānošanas procesā" 14.punktu, projektu  2018.gada 26.jūlijā nosūtīja Valsts kancelejai.</w:t>
            </w:r>
          </w:p>
        </w:tc>
      </w:tr>
      <w:tr w:rsidR="00FA5770" w:rsidRPr="00FA5770" w14:paraId="5F5680FF" w14:textId="77777777" w:rsidTr="004B158E">
        <w:trPr>
          <w:trHeight w:val="465"/>
          <w:jc w:val="center"/>
        </w:trPr>
        <w:tc>
          <w:tcPr>
            <w:tcW w:w="240" w:type="pct"/>
            <w:tcBorders>
              <w:top w:val="outset" w:sz="6" w:space="0" w:color="414142"/>
              <w:left w:val="outset" w:sz="6" w:space="0" w:color="414142"/>
              <w:bottom w:val="outset" w:sz="6" w:space="0" w:color="414142"/>
              <w:right w:val="outset" w:sz="6" w:space="0" w:color="414142"/>
            </w:tcBorders>
            <w:hideMark/>
          </w:tcPr>
          <w:p w14:paraId="4EF056B8" w14:textId="77777777" w:rsidR="00A26BC0" w:rsidRPr="00FA5770" w:rsidRDefault="00A26BC0" w:rsidP="00BD02FB">
            <w:r w:rsidRPr="00FA5770">
              <w:t>3.</w:t>
            </w:r>
          </w:p>
        </w:tc>
        <w:tc>
          <w:tcPr>
            <w:tcW w:w="761" w:type="pct"/>
            <w:tcBorders>
              <w:top w:val="outset" w:sz="6" w:space="0" w:color="414142"/>
              <w:left w:val="outset" w:sz="6" w:space="0" w:color="414142"/>
              <w:bottom w:val="outset" w:sz="6" w:space="0" w:color="414142"/>
              <w:right w:val="outset" w:sz="6" w:space="0" w:color="414142"/>
            </w:tcBorders>
            <w:hideMark/>
          </w:tcPr>
          <w:p w14:paraId="753BB326" w14:textId="77777777" w:rsidR="00A26BC0" w:rsidRPr="00FA5770" w:rsidRDefault="00A26BC0" w:rsidP="00BD02FB">
            <w:r w:rsidRPr="00FA5770">
              <w:t>Sabiedrības līdzdalības rezultāti</w:t>
            </w:r>
          </w:p>
        </w:tc>
        <w:tc>
          <w:tcPr>
            <w:tcW w:w="3999" w:type="pct"/>
            <w:tcBorders>
              <w:top w:val="outset" w:sz="6" w:space="0" w:color="414142"/>
              <w:left w:val="outset" w:sz="6" w:space="0" w:color="414142"/>
              <w:bottom w:val="outset" w:sz="6" w:space="0" w:color="414142"/>
              <w:right w:val="outset" w:sz="6" w:space="0" w:color="414142"/>
            </w:tcBorders>
            <w:hideMark/>
          </w:tcPr>
          <w:p w14:paraId="0E549EA3" w14:textId="44B218DA" w:rsidR="00A26BC0" w:rsidRPr="00FA5770" w:rsidRDefault="00A26BC0" w:rsidP="000F0975">
            <w:pPr>
              <w:spacing w:after="120"/>
            </w:pPr>
            <w:r w:rsidRPr="00FA5770">
              <w:t xml:space="preserve">Par </w:t>
            </w:r>
            <w:r w:rsidR="00F71CF1" w:rsidRPr="00FA5770">
              <w:t>Ministru kabineta noteikumu projektu</w:t>
            </w:r>
            <w:r w:rsidRPr="00FA5770">
              <w:t xml:space="preserve"> </w:t>
            </w:r>
            <w:r w:rsidR="009D78D5" w:rsidRPr="00FA5770">
              <w:t>komentāri</w:t>
            </w:r>
            <w:r w:rsidRPr="00FA5770">
              <w:t xml:space="preserve"> </w:t>
            </w:r>
            <w:r w:rsidR="000F0975" w:rsidRPr="00FA5770">
              <w:t xml:space="preserve">nav </w:t>
            </w:r>
            <w:r w:rsidRPr="00FA5770">
              <w:t>saņemti.</w:t>
            </w:r>
            <w:r w:rsidR="00C23E69" w:rsidRPr="00FA5770">
              <w:t xml:space="preserve"> </w:t>
            </w:r>
          </w:p>
        </w:tc>
      </w:tr>
      <w:tr w:rsidR="00FA5770" w:rsidRPr="00FA5770" w14:paraId="15098C29" w14:textId="77777777" w:rsidTr="004B158E">
        <w:trPr>
          <w:trHeight w:val="465"/>
          <w:jc w:val="center"/>
        </w:trPr>
        <w:tc>
          <w:tcPr>
            <w:tcW w:w="240" w:type="pct"/>
            <w:tcBorders>
              <w:top w:val="outset" w:sz="6" w:space="0" w:color="414142"/>
              <w:left w:val="outset" w:sz="6" w:space="0" w:color="414142"/>
              <w:bottom w:val="outset" w:sz="6" w:space="0" w:color="414142"/>
              <w:right w:val="outset" w:sz="6" w:space="0" w:color="414142"/>
            </w:tcBorders>
            <w:hideMark/>
          </w:tcPr>
          <w:p w14:paraId="149F8FCE" w14:textId="77777777" w:rsidR="00A26BC0" w:rsidRPr="00FA5770" w:rsidRDefault="00A26BC0" w:rsidP="00BD02FB">
            <w:r w:rsidRPr="00FA5770">
              <w:t>4.</w:t>
            </w:r>
          </w:p>
        </w:tc>
        <w:tc>
          <w:tcPr>
            <w:tcW w:w="761" w:type="pct"/>
            <w:tcBorders>
              <w:top w:val="outset" w:sz="6" w:space="0" w:color="414142"/>
              <w:left w:val="outset" w:sz="6" w:space="0" w:color="414142"/>
              <w:bottom w:val="outset" w:sz="6" w:space="0" w:color="414142"/>
              <w:right w:val="outset" w:sz="6" w:space="0" w:color="414142"/>
            </w:tcBorders>
            <w:hideMark/>
          </w:tcPr>
          <w:p w14:paraId="485C8B28" w14:textId="77777777" w:rsidR="00A26BC0" w:rsidRPr="00FA5770" w:rsidRDefault="00A26BC0" w:rsidP="00BD02FB">
            <w:r w:rsidRPr="00FA5770">
              <w:t>Cita informācija</w:t>
            </w:r>
          </w:p>
        </w:tc>
        <w:tc>
          <w:tcPr>
            <w:tcW w:w="3999" w:type="pct"/>
            <w:tcBorders>
              <w:top w:val="outset" w:sz="6" w:space="0" w:color="414142"/>
              <w:left w:val="outset" w:sz="6" w:space="0" w:color="414142"/>
              <w:bottom w:val="outset" w:sz="6" w:space="0" w:color="414142"/>
              <w:right w:val="outset" w:sz="6" w:space="0" w:color="414142"/>
            </w:tcBorders>
            <w:hideMark/>
          </w:tcPr>
          <w:p w14:paraId="215355A6" w14:textId="77777777" w:rsidR="00A26BC0" w:rsidRPr="00FA5770" w:rsidRDefault="00A26BC0" w:rsidP="00BD02FB">
            <w:pPr>
              <w:spacing w:after="120"/>
            </w:pPr>
            <w:r w:rsidRPr="00FA5770">
              <w:t>Nav</w:t>
            </w:r>
          </w:p>
        </w:tc>
      </w:tr>
    </w:tbl>
    <w:p w14:paraId="2A52C5FB" w14:textId="77777777" w:rsidR="00DB0AC9" w:rsidRPr="00FA5770" w:rsidRDefault="00DB0AC9" w:rsidP="00DB0AC9">
      <w:pPr>
        <w:shd w:val="clear" w:color="auto" w:fill="FFFFFF"/>
        <w:ind w:firstLine="300"/>
      </w:pPr>
      <w:r w:rsidRPr="00FA5770">
        <w:rPr>
          <w:rFonts w:ascii="Arial" w:hAnsi="Arial" w:cs="Arial"/>
        </w:rPr>
        <w:t> </w:t>
      </w:r>
    </w:p>
    <w:tbl>
      <w:tblPr>
        <w:tblW w:w="516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1"/>
        <w:gridCol w:w="3380"/>
        <w:gridCol w:w="5176"/>
      </w:tblGrid>
      <w:tr w:rsidR="00FA5770" w:rsidRPr="00FA5770" w14:paraId="487282C5" w14:textId="77777777" w:rsidTr="00CF784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81F3CB" w14:textId="77777777" w:rsidR="00DB0AC9" w:rsidRPr="00FA5770" w:rsidRDefault="00DB0AC9" w:rsidP="00BD02FB">
            <w:pPr>
              <w:jc w:val="center"/>
              <w:rPr>
                <w:b/>
                <w:bCs/>
              </w:rPr>
            </w:pPr>
            <w:r w:rsidRPr="00FA5770">
              <w:rPr>
                <w:b/>
                <w:bCs/>
              </w:rPr>
              <w:t>VII. Tiesību akta projekta izpildes nodrošināšana un tās ietekme uz institūcijām</w:t>
            </w:r>
          </w:p>
        </w:tc>
      </w:tr>
      <w:tr w:rsidR="00FA5770" w:rsidRPr="00FA5770" w14:paraId="65E0F98F" w14:textId="77777777" w:rsidTr="00CF784C">
        <w:trPr>
          <w:trHeight w:val="420"/>
          <w:jc w:val="center"/>
        </w:trPr>
        <w:tc>
          <w:tcPr>
            <w:tcW w:w="423" w:type="pct"/>
            <w:tcBorders>
              <w:top w:val="outset" w:sz="6" w:space="0" w:color="414142"/>
              <w:left w:val="outset" w:sz="6" w:space="0" w:color="414142"/>
              <w:bottom w:val="outset" w:sz="6" w:space="0" w:color="414142"/>
              <w:right w:val="outset" w:sz="6" w:space="0" w:color="414142"/>
            </w:tcBorders>
            <w:hideMark/>
          </w:tcPr>
          <w:p w14:paraId="6C0F991A" w14:textId="77777777" w:rsidR="005E5398" w:rsidRPr="00FA5770" w:rsidRDefault="005E5398" w:rsidP="00BD02FB">
            <w:r w:rsidRPr="00FA5770">
              <w:t>1.</w:t>
            </w:r>
          </w:p>
        </w:tc>
        <w:tc>
          <w:tcPr>
            <w:tcW w:w="1808" w:type="pct"/>
            <w:tcBorders>
              <w:top w:val="outset" w:sz="6" w:space="0" w:color="414142"/>
              <w:left w:val="outset" w:sz="6" w:space="0" w:color="414142"/>
              <w:bottom w:val="outset" w:sz="6" w:space="0" w:color="414142"/>
              <w:right w:val="outset" w:sz="6" w:space="0" w:color="414142"/>
            </w:tcBorders>
            <w:hideMark/>
          </w:tcPr>
          <w:p w14:paraId="2D717CF9" w14:textId="77777777" w:rsidR="005E5398" w:rsidRPr="00FA5770" w:rsidRDefault="005E5398" w:rsidP="00BD02FB">
            <w:r w:rsidRPr="00FA5770">
              <w:t>Projekta izpildē iesaistītās institūcijas</w:t>
            </w:r>
          </w:p>
        </w:tc>
        <w:tc>
          <w:tcPr>
            <w:tcW w:w="2770" w:type="pct"/>
            <w:tcBorders>
              <w:top w:val="outset" w:sz="6" w:space="0" w:color="414142"/>
              <w:left w:val="outset" w:sz="6" w:space="0" w:color="414142"/>
              <w:bottom w:val="outset" w:sz="6" w:space="0" w:color="414142"/>
              <w:right w:val="outset" w:sz="6" w:space="0" w:color="414142"/>
            </w:tcBorders>
            <w:hideMark/>
          </w:tcPr>
          <w:p w14:paraId="75D4201D" w14:textId="2D0CF50A" w:rsidR="005E5398" w:rsidRPr="00FA5770" w:rsidRDefault="003E000A" w:rsidP="003E000A">
            <w:pPr>
              <w:spacing w:after="120"/>
              <w:jc w:val="both"/>
            </w:pPr>
            <w:r w:rsidRPr="00FA5770">
              <w:t xml:space="preserve">Iekšlietu </w:t>
            </w:r>
            <w:r w:rsidR="00C23E69" w:rsidRPr="00FA5770">
              <w:t>ministrijas Infor</w:t>
            </w:r>
            <w:r w:rsidR="002C5795" w:rsidRPr="00FA5770">
              <w:t>mācijas centrs, Valsts policija, Valsts meža dienests, ārstniecības iestādes, biedrība „Latvijas Sporta federāciju padome”.</w:t>
            </w:r>
          </w:p>
        </w:tc>
      </w:tr>
      <w:tr w:rsidR="00FA5770" w:rsidRPr="00FA5770" w14:paraId="583A8685" w14:textId="77777777" w:rsidTr="00CF784C">
        <w:trPr>
          <w:trHeight w:val="450"/>
          <w:jc w:val="center"/>
        </w:trPr>
        <w:tc>
          <w:tcPr>
            <w:tcW w:w="423" w:type="pct"/>
            <w:tcBorders>
              <w:top w:val="outset" w:sz="6" w:space="0" w:color="414142"/>
              <w:left w:val="outset" w:sz="6" w:space="0" w:color="414142"/>
              <w:bottom w:val="outset" w:sz="6" w:space="0" w:color="414142"/>
              <w:right w:val="outset" w:sz="6" w:space="0" w:color="414142"/>
            </w:tcBorders>
            <w:hideMark/>
          </w:tcPr>
          <w:p w14:paraId="02D2DB10" w14:textId="77777777" w:rsidR="005E5398" w:rsidRPr="00FA5770" w:rsidRDefault="005E5398" w:rsidP="00BD02FB">
            <w:r w:rsidRPr="00FA5770">
              <w:lastRenderedPageBreak/>
              <w:t>2.</w:t>
            </w:r>
          </w:p>
        </w:tc>
        <w:tc>
          <w:tcPr>
            <w:tcW w:w="1808" w:type="pct"/>
            <w:tcBorders>
              <w:top w:val="outset" w:sz="6" w:space="0" w:color="414142"/>
              <w:left w:val="outset" w:sz="6" w:space="0" w:color="414142"/>
              <w:bottom w:val="outset" w:sz="6" w:space="0" w:color="414142"/>
              <w:right w:val="outset" w:sz="6" w:space="0" w:color="414142"/>
            </w:tcBorders>
            <w:hideMark/>
          </w:tcPr>
          <w:p w14:paraId="6E2AAECE" w14:textId="77777777" w:rsidR="005E5398" w:rsidRPr="00FA5770" w:rsidRDefault="005E5398" w:rsidP="00BD02FB">
            <w:r w:rsidRPr="00FA5770">
              <w:t>Projekta izpildes ietekme uz pārvaldes funkcijām un institucionālo struktūru.</w:t>
            </w:r>
          </w:p>
          <w:p w14:paraId="7681054D" w14:textId="77777777" w:rsidR="005E5398" w:rsidRPr="00FA5770" w:rsidRDefault="005E5398" w:rsidP="00BD02FB">
            <w:r w:rsidRPr="00FA5770">
              <w:t>Jaunu institūciju izveide, esošu institūciju likvidācija vai reorganizācija, to ietekme uz institūcijas cilvēkresursiem</w:t>
            </w:r>
          </w:p>
        </w:tc>
        <w:tc>
          <w:tcPr>
            <w:tcW w:w="2770" w:type="pct"/>
            <w:tcBorders>
              <w:top w:val="outset" w:sz="6" w:space="0" w:color="414142"/>
              <w:left w:val="outset" w:sz="6" w:space="0" w:color="414142"/>
              <w:bottom w:val="outset" w:sz="6" w:space="0" w:color="414142"/>
              <w:right w:val="outset" w:sz="6" w:space="0" w:color="414142"/>
            </w:tcBorders>
            <w:hideMark/>
          </w:tcPr>
          <w:p w14:paraId="4EB56477" w14:textId="77777777" w:rsidR="0084754B" w:rsidRPr="00FA5770" w:rsidRDefault="005E5398" w:rsidP="00C432E1">
            <w:pPr>
              <w:spacing w:after="120"/>
              <w:jc w:val="both"/>
            </w:pPr>
            <w:r w:rsidRPr="00FA5770">
              <w:t xml:space="preserve">Projekta izpildes rezultātā nav paredzēta esošu institūciju likvidācija vai reorganizācija. </w:t>
            </w:r>
          </w:p>
          <w:p w14:paraId="1FDC0F0F" w14:textId="77777777" w:rsidR="005E5398" w:rsidRPr="00FA5770" w:rsidRDefault="00C23E69" w:rsidP="00C432E1">
            <w:pPr>
              <w:spacing w:after="120"/>
              <w:jc w:val="both"/>
            </w:pPr>
            <w:r w:rsidRPr="00FA5770">
              <w:t>Iestāžu institucionālā struktūra netiek ietekmēta, papildus cilvēkresursi nav nepieciešami.</w:t>
            </w:r>
          </w:p>
        </w:tc>
      </w:tr>
      <w:tr w:rsidR="00FA5770" w:rsidRPr="00FA5770" w14:paraId="5671D5B3" w14:textId="77777777" w:rsidTr="00CF784C">
        <w:trPr>
          <w:trHeight w:val="390"/>
          <w:jc w:val="center"/>
        </w:trPr>
        <w:tc>
          <w:tcPr>
            <w:tcW w:w="423" w:type="pct"/>
            <w:tcBorders>
              <w:top w:val="outset" w:sz="6" w:space="0" w:color="414142"/>
              <w:left w:val="outset" w:sz="6" w:space="0" w:color="414142"/>
              <w:bottom w:val="outset" w:sz="6" w:space="0" w:color="414142"/>
              <w:right w:val="outset" w:sz="6" w:space="0" w:color="414142"/>
            </w:tcBorders>
            <w:hideMark/>
          </w:tcPr>
          <w:p w14:paraId="58476E83" w14:textId="77777777" w:rsidR="005E5398" w:rsidRPr="00FA5770" w:rsidRDefault="005E5398" w:rsidP="00BD02FB">
            <w:r w:rsidRPr="00FA5770">
              <w:t>3.</w:t>
            </w:r>
          </w:p>
        </w:tc>
        <w:tc>
          <w:tcPr>
            <w:tcW w:w="1808" w:type="pct"/>
            <w:tcBorders>
              <w:top w:val="outset" w:sz="6" w:space="0" w:color="414142"/>
              <w:left w:val="outset" w:sz="6" w:space="0" w:color="414142"/>
              <w:bottom w:val="outset" w:sz="6" w:space="0" w:color="414142"/>
              <w:right w:val="outset" w:sz="6" w:space="0" w:color="414142"/>
            </w:tcBorders>
            <w:hideMark/>
          </w:tcPr>
          <w:p w14:paraId="47677B65" w14:textId="77777777" w:rsidR="005E5398" w:rsidRPr="00FA5770" w:rsidRDefault="005E5398" w:rsidP="00BD02FB">
            <w:r w:rsidRPr="00FA5770">
              <w:t>Cita informācija</w:t>
            </w:r>
          </w:p>
        </w:tc>
        <w:tc>
          <w:tcPr>
            <w:tcW w:w="2770" w:type="pct"/>
            <w:tcBorders>
              <w:top w:val="outset" w:sz="6" w:space="0" w:color="414142"/>
              <w:left w:val="outset" w:sz="6" w:space="0" w:color="414142"/>
              <w:bottom w:val="outset" w:sz="6" w:space="0" w:color="414142"/>
              <w:right w:val="outset" w:sz="6" w:space="0" w:color="414142"/>
            </w:tcBorders>
            <w:hideMark/>
          </w:tcPr>
          <w:p w14:paraId="67F5A96E" w14:textId="77777777" w:rsidR="005E5398" w:rsidRPr="00FA5770" w:rsidRDefault="005E5398" w:rsidP="00BD02FB">
            <w:pPr>
              <w:spacing w:after="120"/>
            </w:pPr>
            <w:r w:rsidRPr="00FA5770">
              <w:t>Nav</w:t>
            </w:r>
          </w:p>
        </w:tc>
      </w:tr>
    </w:tbl>
    <w:p w14:paraId="68200DB7" w14:textId="77777777" w:rsidR="005E5398" w:rsidRPr="00FA5770" w:rsidRDefault="005E5398" w:rsidP="005E5398">
      <w:pPr>
        <w:tabs>
          <w:tab w:val="left" w:pos="6237"/>
        </w:tabs>
        <w:spacing w:after="120"/>
      </w:pPr>
    </w:p>
    <w:p w14:paraId="4868E3EF" w14:textId="305A170C" w:rsidR="000F0975" w:rsidRPr="00201044" w:rsidRDefault="000F0975" w:rsidP="000F0975">
      <w:pPr>
        <w:rPr>
          <w:bCs/>
        </w:rPr>
      </w:pPr>
      <w:r w:rsidRPr="00201044">
        <w:rPr>
          <w:bCs/>
        </w:rPr>
        <w:t>Ministru prezidents</w:t>
      </w:r>
      <w:r w:rsidRPr="00201044">
        <w:rPr>
          <w:bCs/>
        </w:rPr>
        <w:tab/>
      </w:r>
      <w:r w:rsidRPr="00201044">
        <w:rPr>
          <w:bCs/>
        </w:rPr>
        <w:tab/>
      </w:r>
      <w:r w:rsidRPr="00201044">
        <w:rPr>
          <w:bCs/>
        </w:rPr>
        <w:tab/>
      </w:r>
      <w:r w:rsidRPr="00201044">
        <w:rPr>
          <w:bCs/>
        </w:rPr>
        <w:tab/>
      </w:r>
      <w:r w:rsidR="00201044">
        <w:rPr>
          <w:bCs/>
        </w:rPr>
        <w:tab/>
      </w:r>
      <w:r w:rsidR="00201044">
        <w:rPr>
          <w:bCs/>
        </w:rPr>
        <w:tab/>
      </w:r>
      <w:proofErr w:type="gramStart"/>
      <w:r w:rsidRPr="00201044">
        <w:rPr>
          <w:bCs/>
        </w:rPr>
        <w:t xml:space="preserve">       </w:t>
      </w:r>
      <w:proofErr w:type="gramEnd"/>
      <w:r w:rsidR="00201044">
        <w:rPr>
          <w:bCs/>
        </w:rPr>
        <w:tab/>
      </w:r>
      <w:r w:rsidRPr="00201044">
        <w:rPr>
          <w:bCs/>
        </w:rPr>
        <w:t>Arturs Krišjānis Kariņš</w:t>
      </w:r>
    </w:p>
    <w:p w14:paraId="7AFD1419" w14:textId="77777777" w:rsidR="000F0975" w:rsidRPr="00201044" w:rsidRDefault="000F0975" w:rsidP="000F0975">
      <w:pPr>
        <w:rPr>
          <w:bCs/>
        </w:rPr>
      </w:pPr>
    </w:p>
    <w:p w14:paraId="59F8FFD6" w14:textId="77777777" w:rsidR="000F0975" w:rsidRPr="00201044" w:rsidRDefault="000F0975" w:rsidP="000F0975">
      <w:pPr>
        <w:rPr>
          <w:bCs/>
        </w:rPr>
      </w:pPr>
    </w:p>
    <w:p w14:paraId="407B9F37" w14:textId="67A629AA" w:rsidR="000F0975" w:rsidRPr="00201044" w:rsidRDefault="000F0975" w:rsidP="000F0975">
      <w:pPr>
        <w:rPr>
          <w:bCs/>
        </w:rPr>
      </w:pPr>
      <w:r w:rsidRPr="00201044">
        <w:rPr>
          <w:bCs/>
        </w:rPr>
        <w:t>Iekšlietu ministrs</w:t>
      </w:r>
      <w:r w:rsidRPr="00201044">
        <w:rPr>
          <w:bCs/>
        </w:rPr>
        <w:tab/>
      </w:r>
      <w:r w:rsidRPr="00201044">
        <w:rPr>
          <w:bCs/>
        </w:rPr>
        <w:tab/>
      </w:r>
      <w:r w:rsidRPr="00201044">
        <w:rPr>
          <w:bCs/>
        </w:rPr>
        <w:tab/>
      </w:r>
      <w:r w:rsidRPr="00201044">
        <w:rPr>
          <w:bCs/>
        </w:rPr>
        <w:tab/>
      </w:r>
      <w:r w:rsidRPr="00201044">
        <w:rPr>
          <w:bCs/>
        </w:rPr>
        <w:tab/>
      </w:r>
      <w:r w:rsidRPr="00201044">
        <w:rPr>
          <w:bCs/>
        </w:rPr>
        <w:tab/>
      </w:r>
      <w:r w:rsidRPr="00201044">
        <w:rPr>
          <w:bCs/>
        </w:rPr>
        <w:tab/>
      </w:r>
      <w:r w:rsidR="00201044">
        <w:rPr>
          <w:bCs/>
        </w:rPr>
        <w:tab/>
      </w:r>
      <w:r w:rsidRPr="00201044">
        <w:rPr>
          <w:bCs/>
        </w:rPr>
        <w:t>Sandis Ģirģens</w:t>
      </w:r>
    </w:p>
    <w:p w14:paraId="6197DF17" w14:textId="642E97C3" w:rsidR="000F0975" w:rsidRDefault="000F0975" w:rsidP="000F0975">
      <w:pPr>
        <w:rPr>
          <w:bCs/>
        </w:rPr>
      </w:pPr>
    </w:p>
    <w:p w14:paraId="6A810A86" w14:textId="57D38E3E" w:rsidR="00201044" w:rsidRDefault="00201044" w:rsidP="000F0975">
      <w:pPr>
        <w:rPr>
          <w:bCs/>
        </w:rPr>
      </w:pPr>
    </w:p>
    <w:p w14:paraId="6A04C35A" w14:textId="77777777" w:rsidR="00201044" w:rsidRPr="00201044" w:rsidRDefault="00201044" w:rsidP="000F0975">
      <w:pPr>
        <w:rPr>
          <w:bCs/>
        </w:rPr>
      </w:pPr>
    </w:p>
    <w:p w14:paraId="1A565498" w14:textId="77777777" w:rsidR="000F0975" w:rsidRPr="00201044" w:rsidRDefault="000F0975" w:rsidP="000F0975">
      <w:pPr>
        <w:rPr>
          <w:bCs/>
        </w:rPr>
      </w:pPr>
      <w:r w:rsidRPr="00201044">
        <w:rPr>
          <w:bCs/>
        </w:rPr>
        <w:t>Iesniedzējs:</w:t>
      </w:r>
    </w:p>
    <w:p w14:paraId="7CF7F985" w14:textId="1F91D87E" w:rsidR="000F0975" w:rsidRPr="00201044" w:rsidRDefault="000F0975" w:rsidP="000F0975">
      <w:pPr>
        <w:rPr>
          <w:bCs/>
        </w:rPr>
      </w:pPr>
      <w:r w:rsidRPr="00201044">
        <w:rPr>
          <w:bCs/>
        </w:rPr>
        <w:t xml:space="preserve">Iekšlietu ministrs </w:t>
      </w:r>
      <w:r w:rsidRPr="00201044">
        <w:rPr>
          <w:bCs/>
        </w:rPr>
        <w:tab/>
      </w:r>
      <w:r w:rsidRPr="00201044">
        <w:rPr>
          <w:bCs/>
        </w:rPr>
        <w:tab/>
      </w:r>
      <w:r w:rsidRPr="00201044">
        <w:rPr>
          <w:bCs/>
        </w:rPr>
        <w:tab/>
      </w:r>
      <w:r w:rsidRPr="00201044">
        <w:rPr>
          <w:bCs/>
        </w:rPr>
        <w:tab/>
      </w:r>
      <w:r w:rsidRPr="00201044">
        <w:rPr>
          <w:bCs/>
        </w:rPr>
        <w:tab/>
      </w:r>
      <w:r w:rsidRPr="00201044">
        <w:rPr>
          <w:bCs/>
        </w:rPr>
        <w:tab/>
      </w:r>
      <w:r w:rsidRPr="00201044">
        <w:rPr>
          <w:bCs/>
        </w:rPr>
        <w:tab/>
      </w:r>
      <w:r w:rsidR="00201044">
        <w:rPr>
          <w:bCs/>
        </w:rPr>
        <w:tab/>
      </w:r>
      <w:r w:rsidRPr="00201044">
        <w:rPr>
          <w:bCs/>
        </w:rPr>
        <w:t xml:space="preserve"> Sandis Ģirģens</w:t>
      </w:r>
    </w:p>
    <w:p w14:paraId="502C6D42" w14:textId="77777777" w:rsidR="000F0975" w:rsidRPr="00201044" w:rsidRDefault="000F0975" w:rsidP="000F0975">
      <w:pPr>
        <w:rPr>
          <w:bCs/>
        </w:rPr>
      </w:pPr>
    </w:p>
    <w:p w14:paraId="53686640" w14:textId="77777777" w:rsidR="000F0975" w:rsidRPr="00201044" w:rsidRDefault="000F0975" w:rsidP="000F0975">
      <w:pPr>
        <w:rPr>
          <w:bCs/>
        </w:rPr>
      </w:pPr>
      <w:r w:rsidRPr="00201044">
        <w:rPr>
          <w:bCs/>
        </w:rPr>
        <w:t xml:space="preserve">Vīza: </w:t>
      </w:r>
    </w:p>
    <w:p w14:paraId="672786F4" w14:textId="232BD9BB" w:rsidR="000F0975" w:rsidRPr="00201044" w:rsidRDefault="000F0975" w:rsidP="000F0975">
      <w:pPr>
        <w:rPr>
          <w:bCs/>
        </w:rPr>
      </w:pPr>
      <w:r w:rsidRPr="00201044">
        <w:rPr>
          <w:bCs/>
        </w:rPr>
        <w:t xml:space="preserve">valsts sekretārs </w:t>
      </w:r>
      <w:r w:rsidRPr="00201044">
        <w:rPr>
          <w:bCs/>
        </w:rPr>
        <w:tab/>
      </w:r>
      <w:r w:rsidRPr="00201044">
        <w:rPr>
          <w:bCs/>
        </w:rPr>
        <w:tab/>
      </w:r>
      <w:r w:rsidRPr="00201044">
        <w:rPr>
          <w:bCs/>
        </w:rPr>
        <w:tab/>
      </w:r>
      <w:r w:rsidRPr="00201044">
        <w:rPr>
          <w:bCs/>
        </w:rPr>
        <w:tab/>
      </w:r>
      <w:r w:rsidRPr="00201044">
        <w:rPr>
          <w:bCs/>
        </w:rPr>
        <w:tab/>
      </w:r>
      <w:r w:rsidRPr="00201044">
        <w:rPr>
          <w:bCs/>
        </w:rPr>
        <w:tab/>
      </w:r>
      <w:proofErr w:type="gramStart"/>
      <w:r w:rsidRPr="00201044">
        <w:rPr>
          <w:bCs/>
        </w:rPr>
        <w:t xml:space="preserve">   </w:t>
      </w:r>
      <w:proofErr w:type="gramEnd"/>
      <w:r w:rsidR="00201044">
        <w:rPr>
          <w:bCs/>
        </w:rPr>
        <w:tab/>
      </w:r>
      <w:r w:rsidRPr="00201044">
        <w:rPr>
          <w:bCs/>
        </w:rPr>
        <w:t xml:space="preserve"> Dimitrijs Trofimovs</w:t>
      </w:r>
    </w:p>
    <w:p w14:paraId="64A8DC32" w14:textId="77777777" w:rsidR="00AC4E62" w:rsidRPr="00FA5770" w:rsidRDefault="00AC4E62" w:rsidP="005E5398">
      <w:pPr>
        <w:tabs>
          <w:tab w:val="left" w:pos="2592"/>
        </w:tabs>
        <w:spacing w:after="120"/>
      </w:pPr>
    </w:p>
    <w:p w14:paraId="019C7E23" w14:textId="77777777" w:rsidR="000F0975" w:rsidRPr="00FA5770" w:rsidRDefault="000F0975" w:rsidP="005E5398">
      <w:pPr>
        <w:tabs>
          <w:tab w:val="left" w:pos="2592"/>
        </w:tabs>
        <w:spacing w:after="120"/>
      </w:pPr>
    </w:p>
    <w:p w14:paraId="0147D54A" w14:textId="77777777" w:rsidR="009379B8" w:rsidRPr="00FA5770" w:rsidRDefault="009379B8" w:rsidP="005E5398">
      <w:pPr>
        <w:tabs>
          <w:tab w:val="left" w:pos="2592"/>
        </w:tabs>
        <w:spacing w:after="120"/>
      </w:pPr>
    </w:p>
    <w:p w14:paraId="6D1B065B" w14:textId="77777777" w:rsidR="000A6C6C" w:rsidRPr="00FA5770" w:rsidRDefault="000A6C6C" w:rsidP="005E5398">
      <w:pPr>
        <w:tabs>
          <w:tab w:val="left" w:pos="2592"/>
        </w:tabs>
        <w:spacing w:after="120"/>
      </w:pPr>
    </w:p>
    <w:p w14:paraId="40CFD04A" w14:textId="77777777" w:rsidR="000A6C6C" w:rsidRPr="00FA5770" w:rsidRDefault="000A6C6C" w:rsidP="005E5398">
      <w:pPr>
        <w:tabs>
          <w:tab w:val="left" w:pos="2592"/>
        </w:tabs>
        <w:spacing w:after="120"/>
      </w:pPr>
    </w:p>
    <w:p w14:paraId="7F766AD7" w14:textId="77777777" w:rsidR="000A6C6C" w:rsidRPr="00FA5770" w:rsidRDefault="000A6C6C" w:rsidP="005E5398">
      <w:pPr>
        <w:tabs>
          <w:tab w:val="left" w:pos="2592"/>
        </w:tabs>
        <w:spacing w:after="120"/>
      </w:pPr>
    </w:p>
    <w:p w14:paraId="7CEDB0A3" w14:textId="59AEE3F3" w:rsidR="000A6C6C" w:rsidRDefault="000A6C6C" w:rsidP="005E5398">
      <w:pPr>
        <w:tabs>
          <w:tab w:val="left" w:pos="2592"/>
        </w:tabs>
        <w:spacing w:after="120"/>
      </w:pPr>
    </w:p>
    <w:p w14:paraId="256BBC64" w14:textId="3C7A5556" w:rsidR="0002217D" w:rsidRDefault="0002217D" w:rsidP="005E5398">
      <w:pPr>
        <w:tabs>
          <w:tab w:val="left" w:pos="2592"/>
        </w:tabs>
        <w:spacing w:after="120"/>
      </w:pPr>
    </w:p>
    <w:p w14:paraId="3C28A0B5" w14:textId="74B8E163" w:rsidR="0002217D" w:rsidRDefault="0002217D" w:rsidP="005E5398">
      <w:pPr>
        <w:tabs>
          <w:tab w:val="left" w:pos="2592"/>
        </w:tabs>
        <w:spacing w:after="120"/>
      </w:pPr>
    </w:p>
    <w:p w14:paraId="73AB847A" w14:textId="0122B5BA" w:rsidR="0002217D" w:rsidRDefault="0002217D" w:rsidP="005E5398">
      <w:pPr>
        <w:tabs>
          <w:tab w:val="left" w:pos="2592"/>
        </w:tabs>
        <w:spacing w:after="120"/>
      </w:pPr>
    </w:p>
    <w:p w14:paraId="2BA25373" w14:textId="1B9603ED" w:rsidR="0002217D" w:rsidRDefault="0002217D" w:rsidP="005E5398">
      <w:pPr>
        <w:tabs>
          <w:tab w:val="left" w:pos="2592"/>
        </w:tabs>
        <w:spacing w:after="120"/>
      </w:pPr>
    </w:p>
    <w:p w14:paraId="65215444" w14:textId="2C2B840F" w:rsidR="0002217D" w:rsidRDefault="0002217D" w:rsidP="005E5398">
      <w:pPr>
        <w:tabs>
          <w:tab w:val="left" w:pos="2592"/>
        </w:tabs>
        <w:spacing w:after="120"/>
      </w:pPr>
    </w:p>
    <w:p w14:paraId="1C76104A" w14:textId="78F85887" w:rsidR="0002217D" w:rsidRDefault="0002217D" w:rsidP="005E5398">
      <w:pPr>
        <w:tabs>
          <w:tab w:val="left" w:pos="2592"/>
        </w:tabs>
        <w:spacing w:after="120"/>
      </w:pPr>
    </w:p>
    <w:p w14:paraId="6A6934BE" w14:textId="77777777" w:rsidR="0002217D" w:rsidRPr="00FA5770" w:rsidRDefault="0002217D" w:rsidP="005E5398">
      <w:pPr>
        <w:tabs>
          <w:tab w:val="left" w:pos="2592"/>
        </w:tabs>
        <w:spacing w:after="120"/>
      </w:pPr>
    </w:p>
    <w:p w14:paraId="459E6B34" w14:textId="77777777" w:rsidR="000A6C6C" w:rsidRPr="00FA5770" w:rsidRDefault="000A6C6C" w:rsidP="005E5398">
      <w:pPr>
        <w:tabs>
          <w:tab w:val="left" w:pos="2592"/>
        </w:tabs>
        <w:spacing w:after="120"/>
      </w:pPr>
    </w:p>
    <w:p w14:paraId="69838BD2" w14:textId="77777777" w:rsidR="000A6C6C" w:rsidRPr="00FA5770" w:rsidRDefault="000A6C6C" w:rsidP="005E5398">
      <w:pPr>
        <w:tabs>
          <w:tab w:val="left" w:pos="2592"/>
        </w:tabs>
        <w:spacing w:after="120"/>
      </w:pPr>
    </w:p>
    <w:p w14:paraId="6B9FA5AE" w14:textId="77777777" w:rsidR="000F0975" w:rsidRPr="00FA5770" w:rsidRDefault="000F0975" w:rsidP="005E5398">
      <w:pPr>
        <w:tabs>
          <w:tab w:val="left" w:pos="2592"/>
        </w:tabs>
        <w:spacing w:after="120"/>
      </w:pPr>
    </w:p>
    <w:p w14:paraId="36CED569" w14:textId="33572703" w:rsidR="005E5398" w:rsidRPr="00FA5770" w:rsidRDefault="00965D20" w:rsidP="00E4481F">
      <w:pPr>
        <w:rPr>
          <w:sz w:val="20"/>
          <w:szCs w:val="20"/>
        </w:rPr>
      </w:pPr>
      <w:r>
        <w:rPr>
          <w:sz w:val="20"/>
          <w:szCs w:val="20"/>
        </w:rPr>
        <w:t>A.Ignatjevs</w:t>
      </w:r>
      <w:r w:rsidR="00E4481F" w:rsidRPr="00FA5770">
        <w:rPr>
          <w:sz w:val="20"/>
          <w:szCs w:val="20"/>
        </w:rPr>
        <w:t>,</w:t>
      </w:r>
      <w:r w:rsidR="005E5398" w:rsidRPr="00FA5770">
        <w:rPr>
          <w:sz w:val="20"/>
          <w:szCs w:val="20"/>
        </w:rPr>
        <w:t xml:space="preserve"> 672</w:t>
      </w:r>
      <w:r w:rsidR="00E4481F" w:rsidRPr="00FA5770">
        <w:rPr>
          <w:sz w:val="20"/>
          <w:szCs w:val="20"/>
        </w:rPr>
        <w:t>08</w:t>
      </w:r>
      <w:r>
        <w:rPr>
          <w:sz w:val="20"/>
          <w:szCs w:val="20"/>
        </w:rPr>
        <w:t>531</w:t>
      </w:r>
    </w:p>
    <w:p w14:paraId="17DD9421" w14:textId="145510BD" w:rsidR="000A226F" w:rsidRDefault="00965D20" w:rsidP="00444DF5">
      <w:pPr>
        <w:tabs>
          <w:tab w:val="left" w:pos="6237"/>
        </w:tabs>
        <w:rPr>
          <w:sz w:val="20"/>
          <w:szCs w:val="20"/>
        </w:rPr>
      </w:pPr>
      <w:hyperlink r:id="rId8" w:history="1">
        <w:r w:rsidRPr="00F722D0">
          <w:rPr>
            <w:rStyle w:val="Hyperlink"/>
            <w:sz w:val="20"/>
            <w:szCs w:val="20"/>
          </w:rPr>
          <w:t>aigars.ignatjevs@ic.iem.gov.lv</w:t>
        </w:r>
      </w:hyperlink>
      <w:r w:rsidR="005E5398" w:rsidRPr="00FA5770">
        <w:rPr>
          <w:sz w:val="20"/>
          <w:szCs w:val="20"/>
        </w:rPr>
        <w:t xml:space="preserve"> </w:t>
      </w:r>
    </w:p>
    <w:p w14:paraId="06445DF9" w14:textId="77777777" w:rsidR="000A226F" w:rsidRPr="000A226F" w:rsidRDefault="000A226F" w:rsidP="000A226F">
      <w:pPr>
        <w:rPr>
          <w:sz w:val="20"/>
          <w:szCs w:val="20"/>
        </w:rPr>
      </w:pPr>
    </w:p>
    <w:p w14:paraId="2D74D466" w14:textId="77777777" w:rsidR="000A226F" w:rsidRPr="000A226F" w:rsidRDefault="000A226F" w:rsidP="000A226F">
      <w:pPr>
        <w:rPr>
          <w:sz w:val="20"/>
          <w:szCs w:val="20"/>
        </w:rPr>
      </w:pPr>
    </w:p>
    <w:p w14:paraId="3EDB4304" w14:textId="77777777" w:rsidR="000A226F" w:rsidRPr="000A226F" w:rsidRDefault="000A226F" w:rsidP="000A226F">
      <w:pPr>
        <w:rPr>
          <w:sz w:val="20"/>
          <w:szCs w:val="20"/>
        </w:rPr>
      </w:pPr>
      <w:bookmarkStart w:id="0" w:name="_GoBack"/>
      <w:bookmarkEnd w:id="0"/>
    </w:p>
    <w:p w14:paraId="5D61898C" w14:textId="486BA258" w:rsidR="00355B27" w:rsidRPr="000A226F" w:rsidRDefault="000A226F" w:rsidP="000A226F">
      <w:pPr>
        <w:tabs>
          <w:tab w:val="left" w:pos="1240"/>
        </w:tabs>
        <w:rPr>
          <w:sz w:val="20"/>
          <w:szCs w:val="20"/>
        </w:rPr>
      </w:pPr>
      <w:r>
        <w:rPr>
          <w:sz w:val="20"/>
          <w:szCs w:val="20"/>
        </w:rPr>
        <w:tab/>
      </w:r>
    </w:p>
    <w:sectPr w:rsidR="00355B27" w:rsidRPr="000A226F" w:rsidSect="0084623B">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A8FE4" w14:textId="77777777" w:rsidR="001C1B22" w:rsidRDefault="001C1B22" w:rsidP="00DB0AC9">
      <w:r>
        <w:separator/>
      </w:r>
    </w:p>
  </w:endnote>
  <w:endnote w:type="continuationSeparator" w:id="0">
    <w:p w14:paraId="48B29AB0" w14:textId="77777777" w:rsidR="001C1B22" w:rsidRDefault="001C1B22" w:rsidP="00DB0AC9">
      <w:r>
        <w:continuationSeparator/>
      </w:r>
    </w:p>
  </w:endnote>
  <w:endnote w:type="continuationNotice" w:id="1">
    <w:p w14:paraId="20828654" w14:textId="77777777" w:rsidR="001C1B22" w:rsidRDefault="001C1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8653A" w14:textId="257255BC" w:rsidR="000B5991" w:rsidRPr="00D9109E" w:rsidRDefault="000B5991" w:rsidP="000B5991">
    <w:pPr>
      <w:pStyle w:val="Footer"/>
    </w:pPr>
    <w:r>
      <w:rPr>
        <w:sz w:val="20"/>
        <w:szCs w:val="20"/>
      </w:rPr>
      <w:t>IEMAnot_</w:t>
    </w:r>
    <w:r w:rsidR="00E5154B">
      <w:rPr>
        <w:sz w:val="20"/>
        <w:szCs w:val="20"/>
      </w:rPr>
      <w:t>10</w:t>
    </w:r>
    <w:r w:rsidR="000A226F">
      <w:rPr>
        <w:sz w:val="20"/>
        <w:szCs w:val="20"/>
      </w:rPr>
      <w:t>0120</w:t>
    </w:r>
    <w:r>
      <w:rPr>
        <w:sz w:val="20"/>
        <w:szCs w:val="20"/>
      </w:rPr>
      <w:t>_LUSR</w:t>
    </w:r>
  </w:p>
  <w:p w14:paraId="5B2F377B" w14:textId="5BE3306F" w:rsidR="005E5398" w:rsidRPr="00D9109E" w:rsidRDefault="005E5398" w:rsidP="00D91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3C203" w14:textId="5922C54A" w:rsidR="005E5398" w:rsidRPr="00D9109E" w:rsidRDefault="000B5991" w:rsidP="00D9109E">
    <w:pPr>
      <w:pStyle w:val="Footer"/>
    </w:pPr>
    <w:r>
      <w:rPr>
        <w:sz w:val="20"/>
        <w:szCs w:val="20"/>
      </w:rPr>
      <w:t>IEMAnot_</w:t>
    </w:r>
    <w:r w:rsidR="00E5154B">
      <w:rPr>
        <w:sz w:val="20"/>
        <w:szCs w:val="20"/>
      </w:rPr>
      <w:t>10</w:t>
    </w:r>
    <w:r w:rsidR="000A226F">
      <w:rPr>
        <w:sz w:val="20"/>
        <w:szCs w:val="20"/>
      </w:rPr>
      <w:t>0120</w:t>
    </w:r>
    <w:r>
      <w:rPr>
        <w:sz w:val="20"/>
        <w:szCs w:val="20"/>
      </w:rPr>
      <w:t>_LUSR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6E530" w14:textId="77777777" w:rsidR="001C1B22" w:rsidRDefault="001C1B22" w:rsidP="00DB0AC9">
      <w:r>
        <w:separator/>
      </w:r>
    </w:p>
  </w:footnote>
  <w:footnote w:type="continuationSeparator" w:id="0">
    <w:p w14:paraId="2E2A966B" w14:textId="77777777" w:rsidR="001C1B22" w:rsidRDefault="001C1B22" w:rsidP="00DB0AC9">
      <w:r>
        <w:continuationSeparator/>
      </w:r>
    </w:p>
  </w:footnote>
  <w:footnote w:type="continuationNotice" w:id="1">
    <w:p w14:paraId="54DF2023" w14:textId="77777777" w:rsidR="001C1B22" w:rsidRDefault="001C1B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14:paraId="79C98CAA" w14:textId="421D6BF7" w:rsidR="00DB0AC9" w:rsidRDefault="00703D40">
        <w:pPr>
          <w:pStyle w:val="Header"/>
          <w:jc w:val="center"/>
        </w:pPr>
        <w:r>
          <w:fldChar w:fldCharType="begin"/>
        </w:r>
        <w:r>
          <w:instrText xml:space="preserve"> PAGE   \* MERGEFORMAT </w:instrText>
        </w:r>
        <w:r>
          <w:fldChar w:fldCharType="separate"/>
        </w:r>
        <w:r w:rsidR="00965D20">
          <w:rPr>
            <w:noProof/>
          </w:rPr>
          <w:t>6</w:t>
        </w:r>
        <w:r>
          <w:rPr>
            <w:noProof/>
          </w:rPr>
          <w:fldChar w:fldCharType="end"/>
        </w:r>
      </w:p>
    </w:sdtContent>
  </w:sdt>
  <w:p w14:paraId="44264939" w14:textId="77777777" w:rsidR="00DB0AC9" w:rsidRDefault="00DB0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47F"/>
    <w:multiLevelType w:val="hybridMultilevel"/>
    <w:tmpl w:val="042EB770"/>
    <w:lvl w:ilvl="0" w:tplc="7ACA2A38">
      <w:start w:val="1"/>
      <w:numFmt w:val="decimal"/>
      <w:lvlText w:val="%1)"/>
      <w:lvlJc w:val="left"/>
      <w:pPr>
        <w:ind w:left="1071" w:hanging="50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8001F"/>
    <w:multiLevelType w:val="hybridMultilevel"/>
    <w:tmpl w:val="3154C4BE"/>
    <w:lvl w:ilvl="0" w:tplc="6D6058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737FF"/>
    <w:multiLevelType w:val="hybridMultilevel"/>
    <w:tmpl w:val="25BCF0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C2B1ECF"/>
    <w:multiLevelType w:val="multilevel"/>
    <w:tmpl w:val="46689374"/>
    <w:lvl w:ilvl="0">
      <w:start w:val="1"/>
      <w:numFmt w:val="decimal"/>
      <w:lvlText w:val="%1."/>
      <w:lvlJc w:val="left"/>
      <w:pPr>
        <w:ind w:left="660" w:hanging="360"/>
      </w:pPr>
      <w:rPr>
        <w:rFonts w:hint="default"/>
        <w:b w:val="0"/>
        <w:color w:val="auto"/>
        <w:sz w:val="28"/>
        <w:szCs w:val="28"/>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7" w15:restartNumberingAfterBreak="0">
    <w:nsid w:val="39BC261B"/>
    <w:multiLevelType w:val="multilevel"/>
    <w:tmpl w:val="1296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9"/>
  </w:num>
  <w:num w:numId="5">
    <w:abstractNumId w:val="4"/>
  </w:num>
  <w:num w:numId="6">
    <w:abstractNumId w:val="7"/>
  </w:num>
  <w:num w:numId="7">
    <w:abstractNumId w:val="6"/>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08F0"/>
    <w:rsid w:val="00001A38"/>
    <w:rsid w:val="00003465"/>
    <w:rsid w:val="00004ABA"/>
    <w:rsid w:val="0001731C"/>
    <w:rsid w:val="0002217D"/>
    <w:rsid w:val="00030099"/>
    <w:rsid w:val="00034CBA"/>
    <w:rsid w:val="00041399"/>
    <w:rsid w:val="000424AE"/>
    <w:rsid w:val="0004380A"/>
    <w:rsid w:val="000454E7"/>
    <w:rsid w:val="000619BD"/>
    <w:rsid w:val="000940AB"/>
    <w:rsid w:val="000952E2"/>
    <w:rsid w:val="000A226F"/>
    <w:rsid w:val="000A4B00"/>
    <w:rsid w:val="000A6C6C"/>
    <w:rsid w:val="000B52E0"/>
    <w:rsid w:val="000B5991"/>
    <w:rsid w:val="000C397D"/>
    <w:rsid w:val="000C4BA4"/>
    <w:rsid w:val="000C6680"/>
    <w:rsid w:val="000D42DC"/>
    <w:rsid w:val="000D4C59"/>
    <w:rsid w:val="000D5A11"/>
    <w:rsid w:val="000E2BCF"/>
    <w:rsid w:val="000F0975"/>
    <w:rsid w:val="000F09BC"/>
    <w:rsid w:val="000F47C3"/>
    <w:rsid w:val="00100D1C"/>
    <w:rsid w:val="001017C5"/>
    <w:rsid w:val="00102DB7"/>
    <w:rsid w:val="00113F6C"/>
    <w:rsid w:val="00115545"/>
    <w:rsid w:val="001202F6"/>
    <w:rsid w:val="001241D8"/>
    <w:rsid w:val="00126629"/>
    <w:rsid w:val="00132564"/>
    <w:rsid w:val="00141526"/>
    <w:rsid w:val="001439F8"/>
    <w:rsid w:val="00153D7F"/>
    <w:rsid w:val="00166DF1"/>
    <w:rsid w:val="001702AC"/>
    <w:rsid w:val="0017494C"/>
    <w:rsid w:val="00181B28"/>
    <w:rsid w:val="0018770F"/>
    <w:rsid w:val="00197418"/>
    <w:rsid w:val="001A7BF7"/>
    <w:rsid w:val="001C1B22"/>
    <w:rsid w:val="001D53A2"/>
    <w:rsid w:val="001E0AC2"/>
    <w:rsid w:val="001E0C1F"/>
    <w:rsid w:val="001E24A5"/>
    <w:rsid w:val="001F04C5"/>
    <w:rsid w:val="001F0D03"/>
    <w:rsid w:val="001F46BD"/>
    <w:rsid w:val="001F6C7A"/>
    <w:rsid w:val="00201044"/>
    <w:rsid w:val="002019E8"/>
    <w:rsid w:val="00202A29"/>
    <w:rsid w:val="002045F4"/>
    <w:rsid w:val="00210E62"/>
    <w:rsid w:val="00211917"/>
    <w:rsid w:val="00216F8D"/>
    <w:rsid w:val="00221656"/>
    <w:rsid w:val="00221D1D"/>
    <w:rsid w:val="0022794C"/>
    <w:rsid w:val="00231EEA"/>
    <w:rsid w:val="00233136"/>
    <w:rsid w:val="00243226"/>
    <w:rsid w:val="00244289"/>
    <w:rsid w:val="00253920"/>
    <w:rsid w:val="00253B7D"/>
    <w:rsid w:val="00253E2F"/>
    <w:rsid w:val="00257CD7"/>
    <w:rsid w:val="0026479F"/>
    <w:rsid w:val="00265769"/>
    <w:rsid w:val="00281C83"/>
    <w:rsid w:val="0028578C"/>
    <w:rsid w:val="00292BC8"/>
    <w:rsid w:val="002A2EC3"/>
    <w:rsid w:val="002A6761"/>
    <w:rsid w:val="002B2FF5"/>
    <w:rsid w:val="002B3076"/>
    <w:rsid w:val="002B4691"/>
    <w:rsid w:val="002C1B6D"/>
    <w:rsid w:val="002C28D0"/>
    <w:rsid w:val="002C33AC"/>
    <w:rsid w:val="002C35B2"/>
    <w:rsid w:val="002C49DF"/>
    <w:rsid w:val="002C5795"/>
    <w:rsid w:val="002E434F"/>
    <w:rsid w:val="002F5808"/>
    <w:rsid w:val="0030332A"/>
    <w:rsid w:val="0030761F"/>
    <w:rsid w:val="00320435"/>
    <w:rsid w:val="003205E9"/>
    <w:rsid w:val="003212E7"/>
    <w:rsid w:val="003228BA"/>
    <w:rsid w:val="00336F6B"/>
    <w:rsid w:val="00341FDD"/>
    <w:rsid w:val="00343481"/>
    <w:rsid w:val="003503F1"/>
    <w:rsid w:val="00355A4E"/>
    <w:rsid w:val="00355B27"/>
    <w:rsid w:val="00361824"/>
    <w:rsid w:val="0036262E"/>
    <w:rsid w:val="00362DD4"/>
    <w:rsid w:val="00371B65"/>
    <w:rsid w:val="00371D81"/>
    <w:rsid w:val="0038157B"/>
    <w:rsid w:val="00386C01"/>
    <w:rsid w:val="0039407A"/>
    <w:rsid w:val="00394CA7"/>
    <w:rsid w:val="00395564"/>
    <w:rsid w:val="003963B7"/>
    <w:rsid w:val="003A70DE"/>
    <w:rsid w:val="003C17D9"/>
    <w:rsid w:val="003C4F62"/>
    <w:rsid w:val="003C614A"/>
    <w:rsid w:val="003D2B9E"/>
    <w:rsid w:val="003D4AF6"/>
    <w:rsid w:val="003E000A"/>
    <w:rsid w:val="003E095E"/>
    <w:rsid w:val="003F0017"/>
    <w:rsid w:val="003F7915"/>
    <w:rsid w:val="00422088"/>
    <w:rsid w:val="00426197"/>
    <w:rsid w:val="00433A4E"/>
    <w:rsid w:val="00435F97"/>
    <w:rsid w:val="00441051"/>
    <w:rsid w:val="00442541"/>
    <w:rsid w:val="00444DF5"/>
    <w:rsid w:val="00446103"/>
    <w:rsid w:val="00453DFD"/>
    <w:rsid w:val="004553FA"/>
    <w:rsid w:val="00464DC9"/>
    <w:rsid w:val="00467419"/>
    <w:rsid w:val="004807F7"/>
    <w:rsid w:val="00480CAE"/>
    <w:rsid w:val="00480D99"/>
    <w:rsid w:val="00480E97"/>
    <w:rsid w:val="0048363D"/>
    <w:rsid w:val="0048432E"/>
    <w:rsid w:val="00491AFD"/>
    <w:rsid w:val="00492553"/>
    <w:rsid w:val="00494598"/>
    <w:rsid w:val="004A033F"/>
    <w:rsid w:val="004B158E"/>
    <w:rsid w:val="004B4097"/>
    <w:rsid w:val="004B7048"/>
    <w:rsid w:val="004D2745"/>
    <w:rsid w:val="004D4B92"/>
    <w:rsid w:val="004E1729"/>
    <w:rsid w:val="004E5A42"/>
    <w:rsid w:val="004E6766"/>
    <w:rsid w:val="004F2758"/>
    <w:rsid w:val="004F63F0"/>
    <w:rsid w:val="005004E7"/>
    <w:rsid w:val="00501742"/>
    <w:rsid w:val="00522218"/>
    <w:rsid w:val="00533EF6"/>
    <w:rsid w:val="00536894"/>
    <w:rsid w:val="00556BF7"/>
    <w:rsid w:val="0056709F"/>
    <w:rsid w:val="00567D0C"/>
    <w:rsid w:val="0058333D"/>
    <w:rsid w:val="00592ED5"/>
    <w:rsid w:val="005958E4"/>
    <w:rsid w:val="005970FA"/>
    <w:rsid w:val="005B2D66"/>
    <w:rsid w:val="005B4110"/>
    <w:rsid w:val="005B7004"/>
    <w:rsid w:val="005E3443"/>
    <w:rsid w:val="005E5398"/>
    <w:rsid w:val="005F0F30"/>
    <w:rsid w:val="00610CFD"/>
    <w:rsid w:val="006124DA"/>
    <w:rsid w:val="0061253D"/>
    <w:rsid w:val="0061509A"/>
    <w:rsid w:val="00615358"/>
    <w:rsid w:val="00653440"/>
    <w:rsid w:val="006727CF"/>
    <w:rsid w:val="00681396"/>
    <w:rsid w:val="00683122"/>
    <w:rsid w:val="00685F4F"/>
    <w:rsid w:val="00687258"/>
    <w:rsid w:val="00690ECF"/>
    <w:rsid w:val="006916F7"/>
    <w:rsid w:val="006A1908"/>
    <w:rsid w:val="006B01D1"/>
    <w:rsid w:val="006B2D49"/>
    <w:rsid w:val="006B63A0"/>
    <w:rsid w:val="006C5798"/>
    <w:rsid w:val="006D018E"/>
    <w:rsid w:val="006D1405"/>
    <w:rsid w:val="006D55FC"/>
    <w:rsid w:val="006F36F2"/>
    <w:rsid w:val="006F4644"/>
    <w:rsid w:val="00703D40"/>
    <w:rsid w:val="00707F96"/>
    <w:rsid w:val="0071393E"/>
    <w:rsid w:val="00720FB2"/>
    <w:rsid w:val="007246E8"/>
    <w:rsid w:val="007260A0"/>
    <w:rsid w:val="0073513D"/>
    <w:rsid w:val="00736475"/>
    <w:rsid w:val="0075667D"/>
    <w:rsid w:val="007728A4"/>
    <w:rsid w:val="00782C9C"/>
    <w:rsid w:val="007A1B03"/>
    <w:rsid w:val="007B72BB"/>
    <w:rsid w:val="007D0DA5"/>
    <w:rsid w:val="007D7014"/>
    <w:rsid w:val="007E1451"/>
    <w:rsid w:val="007E2F76"/>
    <w:rsid w:val="007E31AF"/>
    <w:rsid w:val="007E676C"/>
    <w:rsid w:val="007F3D3B"/>
    <w:rsid w:val="007F4EBC"/>
    <w:rsid w:val="00806CD6"/>
    <w:rsid w:val="00817EBB"/>
    <w:rsid w:val="008224D5"/>
    <w:rsid w:val="00823468"/>
    <w:rsid w:val="00823902"/>
    <w:rsid w:val="008412F4"/>
    <w:rsid w:val="00841311"/>
    <w:rsid w:val="0084623B"/>
    <w:rsid w:val="0084754B"/>
    <w:rsid w:val="008573BD"/>
    <w:rsid w:val="00884A91"/>
    <w:rsid w:val="008954B0"/>
    <w:rsid w:val="008A726F"/>
    <w:rsid w:val="008B0DF9"/>
    <w:rsid w:val="008C3036"/>
    <w:rsid w:val="008D7D8E"/>
    <w:rsid w:val="008E7254"/>
    <w:rsid w:val="008E78D7"/>
    <w:rsid w:val="0090020D"/>
    <w:rsid w:val="00903864"/>
    <w:rsid w:val="0091642C"/>
    <w:rsid w:val="00927AF8"/>
    <w:rsid w:val="009339AA"/>
    <w:rsid w:val="009371F4"/>
    <w:rsid w:val="009379B8"/>
    <w:rsid w:val="00965D20"/>
    <w:rsid w:val="0097149A"/>
    <w:rsid w:val="009715A8"/>
    <w:rsid w:val="00995D52"/>
    <w:rsid w:val="009A1583"/>
    <w:rsid w:val="009B199A"/>
    <w:rsid w:val="009D78D5"/>
    <w:rsid w:val="009F12EF"/>
    <w:rsid w:val="009F5964"/>
    <w:rsid w:val="00A11A19"/>
    <w:rsid w:val="00A147A5"/>
    <w:rsid w:val="00A15BE3"/>
    <w:rsid w:val="00A26BC0"/>
    <w:rsid w:val="00A342BB"/>
    <w:rsid w:val="00A47B4A"/>
    <w:rsid w:val="00A50EFC"/>
    <w:rsid w:val="00A53188"/>
    <w:rsid w:val="00A5425A"/>
    <w:rsid w:val="00A63FCA"/>
    <w:rsid w:val="00A67A36"/>
    <w:rsid w:val="00AB0169"/>
    <w:rsid w:val="00AB07D3"/>
    <w:rsid w:val="00AC3190"/>
    <w:rsid w:val="00AC4E62"/>
    <w:rsid w:val="00AC5E1C"/>
    <w:rsid w:val="00AC711D"/>
    <w:rsid w:val="00AD706C"/>
    <w:rsid w:val="00AE6BA3"/>
    <w:rsid w:val="00AF62EC"/>
    <w:rsid w:val="00B0080C"/>
    <w:rsid w:val="00B111CC"/>
    <w:rsid w:val="00B14751"/>
    <w:rsid w:val="00B14BDD"/>
    <w:rsid w:val="00B230F3"/>
    <w:rsid w:val="00B37996"/>
    <w:rsid w:val="00B425CD"/>
    <w:rsid w:val="00B45B3C"/>
    <w:rsid w:val="00B47460"/>
    <w:rsid w:val="00B7575D"/>
    <w:rsid w:val="00BA3391"/>
    <w:rsid w:val="00BA467E"/>
    <w:rsid w:val="00BA5BC1"/>
    <w:rsid w:val="00BB26AC"/>
    <w:rsid w:val="00BC4238"/>
    <w:rsid w:val="00BC4EF3"/>
    <w:rsid w:val="00BD1222"/>
    <w:rsid w:val="00BD3FF8"/>
    <w:rsid w:val="00BD5677"/>
    <w:rsid w:val="00BE154B"/>
    <w:rsid w:val="00BE20C8"/>
    <w:rsid w:val="00C1237D"/>
    <w:rsid w:val="00C213CB"/>
    <w:rsid w:val="00C225E5"/>
    <w:rsid w:val="00C23E69"/>
    <w:rsid w:val="00C31E03"/>
    <w:rsid w:val="00C364E7"/>
    <w:rsid w:val="00C432E1"/>
    <w:rsid w:val="00C46705"/>
    <w:rsid w:val="00C47EC6"/>
    <w:rsid w:val="00C5188C"/>
    <w:rsid w:val="00C51B8B"/>
    <w:rsid w:val="00C52894"/>
    <w:rsid w:val="00C55D49"/>
    <w:rsid w:val="00C56ADE"/>
    <w:rsid w:val="00C653AF"/>
    <w:rsid w:val="00C73DED"/>
    <w:rsid w:val="00C7720A"/>
    <w:rsid w:val="00C82862"/>
    <w:rsid w:val="00C966BB"/>
    <w:rsid w:val="00CB192B"/>
    <w:rsid w:val="00CB3C52"/>
    <w:rsid w:val="00CD3A78"/>
    <w:rsid w:val="00CE041E"/>
    <w:rsid w:val="00CE12BB"/>
    <w:rsid w:val="00CF0E4E"/>
    <w:rsid w:val="00CF4C38"/>
    <w:rsid w:val="00CF784C"/>
    <w:rsid w:val="00D03E54"/>
    <w:rsid w:val="00D12847"/>
    <w:rsid w:val="00D4415A"/>
    <w:rsid w:val="00D44E46"/>
    <w:rsid w:val="00D47E57"/>
    <w:rsid w:val="00D564F9"/>
    <w:rsid w:val="00D623FB"/>
    <w:rsid w:val="00D66380"/>
    <w:rsid w:val="00D76363"/>
    <w:rsid w:val="00D822BD"/>
    <w:rsid w:val="00D84464"/>
    <w:rsid w:val="00D87B80"/>
    <w:rsid w:val="00D9109E"/>
    <w:rsid w:val="00DA166C"/>
    <w:rsid w:val="00DA4050"/>
    <w:rsid w:val="00DB0AC9"/>
    <w:rsid w:val="00DB3D6A"/>
    <w:rsid w:val="00DC520F"/>
    <w:rsid w:val="00DE1F06"/>
    <w:rsid w:val="00E14C08"/>
    <w:rsid w:val="00E16084"/>
    <w:rsid w:val="00E23151"/>
    <w:rsid w:val="00E32F8B"/>
    <w:rsid w:val="00E35431"/>
    <w:rsid w:val="00E40407"/>
    <w:rsid w:val="00E4481F"/>
    <w:rsid w:val="00E45591"/>
    <w:rsid w:val="00E507C9"/>
    <w:rsid w:val="00E5154B"/>
    <w:rsid w:val="00E65480"/>
    <w:rsid w:val="00E773A7"/>
    <w:rsid w:val="00E83326"/>
    <w:rsid w:val="00E92D34"/>
    <w:rsid w:val="00EB7FB7"/>
    <w:rsid w:val="00EC0B39"/>
    <w:rsid w:val="00EE1EC2"/>
    <w:rsid w:val="00EE59FC"/>
    <w:rsid w:val="00EF06A9"/>
    <w:rsid w:val="00EF47A7"/>
    <w:rsid w:val="00EF6309"/>
    <w:rsid w:val="00F32A81"/>
    <w:rsid w:val="00F36867"/>
    <w:rsid w:val="00F40D01"/>
    <w:rsid w:val="00F41E13"/>
    <w:rsid w:val="00F65299"/>
    <w:rsid w:val="00F7112F"/>
    <w:rsid w:val="00F71CF1"/>
    <w:rsid w:val="00F730A8"/>
    <w:rsid w:val="00F7428A"/>
    <w:rsid w:val="00F75A9B"/>
    <w:rsid w:val="00F854A3"/>
    <w:rsid w:val="00F86AF3"/>
    <w:rsid w:val="00F914CD"/>
    <w:rsid w:val="00F968EA"/>
    <w:rsid w:val="00F96EE5"/>
    <w:rsid w:val="00FA5770"/>
    <w:rsid w:val="00FA6AA9"/>
    <w:rsid w:val="00FD31F9"/>
    <w:rsid w:val="00FD5D5A"/>
    <w:rsid w:val="00FE187C"/>
    <w:rsid w:val="00FE5068"/>
    <w:rsid w:val="00FF63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26DAED"/>
  <w15:docId w15:val="{ADEB10FE-49E5-41F3-9075-2806CCF5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D9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80D9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paragraph" w:customStyle="1" w:styleId="tv213limenis2">
    <w:name w:val="tv213 limenis2"/>
    <w:basedOn w:val="Normal"/>
    <w:rsid w:val="0028578C"/>
    <w:pPr>
      <w:spacing w:before="100" w:beforeAutospacing="1" w:after="100" w:afterAutospacing="1"/>
    </w:pPr>
  </w:style>
  <w:style w:type="character" w:styleId="CommentReference">
    <w:name w:val="annotation reference"/>
    <w:basedOn w:val="DefaultParagraphFont"/>
    <w:uiPriority w:val="99"/>
    <w:semiHidden/>
    <w:unhideWhenUsed/>
    <w:rsid w:val="00F65299"/>
    <w:rPr>
      <w:sz w:val="16"/>
      <w:szCs w:val="16"/>
    </w:rPr>
  </w:style>
  <w:style w:type="paragraph" w:styleId="CommentText">
    <w:name w:val="annotation text"/>
    <w:basedOn w:val="Normal"/>
    <w:link w:val="CommentTextChar"/>
    <w:uiPriority w:val="99"/>
    <w:semiHidden/>
    <w:unhideWhenUsed/>
    <w:rsid w:val="00F65299"/>
    <w:rPr>
      <w:sz w:val="20"/>
      <w:szCs w:val="20"/>
    </w:rPr>
  </w:style>
  <w:style w:type="character" w:customStyle="1" w:styleId="CommentTextChar">
    <w:name w:val="Comment Text Char"/>
    <w:basedOn w:val="DefaultParagraphFont"/>
    <w:link w:val="CommentText"/>
    <w:uiPriority w:val="99"/>
    <w:semiHidden/>
    <w:rsid w:val="00F6529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63FCA"/>
    <w:rPr>
      <w:b/>
      <w:bCs/>
    </w:rPr>
  </w:style>
  <w:style w:type="character" w:customStyle="1" w:styleId="CommentSubjectChar">
    <w:name w:val="Comment Subject Char"/>
    <w:basedOn w:val="CommentTextChar"/>
    <w:link w:val="CommentSubject"/>
    <w:uiPriority w:val="99"/>
    <w:semiHidden/>
    <w:rsid w:val="00A63FC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53897">
      <w:bodyDiv w:val="1"/>
      <w:marLeft w:val="0"/>
      <w:marRight w:val="0"/>
      <w:marTop w:val="0"/>
      <w:marBottom w:val="0"/>
      <w:divBdr>
        <w:top w:val="none" w:sz="0" w:space="0" w:color="auto"/>
        <w:left w:val="none" w:sz="0" w:space="0" w:color="auto"/>
        <w:bottom w:val="none" w:sz="0" w:space="0" w:color="auto"/>
        <w:right w:val="none" w:sz="0" w:space="0" w:color="auto"/>
      </w:divBdr>
    </w:div>
    <w:div w:id="774374090">
      <w:bodyDiv w:val="1"/>
      <w:marLeft w:val="0"/>
      <w:marRight w:val="0"/>
      <w:marTop w:val="0"/>
      <w:marBottom w:val="0"/>
      <w:divBdr>
        <w:top w:val="none" w:sz="0" w:space="0" w:color="auto"/>
        <w:left w:val="none" w:sz="0" w:space="0" w:color="auto"/>
        <w:bottom w:val="none" w:sz="0" w:space="0" w:color="auto"/>
        <w:right w:val="none" w:sz="0" w:space="0" w:color="auto"/>
      </w:divBdr>
      <w:divsChild>
        <w:div w:id="285619090">
          <w:marLeft w:val="0"/>
          <w:marRight w:val="0"/>
          <w:marTop w:val="480"/>
          <w:marBottom w:val="240"/>
          <w:divBdr>
            <w:top w:val="none" w:sz="0" w:space="0" w:color="auto"/>
            <w:left w:val="none" w:sz="0" w:space="0" w:color="auto"/>
            <w:bottom w:val="none" w:sz="0" w:space="0" w:color="auto"/>
            <w:right w:val="none" w:sz="0" w:space="0" w:color="auto"/>
          </w:divBdr>
        </w:div>
        <w:div w:id="35591671">
          <w:marLeft w:val="0"/>
          <w:marRight w:val="0"/>
          <w:marTop w:val="0"/>
          <w:marBottom w:val="567"/>
          <w:divBdr>
            <w:top w:val="none" w:sz="0" w:space="0" w:color="auto"/>
            <w:left w:val="none" w:sz="0" w:space="0" w:color="auto"/>
            <w:bottom w:val="none" w:sz="0" w:space="0" w:color="auto"/>
            <w:right w:val="none" w:sz="0" w:space="0" w:color="auto"/>
          </w:divBdr>
        </w:div>
      </w:divsChild>
    </w:div>
    <w:div w:id="893085755">
      <w:bodyDiv w:val="1"/>
      <w:marLeft w:val="0"/>
      <w:marRight w:val="0"/>
      <w:marTop w:val="0"/>
      <w:marBottom w:val="0"/>
      <w:divBdr>
        <w:top w:val="none" w:sz="0" w:space="0" w:color="auto"/>
        <w:left w:val="none" w:sz="0" w:space="0" w:color="auto"/>
        <w:bottom w:val="none" w:sz="0" w:space="0" w:color="auto"/>
        <w:right w:val="none" w:sz="0" w:space="0" w:color="auto"/>
      </w:divBdr>
    </w:div>
    <w:div w:id="114874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rs.ignatjevs@ic.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084BD-ECDA-460F-BDEB-7F832B55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8980</Words>
  <Characters>5119</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Ministru kabineta noteikumi Licenču un sertifikātu reģistra noteikumi</vt:lpstr>
    </vt:vector>
  </TitlesOfParts>
  <Company>Iekšlietu ministrijas Informācijas centrs</Company>
  <LinksUpToDate>false</LinksUpToDate>
  <CharactersWithSpaces>14071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Licenču un sertifikātu reģistra noteikumi</dc:title>
  <dc:subject>Noteikumu projekta anotācija</dc:subject>
  <dc:creator>Edgars Rubins</dc:creator>
  <dc:description>67208367, edgars.rubins@ic.iem.gov.lv</dc:description>
  <cp:lastModifiedBy>Aigars Ignatjevs</cp:lastModifiedBy>
  <cp:revision>3</cp:revision>
  <dcterms:created xsi:type="dcterms:W3CDTF">2020-01-10T11:35:00Z</dcterms:created>
  <dcterms:modified xsi:type="dcterms:W3CDTF">2020-01-29T09:28:00Z</dcterms:modified>
</cp:coreProperties>
</file>