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FA" w:rsidP="00213409" w:rsidRDefault="00FE3B82" w14:paraId="09543227" w14:textId="7E5499D1">
      <w:pPr>
        <w:pStyle w:val="Title"/>
        <w:spacing w:before="130" w:line="260" w:lineRule="exact"/>
        <w:ind w:right="-994" w:firstLine="539"/>
        <w:rPr>
          <w:b/>
          <w:sz w:val="24"/>
          <w:szCs w:val="24"/>
        </w:rPr>
      </w:pPr>
      <w:bookmarkStart w:name="_Hlk33775007" w:id="0"/>
      <w:r>
        <w:rPr>
          <w:b/>
          <w:sz w:val="24"/>
          <w:szCs w:val="24"/>
        </w:rPr>
        <w:t>Ministru kabineta noteikumu</w:t>
      </w:r>
      <w:r w:rsidR="00173BD6">
        <w:rPr>
          <w:b/>
          <w:sz w:val="24"/>
          <w:szCs w:val="24"/>
        </w:rPr>
        <w:t xml:space="preserve"> projekta “</w:t>
      </w:r>
      <w:r w:rsidR="00C93A50">
        <w:rPr>
          <w:b/>
          <w:sz w:val="24"/>
          <w:szCs w:val="24"/>
        </w:rPr>
        <w:t xml:space="preserve">Grozījumi </w:t>
      </w:r>
      <w:r w:rsidRPr="002E1B0A" w:rsidR="002E1B0A">
        <w:rPr>
          <w:b/>
          <w:sz w:val="24"/>
          <w:szCs w:val="24"/>
        </w:rPr>
        <w:t xml:space="preserve">Ministru kabineta 2015.gada 24.novembra noteikumos Nr. 664 “Darbības programmas "Izaugsme un nodarbinātība" </w:t>
      </w:r>
      <w:r w:rsidRPr="002E1B0A" w:rsidR="002E1B0A">
        <w:rPr>
          <w:rFonts w:eastAsia="Calibri"/>
          <w:b/>
          <w:sz w:val="24"/>
          <w:szCs w:val="24"/>
        </w:rPr>
        <w:t xml:space="preserve">2.1.1.specifiskā atbalsta mērķa “Uzlabot elektroniskās sakaru infrastruktūras pieejamību lauku teritorijās” pirmās projektu iesniegumu atlases kārtas </w:t>
      </w:r>
      <w:r w:rsidRPr="002E1B0A" w:rsidR="002E1B0A">
        <w:rPr>
          <w:b/>
          <w:sz w:val="24"/>
          <w:szCs w:val="24"/>
        </w:rPr>
        <w:t>īstenošanas noteikumi”</w:t>
      </w:r>
      <w:r w:rsidR="00ED1382">
        <w:rPr>
          <w:b/>
          <w:sz w:val="24"/>
          <w:szCs w:val="24"/>
        </w:rPr>
        <w:t>”</w:t>
      </w:r>
      <w:r w:rsidR="00173BD6">
        <w:rPr>
          <w:b/>
          <w:sz w:val="24"/>
          <w:szCs w:val="24"/>
        </w:rPr>
        <w:t xml:space="preserve"> sākotnējās ietekmes novērtējuma ziņojums (anotācija)</w:t>
      </w:r>
    </w:p>
    <w:bookmarkEnd w:id="0"/>
    <w:p w:rsidR="00173BD6" w:rsidP="002E1B0A" w:rsidRDefault="00173BD6" w14:paraId="638BC571" w14:textId="77777777">
      <w:pPr>
        <w:pStyle w:val="Title"/>
        <w:spacing w:before="130" w:line="260" w:lineRule="exact"/>
        <w:ind w:firstLine="539"/>
        <w:rPr>
          <w:b/>
          <w:sz w:val="24"/>
          <w:szCs w:val="24"/>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21"/>
        <w:gridCol w:w="7072"/>
      </w:tblGrid>
      <w:tr w:rsidRPr="00996725" w:rsidR="005F0AFA" w:rsidTr="00D002F3" w14:paraId="7E522C89" w14:textId="77777777">
        <w:trPr>
          <w:cantSplit/>
        </w:trPr>
        <w:tc>
          <w:tcPr>
            <w:tcW w:w="9493" w:type="dxa"/>
            <w:gridSpan w:val="2"/>
            <w:shd w:val="clear" w:color="auto" w:fill="FFFFFF"/>
            <w:vAlign w:val="center"/>
            <w:hideMark/>
          </w:tcPr>
          <w:p w:rsidRPr="00996725" w:rsidR="005F0AFA" w:rsidP="009D710E" w:rsidRDefault="005F0AFA" w14:paraId="7E14C839" w14:textId="77777777">
            <w:pPr>
              <w:jc w:val="center"/>
              <w:rPr>
                <w:b/>
                <w:iCs/>
                <w:lang w:eastAsia="en-US"/>
              </w:rPr>
            </w:pPr>
            <w:r w:rsidRPr="00996725">
              <w:rPr>
                <w:b/>
                <w:iCs/>
                <w:lang w:eastAsia="en-US"/>
              </w:rPr>
              <w:t>Tiesību akta projekta anotācijas kopsavilkums</w:t>
            </w:r>
          </w:p>
        </w:tc>
      </w:tr>
      <w:tr w:rsidRPr="00996725" w:rsidR="005F0AFA" w:rsidTr="00D002F3" w14:paraId="2BD25492" w14:textId="77777777">
        <w:trPr>
          <w:cantSplit/>
        </w:trPr>
        <w:tc>
          <w:tcPr>
            <w:tcW w:w="2421" w:type="dxa"/>
            <w:shd w:val="clear" w:color="auto" w:fill="FFFFFF"/>
            <w:hideMark/>
          </w:tcPr>
          <w:p w:rsidRPr="00996725" w:rsidR="005F0AFA" w:rsidP="009D710E" w:rsidRDefault="005F0AFA" w14:paraId="31839176" w14:textId="6B6A03C6">
            <w:pPr>
              <w:rPr>
                <w:iCs/>
                <w:lang w:eastAsia="en-US"/>
              </w:rPr>
            </w:pPr>
            <w:r w:rsidRPr="00996725">
              <w:rPr>
                <w:iCs/>
                <w:lang w:eastAsia="en-US"/>
              </w:rPr>
              <w:t xml:space="preserve">Mērķis, risinājums un projekta spēkā stāšanās laiks </w:t>
            </w:r>
          </w:p>
        </w:tc>
        <w:tc>
          <w:tcPr>
            <w:tcW w:w="7072" w:type="dxa"/>
            <w:shd w:val="clear" w:color="auto" w:fill="FFFFFF"/>
            <w:hideMark/>
          </w:tcPr>
          <w:p w:rsidRPr="002F1FFD" w:rsidR="003B5B6C" w:rsidP="003B5B6C" w:rsidRDefault="009A658A" w14:paraId="2CD5005F" w14:textId="318B1CDB">
            <w:pPr>
              <w:jc w:val="both"/>
              <w:rPr>
                <w:iCs/>
              </w:rPr>
            </w:pPr>
            <w:r w:rsidRPr="00016819">
              <w:rPr>
                <w:iCs/>
              </w:rPr>
              <w:t>Ministru kabineta n</w:t>
            </w:r>
            <w:r w:rsidRPr="00016819" w:rsidR="003B5B6C">
              <w:rPr>
                <w:iCs/>
              </w:rPr>
              <w:t>oteikumu projekt</w:t>
            </w:r>
            <w:r w:rsidR="008F53F5">
              <w:rPr>
                <w:iCs/>
              </w:rPr>
              <w:t>s</w:t>
            </w:r>
            <w:r w:rsidR="008F53F5">
              <w:rPr>
                <w:rStyle w:val="FootnoteReference"/>
                <w:iCs/>
              </w:rPr>
              <w:footnoteReference w:id="1"/>
            </w:r>
            <w:r w:rsidR="00EC3A3F">
              <w:rPr>
                <w:iCs/>
              </w:rPr>
              <w:t xml:space="preserve"> (turpmāk – noteikumu projekts)</w:t>
            </w:r>
            <w:r w:rsidRPr="00016819">
              <w:rPr>
                <w:iCs/>
              </w:rPr>
              <w:t xml:space="preserve"> sagatavots ar </w:t>
            </w:r>
            <w:r w:rsidRPr="00016819" w:rsidR="003B5B6C">
              <w:rPr>
                <w:iCs/>
              </w:rPr>
              <w:t>mērķi</w:t>
            </w:r>
            <w:r w:rsidR="0020317A">
              <w:rPr>
                <w:iCs/>
              </w:rPr>
              <w:t xml:space="preserve"> precizēt</w:t>
            </w:r>
            <w:r w:rsidR="008F53F5">
              <w:rPr>
                <w:iCs/>
              </w:rPr>
              <w:t xml:space="preserve"> </w:t>
            </w:r>
            <w:r w:rsidR="00E710F5">
              <w:rPr>
                <w:iCs/>
              </w:rPr>
              <w:t>2.1.1. specifiskā atbalsta mērķa “Uzlabot elektroniskās sakaru infrastruktūras pieejamību lauku teritorijās” (turpmāk – SAM 2.1.1.)</w:t>
            </w:r>
            <w:r w:rsidR="0020317A">
              <w:rPr>
                <w:iCs/>
              </w:rPr>
              <w:t xml:space="preserve"> īstenošanas termiņu</w:t>
            </w:r>
            <w:r w:rsidR="004819A4">
              <w:rPr>
                <w:iCs/>
              </w:rPr>
              <w:t>,</w:t>
            </w:r>
            <w:r w:rsidR="008F53F5">
              <w:rPr>
                <w:iCs/>
              </w:rPr>
              <w:t xml:space="preserve"> </w:t>
            </w:r>
            <w:r w:rsidRPr="001C4CB0" w:rsidR="0020317A">
              <w:rPr>
                <w:iCs/>
              </w:rPr>
              <w:t xml:space="preserve">lai </w:t>
            </w:r>
            <w:r w:rsidRPr="001C4CB0" w:rsidR="00A85D8F">
              <w:rPr>
                <w:iCs/>
              </w:rPr>
              <w:t>mazinātu iespējamo risku iestāšanos</w:t>
            </w:r>
            <w:r w:rsidRPr="001C4CB0" w:rsidR="004819A4">
              <w:rPr>
                <w:iCs/>
              </w:rPr>
              <w:t xml:space="preserve"> uz SAM 2.1.1. plānoto darbību un apstiprinātā finansējuma izpildi</w:t>
            </w:r>
            <w:r w:rsidRPr="001C4CB0" w:rsidR="002F1FFD">
              <w:rPr>
                <w:iCs/>
              </w:rPr>
              <w:t xml:space="preserve">, kā arī </w:t>
            </w:r>
            <w:r w:rsidRPr="001C4CB0" w:rsidR="002F1FFD">
              <w:t>nosaka pienākumu atbalsta saņē</w:t>
            </w:r>
            <w:r w:rsidRPr="002F1FFD" w:rsidR="002F1FFD">
              <w:t>mējam atmaksāt atbalsta sniedzējam projekta ietvaros saņemto atbalstu kopā ar procentiem, ja atbalsta saņēmējs ir pārkāpis</w:t>
            </w:r>
            <w:r w:rsidR="002F1FFD">
              <w:rPr>
                <w:iCs/>
              </w:rPr>
              <w:t xml:space="preserve"> </w:t>
            </w:r>
            <w:bookmarkStart w:name="_Hlk32310165" w:id="2"/>
            <w:r w:rsidR="002F1FFD">
              <w:rPr>
                <w:iCs/>
              </w:rPr>
              <w:t>Valsts atbalsta programma</w:t>
            </w:r>
            <w:r w:rsidR="00C3767F">
              <w:rPr>
                <w:iCs/>
              </w:rPr>
              <w:t>s</w:t>
            </w:r>
            <w:r w:rsidR="002F1FFD">
              <w:rPr>
                <w:iCs/>
              </w:rPr>
              <w:t xml:space="preserve"> Nr.SA.33324</w:t>
            </w:r>
            <w:bookmarkEnd w:id="2"/>
            <w:r w:rsidR="00C3767F">
              <w:rPr>
                <w:rStyle w:val="FootnoteReference"/>
                <w:iCs/>
              </w:rPr>
              <w:footnoteReference w:id="2"/>
            </w:r>
            <w:r w:rsidR="002F1FFD">
              <w:rPr>
                <w:iCs/>
              </w:rPr>
              <w:t xml:space="preserve"> </w:t>
            </w:r>
            <w:r w:rsidR="00C3767F">
              <w:rPr>
                <w:iCs/>
              </w:rPr>
              <w:t>noteiktās prasības</w:t>
            </w:r>
            <w:r w:rsidRPr="002F1FFD" w:rsidR="00E710F5">
              <w:rPr>
                <w:iCs/>
              </w:rPr>
              <w:t>.</w:t>
            </w:r>
            <w:r w:rsidRPr="002F1FFD" w:rsidR="00D11FC9">
              <w:rPr>
                <w:bCs/>
                <w:shd w:val="clear" w:color="auto" w:fill="FFFFFF"/>
              </w:rPr>
              <w:t xml:space="preserve"> </w:t>
            </w:r>
          </w:p>
          <w:p w:rsidRPr="00996725" w:rsidR="007C7C5C" w:rsidP="007C7C5C" w:rsidRDefault="001B083B" w14:paraId="1F7021ED" w14:textId="2F9DA791">
            <w:pPr>
              <w:jc w:val="both"/>
              <w:rPr>
                <w:i/>
                <w:iCs/>
                <w:lang w:eastAsia="en-US"/>
              </w:rPr>
            </w:pPr>
            <w:r w:rsidRPr="001B083B">
              <w:rPr>
                <w:iCs/>
              </w:rPr>
              <w:t>Noteikumu projekts stājas spēkā Oficiālo publikāciju un tiesiskās informācijas likuma noteiktajā kārtībā.</w:t>
            </w:r>
          </w:p>
        </w:tc>
      </w:tr>
    </w:tbl>
    <w:p w:rsidR="005F0AFA" w:rsidP="005F0AFA" w:rsidRDefault="005F0AFA" w14:paraId="3F0325DA" w14:textId="77777777">
      <w:pPr>
        <w:pStyle w:val="Title"/>
        <w:spacing w:before="130" w:line="260" w:lineRule="exact"/>
        <w:ind w:firstLine="539"/>
        <w:jc w:val="both"/>
        <w:rPr>
          <w:sz w:val="24"/>
          <w:szCs w:val="24"/>
        </w:rPr>
      </w:pPr>
    </w:p>
    <w:tbl>
      <w:tblPr>
        <w:tblW w:w="558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29"/>
        <w:gridCol w:w="1832"/>
        <w:gridCol w:w="7232"/>
      </w:tblGrid>
      <w:tr w:rsidRPr="00996725" w:rsidR="005F0AFA" w:rsidTr="00AB1D4E" w14:paraId="23CDE10E" w14:textId="77777777">
        <w:tc>
          <w:tcPr>
            <w:tcW w:w="5000" w:type="pct"/>
            <w:gridSpan w:val="3"/>
            <w:shd w:val="clear" w:color="auto" w:fill="FFFFFF"/>
          </w:tcPr>
          <w:p w:rsidRPr="00996725" w:rsidR="005F0AFA" w:rsidP="009D710E" w:rsidRDefault="005F0AFA" w14:paraId="76CFFA9A" w14:textId="77777777">
            <w:pPr>
              <w:jc w:val="center"/>
              <w:rPr>
                <w:b/>
                <w:iCs/>
                <w:lang w:eastAsia="en-US"/>
              </w:rPr>
            </w:pPr>
            <w:r w:rsidRPr="00996725">
              <w:rPr>
                <w:b/>
                <w:bCs/>
              </w:rPr>
              <w:t>I. Tiesību akta projekta izstrādes nepieciešamība</w:t>
            </w:r>
          </w:p>
        </w:tc>
      </w:tr>
      <w:tr w:rsidRPr="00996725" w:rsidR="005F0AFA" w:rsidTr="00AB1D4E" w14:paraId="668E9A5C" w14:textId="77777777">
        <w:tc>
          <w:tcPr>
            <w:tcW w:w="226" w:type="pct"/>
            <w:shd w:val="clear" w:color="auto" w:fill="FFFFFF"/>
          </w:tcPr>
          <w:p w:rsidRPr="00996725" w:rsidR="005F0AFA" w:rsidP="009D710E" w:rsidRDefault="005F0AFA" w14:paraId="2C3F9A59" w14:textId="77777777">
            <w:pPr>
              <w:jc w:val="center"/>
              <w:rPr>
                <w:iCs/>
                <w:lang w:eastAsia="en-US"/>
              </w:rPr>
            </w:pPr>
            <w:r w:rsidRPr="00366023">
              <w:t>1.</w:t>
            </w:r>
          </w:p>
        </w:tc>
        <w:tc>
          <w:tcPr>
            <w:tcW w:w="965" w:type="pct"/>
            <w:shd w:val="clear" w:color="auto" w:fill="FFFFFF"/>
          </w:tcPr>
          <w:p w:rsidRPr="00996725" w:rsidR="005F0AFA" w:rsidP="009D710E" w:rsidRDefault="005F0AFA" w14:paraId="1F110E05" w14:textId="77777777">
            <w:pPr>
              <w:rPr>
                <w:iCs/>
                <w:lang w:eastAsia="en-US"/>
              </w:rPr>
            </w:pPr>
            <w:r w:rsidRPr="00366023">
              <w:t>Pamatojums</w:t>
            </w:r>
          </w:p>
        </w:tc>
        <w:tc>
          <w:tcPr>
            <w:tcW w:w="3808" w:type="pct"/>
            <w:shd w:val="clear" w:color="auto" w:fill="FFFFFF"/>
          </w:tcPr>
          <w:p w:rsidRPr="00016819" w:rsidR="002674F9" w:rsidP="009D710E" w:rsidRDefault="005F0AFA" w14:paraId="7BF42D32" w14:textId="4AADFC5D">
            <w:pPr>
              <w:jc w:val="both"/>
            </w:pPr>
            <w:r w:rsidRPr="00016819">
              <w:t>Eiropas Savienības struktūrfondu un Kohēzijas fonda 2014.</w:t>
            </w:r>
            <w:r w:rsidR="00981509">
              <w:t>-</w:t>
            </w:r>
            <w:r w:rsidRPr="00016819">
              <w:t>2020.gada plānošanas perioda vadības likuma 20.panta 13.punkts.</w:t>
            </w:r>
          </w:p>
          <w:p w:rsidRPr="007826A4" w:rsidR="009B4C4C" w:rsidP="009D710E" w:rsidRDefault="009B4C4C" w14:paraId="1748FFEB" w14:textId="297FFB13">
            <w:pPr>
              <w:jc w:val="both"/>
              <w:rPr>
                <w:lang w:eastAsia="en-US"/>
              </w:rPr>
            </w:pPr>
            <w:r>
              <w:rPr>
                <w:iCs/>
              </w:rPr>
              <w:t>Grozījumi noteikumu projekt</w:t>
            </w:r>
            <w:r w:rsidR="00AC5742">
              <w:rPr>
                <w:iCs/>
              </w:rPr>
              <w:t>ā</w:t>
            </w:r>
            <w:r>
              <w:rPr>
                <w:iCs/>
              </w:rPr>
              <w:t xml:space="preserve"> izstrādāti pēc </w:t>
            </w:r>
            <w:r w:rsidR="00AC5742">
              <w:rPr>
                <w:iCs/>
              </w:rPr>
              <w:t xml:space="preserve">SAM 2.1.1. projekta </w:t>
            </w:r>
            <w:r w:rsidRPr="00C22A6B" w:rsidR="00AC5742">
              <w:t>“Elektroniskās sakaru infrastruktūras pieejamības uzlabošana lauku teritorijās” (turpmāk – SAM 2.1.1. projekts)</w:t>
            </w:r>
            <w:r w:rsidR="00AC5742">
              <w:t xml:space="preserve"> īstenotāja </w:t>
            </w:r>
            <w:r>
              <w:rPr>
                <w:iCs/>
              </w:rPr>
              <w:t xml:space="preserve">Valsts akciju sabiedrības “Latvijas Valsts radio un televīzijas centrs” </w:t>
            </w:r>
            <w:r w:rsidRPr="00C22A6B">
              <w:t>(turpmāk – LVRTC)</w:t>
            </w:r>
            <w:r>
              <w:t xml:space="preserve"> </w:t>
            </w:r>
            <w:r w:rsidR="00AC5742">
              <w:t xml:space="preserve">un </w:t>
            </w:r>
            <w:r>
              <w:t>Finanšu ministrijas iniciatīvas.</w:t>
            </w:r>
          </w:p>
        </w:tc>
      </w:tr>
      <w:tr w:rsidRPr="00996725" w:rsidR="005F0AFA" w:rsidTr="00695FAA" w14:paraId="13E1CD1E" w14:textId="77777777">
        <w:trPr>
          <w:trHeight w:val="955"/>
        </w:trPr>
        <w:tc>
          <w:tcPr>
            <w:tcW w:w="226" w:type="pct"/>
            <w:shd w:val="clear" w:color="auto" w:fill="FFFFFF"/>
          </w:tcPr>
          <w:p w:rsidRPr="00996725" w:rsidR="005F0AFA" w:rsidP="009D710E" w:rsidRDefault="005F0AFA" w14:paraId="07C499E9" w14:textId="77777777">
            <w:pPr>
              <w:jc w:val="center"/>
              <w:rPr>
                <w:iCs/>
                <w:lang w:eastAsia="en-US"/>
              </w:rPr>
            </w:pPr>
            <w:r w:rsidRPr="00366023">
              <w:t>2.</w:t>
            </w:r>
          </w:p>
        </w:tc>
        <w:tc>
          <w:tcPr>
            <w:tcW w:w="965" w:type="pct"/>
            <w:shd w:val="clear" w:color="auto" w:fill="FFFFFF"/>
          </w:tcPr>
          <w:p w:rsidRPr="00996725" w:rsidR="005F0AFA" w:rsidP="009D710E" w:rsidRDefault="005F0AFA" w14:paraId="1C5134FF" w14:textId="77777777">
            <w:pPr>
              <w:rPr>
                <w:iCs/>
                <w:lang w:eastAsia="en-US"/>
              </w:rPr>
            </w:pPr>
            <w:r w:rsidRPr="00366023">
              <w:t>Pašreizējā situācija un problēmas, kuru risināšanai tiesību akta projekts izstrādāts, tiesiskā regulējuma mērķis un būtība</w:t>
            </w:r>
          </w:p>
        </w:tc>
        <w:tc>
          <w:tcPr>
            <w:tcW w:w="3808" w:type="pct"/>
            <w:shd w:val="clear" w:color="auto" w:fill="FFFFFF"/>
          </w:tcPr>
          <w:p w:rsidRPr="00C22A6B" w:rsidR="00835631" w:rsidP="0082019A" w:rsidRDefault="0082019A" w14:paraId="6167DF7B" w14:textId="22648DDE">
            <w:pPr>
              <w:jc w:val="both"/>
              <w:rPr>
                <w:iCs/>
              </w:rPr>
            </w:pPr>
            <w:r w:rsidRPr="00C22A6B">
              <w:rPr>
                <w:iCs/>
              </w:rPr>
              <w:t>Ministru kabineta 2015. gada 24. novembra noteikum</w:t>
            </w:r>
            <w:r w:rsidRPr="00C22A6B" w:rsidR="00481897">
              <w:rPr>
                <w:iCs/>
              </w:rPr>
              <w:t>os</w:t>
            </w:r>
            <w:r w:rsidRPr="009233D2">
              <w:rPr>
                <w:iCs/>
              </w:rPr>
              <w:t xml:space="preserve"> Nr. 664 </w:t>
            </w:r>
            <w:bookmarkStart w:name="_Hlk32325085" w:id="3"/>
            <w:r w:rsidRPr="009233D2">
              <w:rPr>
                <w:iCs/>
              </w:rPr>
              <w:t xml:space="preserve">“Darbības programmas “Izaugsme </w:t>
            </w:r>
            <w:r w:rsidRPr="00C22A6B">
              <w:rPr>
                <w:iCs/>
              </w:rPr>
              <w:t xml:space="preserve">un nodarbinātība” </w:t>
            </w:r>
            <w:bookmarkStart w:name="_Hlk26966363" w:id="4"/>
            <w:r w:rsidRPr="00C22A6B">
              <w:rPr>
                <w:iCs/>
              </w:rPr>
              <w:t>2.1.1. specifiskā atbalsta mērķa “Uzlabot elektroniskās sakaru infrastruktūras pieejamību lauku teritorijās”</w:t>
            </w:r>
            <w:bookmarkEnd w:id="4"/>
            <w:r w:rsidRPr="00C22A6B">
              <w:rPr>
                <w:iCs/>
              </w:rPr>
              <w:t xml:space="preserve">  pirmās projektu iesniegumu atlases kārtas īstenošanas noteikumi”</w:t>
            </w:r>
            <w:bookmarkEnd w:id="3"/>
            <w:r w:rsidRPr="00C22A6B" w:rsidR="000946FD">
              <w:rPr>
                <w:iCs/>
              </w:rPr>
              <w:t xml:space="preserve"> (turpmāk </w:t>
            </w:r>
            <w:r w:rsidRPr="00C22A6B" w:rsidR="006C5153">
              <w:rPr>
                <w:iCs/>
              </w:rPr>
              <w:t>–</w:t>
            </w:r>
            <w:r w:rsidRPr="00C22A6B" w:rsidR="000946FD">
              <w:rPr>
                <w:iCs/>
              </w:rPr>
              <w:t xml:space="preserve"> </w:t>
            </w:r>
            <w:r w:rsidRPr="00C22A6B" w:rsidR="006C5153">
              <w:rPr>
                <w:iCs/>
              </w:rPr>
              <w:t>Ministru kabineta noteikumi Nr. 664</w:t>
            </w:r>
            <w:r w:rsidRPr="00C22A6B" w:rsidR="00770BDE">
              <w:rPr>
                <w:iCs/>
              </w:rPr>
              <w:t>)</w:t>
            </w:r>
            <w:r w:rsidRPr="00C22A6B">
              <w:rPr>
                <w:iCs/>
              </w:rPr>
              <w:t xml:space="preserve"> </w:t>
            </w:r>
            <w:r w:rsidRPr="00C22A6B" w:rsidR="009446F9">
              <w:rPr>
                <w:iCs/>
              </w:rPr>
              <w:t xml:space="preserve">SAM 2.1.1. īstenošanas maksimālais termiņš </w:t>
            </w:r>
            <w:r w:rsidRPr="00C22A6B" w:rsidR="003A47AD">
              <w:rPr>
                <w:iCs/>
              </w:rPr>
              <w:t>ir</w:t>
            </w:r>
            <w:r w:rsidRPr="00C22A6B" w:rsidR="004C3100">
              <w:rPr>
                <w:iCs/>
              </w:rPr>
              <w:t xml:space="preserve"> noteikts </w:t>
            </w:r>
            <w:r w:rsidRPr="00C22A6B" w:rsidR="009446F9">
              <w:rPr>
                <w:iCs/>
              </w:rPr>
              <w:t>līdz 2020.gada 31.decembrim</w:t>
            </w:r>
            <w:r w:rsidRPr="00C22A6B" w:rsidR="00835631">
              <w:rPr>
                <w:iCs/>
              </w:rPr>
              <w:t>.</w:t>
            </w:r>
            <w:r w:rsidR="00844AD5">
              <w:rPr>
                <w:iCs/>
              </w:rPr>
              <w:t xml:space="preserve"> Ministru kabineta noteikumos Nr.664 maksimālais īstenošanas termiņš tika noteikts pamatojoties uz Valsts atbalsta programmas Nr.SA.33324</w:t>
            </w:r>
            <w:r w:rsidR="00844AD5">
              <w:rPr>
                <w:iCs/>
                <w:vertAlign w:val="superscript"/>
              </w:rPr>
              <w:t xml:space="preserve">2 </w:t>
            </w:r>
            <w:r w:rsidR="00844AD5">
              <w:rPr>
                <w:iCs/>
              </w:rPr>
              <w:t>15.punktu</w:t>
            </w:r>
            <w:r w:rsidR="00EF4D14">
              <w:rPr>
                <w:iCs/>
              </w:rPr>
              <w:t xml:space="preserve">, kurā noteikts “….Ja shēmu apstiprinās Eiropas Komisija, tās darbība sāksies 2012.gada </w:t>
            </w:r>
            <w:r w:rsidR="00D964AD">
              <w:rPr>
                <w:iCs/>
              </w:rPr>
              <w:t>1.janvārī un turpināsies līdz 2020.gada 31.decembrim.</w:t>
            </w:r>
          </w:p>
          <w:p w:rsidR="00AB4E47" w:rsidP="0082019A" w:rsidRDefault="00D964AD" w14:paraId="7D515EC4" w14:textId="684DE434">
            <w:pPr>
              <w:jc w:val="both"/>
            </w:pPr>
            <w:r>
              <w:rPr>
                <w:iCs/>
              </w:rPr>
              <w:t xml:space="preserve">Atbilstoši Ministru kabineta noteikumiem Nr.664, </w:t>
            </w:r>
            <w:r w:rsidRPr="00C22A6B" w:rsidR="00835631">
              <w:rPr>
                <w:iCs/>
              </w:rPr>
              <w:t>SAM 2.1.1. ietvaros</w:t>
            </w:r>
            <w:r>
              <w:rPr>
                <w:iCs/>
              </w:rPr>
              <w:t xml:space="preserve"> LVRTC īsteno </w:t>
            </w:r>
            <w:r w:rsidRPr="00C22A6B" w:rsidR="00542B96">
              <w:t>SAM 2.1.1.</w:t>
            </w:r>
            <w:r w:rsidRPr="00C22A6B" w:rsidR="00087E1E">
              <w:t xml:space="preserve"> </w:t>
            </w:r>
            <w:r w:rsidRPr="00C22A6B" w:rsidR="00835631">
              <w:t>projek</w:t>
            </w:r>
            <w:r w:rsidR="00EF1536">
              <w:t>t</w:t>
            </w:r>
            <w:r w:rsidR="00AC5742">
              <w:t>u</w:t>
            </w:r>
            <w:r w:rsidRPr="00C22A6B" w:rsidR="00AB4E47">
              <w:t>, kura īstenošanas termiņš noteikts līdz 2020.gada 31.decembrim.</w:t>
            </w:r>
          </w:p>
          <w:p w:rsidRPr="00C22A6B" w:rsidR="00700177" w:rsidP="0082019A" w:rsidRDefault="00700177" w14:paraId="62E100D1" w14:textId="1B79E47C">
            <w:pPr>
              <w:jc w:val="both"/>
            </w:pPr>
            <w:r>
              <w:t xml:space="preserve">LVRTC </w:t>
            </w:r>
            <w:r w:rsidR="00977011">
              <w:t xml:space="preserve">2019.gada </w:t>
            </w:r>
            <w:r w:rsidR="005267F8">
              <w:t xml:space="preserve">10.jūlijā informēja Satiksmes ministriju un Centrālo finanšu un līgumu aģentūru kā Eiropas Savienības struktūrfondu un Kohēzijas fonda 2014.-2020.gada plānošanas perioda sadarbības iestādi </w:t>
            </w:r>
            <w:r w:rsidR="005267F8">
              <w:lastRenderedPageBreak/>
              <w:t>(turpmāk – sadarbības iestāde)</w:t>
            </w:r>
            <w:r w:rsidR="00CA3C70">
              <w:t xml:space="preserve">, kura nodrošina projektu īstenošanas uzraudzību un kontroli, kā arī projektu mērķu un iznākuma rādītāju sasniegšanas uzraudzību, </w:t>
            </w:r>
            <w:r w:rsidR="00F83D64">
              <w:t xml:space="preserve">par identificētajiem riskiem SAM 2.1.1. projekta plānoto darbību izpildē, kas var  kavēt SAM 2.1.1. projekta pabeigšanu līdz 2020.gada 31.decembrim </w:t>
            </w:r>
            <w:r w:rsidR="008330DE">
              <w:t xml:space="preserve">un 2019.gada </w:t>
            </w:r>
            <w:r w:rsidR="00977011">
              <w:t>12.novembrī ir iesniegusi sadarbības iestād</w:t>
            </w:r>
            <w:r w:rsidR="00F83D64">
              <w:t>ē</w:t>
            </w:r>
            <w:r w:rsidR="00977011">
              <w:t xml:space="preserve"> SAM 2.1.1. projekta grozījuma ierosinājumu, kas paredz pagarināt SAM 2.1.1. projekta īstenošanas termiņu līdz 2021.gada 31.decembrim.</w:t>
            </w:r>
          </w:p>
          <w:p w:rsidRPr="00C22A6B" w:rsidR="004819A4" w:rsidP="004819A4" w:rsidRDefault="00977011" w14:paraId="37ADAEC3" w14:textId="72D3D241">
            <w:pPr>
              <w:jc w:val="both"/>
            </w:pPr>
            <w:r>
              <w:t xml:space="preserve">Atbilstoši LVRTC grozījumu ierosinājumā sniegtajai informācijai, </w:t>
            </w:r>
            <w:r w:rsidR="00F83D64">
              <w:t>a</w:t>
            </w:r>
            <w:r w:rsidRPr="00C22A6B" w:rsidR="004819A4">
              <w:t>pstākļi kas radījuši risku sekmīgai SAM 2.1.1. projekta pabeigšanai līdz 2020.gada 31.decembrim ir trešo pušu ietekme uz SAM 2.1.1. projektā noslēgto būvdarbu līgumu izpildi, kā rezultātā radās nepieciešamība pagarināt noslēgto projektēšanas un būvniecības līgumu izpildes termiņus un sākotnēji izsludināto iepirkumu pārtraukšana un iepirkumu atkārtota izsludināšana, kas saistīta ar vispārpieņemtās prakses izmaiņām attiecībā uz kvalifikācijas prasību noteikšanu iepirkuma dokumentācijā.</w:t>
            </w:r>
          </w:p>
          <w:p w:rsidRPr="00C22A6B" w:rsidR="004819A4" w:rsidP="004819A4" w:rsidRDefault="004819A4" w14:paraId="2D15C015" w14:textId="5CB863AF">
            <w:pPr>
              <w:jc w:val="both"/>
            </w:pPr>
            <w:r w:rsidRPr="00C22A6B">
              <w:t xml:space="preserve">Izvērtējot LVRTC sniegto argumentāciju, </w:t>
            </w:r>
            <w:r w:rsidR="00C911D5">
              <w:t>sadarbības iestāde</w:t>
            </w:r>
            <w:r w:rsidRPr="00C22A6B">
              <w:t xml:space="preserve"> 2019.gada 5.decembrī ir informējusi</w:t>
            </w:r>
            <w:r w:rsidRPr="00C22A6B">
              <w:rPr>
                <w:rStyle w:val="FootnoteReference"/>
              </w:rPr>
              <w:footnoteReference w:id="3"/>
            </w:r>
            <w:r w:rsidRPr="00C22A6B">
              <w:t xml:space="preserve"> Satiksmes ministriju, ka atbalsta SAM 2</w:t>
            </w:r>
            <w:r w:rsidRPr="009233D2">
              <w:t xml:space="preserve">.1.1. </w:t>
            </w:r>
            <w:r w:rsidRPr="00C22A6B">
              <w:t>projekta termiņa pagarinājumu ar attiecīgiem grozījumiem Ministru kabineta noteikumos Nr. 664.</w:t>
            </w:r>
          </w:p>
          <w:p w:rsidRPr="00C22A6B" w:rsidR="00046943" w:rsidP="0082019A" w:rsidRDefault="008330DE" w14:paraId="6BBD8CAF" w14:textId="0E9DD5F9">
            <w:pPr>
              <w:jc w:val="both"/>
              <w:rPr>
                <w:iCs/>
              </w:rPr>
            </w:pPr>
            <w:r>
              <w:rPr>
                <w:iCs/>
              </w:rPr>
              <w:t>Vienlaikus</w:t>
            </w:r>
            <w:r w:rsidR="008247A2">
              <w:rPr>
                <w:iCs/>
              </w:rPr>
              <w:t xml:space="preserve"> </w:t>
            </w:r>
            <w:r w:rsidRPr="00C22A6B" w:rsidR="009C59C4">
              <w:rPr>
                <w:iCs/>
              </w:rPr>
              <w:t xml:space="preserve">viennozīmīgai </w:t>
            </w:r>
            <w:r w:rsidR="00C3767F">
              <w:rPr>
                <w:iCs/>
              </w:rPr>
              <w:t>Valsts atbalsta programm</w:t>
            </w:r>
            <w:r w:rsidR="00496163">
              <w:rPr>
                <w:iCs/>
              </w:rPr>
              <w:t>ā</w:t>
            </w:r>
            <w:r w:rsidR="00C3767F">
              <w:rPr>
                <w:iCs/>
              </w:rPr>
              <w:t xml:space="preserve"> Nr.SA.33324</w:t>
            </w:r>
            <w:r w:rsidR="00C3767F">
              <w:rPr>
                <w:iCs/>
                <w:vertAlign w:val="superscript"/>
              </w:rPr>
              <w:t>2</w:t>
            </w:r>
            <w:r w:rsidRPr="00C22A6B" w:rsidR="00046943">
              <w:rPr>
                <w:iCs/>
              </w:rPr>
              <w:t xml:space="preserve"> </w:t>
            </w:r>
            <w:r w:rsidR="00496163">
              <w:rPr>
                <w:iCs/>
              </w:rPr>
              <w:t xml:space="preserve">noteiktā </w:t>
            </w:r>
            <w:r w:rsidRPr="00C22A6B" w:rsidR="00046943">
              <w:rPr>
                <w:iCs/>
              </w:rPr>
              <w:t xml:space="preserve">darbības beigu termiņa interpretācijai tika lūgts Eiropas Komisijas viedoklis. </w:t>
            </w:r>
          </w:p>
          <w:p w:rsidR="00296598" w:rsidP="0082019A" w:rsidRDefault="00296598" w14:paraId="1B8D8393" w14:textId="6C420EF4">
            <w:pPr>
              <w:jc w:val="both"/>
              <w:rPr>
                <w:iCs/>
              </w:rPr>
            </w:pPr>
            <w:r w:rsidRPr="00C22A6B">
              <w:rPr>
                <w:iCs/>
              </w:rPr>
              <w:t>Pamatojoties uz Eiropas Komisijas Konkurences ģenerāldirektorāta 2019.gada 14.oktobr</w:t>
            </w:r>
            <w:r w:rsidRPr="00C22A6B" w:rsidR="009C59C4">
              <w:rPr>
                <w:iCs/>
              </w:rPr>
              <w:t>ī sniegto</w:t>
            </w:r>
            <w:r w:rsidRPr="00C22A6B">
              <w:rPr>
                <w:iCs/>
              </w:rPr>
              <w:t xml:space="preserve"> skaidrojumu</w:t>
            </w:r>
            <w:r w:rsidRPr="00C22A6B" w:rsidR="00C16142">
              <w:rPr>
                <w:rStyle w:val="FootnoteReference"/>
                <w:iCs/>
              </w:rPr>
              <w:footnoteReference w:id="4"/>
            </w:r>
            <w:r w:rsidRPr="00C22A6B">
              <w:rPr>
                <w:iCs/>
              </w:rPr>
              <w:t xml:space="preserve">, </w:t>
            </w:r>
            <w:r w:rsidRPr="00C22A6B" w:rsidR="00BE4FD1">
              <w:rPr>
                <w:iCs/>
              </w:rPr>
              <w:t xml:space="preserve">atbilstoši vispārējiem valsts atbalsta tiesību aktu principiem, atbalsta piešķiršanas datums ir </w:t>
            </w:r>
            <w:r w:rsidRPr="00C22A6B" w:rsidR="003E5B8B">
              <w:rPr>
                <w:iCs/>
              </w:rPr>
              <w:t>termiņš</w:t>
            </w:r>
            <w:r w:rsidRPr="00C22A6B" w:rsidR="00BE4FD1">
              <w:rPr>
                <w:iCs/>
              </w:rPr>
              <w:t xml:space="preserve">, kurā atbalsta saņēmējam tiek piešķirtas likumīgas tiesības saņemt valsts atbalstu, savukārt atbalstāmais pasākums var ilgt vairākus gadus pēc atbalsta piešķiršanas. Tādējādi </w:t>
            </w:r>
            <w:r w:rsidR="00C3767F">
              <w:rPr>
                <w:iCs/>
              </w:rPr>
              <w:t>Valsts atbalsta programm</w:t>
            </w:r>
            <w:r w:rsidR="00496163">
              <w:rPr>
                <w:iCs/>
              </w:rPr>
              <w:t>ā</w:t>
            </w:r>
            <w:r w:rsidR="00C3767F">
              <w:rPr>
                <w:iCs/>
              </w:rPr>
              <w:t xml:space="preserve"> Nr.SA.33324</w:t>
            </w:r>
            <w:r w:rsidR="00C3767F">
              <w:rPr>
                <w:iCs/>
                <w:vertAlign w:val="superscript"/>
              </w:rPr>
              <w:t>2</w:t>
            </w:r>
            <w:r w:rsidRPr="00C22A6B">
              <w:rPr>
                <w:iCs/>
              </w:rPr>
              <w:t xml:space="preserve"> noteiktais darbības termiņš </w:t>
            </w:r>
            <w:bookmarkStart w:name="_Hlk32320572" w:id="6"/>
            <w:r w:rsidRPr="00C22A6B">
              <w:rPr>
                <w:iCs/>
              </w:rPr>
              <w:t xml:space="preserve">2020.gada 31.decembris ir </w:t>
            </w:r>
            <w:r w:rsidRPr="00C22A6B" w:rsidR="003E5B8B">
              <w:rPr>
                <w:iCs/>
              </w:rPr>
              <w:t>datums</w:t>
            </w:r>
            <w:r w:rsidRPr="00C22A6B">
              <w:rPr>
                <w:iCs/>
              </w:rPr>
              <w:t>, līdz kuram ir tiesības apstiprināt un piešķirt valsts atbalst</w:t>
            </w:r>
            <w:r w:rsidRPr="00C22A6B" w:rsidR="008077DC">
              <w:rPr>
                <w:iCs/>
              </w:rPr>
              <w:t>u</w:t>
            </w:r>
            <w:bookmarkEnd w:id="6"/>
            <w:r w:rsidRPr="00C22A6B" w:rsidR="008077DC">
              <w:rPr>
                <w:iCs/>
              </w:rPr>
              <w:t xml:space="preserve"> un tas nav uzskatāms par termiņu</w:t>
            </w:r>
            <w:r w:rsidRPr="00C22A6B" w:rsidR="000C4494">
              <w:rPr>
                <w:iCs/>
              </w:rPr>
              <w:t>,</w:t>
            </w:r>
            <w:r w:rsidRPr="00C22A6B" w:rsidR="008077DC">
              <w:rPr>
                <w:iCs/>
              </w:rPr>
              <w:t xml:space="preserve"> līdz kuram projektā</w:t>
            </w:r>
            <w:r w:rsidRPr="00C22A6B" w:rsidR="00BE4FD1">
              <w:rPr>
                <w:iCs/>
              </w:rPr>
              <w:t xml:space="preserve"> īstenojamas atbalstāmās darbības un tiek veikti maksājumi.</w:t>
            </w:r>
          </w:p>
          <w:p w:rsidR="00C3767F" w:rsidP="00C3767F" w:rsidRDefault="00C3767F" w14:paraId="3F5A1BD9" w14:textId="31327A2D">
            <w:pPr>
              <w:jc w:val="both"/>
            </w:pPr>
            <w:r w:rsidRPr="00C22A6B">
              <w:t>Ņemot vērā</w:t>
            </w:r>
            <w:r w:rsidR="00C911D5">
              <w:t>, ka Ministru kabineta noteikumos Nr.664 noteikt</w:t>
            </w:r>
            <w:r w:rsidR="002E5291">
              <w:t xml:space="preserve">s </w:t>
            </w:r>
            <w:r w:rsidR="00C911D5">
              <w:t>īstenošanas termiņ</w:t>
            </w:r>
            <w:r w:rsidR="002E5291">
              <w:t>š</w:t>
            </w:r>
            <w:r w:rsidR="00C911D5">
              <w:t xml:space="preserve"> </w:t>
            </w:r>
            <w:r w:rsidRPr="00C22A6B" w:rsidR="002E5291">
              <w:rPr>
                <w:iCs/>
              </w:rPr>
              <w:t>līdz 2020.gada 31.decembrim</w:t>
            </w:r>
            <w:r w:rsidR="002E5291">
              <w:rPr>
                <w:iCs/>
              </w:rPr>
              <w:t xml:space="preserve"> un p</w:t>
            </w:r>
            <w:r w:rsidRPr="00C22A6B" w:rsidR="002E5291">
              <w:rPr>
                <w:iCs/>
              </w:rPr>
              <w:t>amatojoties uz Eiropas Komisijas Konkurences ģenerāldirektorāta 2019.gada 14.oktobrī sniegto skaidrojumu</w:t>
            </w:r>
            <w:r w:rsidRPr="008330DE" w:rsidR="008330DE">
              <w:rPr>
                <w:iCs/>
                <w:vertAlign w:val="superscript"/>
              </w:rPr>
              <w:t>4</w:t>
            </w:r>
            <w:r w:rsidR="008330DE">
              <w:rPr>
                <w:iCs/>
              </w:rPr>
              <w:t xml:space="preserve"> </w:t>
            </w:r>
            <w:r w:rsidR="002E5291">
              <w:t>un sadarbības iestādes 2019.gada 5.decembrī sniegto atzinumu</w:t>
            </w:r>
            <w:r w:rsidRPr="008330DE" w:rsidR="008330DE">
              <w:rPr>
                <w:vertAlign w:val="superscript"/>
              </w:rPr>
              <w:t>3</w:t>
            </w:r>
            <w:r w:rsidR="002E5291">
              <w:t xml:space="preserve">, </w:t>
            </w:r>
            <w:r w:rsidRPr="00C22A6B">
              <w:t xml:space="preserve">lai mazinātu iespējamo risku iestāšanos uz SAM 2.1.1. projekta plānoto darbību un apstiprinātā finansējuma izpildi, ir nepieciešams pagarināt SAM 2.1.1. projekta īstenošanas termiņu. </w:t>
            </w:r>
          </w:p>
          <w:p w:rsidRPr="00C22A6B" w:rsidR="006C5153" w:rsidP="00C93A50" w:rsidRDefault="006C5153" w14:paraId="43F0CADC" w14:textId="2D2DDEEA">
            <w:pPr>
              <w:jc w:val="both"/>
              <w:rPr>
                <w:bCs/>
                <w:shd w:val="clear" w:color="auto" w:fill="FFFFFF"/>
              </w:rPr>
            </w:pPr>
            <w:r w:rsidRPr="00C22A6B">
              <w:rPr>
                <w:bCs/>
                <w:shd w:val="clear" w:color="auto" w:fill="FFFFFF"/>
              </w:rPr>
              <w:t>Ievērojot minēto, noteikumu projekts paredz noteikt, ka SA</w:t>
            </w:r>
            <w:r w:rsidRPr="00C22A6B" w:rsidR="00542B96">
              <w:rPr>
                <w:bCs/>
                <w:shd w:val="clear" w:color="auto" w:fill="FFFFFF"/>
              </w:rPr>
              <w:t>M</w:t>
            </w:r>
            <w:r w:rsidRPr="00C22A6B">
              <w:rPr>
                <w:bCs/>
                <w:shd w:val="clear" w:color="auto" w:fill="FFFFFF"/>
              </w:rPr>
              <w:t xml:space="preserve"> 2.1.1. ietvaros projektu īsteno saskaņā ar vienošanos par projekta īstenošanu, bet ne ilgāk kā līdz 2023.gada 31.decembrim.</w:t>
            </w:r>
          </w:p>
          <w:p w:rsidRPr="00C22A6B" w:rsidR="005F0AFA" w:rsidP="000D651A" w:rsidRDefault="006C5153" w14:paraId="098825E6" w14:textId="2D6646A9">
            <w:pPr>
              <w:pStyle w:val="FootnoteText"/>
              <w:jc w:val="both"/>
              <w:rPr>
                <w:rFonts w:ascii="Times New Roman" w:hAnsi="Times New Roman" w:cs="Times New Roman"/>
                <w:sz w:val="24"/>
                <w:szCs w:val="24"/>
              </w:rPr>
            </w:pPr>
            <w:r w:rsidRPr="00C22A6B">
              <w:rPr>
                <w:rFonts w:ascii="Times New Roman" w:hAnsi="Times New Roman" w:cs="Times New Roman"/>
                <w:bCs/>
                <w:sz w:val="24"/>
                <w:szCs w:val="24"/>
                <w:shd w:val="clear" w:color="auto" w:fill="FFFFFF"/>
              </w:rPr>
              <w:lastRenderedPageBreak/>
              <w:t xml:space="preserve">SAM 2.1.1. maksimālais īstenošanas termiņš tiek noteikts, </w:t>
            </w:r>
            <w:r w:rsidRPr="00C22A6B" w:rsidR="00BE4FD1">
              <w:rPr>
                <w:rFonts w:ascii="Times New Roman" w:hAnsi="Times New Roman" w:cs="Times New Roman"/>
                <w:iCs/>
                <w:sz w:val="24"/>
                <w:szCs w:val="24"/>
              </w:rPr>
              <w:t xml:space="preserve"> </w:t>
            </w:r>
            <w:r w:rsidRPr="00C22A6B" w:rsidR="000D651A">
              <w:rPr>
                <w:rFonts w:ascii="Times New Roman" w:hAnsi="Times New Roman" w:cs="Times New Roman"/>
                <w:iCs/>
                <w:sz w:val="24"/>
                <w:szCs w:val="24"/>
              </w:rPr>
              <w:t xml:space="preserve">ņemot vērā </w:t>
            </w:r>
            <w:r w:rsidRPr="00C22A6B" w:rsidR="000D651A">
              <w:rPr>
                <w:rFonts w:ascii="Times New Roman" w:hAnsi="Times New Roman" w:cs="Times New Roman"/>
                <w:sz w:val="24"/>
                <w:szCs w:val="24"/>
              </w:rPr>
              <w:t>Eiropas Parlamenta un Padomes 2013. gada 17.decembra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C22A6B" w:rsidR="00181621">
              <w:rPr>
                <w:rFonts w:ascii="Times New Roman" w:hAnsi="Times New Roman" w:cs="Times New Roman"/>
                <w:sz w:val="24"/>
                <w:szCs w:val="24"/>
              </w:rPr>
              <w:t>,</w:t>
            </w:r>
            <w:r w:rsidRPr="00C22A6B" w:rsidR="000D651A">
              <w:rPr>
                <w:rFonts w:ascii="Times New Roman" w:hAnsi="Times New Roman" w:cs="Times New Roman"/>
                <w:sz w:val="24"/>
                <w:szCs w:val="24"/>
              </w:rPr>
              <w:t xml:space="preserve"> </w:t>
            </w:r>
            <w:r w:rsidRPr="00C22A6B" w:rsidR="009D4132">
              <w:rPr>
                <w:rFonts w:ascii="Times New Roman" w:hAnsi="Times New Roman" w:cs="Times New Roman"/>
                <w:sz w:val="24"/>
                <w:szCs w:val="24"/>
              </w:rPr>
              <w:t>65.panta 2.punkta nosacījum</w:t>
            </w:r>
            <w:r w:rsidRPr="00C22A6B" w:rsidR="000D651A">
              <w:rPr>
                <w:rFonts w:ascii="Times New Roman" w:hAnsi="Times New Roman" w:cs="Times New Roman"/>
                <w:sz w:val="24"/>
                <w:szCs w:val="24"/>
              </w:rPr>
              <w:t>us</w:t>
            </w:r>
            <w:r w:rsidRPr="00C22A6B" w:rsidR="009D4132">
              <w:rPr>
                <w:rFonts w:ascii="Times New Roman" w:hAnsi="Times New Roman" w:cs="Times New Roman"/>
                <w:sz w:val="24"/>
                <w:szCs w:val="24"/>
              </w:rPr>
              <w:t>, kas no</w:t>
            </w:r>
            <w:r w:rsidRPr="00C22A6B" w:rsidR="000C4494">
              <w:rPr>
                <w:rFonts w:ascii="Times New Roman" w:hAnsi="Times New Roman" w:cs="Times New Roman"/>
                <w:sz w:val="24"/>
                <w:szCs w:val="24"/>
              </w:rPr>
              <w:t>teic</w:t>
            </w:r>
            <w:r w:rsidRPr="00C22A6B" w:rsidR="009D4132">
              <w:rPr>
                <w:rFonts w:ascii="Times New Roman" w:hAnsi="Times New Roman" w:cs="Times New Roman"/>
                <w:sz w:val="24"/>
                <w:szCs w:val="24"/>
              </w:rPr>
              <w:t>, ka plānotā projekta izdevumus var attiecināt no E</w:t>
            </w:r>
            <w:r w:rsidRPr="00C22A6B" w:rsidR="000D651A">
              <w:rPr>
                <w:rFonts w:ascii="Times New Roman" w:hAnsi="Times New Roman" w:cs="Times New Roman"/>
                <w:sz w:val="24"/>
                <w:szCs w:val="24"/>
              </w:rPr>
              <w:t>iropas Savienības</w:t>
            </w:r>
            <w:r w:rsidRPr="00C22A6B" w:rsidR="009D4132">
              <w:rPr>
                <w:rFonts w:ascii="Times New Roman" w:hAnsi="Times New Roman" w:cs="Times New Roman"/>
                <w:sz w:val="24"/>
                <w:szCs w:val="24"/>
              </w:rPr>
              <w:t xml:space="preserve"> fondu līdzekļiem, ja tie radušies finansējuma saņēmējam un samaksāti līdz 2023.gada 31.decembrim</w:t>
            </w:r>
            <w:r w:rsidR="003538EA">
              <w:rPr>
                <w:rFonts w:ascii="Times New Roman" w:hAnsi="Times New Roman" w:cs="Times New Roman"/>
                <w:sz w:val="24"/>
                <w:szCs w:val="24"/>
              </w:rPr>
              <w:t>.</w:t>
            </w:r>
          </w:p>
          <w:p w:rsidRPr="00126087" w:rsidR="00126087" w:rsidP="00126087" w:rsidRDefault="00126087" w14:paraId="669514A1" w14:textId="1009F5CB">
            <w:pPr>
              <w:jc w:val="both"/>
              <w:rPr>
                <w:rFonts w:eastAsia="Calibri"/>
                <w:lang w:eastAsia="en-US"/>
              </w:rPr>
            </w:pPr>
            <w:r w:rsidRPr="00126087">
              <w:rPr>
                <w:rFonts w:eastAsia="Calibri"/>
                <w:lang w:eastAsia="en-US"/>
              </w:rPr>
              <w:t>Ministru kabinetam</w:t>
            </w:r>
            <w:r w:rsidR="00ED2842">
              <w:rPr>
                <w:rFonts w:eastAsia="Calibri"/>
                <w:lang w:eastAsia="en-US"/>
              </w:rPr>
              <w:t>,</w:t>
            </w:r>
            <w:r w:rsidRPr="00126087">
              <w:rPr>
                <w:rFonts w:eastAsia="Calibri"/>
                <w:lang w:eastAsia="en-US"/>
              </w:rPr>
              <w:t xml:space="preserve"> pieņemot lēmumu par noteikumu projekta SAM 2.1.1. īstenošanas termiņa pagarināšanu, sadarbības iestāde veiks attiecīgus grozījumus vienošanās par SAM 2.1.1. projekta īstenošanu. Attiecīgi tiek ievērots Ministru kabineta 2014.gada 16.decembra noteikumu Nr.784</w:t>
            </w:r>
            <w:r w:rsidRPr="00126087">
              <w:rPr>
                <w:rFonts w:eastAsia="Calibri"/>
                <w:vertAlign w:val="superscript"/>
                <w:lang w:eastAsia="en-US"/>
              </w:rPr>
              <w:footnoteReference w:id="5"/>
            </w:r>
            <w:r w:rsidRPr="00126087">
              <w:rPr>
                <w:rFonts w:eastAsia="Calibri"/>
                <w:lang w:eastAsia="en-US"/>
              </w:rPr>
              <w:t xml:space="preserve"> 51.</w:t>
            </w:r>
            <w:r w:rsidRPr="00126087">
              <w:rPr>
                <w:rFonts w:eastAsia="Calibri"/>
                <w:vertAlign w:val="superscript"/>
                <w:lang w:eastAsia="en-US"/>
              </w:rPr>
              <w:t>4</w:t>
            </w:r>
            <w:r w:rsidRPr="00126087">
              <w:rPr>
                <w:rFonts w:eastAsia="Calibri"/>
                <w:lang w:eastAsia="en-US"/>
              </w:rPr>
              <w:t xml:space="preserve"> 7.apakšpunktā noteiktais.</w:t>
            </w:r>
          </w:p>
          <w:p w:rsidRPr="00A27A17" w:rsidR="00C22A6B" w:rsidP="00A27A17" w:rsidRDefault="006803EE" w14:paraId="539AE7A7" w14:textId="7BBD42E9">
            <w:pPr>
              <w:jc w:val="both"/>
              <w:rPr>
                <w:rFonts w:asciiTheme="minorHAnsi" w:hAnsiTheme="minorHAnsi" w:eastAsiaTheme="minorHAnsi" w:cstheme="minorBidi"/>
                <w:sz w:val="22"/>
                <w:szCs w:val="22"/>
                <w:lang w:eastAsia="en-US"/>
              </w:rPr>
            </w:pPr>
            <w:r w:rsidRPr="00C22A6B">
              <w:rPr>
                <w:bCs/>
              </w:rPr>
              <w:t>Noteikumu projektam ir pozitīva ietekme uz īstenošanā esošo SAM 2.1.1. projektu, tas ir izstrādāts ņemot vērā SAM 2.1.1. projekta īstenotāj</w:t>
            </w:r>
            <w:r>
              <w:rPr>
                <w:bCs/>
              </w:rPr>
              <w:t>a LVRTC</w:t>
            </w:r>
            <w:r w:rsidRPr="00C22A6B">
              <w:rPr>
                <w:bCs/>
              </w:rPr>
              <w:t xml:space="preserve"> iniciatīvu pagarināt projekta īstenošan</w:t>
            </w:r>
            <w:r>
              <w:rPr>
                <w:bCs/>
              </w:rPr>
              <w:t>as termiņu</w:t>
            </w:r>
            <w:r w:rsidRPr="00C22A6B">
              <w:rPr>
                <w:bCs/>
              </w:rPr>
              <w:t>, lai nodrošinātu SAM 2.1.1. noteikto rādītāju izpildi</w:t>
            </w:r>
            <w:r w:rsidR="00CA3C70">
              <w:rPr>
                <w:bCs/>
              </w:rPr>
              <w:t>,</w:t>
            </w:r>
            <w:r w:rsidRPr="00C22A6B">
              <w:rPr>
                <w:bCs/>
              </w:rPr>
              <w:t xml:space="preserve"> īstenojot apstiprinātās darbības SAM 2.1.1. projektā.</w:t>
            </w:r>
          </w:p>
          <w:p w:rsidRPr="00C22A6B" w:rsidR="00C22A6B" w:rsidP="002F1FFD" w:rsidRDefault="002F1FFD" w14:paraId="1970B523" w14:textId="38AF7E7A">
            <w:pPr>
              <w:jc w:val="both"/>
            </w:pPr>
            <w:r w:rsidRPr="00221B12">
              <w:t xml:space="preserve">Papildus </w:t>
            </w:r>
            <w:r w:rsidR="00022F62">
              <w:t xml:space="preserve">ar </w:t>
            </w:r>
            <w:r>
              <w:t>n</w:t>
            </w:r>
            <w:r w:rsidRPr="00221B12">
              <w:t xml:space="preserve">oteikumu projektu nepieciešams papildināt </w:t>
            </w:r>
            <w:r>
              <w:t xml:space="preserve">Ministru kabineta noteikumu </w:t>
            </w:r>
            <w:r w:rsidRPr="00221B12">
              <w:t xml:space="preserve"> Nr.</w:t>
            </w:r>
            <w:r>
              <w:t>664</w:t>
            </w:r>
            <w:r w:rsidRPr="00221B12">
              <w:t xml:space="preserve"> V nodaļu, ievērojot to, ka </w:t>
            </w:r>
            <w:r>
              <w:t>valsts atbalsts Ministru kabineta noteikumu Nr.664 ietvaros tiek sniegts atbilstoši</w:t>
            </w:r>
            <w:r w:rsidR="00C3767F">
              <w:t xml:space="preserve"> </w:t>
            </w:r>
            <w:r w:rsidR="00C3767F">
              <w:rPr>
                <w:iCs/>
              </w:rPr>
              <w:t>Valsts atbalsta programmas Nr.SA.33324</w:t>
            </w:r>
            <w:r w:rsidR="00C93A50">
              <w:rPr>
                <w:rStyle w:val="FootnoteReference"/>
              </w:rPr>
              <w:t>2</w:t>
            </w:r>
            <w:r w:rsidR="00C3767F">
              <w:rPr>
                <w:iCs/>
              </w:rPr>
              <w:t xml:space="preserve"> </w:t>
            </w:r>
            <w:r w:rsidRPr="00B76709">
              <w:t>prasīb</w:t>
            </w:r>
            <w:r>
              <w:t>ām</w:t>
            </w:r>
            <w:r w:rsidRPr="00DE756F">
              <w:t xml:space="preserve"> </w:t>
            </w:r>
            <w:r w:rsidRPr="00221B12">
              <w:t>un, ņemot vērā aktuālāko Eiropas Savienības tiesas judikatūru (sk. Eiropas Savienības Tiesas 2019.gada 5.marta spriedumu lietā Nr.C-349/17 (ECLI:EU:C:2019:172)),</w:t>
            </w:r>
            <w:r>
              <w:t xml:space="preserve"> noteikumu projekts papildināts ar punktu, kas paredz </w:t>
            </w:r>
            <w:r w:rsidRPr="00221B12">
              <w:t>atbalsta atgūšanu kopā ar procentiem</w:t>
            </w:r>
            <w:r>
              <w:t xml:space="preserve">, ja </w:t>
            </w:r>
            <w:r w:rsidRPr="00B76709">
              <w:t xml:space="preserve">ir pārkāptas </w:t>
            </w:r>
            <w:r w:rsidR="00C3767F">
              <w:rPr>
                <w:iCs/>
              </w:rPr>
              <w:t>Valsts atbalsta programmas Nr.SA.33324</w:t>
            </w:r>
            <w:r w:rsidR="00C93A50">
              <w:rPr>
                <w:rStyle w:val="FootnoteReference"/>
              </w:rPr>
              <w:t>2</w:t>
            </w:r>
            <w:r w:rsidR="00C3767F">
              <w:rPr>
                <w:iCs/>
              </w:rPr>
              <w:t xml:space="preserve"> </w:t>
            </w:r>
            <w:r w:rsidRPr="00B76709">
              <w:t>prasības</w:t>
            </w:r>
            <w:r>
              <w:t xml:space="preserve">, </w:t>
            </w:r>
            <w:r w:rsidRPr="00221B12">
              <w:t xml:space="preserve">nosakot, ka atbalsta saņēmējam ir pienākums atmaksāt atbalsta sniedzējam visu projekta ietvaros saņemto </w:t>
            </w:r>
            <w:r w:rsidR="00022F62">
              <w:t>nelikumīgo komercdarbības</w:t>
            </w:r>
            <w:r w:rsidRPr="00221B12">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(turpmāk – Komisijas regula 794/2004</w:t>
            </w:r>
            <w:r>
              <w:t>)</w:t>
            </w:r>
            <w:r w:rsidRPr="00221B12">
              <w:t>, 10.pantu, tiem pieskaitot 100 bāzes punktus, no dienas, kad valsts atbalsts tika izmaksāts finansējuma saņēmējam līdz tā atgūšanas dienai, ievērojot Komisijas regulas 794/200</w:t>
            </w:r>
            <w:r>
              <w:t>4</w:t>
            </w:r>
            <w:r w:rsidRPr="00221B12">
              <w:t>, 11.pantā noteikto procentu likmes piemērošanas metodi.</w:t>
            </w:r>
          </w:p>
        </w:tc>
      </w:tr>
      <w:tr w:rsidRPr="00996725" w:rsidR="005F0AFA" w:rsidTr="00AB1D4E" w14:paraId="36B36660" w14:textId="77777777">
        <w:tc>
          <w:tcPr>
            <w:tcW w:w="226" w:type="pct"/>
            <w:shd w:val="clear" w:color="auto" w:fill="FFFFFF"/>
          </w:tcPr>
          <w:p w:rsidRPr="00996725" w:rsidR="005F0AFA" w:rsidP="009D710E" w:rsidRDefault="005F0AFA" w14:paraId="5886C3BA" w14:textId="77777777">
            <w:pPr>
              <w:jc w:val="center"/>
              <w:rPr>
                <w:iCs/>
                <w:lang w:eastAsia="en-US"/>
              </w:rPr>
            </w:pPr>
            <w:r w:rsidRPr="00366023">
              <w:lastRenderedPageBreak/>
              <w:t>3.</w:t>
            </w:r>
          </w:p>
        </w:tc>
        <w:tc>
          <w:tcPr>
            <w:tcW w:w="965" w:type="pct"/>
            <w:shd w:val="clear" w:color="auto" w:fill="FFFFFF"/>
          </w:tcPr>
          <w:p w:rsidRPr="00996725" w:rsidR="005F0AFA" w:rsidP="009D710E" w:rsidRDefault="005F0AFA" w14:paraId="450F8984" w14:textId="77777777">
            <w:pPr>
              <w:rPr>
                <w:iCs/>
                <w:lang w:eastAsia="en-US"/>
              </w:rPr>
            </w:pPr>
            <w:r w:rsidRPr="00366023">
              <w:t>Projekta izstrādē iesaistītās institūcijas un publiskas personas kapitālsabiedrības</w:t>
            </w:r>
          </w:p>
        </w:tc>
        <w:tc>
          <w:tcPr>
            <w:tcW w:w="3808" w:type="pct"/>
            <w:shd w:val="clear" w:color="auto" w:fill="FFFFFF"/>
          </w:tcPr>
          <w:p w:rsidRPr="008F2741" w:rsidR="005F0AFA" w:rsidP="009D710E" w:rsidRDefault="005F0AFA" w14:paraId="001B69B8" w14:textId="77777777">
            <w:pPr>
              <w:rPr>
                <w:i/>
                <w:iCs/>
                <w:highlight w:val="yellow"/>
                <w:lang w:eastAsia="en-US"/>
              </w:rPr>
            </w:pPr>
            <w:r w:rsidRPr="00016819">
              <w:t>Satiksmes ministrija.</w:t>
            </w:r>
          </w:p>
        </w:tc>
      </w:tr>
      <w:tr w:rsidRPr="00016819" w:rsidR="005F0AFA" w:rsidTr="00AB1D4E" w14:paraId="1264EC6E" w14:textId="77777777">
        <w:tc>
          <w:tcPr>
            <w:tcW w:w="226" w:type="pct"/>
            <w:shd w:val="clear" w:color="auto" w:fill="FFFFFF"/>
          </w:tcPr>
          <w:p w:rsidRPr="00996725" w:rsidR="005F0AFA" w:rsidP="009D710E" w:rsidRDefault="005F0AFA" w14:paraId="1B6B4300" w14:textId="77777777">
            <w:pPr>
              <w:jc w:val="center"/>
              <w:rPr>
                <w:iCs/>
                <w:lang w:eastAsia="en-US"/>
              </w:rPr>
            </w:pPr>
            <w:r w:rsidRPr="00366023">
              <w:lastRenderedPageBreak/>
              <w:t>4.</w:t>
            </w:r>
          </w:p>
        </w:tc>
        <w:tc>
          <w:tcPr>
            <w:tcW w:w="965" w:type="pct"/>
            <w:shd w:val="clear" w:color="auto" w:fill="FFFFFF"/>
          </w:tcPr>
          <w:p w:rsidRPr="00996725" w:rsidR="005F0AFA" w:rsidP="009D710E" w:rsidRDefault="005F0AFA" w14:paraId="7CF61BDB" w14:textId="77777777">
            <w:pPr>
              <w:rPr>
                <w:iCs/>
                <w:lang w:eastAsia="en-US"/>
              </w:rPr>
            </w:pPr>
            <w:r w:rsidRPr="00366023">
              <w:t>Cita informācija</w:t>
            </w:r>
          </w:p>
        </w:tc>
        <w:tc>
          <w:tcPr>
            <w:tcW w:w="3808" w:type="pct"/>
            <w:shd w:val="clear" w:color="auto" w:fill="FFFFFF"/>
          </w:tcPr>
          <w:p w:rsidRPr="00016819" w:rsidR="005F0AFA" w:rsidP="00E44BD9" w:rsidRDefault="000D651A" w14:paraId="655BEB76" w14:textId="63BA5A95">
            <w:pPr>
              <w:tabs>
                <w:tab w:val="left" w:pos="720"/>
                <w:tab w:val="center" w:pos="4320"/>
                <w:tab w:val="right" w:pos="8640"/>
              </w:tabs>
              <w:jc w:val="both"/>
            </w:pPr>
            <w:r>
              <w:t>N</w:t>
            </w:r>
            <w:r w:rsidRPr="00016819" w:rsidR="008273D5">
              <w:t xml:space="preserve">oteikumu projektam </w:t>
            </w:r>
            <w:r w:rsidR="00E2351F">
              <w:t xml:space="preserve">ir ietekme uz </w:t>
            </w:r>
            <w:r>
              <w:t xml:space="preserve">SAM 2.1.1. ietvaros LVRTC īstenojamo </w:t>
            </w:r>
            <w:r w:rsidR="00542B96">
              <w:t xml:space="preserve">SAM 2.1.1. </w:t>
            </w:r>
            <w:r>
              <w:t>projektu</w:t>
            </w:r>
            <w:r w:rsidR="00E2351F">
              <w:t xml:space="preserve">, par kura īstenošanu </w:t>
            </w:r>
            <w:r>
              <w:t xml:space="preserve">LVRTC </w:t>
            </w:r>
            <w:r w:rsidR="00E2351F">
              <w:t>noslēgt</w:t>
            </w:r>
            <w:r w:rsidR="00C81245">
              <w:t>s</w:t>
            </w:r>
            <w:r w:rsidR="00E2351F">
              <w:t xml:space="preserve"> </w:t>
            </w:r>
            <w:r w:rsidR="00C81245">
              <w:t>līgums</w:t>
            </w:r>
            <w:r w:rsidR="00E2351F">
              <w:t xml:space="preserve"> ar </w:t>
            </w:r>
            <w:r w:rsidR="004819A4">
              <w:t>sadarbības iestādi</w:t>
            </w:r>
            <w:r w:rsidR="00E44BD9">
              <w:t>.</w:t>
            </w:r>
          </w:p>
        </w:tc>
      </w:tr>
    </w:tbl>
    <w:p w:rsidR="005F0AFA" w:rsidP="005F0AFA" w:rsidRDefault="005F0AFA" w14:paraId="44CEF447" w14:textId="77777777">
      <w:pPr>
        <w:pStyle w:val="Title"/>
        <w:spacing w:before="130" w:line="260" w:lineRule="exact"/>
        <w:jc w:val="both"/>
        <w:rPr>
          <w:sz w:val="24"/>
          <w:szCs w:val="24"/>
        </w:rPr>
      </w:pPr>
    </w:p>
    <w:tbl>
      <w:tblPr>
        <w:tblW w:w="558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9"/>
        <w:gridCol w:w="1859"/>
        <w:gridCol w:w="7175"/>
      </w:tblGrid>
      <w:tr w:rsidRPr="00996725" w:rsidR="005F0AFA" w:rsidTr="00D63D5C" w14:paraId="4D21E6E9" w14:textId="77777777">
        <w:tc>
          <w:tcPr>
            <w:tcW w:w="5000" w:type="pct"/>
            <w:gridSpan w:val="3"/>
            <w:shd w:val="clear" w:color="auto" w:fill="FFFFFF"/>
          </w:tcPr>
          <w:p w:rsidRPr="00996725" w:rsidR="005F0AFA" w:rsidP="009D710E" w:rsidRDefault="005F0AFA" w14:paraId="527E2A19" w14:textId="77777777">
            <w:pPr>
              <w:jc w:val="center"/>
              <w:rPr>
                <w:i/>
                <w:iCs/>
                <w:lang w:eastAsia="en-US"/>
              </w:rPr>
            </w:pPr>
            <w:r w:rsidRPr="005511D3">
              <w:rPr>
                <w:b/>
              </w:rPr>
              <w:t>II. Tiesību akta projekta ietekme uz sabiedrību, tautsaimniecības attīstību un administratīvo slogu</w:t>
            </w:r>
          </w:p>
        </w:tc>
      </w:tr>
      <w:tr w:rsidRPr="00996725" w:rsidR="005F0AFA" w:rsidTr="00D63D5C" w14:paraId="50139869" w14:textId="77777777">
        <w:tc>
          <w:tcPr>
            <w:tcW w:w="242" w:type="pct"/>
            <w:shd w:val="clear" w:color="auto" w:fill="FFFFFF"/>
          </w:tcPr>
          <w:p w:rsidRPr="00996725" w:rsidR="005F0AFA" w:rsidP="009D710E" w:rsidRDefault="005F0AFA" w14:paraId="28A44CB7" w14:textId="77777777">
            <w:pPr>
              <w:jc w:val="center"/>
              <w:rPr>
                <w:iCs/>
                <w:lang w:eastAsia="en-US"/>
              </w:rPr>
            </w:pPr>
            <w:r w:rsidRPr="008B5F77">
              <w:t>1.</w:t>
            </w:r>
          </w:p>
        </w:tc>
        <w:tc>
          <w:tcPr>
            <w:tcW w:w="979" w:type="pct"/>
            <w:shd w:val="clear" w:color="auto" w:fill="FFFFFF"/>
          </w:tcPr>
          <w:p w:rsidRPr="00996725" w:rsidR="005F0AFA" w:rsidP="009D710E" w:rsidRDefault="005F0AFA" w14:paraId="421FDAAD" w14:textId="77777777">
            <w:pPr>
              <w:rPr>
                <w:iCs/>
                <w:lang w:eastAsia="en-US"/>
              </w:rPr>
            </w:pPr>
            <w:bookmarkStart w:name="_Hlk32411083" w:id="7"/>
            <w:r w:rsidRPr="008B5F77">
              <w:t>Sabiedrības mērķgrupas, kuras tiesiskais regulējums ietekmē vai varētu ietekmēt</w:t>
            </w:r>
            <w:bookmarkEnd w:id="7"/>
          </w:p>
        </w:tc>
        <w:tc>
          <w:tcPr>
            <w:tcW w:w="3780" w:type="pct"/>
            <w:shd w:val="clear" w:color="auto" w:fill="FFFFFF"/>
          </w:tcPr>
          <w:p w:rsidRPr="00BB365E" w:rsidR="005F0AFA" w:rsidP="009D710E" w:rsidRDefault="002530F2" w14:paraId="5B1502A7" w14:textId="76AA434E">
            <w:pPr>
              <w:jc w:val="both"/>
            </w:pPr>
            <w:r>
              <w:t>Informācijas sistēmu un elektronisko pakalpojumu lietotāji – komersanti, iestādes un mājsaimniecības.</w:t>
            </w:r>
          </w:p>
        </w:tc>
      </w:tr>
      <w:tr w:rsidRPr="00996725" w:rsidR="005F0AFA" w:rsidTr="00D63D5C" w14:paraId="6B28327F" w14:textId="77777777">
        <w:tc>
          <w:tcPr>
            <w:tcW w:w="242" w:type="pct"/>
            <w:shd w:val="clear" w:color="auto" w:fill="FFFFFF"/>
          </w:tcPr>
          <w:p w:rsidRPr="00996725" w:rsidR="005F0AFA" w:rsidP="009D710E" w:rsidRDefault="005F0AFA" w14:paraId="1ACAC286" w14:textId="77777777">
            <w:pPr>
              <w:jc w:val="center"/>
              <w:rPr>
                <w:iCs/>
                <w:lang w:eastAsia="en-US"/>
              </w:rPr>
            </w:pPr>
            <w:r w:rsidRPr="008B5F77">
              <w:t>2.</w:t>
            </w:r>
          </w:p>
        </w:tc>
        <w:tc>
          <w:tcPr>
            <w:tcW w:w="979" w:type="pct"/>
            <w:shd w:val="clear" w:color="auto" w:fill="FFFFFF"/>
          </w:tcPr>
          <w:p w:rsidRPr="00996725" w:rsidR="005F0AFA" w:rsidP="009D710E" w:rsidRDefault="005F0AFA" w14:paraId="6F954201" w14:textId="77777777">
            <w:pPr>
              <w:rPr>
                <w:iCs/>
                <w:lang w:eastAsia="en-US"/>
              </w:rPr>
            </w:pPr>
            <w:r w:rsidRPr="008B5F77">
              <w:t>Tiesiskā regulējuma ietekme uz tautsaimniecību un administratīvo slogu</w:t>
            </w:r>
          </w:p>
        </w:tc>
        <w:tc>
          <w:tcPr>
            <w:tcW w:w="3780" w:type="pct"/>
            <w:shd w:val="clear" w:color="auto" w:fill="FFFFFF"/>
          </w:tcPr>
          <w:p w:rsidRPr="00996725" w:rsidR="005F0AFA" w:rsidP="009D710E" w:rsidRDefault="008D04C4" w14:paraId="4C120A76" w14:textId="5981CD6F">
            <w:pPr>
              <w:jc w:val="both"/>
              <w:rPr>
                <w:i/>
                <w:iCs/>
                <w:lang w:eastAsia="en-US"/>
              </w:rPr>
            </w:pPr>
            <w:r w:rsidRPr="008B5F77">
              <w:t>Projekts šo jomu neskar</w:t>
            </w:r>
            <w:r>
              <w:t>.</w:t>
            </w:r>
          </w:p>
        </w:tc>
      </w:tr>
      <w:tr w:rsidRPr="00996725" w:rsidR="005F0AFA" w:rsidTr="00D63D5C" w14:paraId="7C526002" w14:textId="77777777">
        <w:tc>
          <w:tcPr>
            <w:tcW w:w="242" w:type="pct"/>
            <w:shd w:val="clear" w:color="auto" w:fill="FFFFFF"/>
          </w:tcPr>
          <w:p w:rsidRPr="00996725" w:rsidR="005F0AFA" w:rsidP="009D710E" w:rsidRDefault="005F0AFA" w14:paraId="002625FB" w14:textId="77777777">
            <w:pPr>
              <w:jc w:val="center"/>
              <w:rPr>
                <w:iCs/>
                <w:lang w:eastAsia="en-US"/>
              </w:rPr>
            </w:pPr>
            <w:r w:rsidRPr="008B5F77">
              <w:t>3.</w:t>
            </w:r>
          </w:p>
        </w:tc>
        <w:tc>
          <w:tcPr>
            <w:tcW w:w="979" w:type="pct"/>
            <w:shd w:val="clear" w:color="auto" w:fill="FFFFFF"/>
          </w:tcPr>
          <w:p w:rsidRPr="00996725" w:rsidR="005F0AFA" w:rsidP="009D710E" w:rsidRDefault="005F0AFA" w14:paraId="528BBAC4" w14:textId="77777777">
            <w:pPr>
              <w:rPr>
                <w:iCs/>
                <w:lang w:eastAsia="en-US"/>
              </w:rPr>
            </w:pPr>
            <w:r w:rsidRPr="008B5F77">
              <w:t>Administratīvo izmaksu monetārs novērtējums</w:t>
            </w:r>
          </w:p>
        </w:tc>
        <w:tc>
          <w:tcPr>
            <w:tcW w:w="3780" w:type="pct"/>
            <w:shd w:val="clear" w:color="auto" w:fill="FFFFFF"/>
          </w:tcPr>
          <w:p w:rsidRPr="00996725" w:rsidR="005F0AFA" w:rsidP="009D710E" w:rsidRDefault="005F0AFA" w14:paraId="5588CDF7" w14:textId="77777777">
            <w:pPr>
              <w:rPr>
                <w:i/>
                <w:iCs/>
                <w:lang w:eastAsia="en-US"/>
              </w:rPr>
            </w:pPr>
            <w:r w:rsidRPr="008B5F77">
              <w:t>Projekts šo jomu neskar</w:t>
            </w:r>
            <w:r>
              <w:t>.</w:t>
            </w:r>
          </w:p>
        </w:tc>
      </w:tr>
      <w:tr w:rsidRPr="00996725" w:rsidR="005F0AFA" w:rsidTr="00D63D5C" w14:paraId="4ECE9A55" w14:textId="77777777">
        <w:tc>
          <w:tcPr>
            <w:tcW w:w="242" w:type="pct"/>
            <w:shd w:val="clear" w:color="auto" w:fill="FFFFFF"/>
          </w:tcPr>
          <w:p w:rsidRPr="00996725" w:rsidR="005F0AFA" w:rsidP="009D710E" w:rsidRDefault="005F0AFA" w14:paraId="7F3A206A" w14:textId="77777777">
            <w:pPr>
              <w:jc w:val="center"/>
              <w:rPr>
                <w:iCs/>
                <w:lang w:eastAsia="en-US"/>
              </w:rPr>
            </w:pPr>
            <w:r w:rsidRPr="008B5F77">
              <w:t>4.</w:t>
            </w:r>
          </w:p>
        </w:tc>
        <w:tc>
          <w:tcPr>
            <w:tcW w:w="979" w:type="pct"/>
            <w:shd w:val="clear" w:color="auto" w:fill="FFFFFF"/>
          </w:tcPr>
          <w:p w:rsidRPr="00996725" w:rsidR="005F0AFA" w:rsidP="009D710E" w:rsidRDefault="005F0AFA" w14:paraId="73FA6DBA" w14:textId="77777777">
            <w:pPr>
              <w:rPr>
                <w:iCs/>
                <w:lang w:eastAsia="en-US"/>
              </w:rPr>
            </w:pPr>
            <w:r w:rsidRPr="008B5F77">
              <w:t>Atbilstības izmaksu monetārs novērtējums</w:t>
            </w:r>
          </w:p>
        </w:tc>
        <w:tc>
          <w:tcPr>
            <w:tcW w:w="3780" w:type="pct"/>
            <w:shd w:val="clear" w:color="auto" w:fill="FFFFFF"/>
          </w:tcPr>
          <w:p w:rsidRPr="00996725" w:rsidR="005F0AFA" w:rsidP="009D710E" w:rsidRDefault="005F0AFA" w14:paraId="69507613" w14:textId="77777777">
            <w:pPr>
              <w:rPr>
                <w:i/>
                <w:iCs/>
                <w:lang w:eastAsia="en-US"/>
              </w:rPr>
            </w:pPr>
            <w:r w:rsidRPr="008B5F77">
              <w:t>Projekts šo jomu neskar</w:t>
            </w:r>
            <w:r>
              <w:t>.</w:t>
            </w:r>
          </w:p>
        </w:tc>
      </w:tr>
      <w:tr w:rsidRPr="00996725" w:rsidR="005F0AFA" w:rsidTr="00D63D5C" w14:paraId="2A609B0C" w14:textId="77777777">
        <w:tc>
          <w:tcPr>
            <w:tcW w:w="242" w:type="pct"/>
            <w:shd w:val="clear" w:color="auto" w:fill="FFFFFF"/>
          </w:tcPr>
          <w:p w:rsidRPr="00996725" w:rsidR="005F0AFA" w:rsidP="009D710E" w:rsidRDefault="005F0AFA" w14:paraId="67038A24" w14:textId="77777777">
            <w:pPr>
              <w:jc w:val="center"/>
              <w:rPr>
                <w:iCs/>
                <w:lang w:eastAsia="en-US"/>
              </w:rPr>
            </w:pPr>
            <w:r w:rsidRPr="008B5F77">
              <w:t>5.</w:t>
            </w:r>
          </w:p>
        </w:tc>
        <w:tc>
          <w:tcPr>
            <w:tcW w:w="979" w:type="pct"/>
            <w:shd w:val="clear" w:color="auto" w:fill="FFFFFF"/>
          </w:tcPr>
          <w:p w:rsidRPr="00996725" w:rsidR="005F0AFA" w:rsidP="009D710E" w:rsidRDefault="005F0AFA" w14:paraId="0DD76A10" w14:textId="77777777">
            <w:pPr>
              <w:rPr>
                <w:iCs/>
                <w:lang w:eastAsia="en-US"/>
              </w:rPr>
            </w:pPr>
            <w:r w:rsidRPr="008B5F77">
              <w:t>Cita informācija</w:t>
            </w:r>
          </w:p>
        </w:tc>
        <w:tc>
          <w:tcPr>
            <w:tcW w:w="3780" w:type="pct"/>
            <w:shd w:val="clear" w:color="auto" w:fill="FFFFFF"/>
          </w:tcPr>
          <w:p w:rsidRPr="00996725" w:rsidR="005F0AFA" w:rsidP="009D710E" w:rsidRDefault="005F0AFA" w14:paraId="1C0C9945" w14:textId="77777777">
            <w:pPr>
              <w:rPr>
                <w:i/>
                <w:iCs/>
                <w:lang w:eastAsia="en-US"/>
              </w:rPr>
            </w:pPr>
            <w:r w:rsidRPr="008B5F77">
              <w:t>Nav</w:t>
            </w:r>
            <w:r>
              <w:t>.</w:t>
            </w:r>
          </w:p>
        </w:tc>
      </w:tr>
    </w:tbl>
    <w:p w:rsidR="005F0AFA" w:rsidP="005F0AFA" w:rsidRDefault="005F0AFA" w14:paraId="5728F0ED" w14:textId="4C884B75">
      <w:pPr>
        <w:pStyle w:val="Title"/>
        <w:spacing w:before="130" w:line="260" w:lineRule="exact"/>
        <w:jc w:val="both"/>
        <w:rPr>
          <w:sz w:val="24"/>
          <w:szCs w:val="24"/>
        </w:rPr>
      </w:pPr>
    </w:p>
    <w:tbl>
      <w:tblPr>
        <w:tblW w:w="9468" w:type="dxa"/>
        <w:tblInd w:w="2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468"/>
      </w:tblGrid>
      <w:tr w:rsidRPr="00BC2633" w:rsidR="00E44BD9" w:rsidTr="00E44BD9" w14:paraId="78CFC338" w14:textId="77777777">
        <w:trPr>
          <w:trHeight w:val="360"/>
        </w:trPr>
        <w:tc>
          <w:tcPr>
            <w:tcW w:w="9468" w:type="dxa"/>
            <w:tcBorders>
              <w:top w:val="single" w:color="auto" w:sz="4" w:space="0"/>
              <w:left w:val="outset" w:color="414142" w:sz="6" w:space="0"/>
              <w:bottom w:val="outset" w:color="414142" w:sz="6" w:space="0"/>
              <w:right w:val="outset" w:color="414142" w:sz="6" w:space="0"/>
            </w:tcBorders>
            <w:vAlign w:val="center"/>
            <w:hideMark/>
          </w:tcPr>
          <w:p w:rsidRPr="00BC2633" w:rsidR="00E44BD9" w:rsidP="006B59DA" w:rsidRDefault="00E44BD9" w14:paraId="24AF6C05" w14:textId="77777777">
            <w:pPr>
              <w:ind w:firstLine="300"/>
              <w:jc w:val="center"/>
              <w:rPr>
                <w:b/>
                <w:bCs/>
              </w:rPr>
            </w:pPr>
            <w:r w:rsidRPr="00BC2633">
              <w:rPr>
                <w:b/>
                <w:bCs/>
              </w:rPr>
              <w:t>III. Tiesību akta projekta ietekme uz valsts budžetu un pašvaldību budžetiem</w:t>
            </w:r>
          </w:p>
        </w:tc>
      </w:tr>
      <w:tr w:rsidRPr="00BC2633" w:rsidR="00E44BD9" w:rsidTr="00E44BD9" w14:paraId="5A6E94AD" w14:textId="77777777">
        <w:trPr>
          <w:trHeight w:val="360"/>
        </w:trPr>
        <w:tc>
          <w:tcPr>
            <w:tcW w:w="9468" w:type="dxa"/>
            <w:tcBorders>
              <w:top w:val="single" w:color="auto" w:sz="4" w:space="0"/>
              <w:left w:val="outset" w:color="414142" w:sz="6" w:space="0"/>
              <w:bottom w:val="outset" w:color="414142" w:sz="6" w:space="0"/>
              <w:right w:val="outset" w:color="414142" w:sz="6" w:space="0"/>
            </w:tcBorders>
            <w:vAlign w:val="center"/>
          </w:tcPr>
          <w:p w:rsidRPr="00BC2633" w:rsidR="00E44BD9" w:rsidP="006B59DA" w:rsidRDefault="00E44BD9" w14:paraId="55813F84" w14:textId="77777777">
            <w:pPr>
              <w:ind w:firstLine="300"/>
              <w:jc w:val="center"/>
              <w:rPr>
                <w:b/>
                <w:bCs/>
              </w:rPr>
            </w:pPr>
            <w:r w:rsidRPr="00F218F6">
              <w:t>Projekts šo jomu neskar</w:t>
            </w:r>
            <w:r>
              <w:t>.</w:t>
            </w:r>
          </w:p>
        </w:tc>
      </w:tr>
    </w:tbl>
    <w:p w:rsidR="005F0AFA" w:rsidP="005F0AFA" w:rsidRDefault="005F0AFA" w14:paraId="15ECA16D" w14:textId="77777777"/>
    <w:tbl>
      <w:tblPr>
        <w:tblW w:w="559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90"/>
      </w:tblGrid>
      <w:tr w:rsidRPr="00BC2633" w:rsidR="005F0AFA" w:rsidTr="00D63D5C" w14:paraId="4CBBD706"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5F0AFA" w:rsidP="009D710E" w:rsidRDefault="005F0AFA" w14:paraId="31F986F9" w14:textId="77777777">
            <w:pPr>
              <w:ind w:firstLine="300"/>
              <w:jc w:val="center"/>
              <w:rPr>
                <w:b/>
                <w:bCs/>
              </w:rPr>
            </w:pPr>
            <w:r w:rsidRPr="00BC2633">
              <w:rPr>
                <w:b/>
                <w:bCs/>
              </w:rPr>
              <w:t>IV. Tiesību akta projekta ietekme uz spēkā esošo tiesību normu sistēmu</w:t>
            </w:r>
          </w:p>
        </w:tc>
      </w:tr>
      <w:tr w:rsidRPr="00BC2633" w:rsidR="005F0AFA" w:rsidTr="00D63D5C" w14:paraId="4E087467"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5F0AFA" w:rsidP="009D710E" w:rsidRDefault="005F0AFA" w14:paraId="5D34CF7A" w14:textId="77777777">
            <w:pPr>
              <w:ind w:firstLine="300"/>
              <w:jc w:val="center"/>
              <w:rPr>
                <w:b/>
                <w:bCs/>
              </w:rPr>
            </w:pPr>
            <w:r w:rsidRPr="00F218F6">
              <w:t>Projekts šo jomu neskar</w:t>
            </w:r>
            <w:r>
              <w:t>.</w:t>
            </w:r>
          </w:p>
        </w:tc>
      </w:tr>
    </w:tbl>
    <w:p w:rsidRPr="00BC2633" w:rsidR="005F0AFA" w:rsidP="005F0AFA" w:rsidRDefault="005F0AFA" w14:paraId="356681A3" w14:textId="77777777"/>
    <w:tbl>
      <w:tblPr>
        <w:tblStyle w:val="TableGrid"/>
        <w:tblW w:w="5589" w:type="pct"/>
        <w:tblLook w:val="04A0" w:firstRow="1" w:lastRow="0" w:firstColumn="1" w:lastColumn="0" w:noHBand="0" w:noVBand="1"/>
      </w:tblPr>
      <w:tblGrid>
        <w:gridCol w:w="561"/>
        <w:gridCol w:w="1986"/>
        <w:gridCol w:w="2552"/>
        <w:gridCol w:w="2267"/>
        <w:gridCol w:w="2129"/>
      </w:tblGrid>
      <w:tr w:rsidRPr="00BC2633" w:rsidR="005F0AFA" w:rsidTr="00A70605" w14:paraId="5AF891F4" w14:textId="77777777">
        <w:tc>
          <w:tcPr>
            <w:tcW w:w="5000" w:type="pct"/>
            <w:gridSpan w:val="5"/>
            <w:hideMark/>
          </w:tcPr>
          <w:p w:rsidRPr="00BC2633" w:rsidR="005F0AFA" w:rsidP="009D710E" w:rsidRDefault="005F0AFA" w14:paraId="38882B79" w14:textId="77777777">
            <w:pPr>
              <w:ind w:firstLine="300"/>
              <w:jc w:val="center"/>
              <w:rPr>
                <w:b/>
                <w:bCs/>
              </w:rPr>
            </w:pPr>
            <w:r w:rsidRPr="00BC2633">
              <w:rPr>
                <w:b/>
                <w:bCs/>
              </w:rPr>
              <w:t>V. Tiesību akta projekta atbilstība Latvijas Republikas starptautiskajām saistībām</w:t>
            </w:r>
          </w:p>
        </w:tc>
      </w:tr>
      <w:tr w:rsidR="00F7013D" w:rsidTr="00A70605" w14:paraId="3E7071C8" w14:textId="77777777">
        <w:tc>
          <w:tcPr>
            <w:tcW w:w="295" w:type="pct"/>
          </w:tcPr>
          <w:p w:rsidR="00F7013D" w:rsidP="005F0AFA" w:rsidRDefault="00F7013D" w14:paraId="6BA06B05" w14:textId="10F1E741">
            <w:r>
              <w:t>1.</w:t>
            </w:r>
          </w:p>
        </w:tc>
        <w:tc>
          <w:tcPr>
            <w:tcW w:w="1046" w:type="pct"/>
          </w:tcPr>
          <w:p w:rsidR="00F7013D" w:rsidP="005F0AFA" w:rsidRDefault="00F7013D" w14:paraId="043682DA" w14:textId="39F7F7D7">
            <w:r>
              <w:t>Saistības pret Eiropas Savienību</w:t>
            </w:r>
          </w:p>
        </w:tc>
        <w:tc>
          <w:tcPr>
            <w:tcW w:w="3659" w:type="pct"/>
            <w:gridSpan w:val="3"/>
          </w:tcPr>
          <w:p w:rsidRPr="00C2583E" w:rsidR="00F7013D" w:rsidP="00022F62" w:rsidRDefault="00781FC1" w14:paraId="3A468531" w14:textId="4B7F2ECE">
            <w:pPr>
              <w:jc w:val="both"/>
            </w:pPr>
            <w:r w:rsidRPr="00B76709">
              <w:rPr>
                <w:iCs/>
              </w:rPr>
              <w:t>Eiropas Komisijas 2011.gada 9.novembra lēmum</w:t>
            </w:r>
            <w:r w:rsidR="00C2583E">
              <w:rPr>
                <w:iCs/>
              </w:rPr>
              <w:t>s</w:t>
            </w:r>
            <w:r w:rsidRPr="00B76709">
              <w:rPr>
                <w:iCs/>
              </w:rPr>
              <w:t xml:space="preserve"> Nr. C (2011) 7699</w:t>
            </w:r>
            <w:r w:rsidR="00C2583E">
              <w:rPr>
                <w:iCs/>
              </w:rPr>
              <w:t xml:space="preserve"> “Par Valsts atbalstu Nr.SA.33324 (2011/N) – Nākamās paaudzes tīkli lauku teritorijās”;</w:t>
            </w:r>
            <w:r w:rsidRPr="00C2583E" w:rsidR="00C2583E">
              <w:rPr>
                <w:shd w:val="clear" w:color="auto" w:fill="FFFFFF"/>
              </w:rPr>
              <w:t>Komisijas Regula (EK) Nr. 794/2004 ( 2004. gada 21. aprīlis ), ar ko īsteno Padomes Regulu (ES) 2015/1589, ar ko nosaka sīki izstrādātus noteikumus Līguma par Eiropas Savienības darbību 108. panta piemērošanai</w:t>
            </w:r>
            <w:r w:rsidR="00022F62">
              <w:rPr>
                <w:shd w:val="clear" w:color="auto" w:fill="FFFFFF"/>
              </w:rPr>
              <w:t>.</w:t>
            </w:r>
            <w:r w:rsidR="00943661">
              <w:rPr>
                <w:shd w:val="clear" w:color="auto" w:fill="FFFFFF"/>
              </w:rPr>
              <w:t xml:space="preserve"> </w:t>
            </w:r>
          </w:p>
        </w:tc>
      </w:tr>
      <w:tr w:rsidR="00F7013D" w:rsidTr="00A70605" w14:paraId="11E1A891" w14:textId="77777777">
        <w:tc>
          <w:tcPr>
            <w:tcW w:w="295" w:type="pct"/>
          </w:tcPr>
          <w:p w:rsidR="00F7013D" w:rsidP="005F0AFA" w:rsidRDefault="00F7013D" w14:paraId="7AC9DC58" w14:textId="66667E97">
            <w:r>
              <w:t>2.</w:t>
            </w:r>
          </w:p>
        </w:tc>
        <w:tc>
          <w:tcPr>
            <w:tcW w:w="1046" w:type="pct"/>
          </w:tcPr>
          <w:p w:rsidR="00F7013D" w:rsidP="005F0AFA" w:rsidRDefault="00F7013D" w14:paraId="2D17223E" w14:textId="22A8736A">
            <w:r>
              <w:t>Citas starptautiskās saistības</w:t>
            </w:r>
          </w:p>
        </w:tc>
        <w:tc>
          <w:tcPr>
            <w:tcW w:w="3659" w:type="pct"/>
            <w:gridSpan w:val="3"/>
          </w:tcPr>
          <w:p w:rsidR="00F7013D" w:rsidP="005F0AFA" w:rsidRDefault="00F7013D" w14:paraId="6B896B2E" w14:textId="18A6DC29">
            <w:r>
              <w:t>Projekts šo jomu neskar</w:t>
            </w:r>
            <w:r w:rsidR="00A27A17">
              <w:t>.</w:t>
            </w:r>
          </w:p>
        </w:tc>
      </w:tr>
      <w:tr w:rsidR="00F7013D" w:rsidTr="00A70605" w14:paraId="3B8722B0" w14:textId="77777777">
        <w:tc>
          <w:tcPr>
            <w:tcW w:w="295" w:type="pct"/>
          </w:tcPr>
          <w:p w:rsidR="00F7013D" w:rsidP="005F0AFA" w:rsidRDefault="00F7013D" w14:paraId="4447777F" w14:textId="2BDD1667">
            <w:bookmarkStart w:name="_Hlk33431196" w:id="8"/>
            <w:r>
              <w:t>3.</w:t>
            </w:r>
          </w:p>
        </w:tc>
        <w:tc>
          <w:tcPr>
            <w:tcW w:w="1046" w:type="pct"/>
          </w:tcPr>
          <w:p w:rsidR="00F7013D" w:rsidP="005F0AFA" w:rsidRDefault="00F7013D" w14:paraId="04C01257" w14:textId="4D1471DC">
            <w:r>
              <w:t>Cita informācija</w:t>
            </w:r>
          </w:p>
        </w:tc>
        <w:tc>
          <w:tcPr>
            <w:tcW w:w="3659" w:type="pct"/>
            <w:gridSpan w:val="3"/>
          </w:tcPr>
          <w:p w:rsidR="00F7013D" w:rsidP="005F0AFA" w:rsidRDefault="00F7013D" w14:paraId="578C46DB" w14:textId="5458C4AB">
            <w:r>
              <w:t>Nav</w:t>
            </w:r>
            <w:r w:rsidR="00A27A17">
              <w:t>.</w:t>
            </w:r>
          </w:p>
        </w:tc>
      </w:tr>
      <w:bookmarkEnd w:id="8"/>
      <w:tr w:rsidRPr="00F7013D" w:rsidR="00F7013D" w:rsidTr="00A70605" w14:paraId="53512C8C" w14:textId="77777777">
        <w:tc>
          <w:tcPr>
            <w:tcW w:w="5000" w:type="pct"/>
            <w:gridSpan w:val="5"/>
          </w:tcPr>
          <w:p w:rsidRPr="00F7013D" w:rsidR="00F7013D" w:rsidP="00F7013D" w:rsidRDefault="00F7013D" w14:paraId="04216D50" w14:textId="77777777">
            <w:pPr>
              <w:jc w:val="center"/>
              <w:rPr>
                <w:b/>
                <w:bCs/>
              </w:rPr>
            </w:pPr>
            <w:r w:rsidRPr="00F7013D">
              <w:rPr>
                <w:b/>
                <w:bCs/>
              </w:rPr>
              <w:t>1.tabula</w:t>
            </w:r>
          </w:p>
          <w:p w:rsidRPr="00F7013D" w:rsidR="00F7013D" w:rsidP="00F7013D" w:rsidRDefault="00F7013D" w14:paraId="687B0A90" w14:textId="4389F5A6">
            <w:pPr>
              <w:jc w:val="center"/>
            </w:pPr>
            <w:r w:rsidRPr="00F7013D">
              <w:rPr>
                <w:b/>
                <w:bCs/>
              </w:rPr>
              <w:lastRenderedPageBreak/>
              <w:t>Tiesību akta projekta atbilstība ES tiesību aktiem</w:t>
            </w:r>
          </w:p>
        </w:tc>
      </w:tr>
      <w:tr w:rsidR="00380D47" w:rsidTr="00A70605" w14:paraId="10CD0810" w14:textId="77777777">
        <w:tc>
          <w:tcPr>
            <w:tcW w:w="1341" w:type="pct"/>
            <w:gridSpan w:val="2"/>
          </w:tcPr>
          <w:p w:rsidR="00380D47" w:rsidP="005F0AFA" w:rsidRDefault="00380D47" w14:paraId="30B8236C" w14:textId="6BA5E194">
            <w:r>
              <w:lastRenderedPageBreak/>
              <w:t>Attiecīgā ES tiesību akta datums, numurs un nosaukums</w:t>
            </w:r>
          </w:p>
        </w:tc>
        <w:tc>
          <w:tcPr>
            <w:tcW w:w="3659" w:type="pct"/>
            <w:gridSpan w:val="3"/>
          </w:tcPr>
          <w:p w:rsidR="00380D47" w:rsidP="005F0AFA" w:rsidRDefault="00380D47" w14:paraId="2333AEFE" w14:textId="77777777"/>
        </w:tc>
      </w:tr>
      <w:tr w:rsidR="00380D47" w:rsidTr="00A70605" w14:paraId="5D4C85AF" w14:textId="77777777">
        <w:tc>
          <w:tcPr>
            <w:tcW w:w="1341" w:type="pct"/>
            <w:gridSpan w:val="2"/>
          </w:tcPr>
          <w:p w:rsidR="00380D47" w:rsidP="005F0AFA" w:rsidRDefault="00380D47" w14:paraId="5B040AD7" w14:textId="3B0628BA">
            <w:r>
              <w:t>A</w:t>
            </w:r>
          </w:p>
        </w:tc>
        <w:tc>
          <w:tcPr>
            <w:tcW w:w="1344" w:type="pct"/>
          </w:tcPr>
          <w:p w:rsidR="00380D47" w:rsidP="005F0AFA" w:rsidRDefault="00380D47" w14:paraId="4520CDF2" w14:textId="76554620">
            <w:r>
              <w:t>B</w:t>
            </w:r>
          </w:p>
        </w:tc>
        <w:tc>
          <w:tcPr>
            <w:tcW w:w="1194" w:type="pct"/>
          </w:tcPr>
          <w:p w:rsidR="00380D47" w:rsidP="005F0AFA" w:rsidRDefault="00380D47" w14:paraId="16898FB6" w14:textId="407042AB">
            <w:r>
              <w:t>C</w:t>
            </w:r>
          </w:p>
        </w:tc>
        <w:tc>
          <w:tcPr>
            <w:tcW w:w="1121" w:type="pct"/>
          </w:tcPr>
          <w:p w:rsidR="00380D47" w:rsidP="005F0AFA" w:rsidRDefault="00380D47" w14:paraId="365B07F1" w14:textId="2DBA7C81">
            <w:r>
              <w:t>D</w:t>
            </w:r>
          </w:p>
        </w:tc>
      </w:tr>
      <w:tr w:rsidR="00380D47" w:rsidTr="00A70605" w14:paraId="784FCCC1" w14:textId="77777777">
        <w:tc>
          <w:tcPr>
            <w:tcW w:w="1341" w:type="pct"/>
            <w:gridSpan w:val="2"/>
          </w:tcPr>
          <w:p w:rsidRPr="00380D47" w:rsidR="00380D47" w:rsidP="005F0AFA" w:rsidRDefault="00380D47" w14:paraId="29595DED" w14:textId="45658B58">
            <w:r w:rsidRPr="00380D47">
              <w:rPr>
                <w:iCs/>
              </w:rPr>
              <w:t>Attiecīgā ES tiesību akta panta numurs (uzskaitot katru tiesību akta vienību – pantu, daļu, punktu, apakšpunktu)</w:t>
            </w:r>
          </w:p>
        </w:tc>
        <w:tc>
          <w:tcPr>
            <w:tcW w:w="1344" w:type="pct"/>
          </w:tcPr>
          <w:p w:rsidRPr="00380D47" w:rsidR="00380D47" w:rsidP="005F0AFA" w:rsidRDefault="00380D47" w14:paraId="647502E5" w14:textId="749DD93F">
            <w:r w:rsidRPr="00380D47">
              <w:rPr>
                <w:iCs/>
              </w:rPr>
              <w:t>Projekta vienība, kas pārņem vai ievieš katru šīs tabulas A ailē minēto ES tiesību akta vienību, vai tiesību akts, kur attiecīgā ES tiesību akta vienība pārņemta vai ieviesta</w:t>
            </w:r>
          </w:p>
        </w:tc>
        <w:tc>
          <w:tcPr>
            <w:tcW w:w="1194" w:type="pct"/>
          </w:tcPr>
          <w:p w:rsidRPr="00380D47" w:rsidR="00380D47" w:rsidP="005F0AFA" w:rsidRDefault="00380D47" w14:paraId="77FCF510" w14:textId="3C332040">
            <w:r w:rsidRPr="00380D47">
              <w:rPr>
                <w:iCs/>
              </w:rPr>
              <w:t>Informācija par to, vai šīs tabulas A ailē minētās ES tiesību akta vienības tiek pārņemtas vai ieviestas pilnībā vai daļēji.</w:t>
            </w:r>
            <w:r w:rsidRPr="00380D47">
              <w:rPr>
                <w:iCs/>
              </w:rPr>
              <w:br/>
              <w:t>Ja attiecīgā ES tiesību akta vienība tiek pārņemta vai ieviesta daļēji, sniedz attiecīgu skaidrojumu, kā arī precīzi norāda, kad un kādā veidā ES tiesību akta vienība tiks pārņemta vai ieviesta pilnībā.</w:t>
            </w:r>
            <w:r w:rsidRPr="00380D47">
              <w:rPr>
                <w:iCs/>
              </w:rPr>
              <w:br/>
              <w:t>Norāda institūciju, kas ir atbildīga par šo saistību izpildi pilnībā</w:t>
            </w:r>
          </w:p>
        </w:tc>
        <w:tc>
          <w:tcPr>
            <w:tcW w:w="1121" w:type="pct"/>
          </w:tcPr>
          <w:p w:rsidRPr="00380D47" w:rsidR="00380D47" w:rsidP="005F0AFA" w:rsidRDefault="00380D47" w14:paraId="3E5259E7" w14:textId="4A97B405">
            <w:r w:rsidRPr="00380D47">
              <w:rPr>
                <w:iCs/>
              </w:rPr>
              <w:t>Informācija par to, vai šīs tabulas B ailē minētās projekta vienības paredz stingrākas prasības nekā šīs tabulas A ailē minētās ES tiesību akta vienības.</w:t>
            </w:r>
            <w:r w:rsidRPr="00380D47">
              <w:rPr>
                <w:iCs/>
              </w:rPr>
              <w:br/>
              <w:t>Ja projekts satur stingrākas prasības nekā attiecīgais ES tiesību akts, norāda pamatojumu un samērīgumu.</w:t>
            </w:r>
            <w:r w:rsidRPr="00380D47">
              <w:rPr>
                <w:iCs/>
              </w:rPr>
              <w:br/>
              <w:t>Norāda iespējamās alternatīvas (t. sk. alternatīvas, kas neparedz tiesiskā regulējuma izstrādi) – kādos gadījumos būtu iespējams izvairīties no stingrāku prasību noteikšanas, nekā paredzēts attiecīgajos ES tiesību aktos</w:t>
            </w:r>
          </w:p>
        </w:tc>
      </w:tr>
      <w:tr w:rsidR="00C2583E" w:rsidTr="00A70605" w14:paraId="56B9B8CE" w14:textId="77777777">
        <w:tc>
          <w:tcPr>
            <w:tcW w:w="1341" w:type="pct"/>
            <w:gridSpan w:val="2"/>
          </w:tcPr>
          <w:p w:rsidR="00C2583E" w:rsidP="005F0AFA" w:rsidRDefault="00C2583E" w14:paraId="34B85DA0" w14:textId="77777777">
            <w:pPr>
              <w:rPr>
                <w:iCs/>
              </w:rPr>
            </w:pPr>
            <w:r w:rsidRPr="00B76709">
              <w:rPr>
                <w:iCs/>
              </w:rPr>
              <w:t>Eiropas Komisijas 2011.gada 9.novembra lēmum</w:t>
            </w:r>
            <w:r>
              <w:rPr>
                <w:iCs/>
              </w:rPr>
              <w:t>s</w:t>
            </w:r>
            <w:r w:rsidRPr="00B76709">
              <w:rPr>
                <w:iCs/>
              </w:rPr>
              <w:t xml:space="preserve"> Nr. C (2011) 7699</w:t>
            </w:r>
            <w:r>
              <w:rPr>
                <w:iCs/>
              </w:rPr>
              <w:t xml:space="preserve"> “Par Valsts atbalstu Nr.SA.33324 (2011/N) – Nākamās paaudzes tīkli lauku teritorijās”</w:t>
            </w:r>
          </w:p>
          <w:p w:rsidRPr="00380D47" w:rsidR="00C2583E" w:rsidP="005F0AFA" w:rsidRDefault="00C2583E" w14:paraId="1FD1B056" w14:textId="00AE5773">
            <w:pPr>
              <w:rPr>
                <w:iCs/>
              </w:rPr>
            </w:pPr>
            <w:r>
              <w:rPr>
                <w:iCs/>
              </w:rPr>
              <w:t>Vispārēja atsauce</w:t>
            </w:r>
          </w:p>
        </w:tc>
        <w:tc>
          <w:tcPr>
            <w:tcW w:w="1344" w:type="pct"/>
          </w:tcPr>
          <w:p w:rsidRPr="00380D47" w:rsidR="00C2583E" w:rsidP="005F0AFA" w:rsidRDefault="00C2583E" w14:paraId="4A669CBF" w14:textId="5F0417A1">
            <w:pPr>
              <w:rPr>
                <w:iCs/>
              </w:rPr>
            </w:pPr>
            <w:r>
              <w:rPr>
                <w:iCs/>
              </w:rPr>
              <w:t>Noteikumu projekta 2.punkts</w:t>
            </w:r>
          </w:p>
        </w:tc>
        <w:tc>
          <w:tcPr>
            <w:tcW w:w="1194" w:type="pct"/>
          </w:tcPr>
          <w:p w:rsidRPr="00380D47" w:rsidR="00C2583E" w:rsidP="005F0AFA" w:rsidRDefault="00C2583E" w14:paraId="5D982C7E" w14:textId="50D9E558">
            <w:pPr>
              <w:rPr>
                <w:iCs/>
              </w:rPr>
            </w:pPr>
            <w:r>
              <w:rPr>
                <w:iCs/>
              </w:rPr>
              <w:t>Ieviestas pilnībā</w:t>
            </w:r>
          </w:p>
        </w:tc>
        <w:tc>
          <w:tcPr>
            <w:tcW w:w="1121" w:type="pct"/>
          </w:tcPr>
          <w:p w:rsidRPr="00380D47" w:rsidR="00C2583E" w:rsidP="005F0AFA" w:rsidRDefault="00C2583E" w14:paraId="31EFC733" w14:textId="576DE5E0">
            <w:pPr>
              <w:rPr>
                <w:iCs/>
              </w:rPr>
            </w:pPr>
            <w:bookmarkStart w:name="_Hlk33433356" w:id="9"/>
            <w:r>
              <w:rPr>
                <w:iCs/>
              </w:rPr>
              <w:t>Neparedz stingrākas prasības</w:t>
            </w:r>
            <w:bookmarkEnd w:id="9"/>
          </w:p>
        </w:tc>
      </w:tr>
      <w:tr w:rsidR="00A70605" w:rsidTr="00A70605" w14:paraId="799941EA" w14:textId="77777777">
        <w:tc>
          <w:tcPr>
            <w:tcW w:w="1341" w:type="pct"/>
            <w:gridSpan w:val="2"/>
          </w:tcPr>
          <w:p w:rsidR="00A70605" w:rsidP="005F0AFA" w:rsidRDefault="00A70605" w14:paraId="37D66652" w14:textId="77777777">
            <w:pPr>
              <w:rPr>
                <w:shd w:val="clear" w:color="auto" w:fill="FFFFFF"/>
              </w:rPr>
            </w:pPr>
            <w:r w:rsidRPr="00C2583E">
              <w:rPr>
                <w:shd w:val="clear" w:color="auto" w:fill="FFFFFF"/>
              </w:rPr>
              <w:t>Komisijas Regula</w:t>
            </w:r>
            <w:r w:rsidR="00E972B0">
              <w:rPr>
                <w:shd w:val="clear" w:color="auto" w:fill="FFFFFF"/>
              </w:rPr>
              <w:t>s</w:t>
            </w:r>
            <w:r w:rsidRPr="00C2583E">
              <w:rPr>
                <w:shd w:val="clear" w:color="auto" w:fill="FFFFFF"/>
              </w:rPr>
              <w:t xml:space="preserve"> (EK) Nr. 794/2004 ( 2004. gada 21. aprīlis ), ar ko īsteno Padomes Regulu (ES) 2015/1589, ar ko nosaka sīki izstrādātus </w:t>
            </w:r>
            <w:r w:rsidRPr="00C2583E">
              <w:rPr>
                <w:shd w:val="clear" w:color="auto" w:fill="FFFFFF"/>
              </w:rPr>
              <w:lastRenderedPageBreak/>
              <w:t>noteikumus Līguma par Eiropas Savienības darbību 108. panta piemērošanai</w:t>
            </w:r>
          </w:p>
          <w:p w:rsidRPr="00B76709" w:rsidR="00762393" w:rsidP="005F0AFA" w:rsidRDefault="00762393" w14:paraId="00740033" w14:textId="372036F3">
            <w:pPr>
              <w:rPr>
                <w:iCs/>
              </w:rPr>
            </w:pPr>
            <w:r w:rsidRPr="00762393">
              <w:rPr>
                <w:iCs/>
                <w:shd w:val="clear" w:color="auto" w:fill="FFFFFF"/>
              </w:rPr>
              <w:t>V nodaļas 10. un 11.pants</w:t>
            </w:r>
          </w:p>
        </w:tc>
        <w:tc>
          <w:tcPr>
            <w:tcW w:w="1344" w:type="pct"/>
          </w:tcPr>
          <w:p w:rsidR="00A70605" w:rsidP="005F0AFA" w:rsidRDefault="00A70605" w14:paraId="7D384425" w14:textId="24FA5D28">
            <w:pPr>
              <w:rPr>
                <w:iCs/>
              </w:rPr>
            </w:pPr>
            <w:r>
              <w:rPr>
                <w:iCs/>
              </w:rPr>
              <w:lastRenderedPageBreak/>
              <w:t>Noteikumu projekta 2.punkts</w:t>
            </w:r>
          </w:p>
        </w:tc>
        <w:tc>
          <w:tcPr>
            <w:tcW w:w="1194" w:type="pct"/>
          </w:tcPr>
          <w:p w:rsidR="00A70605" w:rsidP="005F0AFA" w:rsidRDefault="00A70605" w14:paraId="729B324E" w14:textId="4466F500">
            <w:pPr>
              <w:rPr>
                <w:iCs/>
              </w:rPr>
            </w:pPr>
            <w:r>
              <w:rPr>
                <w:iCs/>
              </w:rPr>
              <w:t>Ieviestas pilnībā</w:t>
            </w:r>
          </w:p>
        </w:tc>
        <w:tc>
          <w:tcPr>
            <w:tcW w:w="1121" w:type="pct"/>
          </w:tcPr>
          <w:p w:rsidR="00A70605" w:rsidP="005F0AFA" w:rsidRDefault="00A70605" w14:paraId="46E5D13F" w14:textId="63762D5C">
            <w:pPr>
              <w:rPr>
                <w:iCs/>
              </w:rPr>
            </w:pPr>
            <w:r>
              <w:rPr>
                <w:iCs/>
              </w:rPr>
              <w:t>Neparedz stingrākas prasības</w:t>
            </w:r>
          </w:p>
        </w:tc>
      </w:tr>
      <w:tr w:rsidR="00A70605" w:rsidTr="00A70605" w14:paraId="5D6E83E5" w14:textId="77777777">
        <w:tc>
          <w:tcPr>
            <w:tcW w:w="1341" w:type="pct"/>
            <w:gridSpan w:val="2"/>
          </w:tcPr>
          <w:p w:rsidR="00A70605" w:rsidP="005F0AFA" w:rsidRDefault="00A70605" w14:paraId="7196ACEA" w14:textId="038E5B50">
            <w:r w:rsidRPr="00A70605">
              <w:rPr>
                <w:iCs/>
              </w:rPr>
              <w:t xml:space="preserve">Kā ir izmantota ES tiesību aktā paredzētā rīcības brīvība dalībvalstij pārņemt vai ieviest noteiktas ES tiesību akta normas? </w:t>
            </w:r>
            <w:r w:rsidRPr="00A70605">
              <w:rPr>
                <w:iCs/>
                <w:lang w:val="en-US"/>
              </w:rPr>
              <w:t>Kādēļ?</w:t>
            </w:r>
          </w:p>
        </w:tc>
        <w:tc>
          <w:tcPr>
            <w:tcW w:w="3659" w:type="pct"/>
            <w:gridSpan w:val="3"/>
          </w:tcPr>
          <w:p w:rsidR="00A70605" w:rsidP="005F0AFA" w:rsidRDefault="001761E9" w14:paraId="3C748712" w14:textId="1C65AFF7">
            <w:r>
              <w:t>Projekts šo jomu neskar.</w:t>
            </w:r>
          </w:p>
        </w:tc>
      </w:tr>
      <w:tr w:rsidR="00A70605" w:rsidTr="00A70605" w14:paraId="3967790B" w14:textId="77777777">
        <w:tc>
          <w:tcPr>
            <w:tcW w:w="1341" w:type="pct"/>
            <w:gridSpan w:val="2"/>
          </w:tcPr>
          <w:p w:rsidRPr="00A70605" w:rsidR="00A70605" w:rsidP="00A70605" w:rsidRDefault="00A70605" w14:paraId="293FDE20" w14:textId="0816C152">
            <w:pPr>
              <w:rPr>
                <w:iCs/>
              </w:rPr>
            </w:pPr>
            <w:r w:rsidRPr="00A70605">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9" w:type="pct"/>
            <w:gridSpan w:val="3"/>
          </w:tcPr>
          <w:p w:rsidR="00A70605" w:rsidP="00A70605" w:rsidRDefault="001761E9" w14:paraId="12394061" w14:textId="7A8DE251">
            <w:r>
              <w:t>Projekts šo jomu neskar.</w:t>
            </w:r>
          </w:p>
        </w:tc>
      </w:tr>
      <w:tr w:rsidR="00A70605" w:rsidTr="00A70605" w14:paraId="13D80CC1" w14:textId="77777777">
        <w:tc>
          <w:tcPr>
            <w:tcW w:w="1341" w:type="pct"/>
            <w:gridSpan w:val="2"/>
          </w:tcPr>
          <w:p w:rsidRPr="00A70605" w:rsidR="00A70605" w:rsidP="00A70605" w:rsidRDefault="00A70605" w14:paraId="5EF3EE2D" w14:textId="23A609C3">
            <w:pPr>
              <w:rPr>
                <w:iCs/>
              </w:rPr>
            </w:pPr>
            <w:r>
              <w:rPr>
                <w:iCs/>
              </w:rPr>
              <w:t>Cita informācija</w:t>
            </w:r>
          </w:p>
        </w:tc>
        <w:tc>
          <w:tcPr>
            <w:tcW w:w="3659" w:type="pct"/>
            <w:gridSpan w:val="3"/>
          </w:tcPr>
          <w:p w:rsidR="00A70605" w:rsidP="00A70605" w:rsidRDefault="00A70605" w14:paraId="4F0527E3" w14:textId="6DBEC33C">
            <w:r>
              <w:t>Nav</w:t>
            </w:r>
          </w:p>
        </w:tc>
      </w:tr>
      <w:tr w:rsidR="00A70605" w:rsidTr="00A70605" w14:paraId="708A3B3E" w14:textId="77777777">
        <w:tc>
          <w:tcPr>
            <w:tcW w:w="4999" w:type="pct"/>
            <w:gridSpan w:val="5"/>
          </w:tcPr>
          <w:p w:rsidR="00A70605" w:rsidP="00A70605" w:rsidRDefault="00A70605" w14:paraId="5491983D" w14:textId="28F437C5">
            <w:pPr>
              <w:jc w:val="center"/>
            </w:pPr>
            <w:r w:rsidRPr="00A70605">
              <w:rPr>
                <w:b/>
                <w:bCs/>
                <w:iCs/>
              </w:rPr>
              <w:t>2. tabula</w:t>
            </w:r>
            <w:r w:rsidRPr="00A70605">
              <w:rPr>
                <w:b/>
                <w:bCs/>
                <w:iCs/>
              </w:rPr>
              <w:br/>
              <w:t>Ar tiesību akta projektu izpildītās vai uzņemtās saistības, kas izriet no starptautiskajiem tiesību aktiem vai starptautiskas institūcijas vai organizācijas dokumentiem.</w:t>
            </w:r>
            <w:r w:rsidRPr="00A70605">
              <w:rPr>
                <w:b/>
                <w:bCs/>
                <w:iCs/>
              </w:rPr>
              <w:br/>
              <w:t>Pasākumi šo saistību izpildei</w:t>
            </w:r>
          </w:p>
        </w:tc>
      </w:tr>
      <w:tr w:rsidR="00A70605" w:rsidTr="00A70605" w14:paraId="22E1588F" w14:textId="77777777">
        <w:tc>
          <w:tcPr>
            <w:tcW w:w="4999" w:type="pct"/>
            <w:gridSpan w:val="5"/>
          </w:tcPr>
          <w:p w:rsidRPr="00A70605" w:rsidR="00A70605" w:rsidP="00A70605" w:rsidRDefault="00A70605" w14:paraId="02DE3D46" w14:textId="5460E6A7">
            <w:pPr>
              <w:jc w:val="center"/>
              <w:rPr>
                <w:iCs/>
              </w:rPr>
            </w:pPr>
            <w:r w:rsidRPr="00A70605">
              <w:rPr>
                <w:iCs/>
              </w:rPr>
              <w:t>Noteikumu projekts šo jomu neskar</w:t>
            </w:r>
          </w:p>
        </w:tc>
      </w:tr>
    </w:tbl>
    <w:p w:rsidR="00A70605" w:rsidP="005F0AFA" w:rsidRDefault="00A70605" w14:paraId="3300A69F" w14:textId="3675D750"/>
    <w:p w:rsidR="00F92EB1" w:rsidP="005F0AFA" w:rsidRDefault="00F92EB1" w14:paraId="61D1DE7E" w14:textId="77777777"/>
    <w:tbl>
      <w:tblPr>
        <w:tblW w:w="5593" w:type="pct"/>
        <w:tblInd w:w="-2" w:type="dxa"/>
        <w:tblCellMar>
          <w:left w:w="0" w:type="dxa"/>
          <w:right w:w="0" w:type="dxa"/>
        </w:tblCellMar>
        <w:tblLook w:val="04A0" w:firstRow="1" w:lastRow="0" w:firstColumn="1" w:lastColumn="0" w:noHBand="0" w:noVBand="1"/>
      </w:tblPr>
      <w:tblGrid>
        <w:gridCol w:w="471"/>
        <w:gridCol w:w="2925"/>
        <w:gridCol w:w="6094"/>
      </w:tblGrid>
      <w:tr w:rsidR="00D63D5C" w:rsidTr="00D63D5C" w14:paraId="33B44A92" w14:textId="77777777">
        <w:trPr>
          <w:trHeight w:val="420"/>
        </w:trPr>
        <w:tc>
          <w:tcPr>
            <w:tcW w:w="5000" w:type="pct"/>
            <w:gridSpan w:val="3"/>
            <w:tcBorders>
              <w:top w:val="outset" w:color="414142" w:sz="8" w:space="0"/>
              <w:left w:val="outset" w:color="414142" w:sz="8" w:space="0"/>
              <w:bottom w:val="outset" w:color="414142" w:sz="8" w:space="0"/>
              <w:right w:val="outset" w:color="414142" w:sz="8" w:space="0"/>
            </w:tcBorders>
            <w:tcMar>
              <w:top w:w="30" w:type="dxa"/>
              <w:left w:w="30" w:type="dxa"/>
              <w:bottom w:w="30" w:type="dxa"/>
              <w:right w:w="30" w:type="dxa"/>
            </w:tcMar>
            <w:vAlign w:val="center"/>
            <w:hideMark/>
          </w:tcPr>
          <w:p w:rsidR="00D63D5C" w:rsidRDefault="00D63D5C" w14:paraId="2E70AD47" w14:textId="77777777">
            <w:pPr>
              <w:spacing w:line="276" w:lineRule="auto"/>
              <w:ind w:firstLine="300"/>
              <w:jc w:val="center"/>
              <w:rPr>
                <w:b/>
                <w:bCs/>
                <w:lang w:eastAsia="en-US"/>
              </w:rPr>
            </w:pPr>
            <w:r>
              <w:rPr>
                <w:b/>
                <w:bCs/>
                <w:lang w:eastAsia="en-US"/>
              </w:rPr>
              <w:t>VI. Sabiedrības līdzdalība un komunikācijas aktivitātes</w:t>
            </w:r>
          </w:p>
        </w:tc>
      </w:tr>
      <w:tr w:rsidR="00D63D5C" w:rsidTr="00D63D5C" w14:paraId="70F04532" w14:textId="77777777">
        <w:trPr>
          <w:trHeight w:val="420"/>
        </w:trPr>
        <w:tc>
          <w:tcPr>
            <w:tcW w:w="248"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00D63D5C" w:rsidRDefault="00D63D5C" w14:paraId="28E90C1F" w14:textId="77777777">
            <w:pPr>
              <w:spacing w:line="276" w:lineRule="auto"/>
              <w:rPr>
                <w:lang w:eastAsia="en-US"/>
              </w:rPr>
            </w:pPr>
            <w:r>
              <w:rPr>
                <w:lang w:eastAsia="en-US"/>
              </w:rPr>
              <w:t>1.</w:t>
            </w:r>
          </w:p>
        </w:tc>
        <w:tc>
          <w:tcPr>
            <w:tcW w:w="154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P="00DE6E4B" w:rsidRDefault="00D63D5C" w14:paraId="0F82C48D" w14:textId="77777777">
            <w:pPr>
              <w:rPr>
                <w:lang w:eastAsia="en-US"/>
              </w:rPr>
            </w:pPr>
            <w:r>
              <w:rPr>
                <w:lang w:eastAsia="en-US"/>
              </w:rPr>
              <w:t>Plānotās sabiedrības līdzdalības un komunikācijas aktivitātes saistībā ar projektu</w:t>
            </w:r>
          </w:p>
        </w:tc>
        <w:tc>
          <w:tcPr>
            <w:tcW w:w="321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P="00DE6E4B" w:rsidRDefault="00D63D5C" w14:paraId="26BB0D0C" w14:textId="77777777">
            <w:pPr>
              <w:jc w:val="both"/>
              <w:rPr>
                <w:lang w:eastAsia="en-US"/>
              </w:rPr>
            </w:pPr>
            <w:r>
              <w:rPr>
                <w:lang w:eastAsia="en-US"/>
              </w:rPr>
              <w:t>Atbilstoši Ministru kabineta 2009.gada 25.augusta noteikumu Nr.970 „Sabiedrības līdzdalības kārtība attīstības plānošanas procesā” 7.4.</w:t>
            </w:r>
            <w:r>
              <w:rPr>
                <w:vertAlign w:val="superscript"/>
                <w:lang w:eastAsia="en-US"/>
              </w:rPr>
              <w:t>1</w:t>
            </w:r>
            <w:r>
              <w:rPr>
                <w:lang w:eastAsia="en-US"/>
              </w:rPr>
              <w:t xml:space="preserve"> apakšpunktam sabiedrībai ir dota iespēja rakstiski sniegt viedokli par noteikumu projektu tā izstrādes stadijā.</w:t>
            </w:r>
          </w:p>
        </w:tc>
      </w:tr>
      <w:tr w:rsidR="00D63D5C" w:rsidTr="00D63D5C" w14:paraId="4502092F" w14:textId="77777777">
        <w:trPr>
          <w:trHeight w:val="420"/>
        </w:trPr>
        <w:tc>
          <w:tcPr>
            <w:tcW w:w="248"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00D63D5C" w:rsidRDefault="00D63D5C" w14:paraId="4C9B8613" w14:textId="77777777">
            <w:pPr>
              <w:spacing w:line="276" w:lineRule="auto"/>
              <w:rPr>
                <w:lang w:eastAsia="en-US"/>
              </w:rPr>
            </w:pPr>
            <w:r>
              <w:rPr>
                <w:lang w:eastAsia="en-US"/>
              </w:rPr>
              <w:t>2.</w:t>
            </w:r>
          </w:p>
        </w:tc>
        <w:tc>
          <w:tcPr>
            <w:tcW w:w="154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P="00DE6E4B" w:rsidRDefault="00D63D5C" w14:paraId="05736AEF" w14:textId="77777777">
            <w:pPr>
              <w:rPr>
                <w:lang w:eastAsia="en-US"/>
              </w:rPr>
            </w:pPr>
            <w:r>
              <w:rPr>
                <w:lang w:eastAsia="en-US"/>
              </w:rPr>
              <w:t>Sabiedrības līdzdalība projekta izstrādē</w:t>
            </w:r>
          </w:p>
        </w:tc>
        <w:tc>
          <w:tcPr>
            <w:tcW w:w="321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P="00DE6E4B" w:rsidRDefault="000C4494" w14:paraId="37DA191C" w14:textId="0E0418E2">
            <w:pPr>
              <w:jc w:val="both"/>
              <w:rPr>
                <w:lang w:eastAsia="en-US"/>
              </w:rPr>
            </w:pPr>
            <w:r>
              <w:t>N</w:t>
            </w:r>
            <w:r w:rsidR="00661FAF">
              <w:t xml:space="preserve">oteikumu </w:t>
            </w:r>
            <w:r w:rsidRPr="003346A4" w:rsidR="00661FAF">
              <w:t xml:space="preserve">projekts </w:t>
            </w:r>
            <w:r w:rsidRPr="003346A4">
              <w:t>2019.</w:t>
            </w:r>
            <w:r>
              <w:t> </w:t>
            </w:r>
            <w:r w:rsidRPr="003346A4">
              <w:t xml:space="preserve">gada </w:t>
            </w:r>
            <w:r>
              <w:t>16</w:t>
            </w:r>
            <w:r w:rsidRPr="003346A4">
              <w:t>.</w:t>
            </w:r>
            <w:r>
              <w:t> decembrī</w:t>
            </w:r>
            <w:r w:rsidRPr="003346A4">
              <w:t xml:space="preserve"> </w:t>
            </w:r>
            <w:r w:rsidRPr="003346A4" w:rsidR="00661FAF">
              <w:t xml:space="preserve">tika publicēts Satiksmes ministrijas tīmekļa vietnē </w:t>
            </w:r>
            <w:hyperlink w:history="1" r:id="rId8">
              <w:r w:rsidRPr="003346A4" w:rsidR="00661FAF">
                <w:rPr>
                  <w:rStyle w:val="Hyperlink"/>
                </w:rPr>
                <w:t>http://www.sam.gov.lv/satmin/content/?cat=553</w:t>
              </w:r>
            </w:hyperlink>
          </w:p>
        </w:tc>
      </w:tr>
      <w:tr w:rsidR="00D63D5C" w:rsidTr="00D63D5C" w14:paraId="0070CFAE" w14:textId="77777777">
        <w:trPr>
          <w:trHeight w:val="420"/>
        </w:trPr>
        <w:tc>
          <w:tcPr>
            <w:tcW w:w="248"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00D63D5C" w:rsidRDefault="00D63D5C" w14:paraId="7A272AE2" w14:textId="77777777">
            <w:pPr>
              <w:spacing w:line="276" w:lineRule="auto"/>
              <w:rPr>
                <w:lang w:eastAsia="en-US"/>
              </w:rPr>
            </w:pPr>
            <w:r>
              <w:rPr>
                <w:lang w:eastAsia="en-US"/>
              </w:rPr>
              <w:t>3.</w:t>
            </w:r>
          </w:p>
        </w:tc>
        <w:tc>
          <w:tcPr>
            <w:tcW w:w="154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P="00DE6E4B" w:rsidRDefault="00D63D5C" w14:paraId="4BA525FF" w14:textId="77777777">
            <w:pPr>
              <w:rPr>
                <w:lang w:eastAsia="en-US"/>
              </w:rPr>
            </w:pPr>
            <w:r>
              <w:rPr>
                <w:lang w:eastAsia="en-US"/>
              </w:rPr>
              <w:t>Sabiedrības līdzdalības rezultāti</w:t>
            </w:r>
          </w:p>
        </w:tc>
        <w:tc>
          <w:tcPr>
            <w:tcW w:w="321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RDefault="00661FAF" w14:paraId="19AF9842" w14:textId="0566E1EB">
            <w:pPr>
              <w:spacing w:line="276" w:lineRule="auto"/>
              <w:jc w:val="both"/>
              <w:rPr>
                <w:lang w:eastAsia="en-US"/>
              </w:rPr>
            </w:pPr>
            <w:r w:rsidRPr="005A4E5B">
              <w:t>Iebildumi vai priekšlikumi netika saņemti.</w:t>
            </w:r>
          </w:p>
        </w:tc>
      </w:tr>
      <w:tr w:rsidR="00D63D5C" w:rsidTr="00D63D5C" w14:paraId="7E0103B0" w14:textId="77777777">
        <w:trPr>
          <w:trHeight w:val="420"/>
        </w:trPr>
        <w:tc>
          <w:tcPr>
            <w:tcW w:w="248"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00D63D5C" w:rsidRDefault="00D63D5C" w14:paraId="02DC066E" w14:textId="77777777">
            <w:pPr>
              <w:spacing w:line="276" w:lineRule="auto"/>
              <w:rPr>
                <w:lang w:eastAsia="en-US"/>
              </w:rPr>
            </w:pPr>
            <w:r>
              <w:rPr>
                <w:lang w:eastAsia="en-US"/>
              </w:rPr>
              <w:t>4.</w:t>
            </w:r>
          </w:p>
        </w:tc>
        <w:tc>
          <w:tcPr>
            <w:tcW w:w="154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RDefault="00D63D5C" w14:paraId="4DEF50A0" w14:textId="77777777">
            <w:pPr>
              <w:spacing w:line="276" w:lineRule="auto"/>
              <w:rPr>
                <w:lang w:eastAsia="en-US"/>
              </w:rPr>
            </w:pPr>
            <w:r>
              <w:rPr>
                <w:lang w:eastAsia="en-US"/>
              </w:rPr>
              <w:t>Cita informācija</w:t>
            </w:r>
          </w:p>
        </w:tc>
        <w:tc>
          <w:tcPr>
            <w:tcW w:w="3211" w:type="pct"/>
            <w:tcBorders>
              <w:top w:val="nil"/>
              <w:left w:val="nil"/>
              <w:bottom w:val="outset" w:color="414142" w:sz="8" w:space="0"/>
              <w:right w:val="outset" w:color="414142" w:sz="8" w:space="0"/>
            </w:tcBorders>
            <w:tcMar>
              <w:top w:w="30" w:type="dxa"/>
              <w:left w:w="30" w:type="dxa"/>
              <w:bottom w:w="30" w:type="dxa"/>
              <w:right w:w="30" w:type="dxa"/>
            </w:tcMar>
            <w:hideMark/>
          </w:tcPr>
          <w:p w:rsidR="00D63D5C" w:rsidRDefault="00D63D5C" w14:paraId="70F4E4F8" w14:textId="77777777">
            <w:pPr>
              <w:spacing w:line="276" w:lineRule="auto"/>
              <w:jc w:val="both"/>
              <w:rPr>
                <w:lang w:eastAsia="en-US"/>
              </w:rPr>
            </w:pPr>
            <w:r>
              <w:rPr>
                <w:lang w:eastAsia="en-US"/>
              </w:rPr>
              <w:t>Nav.</w:t>
            </w:r>
          </w:p>
        </w:tc>
      </w:tr>
    </w:tbl>
    <w:p w:rsidR="005F0AFA" w:rsidP="005F0AFA" w:rsidRDefault="005F0AFA" w14:paraId="41A85185" w14:textId="6BB6C928"/>
    <w:p w:rsidR="00F92EB1" w:rsidP="005F0AFA" w:rsidRDefault="00F92EB1" w14:paraId="5E4FFE7D" w14:textId="3DE2DE19"/>
    <w:p w:rsidR="00F92EB1" w:rsidP="005F0AFA" w:rsidRDefault="00F92EB1" w14:paraId="436F3302" w14:textId="1C04A9F9"/>
    <w:p w:rsidR="00F92EB1" w:rsidP="005F0AFA" w:rsidRDefault="00F92EB1" w14:paraId="79F96B8D" w14:textId="70A005F8"/>
    <w:p w:rsidRPr="00BC2633" w:rsidR="00F92EB1" w:rsidP="005F0AFA" w:rsidRDefault="00F92EB1" w14:paraId="4611DDC6" w14:textId="77777777"/>
    <w:tbl>
      <w:tblPr>
        <w:tblW w:w="559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3"/>
        <w:gridCol w:w="3024"/>
        <w:gridCol w:w="6043"/>
      </w:tblGrid>
      <w:tr w:rsidRPr="00BC2633" w:rsidR="005F0AFA" w:rsidTr="00D63D5C" w14:paraId="118F2901"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5F0AFA" w:rsidP="009D710E" w:rsidRDefault="005F0AFA" w14:paraId="714C275E" w14:textId="77777777">
            <w:pPr>
              <w:ind w:firstLine="300"/>
              <w:jc w:val="center"/>
              <w:rPr>
                <w:b/>
                <w:bCs/>
              </w:rPr>
            </w:pPr>
            <w:r w:rsidRPr="00BC2633">
              <w:rPr>
                <w:b/>
                <w:bCs/>
              </w:rPr>
              <w:t>VII. Tiesību akta projekta izpildes nodrošināšana un tās ietekme uz institūcijām</w:t>
            </w:r>
          </w:p>
        </w:tc>
      </w:tr>
      <w:tr w:rsidRPr="00BC2633" w:rsidR="005F0AFA" w:rsidTr="00D63D5C" w14:paraId="7E3B14A7" w14:textId="77777777">
        <w:trPr>
          <w:trHeight w:val="420"/>
        </w:trPr>
        <w:tc>
          <w:tcPr>
            <w:tcW w:w="22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C24B58C" w14:textId="77777777">
            <w:pPr>
              <w:spacing w:before="130"/>
            </w:pPr>
            <w:r w:rsidRPr="00BC2633">
              <w:t>1.</w:t>
            </w:r>
          </w:p>
        </w:tc>
        <w:tc>
          <w:tcPr>
            <w:tcW w:w="159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67559FD0" w14:textId="77777777">
            <w:pPr>
              <w:spacing w:before="130"/>
            </w:pPr>
            <w:r w:rsidRPr="00BC2633">
              <w:t>Projekta izpildē iesaistītās institūcijas</w:t>
            </w:r>
          </w:p>
        </w:tc>
        <w:tc>
          <w:tcPr>
            <w:tcW w:w="3183" w:type="pct"/>
            <w:tcBorders>
              <w:top w:val="outset" w:color="414142" w:sz="6" w:space="0"/>
              <w:left w:val="outset" w:color="414142" w:sz="6" w:space="0"/>
              <w:bottom w:val="outset" w:color="414142" w:sz="6" w:space="0"/>
              <w:right w:val="outset" w:color="414142" w:sz="6" w:space="0"/>
            </w:tcBorders>
            <w:hideMark/>
          </w:tcPr>
          <w:p w:rsidRPr="00BC2633" w:rsidR="00EF1536" w:rsidP="009D710E" w:rsidRDefault="005F0AFA" w14:paraId="5AE0D43D" w14:textId="1144ED1D">
            <w:pPr>
              <w:spacing w:before="130"/>
              <w:jc w:val="both"/>
            </w:pPr>
            <w:r>
              <w:t>Satiksmes ministrija</w:t>
            </w:r>
            <w:r w:rsidR="00FE1E1F">
              <w:t xml:space="preserve"> kā </w:t>
            </w:r>
            <w:r w:rsidR="007A2D79">
              <w:t xml:space="preserve">Eiropas Savienības struktūrfondu un Kohēzijas fonda 2014.-2020.gada plānošanas perioda </w:t>
            </w:r>
            <w:r w:rsidR="00FE1E1F">
              <w:t>atbildīgā iestāde</w:t>
            </w:r>
            <w:r>
              <w:t xml:space="preserve">, </w:t>
            </w:r>
            <w:r w:rsidR="00FE1E1F">
              <w:t>sadarbības iestāde.</w:t>
            </w:r>
          </w:p>
        </w:tc>
      </w:tr>
      <w:tr w:rsidRPr="00BC2633" w:rsidR="005F0AFA" w:rsidTr="00D63D5C" w14:paraId="5A3832E9" w14:textId="77777777">
        <w:trPr>
          <w:trHeight w:val="450"/>
        </w:trPr>
        <w:tc>
          <w:tcPr>
            <w:tcW w:w="22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B944B78" w14:textId="77777777">
            <w:pPr>
              <w:spacing w:before="130"/>
            </w:pPr>
            <w:r w:rsidRPr="00BC2633">
              <w:t>2.</w:t>
            </w:r>
          </w:p>
        </w:tc>
        <w:tc>
          <w:tcPr>
            <w:tcW w:w="159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43201DB9" w14:textId="77777777">
            <w:pPr>
              <w:spacing w:before="130"/>
            </w:pPr>
            <w:r w:rsidRPr="00BC2633">
              <w:t xml:space="preserve">Projekta izpildes ietekme uz pārvaldes funkcijām un institucionālo struktūru. </w:t>
            </w:r>
          </w:p>
          <w:p w:rsidRPr="00BC2633" w:rsidR="005F0AFA" w:rsidP="009D710E" w:rsidRDefault="005F0AFA" w14:paraId="422127F6" w14:textId="77777777">
            <w:pPr>
              <w:spacing w:before="130"/>
            </w:pPr>
            <w:r w:rsidRPr="00BC2633">
              <w:t>Jaunu institūciju izveide, esošu institūciju likvidācija vai reorganizācija, to ietekme uz institūcijas cilvēkresursiem</w:t>
            </w:r>
          </w:p>
        </w:tc>
        <w:tc>
          <w:tcPr>
            <w:tcW w:w="318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0D06D579" w14:textId="77777777">
            <w:pPr>
              <w:spacing w:before="130"/>
              <w:jc w:val="both"/>
            </w:pPr>
            <w:r w:rsidRPr="00F218F6">
              <w:t>Projekts šo jomu neskar</w:t>
            </w:r>
            <w:r>
              <w:t>.</w:t>
            </w:r>
          </w:p>
        </w:tc>
      </w:tr>
      <w:tr w:rsidRPr="00BC2633" w:rsidR="005F0AFA" w:rsidTr="00D63D5C" w14:paraId="1BF7DDFB" w14:textId="77777777">
        <w:trPr>
          <w:trHeight w:val="390"/>
        </w:trPr>
        <w:tc>
          <w:tcPr>
            <w:tcW w:w="22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905F813" w14:textId="77777777">
            <w:pPr>
              <w:spacing w:before="130"/>
            </w:pPr>
            <w:r w:rsidRPr="00BC2633">
              <w:t>3.</w:t>
            </w:r>
          </w:p>
        </w:tc>
        <w:tc>
          <w:tcPr>
            <w:tcW w:w="159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50ACC2A" w14:textId="77777777">
            <w:pPr>
              <w:spacing w:before="130"/>
            </w:pPr>
            <w:r w:rsidRPr="00BC2633">
              <w:t>Cita informācija</w:t>
            </w:r>
          </w:p>
        </w:tc>
        <w:tc>
          <w:tcPr>
            <w:tcW w:w="3183"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7A474A3C" w14:textId="77777777">
            <w:pPr>
              <w:spacing w:before="130"/>
              <w:jc w:val="both"/>
            </w:pPr>
            <w:r>
              <w:t>Nav.</w:t>
            </w:r>
          </w:p>
        </w:tc>
      </w:tr>
    </w:tbl>
    <w:p w:rsidR="00E5496E" w:rsidP="005F0AFA" w:rsidRDefault="00E5496E" w14:paraId="2A4FB3A8" w14:textId="77777777">
      <w:pPr>
        <w:jc w:val="both"/>
      </w:pPr>
    </w:p>
    <w:p w:rsidR="00E5496E" w:rsidP="005F0AFA" w:rsidRDefault="00E5496E" w14:paraId="36725A28" w14:textId="77777777">
      <w:pPr>
        <w:jc w:val="both"/>
      </w:pPr>
    </w:p>
    <w:p w:rsidRPr="00C50295" w:rsidR="005F0AFA" w:rsidP="005F0AFA" w:rsidRDefault="005F0AFA" w14:paraId="4FF82620" w14:textId="4EABF8BD">
      <w:pPr>
        <w:jc w:val="both"/>
      </w:pPr>
      <w:r w:rsidRPr="00C50295">
        <w:t>Iesniedzējs:</w:t>
      </w:r>
    </w:p>
    <w:p w:rsidRPr="00C50295" w:rsidR="005F0AFA" w:rsidP="00022F62" w:rsidRDefault="005F0AFA" w14:paraId="7DDB77BB" w14:textId="0C518FC1">
      <w:pPr>
        <w:tabs>
          <w:tab w:val="left" w:pos="6379"/>
        </w:tabs>
        <w:jc w:val="both"/>
      </w:pPr>
      <w:r>
        <w:t>satiksmes</w:t>
      </w:r>
      <w:r w:rsidRPr="00C50295">
        <w:t xml:space="preserve"> ministrs</w:t>
      </w:r>
      <w:r>
        <w:tab/>
      </w:r>
      <w:r w:rsidR="00832A28">
        <w:tab/>
      </w:r>
      <w:r w:rsidR="00832A28">
        <w:tab/>
      </w:r>
      <w:r>
        <w:t>T.</w:t>
      </w:r>
      <w:r w:rsidR="00542B96">
        <w:t xml:space="preserve"> </w:t>
      </w:r>
      <w:r>
        <w:t>Linkaits</w:t>
      </w:r>
    </w:p>
    <w:p w:rsidR="005F0AFA" w:rsidP="005F0AFA" w:rsidRDefault="005F0AFA" w14:paraId="678D4687" w14:textId="77777777">
      <w:pPr>
        <w:pStyle w:val="naisf"/>
        <w:spacing w:before="0" w:beforeAutospacing="0" w:after="0" w:afterAutospacing="0"/>
      </w:pPr>
    </w:p>
    <w:p w:rsidRPr="00022F62" w:rsidR="00022F62" w:rsidP="00022F62" w:rsidRDefault="005F0AFA" w14:paraId="41C45407" w14:textId="551A6990">
      <w:pPr>
        <w:jc w:val="both"/>
        <w:rPr>
          <w:lang w:val="nl-NL"/>
        </w:rPr>
      </w:pPr>
      <w:r>
        <w:t>Vīza:</w:t>
      </w:r>
      <w:r w:rsidR="0071199E">
        <w:t xml:space="preserve"> </w:t>
      </w:r>
      <w:r w:rsidRPr="00022F62" w:rsidR="00022F62">
        <w:rPr>
          <w:lang w:val="nl-NL"/>
        </w:rPr>
        <w:t>valsts sekretāra vietā</w:t>
      </w:r>
      <w:r w:rsidR="00C7712F">
        <w:rPr>
          <w:lang w:val="nl-NL"/>
        </w:rPr>
        <w:t xml:space="preserve"> -</w:t>
      </w:r>
      <w:bookmarkStart w:name="_GoBack" w:id="10"/>
      <w:bookmarkEnd w:id="10"/>
    </w:p>
    <w:p w:rsidRPr="00022F62" w:rsidR="00022F62" w:rsidP="00022F62" w:rsidRDefault="00022F62" w14:paraId="23D85DB9" w14:textId="30048D7F">
      <w:pPr>
        <w:tabs>
          <w:tab w:val="left" w:pos="6379"/>
        </w:tabs>
        <w:jc w:val="both"/>
        <w:rPr>
          <w:lang w:val="nl-NL"/>
        </w:rPr>
      </w:pPr>
      <w:r w:rsidRPr="00022F62">
        <w:rPr>
          <w:lang w:val="nl-NL"/>
        </w:rPr>
        <w:t>valsts sekretāra vietniece</w:t>
      </w:r>
      <w:r w:rsidRPr="00022F62">
        <w:rPr>
          <w:lang w:val="nl-NL"/>
        </w:rPr>
        <w:tab/>
      </w:r>
      <w:r w:rsidRPr="00022F62">
        <w:rPr>
          <w:lang w:val="nl-NL"/>
        </w:rPr>
        <w:tab/>
      </w:r>
      <w:r w:rsidR="00832A28">
        <w:rPr>
          <w:lang w:val="nl-NL"/>
        </w:rPr>
        <w:tab/>
      </w:r>
      <w:r w:rsidRPr="00022F62">
        <w:rPr>
          <w:lang w:val="nl-NL"/>
        </w:rPr>
        <w:t>L. Austrupe</w:t>
      </w:r>
    </w:p>
    <w:p w:rsidRPr="00022F62" w:rsidR="00213917" w:rsidP="00022F62" w:rsidRDefault="00213917" w14:paraId="01BBA073" w14:textId="286EE7EE">
      <w:pPr>
        <w:tabs>
          <w:tab w:val="left" w:pos="6379"/>
        </w:tabs>
        <w:jc w:val="both"/>
        <w:rPr>
          <w:lang w:val="nl-NL"/>
        </w:rPr>
      </w:pPr>
    </w:p>
    <w:sectPr w:rsidRPr="00022F62" w:rsidR="00213917" w:rsidSect="00FC0A1B">
      <w:headerReference w:type="default" r:id="rId9"/>
      <w:footerReference w:type="default" r:id="rId10"/>
      <w:pgSz w:w="11906" w:h="16838"/>
      <w:pgMar w:top="1559" w:right="170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0DE9" w14:textId="77777777" w:rsidR="00F22EAE" w:rsidRDefault="00F22EAE" w:rsidP="0067645E">
      <w:r>
        <w:separator/>
      </w:r>
    </w:p>
  </w:endnote>
  <w:endnote w:type="continuationSeparator" w:id="0">
    <w:p w14:paraId="6A7442C9" w14:textId="77777777" w:rsidR="00F22EAE" w:rsidRDefault="00F22EAE" w:rsidP="006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9C08" w14:textId="317A772C" w:rsidR="0067645E" w:rsidRPr="007A2D79" w:rsidRDefault="007A2D79">
    <w:pPr>
      <w:pStyle w:val="Footer"/>
      <w:rPr>
        <w:sz w:val="16"/>
        <w:szCs w:val="16"/>
      </w:rPr>
    </w:pPr>
    <w:r w:rsidRPr="007A2D79">
      <w:rPr>
        <w:sz w:val="16"/>
        <w:szCs w:val="16"/>
      </w:rPr>
      <w:t>SMAnot_022020_MKNgroz664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0808" w14:textId="77777777" w:rsidR="00F22EAE" w:rsidRDefault="00F22EAE" w:rsidP="0067645E">
      <w:r>
        <w:separator/>
      </w:r>
    </w:p>
  </w:footnote>
  <w:footnote w:type="continuationSeparator" w:id="0">
    <w:p w14:paraId="0EB83208" w14:textId="77777777" w:rsidR="00F22EAE" w:rsidRDefault="00F22EAE" w:rsidP="0067645E">
      <w:r>
        <w:continuationSeparator/>
      </w:r>
    </w:p>
  </w:footnote>
  <w:footnote w:id="1">
    <w:p w14:paraId="5D02CFF5" w14:textId="03112694" w:rsidR="008F53F5" w:rsidRPr="00695FAA" w:rsidRDefault="008F53F5" w:rsidP="00ED2842">
      <w:pPr>
        <w:pStyle w:val="FootnoteText"/>
        <w:ind w:right="-994"/>
        <w:jc w:val="both"/>
        <w:rPr>
          <w:rFonts w:ascii="Times New Roman" w:hAnsi="Times New Roman" w:cs="Times New Roman"/>
        </w:rPr>
      </w:pPr>
      <w:r>
        <w:rPr>
          <w:rStyle w:val="FootnoteReference"/>
        </w:rPr>
        <w:footnoteRef/>
      </w:r>
      <w:r>
        <w:t xml:space="preserve"> </w:t>
      </w:r>
      <w:bookmarkStart w:id="1" w:name="_Hlk32509804"/>
      <w:r w:rsidRPr="00695FAA">
        <w:rPr>
          <w:rFonts w:ascii="Times New Roman" w:hAnsi="Times New Roman" w:cs="Times New Roman"/>
          <w:iCs/>
        </w:rPr>
        <w:t>“Grozījum</w:t>
      </w:r>
      <w:r w:rsidR="00C93A50">
        <w:rPr>
          <w:rFonts w:ascii="Times New Roman" w:hAnsi="Times New Roman" w:cs="Times New Roman"/>
          <w:iCs/>
        </w:rPr>
        <w:t>i</w:t>
      </w:r>
      <w:r w:rsidRPr="00695FAA">
        <w:rPr>
          <w:rFonts w:ascii="Times New Roman" w:hAnsi="Times New Roman" w:cs="Times New Roman"/>
          <w:iCs/>
        </w:rPr>
        <w:t xml:space="preserve">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w:t>
      </w:r>
      <w:bookmarkEnd w:id="1"/>
    </w:p>
  </w:footnote>
  <w:footnote w:id="2">
    <w:p w14:paraId="1B6F8CF8" w14:textId="76774D9F" w:rsidR="00C3767F" w:rsidRPr="00C3767F" w:rsidRDefault="00C3767F" w:rsidP="00ED2842">
      <w:pPr>
        <w:pStyle w:val="FootnoteText"/>
        <w:ind w:right="-994"/>
        <w:jc w:val="both"/>
        <w:rPr>
          <w:rFonts w:ascii="Times New Roman" w:hAnsi="Times New Roman" w:cs="Times New Roman"/>
        </w:rPr>
      </w:pPr>
      <w:r>
        <w:rPr>
          <w:rStyle w:val="FootnoteReference"/>
        </w:rPr>
        <w:footnoteRef/>
      </w:r>
      <w:r>
        <w:t xml:space="preserve"> </w:t>
      </w:r>
      <w:r w:rsidRPr="00C3767F">
        <w:rPr>
          <w:rFonts w:ascii="Times New Roman" w:hAnsi="Times New Roman" w:cs="Times New Roman"/>
          <w:iCs/>
        </w:rPr>
        <w:t>Valsts atbalsta programma Nr.SA.33324</w:t>
      </w:r>
      <w:r w:rsidRPr="00C3767F">
        <w:rPr>
          <w:rStyle w:val="FootnoteReference"/>
          <w:rFonts w:ascii="Times New Roman" w:hAnsi="Times New Roman" w:cs="Times New Roman"/>
          <w:iCs/>
        </w:rPr>
        <w:footnoteRef/>
      </w:r>
      <w:r w:rsidRPr="00C3767F">
        <w:rPr>
          <w:rFonts w:ascii="Times New Roman" w:hAnsi="Times New Roman" w:cs="Times New Roman"/>
          <w:iCs/>
        </w:rPr>
        <w:t xml:space="preserve"> “Nākamās paaudzes tīkli lauku teritorijās”, kas apstiprināta ar Eiropas Komisijas 2011.gada 9.novembra lēmumu Nr. C (2011) 7699</w:t>
      </w:r>
    </w:p>
  </w:footnote>
  <w:footnote w:id="3">
    <w:p w14:paraId="3676B700" w14:textId="134997BA" w:rsidR="004819A4" w:rsidRPr="00770BDE" w:rsidRDefault="004819A4" w:rsidP="0071199E">
      <w:pPr>
        <w:pStyle w:val="FootnoteText"/>
        <w:ind w:right="-994"/>
        <w:jc w:val="both"/>
        <w:rPr>
          <w:rFonts w:ascii="Times New Roman" w:hAnsi="Times New Roman" w:cs="Times New Roman"/>
        </w:rPr>
      </w:pPr>
      <w:r w:rsidRPr="00770BDE">
        <w:rPr>
          <w:rStyle w:val="FootnoteReference"/>
          <w:rFonts w:ascii="Times New Roman" w:hAnsi="Times New Roman" w:cs="Times New Roman"/>
        </w:rPr>
        <w:footnoteRef/>
      </w:r>
      <w:r w:rsidRPr="00770BDE">
        <w:rPr>
          <w:rFonts w:ascii="Times New Roman" w:hAnsi="Times New Roman" w:cs="Times New Roman"/>
        </w:rPr>
        <w:t xml:space="preserve"> </w:t>
      </w:r>
      <w:r w:rsidR="00C911D5">
        <w:rPr>
          <w:rFonts w:ascii="Times New Roman" w:hAnsi="Times New Roman" w:cs="Times New Roman"/>
        </w:rPr>
        <w:t>Sadarbības iestādes</w:t>
      </w:r>
      <w:r w:rsidRPr="00770BDE">
        <w:rPr>
          <w:rFonts w:ascii="Times New Roman" w:hAnsi="Times New Roman" w:cs="Times New Roman"/>
        </w:rPr>
        <w:t xml:space="preserve"> 2019. gada 5. decembra</w:t>
      </w:r>
      <w:r>
        <w:rPr>
          <w:rFonts w:ascii="Times New Roman" w:hAnsi="Times New Roman" w:cs="Times New Roman"/>
        </w:rPr>
        <w:t xml:space="preserve"> vēstule Nr. 39-2-40/9368 “Par projekta Nr.2.1.1.0/16/I/001 “Elektroniskās sakaru infrastruktūras pieejamības uzlabošana lauku teritorijās” termiņa pagarinājumu” (reģistrēta Satiksmes ministrijas lietvedībā).</w:t>
      </w:r>
      <w:r w:rsidRPr="00770BDE">
        <w:rPr>
          <w:rFonts w:ascii="Times New Roman" w:hAnsi="Times New Roman" w:cs="Times New Roman"/>
        </w:rPr>
        <w:t xml:space="preserve"> </w:t>
      </w:r>
    </w:p>
  </w:footnote>
  <w:footnote w:id="4">
    <w:p w14:paraId="52026DE7" w14:textId="0CC4B9F7" w:rsidR="00C16142" w:rsidRPr="00C16142" w:rsidRDefault="00C16142" w:rsidP="0071199E">
      <w:pPr>
        <w:pStyle w:val="FootnoteText"/>
        <w:ind w:right="-994"/>
        <w:jc w:val="both"/>
        <w:rPr>
          <w:rFonts w:ascii="Times New Roman" w:hAnsi="Times New Roman" w:cs="Times New Roman"/>
        </w:rPr>
      </w:pPr>
      <w:r w:rsidRPr="00C16142">
        <w:rPr>
          <w:rStyle w:val="FootnoteReference"/>
          <w:rFonts w:ascii="Times New Roman" w:hAnsi="Times New Roman" w:cs="Times New Roman"/>
        </w:rPr>
        <w:footnoteRef/>
      </w:r>
      <w:r w:rsidRPr="00C16142">
        <w:rPr>
          <w:rFonts w:ascii="Times New Roman" w:hAnsi="Times New Roman" w:cs="Times New Roman"/>
        </w:rPr>
        <w:t xml:space="preserve"> Finanšu ministrijas 2019. gada 16. oktobra vēstule Nr. 7-3/18/4861 “Par valsts atbalsta programmas Nr.SA.33324 “Nākamās paaudzes tīkli lauku teritorijās” termiņu” </w:t>
      </w:r>
      <w:bookmarkStart w:id="5" w:name="_Hlk32320430"/>
      <w:r w:rsidRPr="00C16142">
        <w:rPr>
          <w:rFonts w:ascii="Times New Roman" w:hAnsi="Times New Roman" w:cs="Times New Roman"/>
        </w:rPr>
        <w:t>ar Eiropas Komisijas Konkurences ģenerāldirektorāta 2019.gada 14.oktobrī sniegto skaidrojumu</w:t>
      </w:r>
      <w:bookmarkEnd w:id="5"/>
      <w:r w:rsidRPr="00C16142">
        <w:rPr>
          <w:rFonts w:ascii="Times New Roman" w:hAnsi="Times New Roman" w:cs="Times New Roman"/>
        </w:rPr>
        <w:t xml:space="preserve"> (reģistrēta Satiksmes ministrijas lietvedībā).</w:t>
      </w:r>
    </w:p>
  </w:footnote>
  <w:footnote w:id="5">
    <w:p w14:paraId="00455290" w14:textId="77777777" w:rsidR="00126087" w:rsidRPr="006C5153" w:rsidRDefault="00126087" w:rsidP="0071199E">
      <w:pPr>
        <w:pStyle w:val="FootnoteText"/>
        <w:ind w:right="-994"/>
        <w:jc w:val="both"/>
        <w:rPr>
          <w:rFonts w:ascii="Times New Roman" w:hAnsi="Times New Roman" w:cs="Times New Roman"/>
        </w:rPr>
      </w:pPr>
      <w:r>
        <w:rPr>
          <w:rStyle w:val="FootnoteReference"/>
        </w:rPr>
        <w:footnoteRef/>
      </w:r>
      <w:r>
        <w:t xml:space="preserve"> </w:t>
      </w:r>
      <w:r w:rsidRPr="006C5153">
        <w:rPr>
          <w:rFonts w:ascii="Times New Roman" w:hAnsi="Times New Roman" w:cs="Times New Roman"/>
        </w:rPr>
        <w:t xml:space="preserve">Ministru kabineta 2014.gada 16.decembra noteikumu Nr.784 </w:t>
      </w:r>
      <w:r w:rsidRPr="006C5153">
        <w:rPr>
          <w:rStyle w:val="FootnoteReference"/>
          <w:rFonts w:ascii="Times New Roman" w:hAnsi="Times New Roman" w:cs="Times New Roman"/>
        </w:rPr>
        <w:footnoteRef/>
      </w:r>
      <w:r w:rsidRPr="006C5153">
        <w:rPr>
          <w:rFonts w:ascii="Times New Roman" w:hAnsi="Times New Roman" w:cs="Times New Roman"/>
        </w:rPr>
        <w:t>“Kārtība,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60275"/>
      <w:docPartObj>
        <w:docPartGallery w:val="Page Numbers (Top of Page)"/>
        <w:docPartUnique/>
      </w:docPartObj>
    </w:sdtPr>
    <w:sdtEndPr>
      <w:rPr>
        <w:noProof/>
      </w:rPr>
    </w:sdtEndPr>
    <w:sdtContent>
      <w:p w:rsidR="00FC0A1B" w:rsidRDefault="00FC0A1B" w14:paraId="7040B591" w14:textId="0F1CB7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C0A1B" w:rsidRDefault="00FC0A1B" w14:paraId="7762D0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5E8"/>
    <w:multiLevelType w:val="hybridMultilevel"/>
    <w:tmpl w:val="13F033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E070960"/>
    <w:multiLevelType w:val="hybridMultilevel"/>
    <w:tmpl w:val="2BD02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4"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FA"/>
    <w:rsid w:val="00016819"/>
    <w:rsid w:val="00022F62"/>
    <w:rsid w:val="000309E6"/>
    <w:rsid w:val="00036833"/>
    <w:rsid w:val="000440D3"/>
    <w:rsid w:val="0004537B"/>
    <w:rsid w:val="00046943"/>
    <w:rsid w:val="00053CFE"/>
    <w:rsid w:val="00063A70"/>
    <w:rsid w:val="00064091"/>
    <w:rsid w:val="0006506D"/>
    <w:rsid w:val="00066B44"/>
    <w:rsid w:val="00087E1E"/>
    <w:rsid w:val="0009161C"/>
    <w:rsid w:val="000946FD"/>
    <w:rsid w:val="00096E34"/>
    <w:rsid w:val="000A137D"/>
    <w:rsid w:val="000A3DF5"/>
    <w:rsid w:val="000C4494"/>
    <w:rsid w:val="000C6511"/>
    <w:rsid w:val="000D651A"/>
    <w:rsid w:val="000E6798"/>
    <w:rsid w:val="00106C39"/>
    <w:rsid w:val="00126087"/>
    <w:rsid w:val="001414A2"/>
    <w:rsid w:val="001437DF"/>
    <w:rsid w:val="001513E0"/>
    <w:rsid w:val="0015167B"/>
    <w:rsid w:val="00153348"/>
    <w:rsid w:val="00161758"/>
    <w:rsid w:val="0016415C"/>
    <w:rsid w:val="001733E0"/>
    <w:rsid w:val="00173BD6"/>
    <w:rsid w:val="001761E9"/>
    <w:rsid w:val="0017778D"/>
    <w:rsid w:val="00181621"/>
    <w:rsid w:val="00181E7D"/>
    <w:rsid w:val="00184DBD"/>
    <w:rsid w:val="001974B6"/>
    <w:rsid w:val="001B083B"/>
    <w:rsid w:val="001C4CB0"/>
    <w:rsid w:val="0020317A"/>
    <w:rsid w:val="002126BF"/>
    <w:rsid w:val="00212D26"/>
    <w:rsid w:val="00213409"/>
    <w:rsid w:val="00213917"/>
    <w:rsid w:val="0022654D"/>
    <w:rsid w:val="002530F2"/>
    <w:rsid w:val="002674F9"/>
    <w:rsid w:val="00296598"/>
    <w:rsid w:val="002D0C09"/>
    <w:rsid w:val="002D4FDA"/>
    <w:rsid w:val="002E1B0A"/>
    <w:rsid w:val="002E5291"/>
    <w:rsid w:val="002E7B06"/>
    <w:rsid w:val="002F1FFD"/>
    <w:rsid w:val="002F6F7B"/>
    <w:rsid w:val="002F7DA9"/>
    <w:rsid w:val="00312582"/>
    <w:rsid w:val="00326664"/>
    <w:rsid w:val="003538EA"/>
    <w:rsid w:val="00380D47"/>
    <w:rsid w:val="003A47AD"/>
    <w:rsid w:val="003B482F"/>
    <w:rsid w:val="003B5B6C"/>
    <w:rsid w:val="003B7DC6"/>
    <w:rsid w:val="003C5608"/>
    <w:rsid w:val="003E4D82"/>
    <w:rsid w:val="003E5B8B"/>
    <w:rsid w:val="004079E1"/>
    <w:rsid w:val="00412B4F"/>
    <w:rsid w:val="00427AC9"/>
    <w:rsid w:val="00431608"/>
    <w:rsid w:val="004323A2"/>
    <w:rsid w:val="00481897"/>
    <w:rsid w:val="004819A4"/>
    <w:rsid w:val="00482910"/>
    <w:rsid w:val="00496163"/>
    <w:rsid w:val="004A2D09"/>
    <w:rsid w:val="004A6C87"/>
    <w:rsid w:val="004C3100"/>
    <w:rsid w:val="004E4C79"/>
    <w:rsid w:val="004E6CF1"/>
    <w:rsid w:val="0051608F"/>
    <w:rsid w:val="00521D76"/>
    <w:rsid w:val="005267F8"/>
    <w:rsid w:val="00530D34"/>
    <w:rsid w:val="005343B9"/>
    <w:rsid w:val="00535316"/>
    <w:rsid w:val="00542B96"/>
    <w:rsid w:val="0056711C"/>
    <w:rsid w:val="005713CF"/>
    <w:rsid w:val="00591A5B"/>
    <w:rsid w:val="0059757C"/>
    <w:rsid w:val="00597B71"/>
    <w:rsid w:val="005B718C"/>
    <w:rsid w:val="005C4439"/>
    <w:rsid w:val="005D16CB"/>
    <w:rsid w:val="005E4BAE"/>
    <w:rsid w:val="005F0AFA"/>
    <w:rsid w:val="00602CB9"/>
    <w:rsid w:val="00640024"/>
    <w:rsid w:val="00661FAF"/>
    <w:rsid w:val="0067645E"/>
    <w:rsid w:val="006803EE"/>
    <w:rsid w:val="006862F1"/>
    <w:rsid w:val="00695FAA"/>
    <w:rsid w:val="006A64A6"/>
    <w:rsid w:val="006C5153"/>
    <w:rsid w:val="006D1C6F"/>
    <w:rsid w:val="00700177"/>
    <w:rsid w:val="00705312"/>
    <w:rsid w:val="0070680B"/>
    <w:rsid w:val="0071199E"/>
    <w:rsid w:val="00714489"/>
    <w:rsid w:val="00735427"/>
    <w:rsid w:val="007540F2"/>
    <w:rsid w:val="00754C1A"/>
    <w:rsid w:val="007578F5"/>
    <w:rsid w:val="00762393"/>
    <w:rsid w:val="00763CFB"/>
    <w:rsid w:val="00770BDE"/>
    <w:rsid w:val="00780B60"/>
    <w:rsid w:val="00780D4A"/>
    <w:rsid w:val="00781FC1"/>
    <w:rsid w:val="007A2D79"/>
    <w:rsid w:val="007B0AEA"/>
    <w:rsid w:val="007B35A1"/>
    <w:rsid w:val="007B443F"/>
    <w:rsid w:val="007C7C5C"/>
    <w:rsid w:val="007E309F"/>
    <w:rsid w:val="0080652C"/>
    <w:rsid w:val="008077DC"/>
    <w:rsid w:val="0081604A"/>
    <w:rsid w:val="0082019A"/>
    <w:rsid w:val="008247A2"/>
    <w:rsid w:val="008273D5"/>
    <w:rsid w:val="00832A28"/>
    <w:rsid w:val="008330DE"/>
    <w:rsid w:val="00835631"/>
    <w:rsid w:val="00842B38"/>
    <w:rsid w:val="00844AD5"/>
    <w:rsid w:val="00854C9B"/>
    <w:rsid w:val="008D04C4"/>
    <w:rsid w:val="008E3333"/>
    <w:rsid w:val="008F2741"/>
    <w:rsid w:val="008F53F5"/>
    <w:rsid w:val="00900117"/>
    <w:rsid w:val="009233D2"/>
    <w:rsid w:val="00943661"/>
    <w:rsid w:val="009446F9"/>
    <w:rsid w:val="009657D5"/>
    <w:rsid w:val="009657FF"/>
    <w:rsid w:val="00966AF0"/>
    <w:rsid w:val="00977011"/>
    <w:rsid w:val="00981509"/>
    <w:rsid w:val="009861F5"/>
    <w:rsid w:val="0099783E"/>
    <w:rsid w:val="009A2982"/>
    <w:rsid w:val="009A658A"/>
    <w:rsid w:val="009B4C4C"/>
    <w:rsid w:val="009B6822"/>
    <w:rsid w:val="009C235D"/>
    <w:rsid w:val="009C59C4"/>
    <w:rsid w:val="009D4132"/>
    <w:rsid w:val="009D710E"/>
    <w:rsid w:val="009E5D41"/>
    <w:rsid w:val="00A00F08"/>
    <w:rsid w:val="00A16A41"/>
    <w:rsid w:val="00A16D0B"/>
    <w:rsid w:val="00A242D7"/>
    <w:rsid w:val="00A27A17"/>
    <w:rsid w:val="00A60177"/>
    <w:rsid w:val="00A70605"/>
    <w:rsid w:val="00A85D8F"/>
    <w:rsid w:val="00A925B7"/>
    <w:rsid w:val="00A95623"/>
    <w:rsid w:val="00AA45B9"/>
    <w:rsid w:val="00AA6743"/>
    <w:rsid w:val="00AB1D4E"/>
    <w:rsid w:val="00AB4E47"/>
    <w:rsid w:val="00AC5742"/>
    <w:rsid w:val="00AD62C6"/>
    <w:rsid w:val="00B0563B"/>
    <w:rsid w:val="00B1042E"/>
    <w:rsid w:val="00B26927"/>
    <w:rsid w:val="00B41BDE"/>
    <w:rsid w:val="00B51D67"/>
    <w:rsid w:val="00B76882"/>
    <w:rsid w:val="00B82A70"/>
    <w:rsid w:val="00BB365E"/>
    <w:rsid w:val="00BD422C"/>
    <w:rsid w:val="00BE28F1"/>
    <w:rsid w:val="00BE3F79"/>
    <w:rsid w:val="00BE4FD1"/>
    <w:rsid w:val="00BE501E"/>
    <w:rsid w:val="00BF7406"/>
    <w:rsid w:val="00C05700"/>
    <w:rsid w:val="00C16142"/>
    <w:rsid w:val="00C22A6B"/>
    <w:rsid w:val="00C2583E"/>
    <w:rsid w:val="00C260CB"/>
    <w:rsid w:val="00C3767F"/>
    <w:rsid w:val="00C43DAB"/>
    <w:rsid w:val="00C6202B"/>
    <w:rsid w:val="00C7228A"/>
    <w:rsid w:val="00C7712F"/>
    <w:rsid w:val="00C81245"/>
    <w:rsid w:val="00C87657"/>
    <w:rsid w:val="00C911D5"/>
    <w:rsid w:val="00C93A50"/>
    <w:rsid w:val="00CA3C70"/>
    <w:rsid w:val="00CB3B9E"/>
    <w:rsid w:val="00CB7FE6"/>
    <w:rsid w:val="00CC7B05"/>
    <w:rsid w:val="00CD51C9"/>
    <w:rsid w:val="00CF45AF"/>
    <w:rsid w:val="00D002F3"/>
    <w:rsid w:val="00D0312A"/>
    <w:rsid w:val="00D11FC9"/>
    <w:rsid w:val="00D37240"/>
    <w:rsid w:val="00D46701"/>
    <w:rsid w:val="00D63D5C"/>
    <w:rsid w:val="00D667B3"/>
    <w:rsid w:val="00D7552D"/>
    <w:rsid w:val="00D95BE2"/>
    <w:rsid w:val="00D964AD"/>
    <w:rsid w:val="00DB4729"/>
    <w:rsid w:val="00DC36D2"/>
    <w:rsid w:val="00DC5F0C"/>
    <w:rsid w:val="00DD429B"/>
    <w:rsid w:val="00DE6E4B"/>
    <w:rsid w:val="00DF06B6"/>
    <w:rsid w:val="00E2351F"/>
    <w:rsid w:val="00E426F1"/>
    <w:rsid w:val="00E44BD9"/>
    <w:rsid w:val="00E463D6"/>
    <w:rsid w:val="00E5496E"/>
    <w:rsid w:val="00E6516B"/>
    <w:rsid w:val="00E66DCC"/>
    <w:rsid w:val="00E67092"/>
    <w:rsid w:val="00E710F5"/>
    <w:rsid w:val="00E84346"/>
    <w:rsid w:val="00E972B0"/>
    <w:rsid w:val="00EA0009"/>
    <w:rsid w:val="00EA4BFF"/>
    <w:rsid w:val="00EB5CA5"/>
    <w:rsid w:val="00EB7BD7"/>
    <w:rsid w:val="00EC3A3F"/>
    <w:rsid w:val="00ED1382"/>
    <w:rsid w:val="00ED2842"/>
    <w:rsid w:val="00EF1474"/>
    <w:rsid w:val="00EF1536"/>
    <w:rsid w:val="00EF4D14"/>
    <w:rsid w:val="00F13F30"/>
    <w:rsid w:val="00F22EAE"/>
    <w:rsid w:val="00F54840"/>
    <w:rsid w:val="00F7013D"/>
    <w:rsid w:val="00F836D2"/>
    <w:rsid w:val="00F83D64"/>
    <w:rsid w:val="00F92EB1"/>
    <w:rsid w:val="00F94109"/>
    <w:rsid w:val="00F96D71"/>
    <w:rsid w:val="00F97047"/>
    <w:rsid w:val="00FB0D09"/>
    <w:rsid w:val="00FB641A"/>
    <w:rsid w:val="00FB7527"/>
    <w:rsid w:val="00FC0A1B"/>
    <w:rsid w:val="00FE1E1F"/>
    <w:rsid w:val="00FE3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94AF8"/>
  <w15:chartTrackingRefBased/>
  <w15:docId w15:val="{176D6DD7-5DF7-4551-82E8-4CE078C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FA"/>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5343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AFA"/>
    <w:pPr>
      <w:jc w:val="center"/>
    </w:pPr>
    <w:rPr>
      <w:sz w:val="28"/>
      <w:szCs w:val="20"/>
      <w:lang w:eastAsia="en-US"/>
    </w:rPr>
  </w:style>
  <w:style w:type="character" w:customStyle="1" w:styleId="TitleChar">
    <w:name w:val="Title Char"/>
    <w:basedOn w:val="DefaultParagraphFont"/>
    <w:link w:val="Title"/>
    <w:rsid w:val="005F0AFA"/>
    <w:rPr>
      <w:rFonts w:ascii="Times New Roman" w:eastAsia="Times New Roman" w:hAnsi="Times New Roman" w:cs="Times New Roman"/>
      <w:sz w:val="28"/>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5F0AFA"/>
    <w:pPr>
      <w:ind w:left="720"/>
      <w:contextualSpacing/>
    </w:pPr>
  </w:style>
  <w:style w:type="paragraph" w:customStyle="1" w:styleId="naisf">
    <w:name w:val="naisf"/>
    <w:basedOn w:val="Normal"/>
    <w:uiPriority w:val="99"/>
    <w:rsid w:val="005F0AFA"/>
    <w:pPr>
      <w:spacing w:before="100" w:beforeAutospacing="1" w:after="100" w:afterAutospacing="1"/>
    </w:pPr>
  </w:style>
  <w:style w:type="paragraph" w:styleId="BalloonText">
    <w:name w:val="Balloon Text"/>
    <w:basedOn w:val="Normal"/>
    <w:link w:val="BalloonTextChar"/>
    <w:uiPriority w:val="99"/>
    <w:semiHidden/>
    <w:unhideWhenUsed/>
    <w:rsid w:val="007C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C"/>
    <w:rPr>
      <w:rFonts w:ascii="Segoe UI" w:eastAsia="Times New Roman" w:hAnsi="Segoe UI" w:cs="Segoe UI"/>
      <w:sz w:val="18"/>
      <w:szCs w:val="18"/>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81E7D"/>
    <w:rPr>
      <w:rFonts w:ascii="Times New Roman" w:eastAsia="Times New Roman" w:hAnsi="Times New Roman" w:cs="Times New Roman"/>
      <w:sz w:val="24"/>
      <w:szCs w:val="24"/>
      <w:lang w:eastAsia="lv-LV"/>
    </w:rPr>
  </w:style>
  <w:style w:type="table" w:styleId="TableGrid">
    <w:name w:val="Table Grid"/>
    <w:basedOn w:val="TableNormal"/>
    <w:uiPriority w:val="39"/>
    <w:rsid w:val="000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489"/>
    <w:rPr>
      <w:color w:val="0000FF"/>
      <w:u w:val="single"/>
    </w:rPr>
  </w:style>
  <w:style w:type="paragraph" w:styleId="Header">
    <w:name w:val="header"/>
    <w:basedOn w:val="Normal"/>
    <w:link w:val="HeaderChar"/>
    <w:uiPriority w:val="99"/>
    <w:unhideWhenUsed/>
    <w:rsid w:val="0067645E"/>
    <w:pPr>
      <w:tabs>
        <w:tab w:val="center" w:pos="4153"/>
        <w:tab w:val="right" w:pos="8306"/>
      </w:tabs>
    </w:pPr>
  </w:style>
  <w:style w:type="character" w:customStyle="1" w:styleId="HeaderChar">
    <w:name w:val="Header Char"/>
    <w:basedOn w:val="DefaultParagraphFont"/>
    <w:link w:val="Header"/>
    <w:uiPriority w:val="99"/>
    <w:rsid w:val="006764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7645E"/>
    <w:pPr>
      <w:tabs>
        <w:tab w:val="center" w:pos="4153"/>
        <w:tab w:val="right" w:pos="8306"/>
      </w:tabs>
    </w:pPr>
  </w:style>
  <w:style w:type="character" w:customStyle="1" w:styleId="FooterChar">
    <w:name w:val="Footer Char"/>
    <w:basedOn w:val="DefaultParagraphFont"/>
    <w:link w:val="Footer"/>
    <w:uiPriority w:val="99"/>
    <w:rsid w:val="0067645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9D4132"/>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rsid w:val="009D4132"/>
    <w:rPr>
      <w:rFonts w:ascii="Calibri" w:hAnsi="Calibri" w:cs="Calibri"/>
      <w:sz w:val="20"/>
      <w:szCs w:val="20"/>
    </w:rPr>
  </w:style>
  <w:style w:type="character" w:styleId="FootnoteReference">
    <w:name w:val="footnote reference"/>
    <w:basedOn w:val="DefaultParagraphFont"/>
    <w:uiPriority w:val="99"/>
    <w:semiHidden/>
    <w:unhideWhenUsed/>
    <w:rsid w:val="009D4132"/>
    <w:rPr>
      <w:vertAlign w:val="superscript"/>
    </w:rPr>
  </w:style>
  <w:style w:type="character" w:styleId="CommentReference">
    <w:name w:val="annotation reference"/>
    <w:basedOn w:val="DefaultParagraphFont"/>
    <w:uiPriority w:val="99"/>
    <w:semiHidden/>
    <w:unhideWhenUsed/>
    <w:rsid w:val="00D37240"/>
    <w:rPr>
      <w:sz w:val="16"/>
      <w:szCs w:val="16"/>
    </w:rPr>
  </w:style>
  <w:style w:type="paragraph" w:styleId="CommentText">
    <w:name w:val="annotation text"/>
    <w:basedOn w:val="Normal"/>
    <w:link w:val="CommentTextChar"/>
    <w:uiPriority w:val="99"/>
    <w:unhideWhenUsed/>
    <w:rsid w:val="00D37240"/>
    <w:rPr>
      <w:sz w:val="20"/>
      <w:szCs w:val="20"/>
    </w:rPr>
  </w:style>
  <w:style w:type="character" w:customStyle="1" w:styleId="CommentTextChar">
    <w:name w:val="Comment Text Char"/>
    <w:basedOn w:val="DefaultParagraphFont"/>
    <w:link w:val="CommentText"/>
    <w:uiPriority w:val="99"/>
    <w:rsid w:val="00D3724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7240"/>
    <w:rPr>
      <w:b/>
      <w:bCs/>
    </w:rPr>
  </w:style>
  <w:style w:type="character" w:customStyle="1" w:styleId="CommentSubjectChar">
    <w:name w:val="Comment Subject Char"/>
    <w:basedOn w:val="CommentTextChar"/>
    <w:link w:val="CommentSubject"/>
    <w:uiPriority w:val="99"/>
    <w:semiHidden/>
    <w:rsid w:val="00D37240"/>
    <w:rPr>
      <w:rFonts w:ascii="Times New Roman" w:eastAsia="Times New Roman" w:hAnsi="Times New Roman" w:cs="Times New Roman"/>
      <w:b/>
      <w:bCs/>
      <w:sz w:val="20"/>
      <w:szCs w:val="20"/>
      <w:lang w:eastAsia="lv-LV"/>
    </w:rPr>
  </w:style>
  <w:style w:type="character" w:customStyle="1" w:styleId="Heading2Char">
    <w:name w:val="Heading 2 Char"/>
    <w:basedOn w:val="DefaultParagraphFont"/>
    <w:link w:val="Heading2"/>
    <w:uiPriority w:val="9"/>
    <w:semiHidden/>
    <w:rsid w:val="005343B9"/>
    <w:rPr>
      <w:rFonts w:asciiTheme="majorHAnsi" w:eastAsiaTheme="majorEastAsia" w:hAnsiTheme="majorHAnsi" w:cstheme="majorBidi"/>
      <w:color w:val="2F5496" w:themeColor="accent1" w:themeShade="BF"/>
      <w:sz w:val="26"/>
      <w:szCs w:val="26"/>
      <w:lang w:eastAsia="lv-LV"/>
    </w:rPr>
  </w:style>
  <w:style w:type="character" w:styleId="Emphasis">
    <w:name w:val="Emphasis"/>
    <w:basedOn w:val="DefaultParagraphFont"/>
    <w:uiPriority w:val="20"/>
    <w:qFormat/>
    <w:rsid w:val="00943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4107">
      <w:bodyDiv w:val="1"/>
      <w:marLeft w:val="0"/>
      <w:marRight w:val="0"/>
      <w:marTop w:val="0"/>
      <w:marBottom w:val="0"/>
      <w:divBdr>
        <w:top w:val="none" w:sz="0" w:space="0" w:color="auto"/>
        <w:left w:val="none" w:sz="0" w:space="0" w:color="auto"/>
        <w:bottom w:val="none" w:sz="0" w:space="0" w:color="auto"/>
        <w:right w:val="none" w:sz="0" w:space="0" w:color="auto"/>
      </w:divBdr>
    </w:div>
    <w:div w:id="1033506658">
      <w:bodyDiv w:val="1"/>
      <w:marLeft w:val="0"/>
      <w:marRight w:val="0"/>
      <w:marTop w:val="0"/>
      <w:marBottom w:val="0"/>
      <w:divBdr>
        <w:top w:val="none" w:sz="0" w:space="0" w:color="auto"/>
        <w:left w:val="none" w:sz="0" w:space="0" w:color="auto"/>
        <w:bottom w:val="none" w:sz="0" w:space="0" w:color="auto"/>
        <w:right w:val="none" w:sz="0" w:space="0" w:color="auto"/>
      </w:divBdr>
    </w:div>
    <w:div w:id="1224294502">
      <w:bodyDiv w:val="1"/>
      <w:marLeft w:val="0"/>
      <w:marRight w:val="0"/>
      <w:marTop w:val="0"/>
      <w:marBottom w:val="0"/>
      <w:divBdr>
        <w:top w:val="none" w:sz="0" w:space="0" w:color="auto"/>
        <w:left w:val="none" w:sz="0" w:space="0" w:color="auto"/>
        <w:bottom w:val="none" w:sz="0" w:space="0" w:color="auto"/>
        <w:right w:val="none" w:sz="0" w:space="0" w:color="auto"/>
      </w:divBdr>
    </w:div>
    <w:div w:id="1494224864">
      <w:bodyDiv w:val="1"/>
      <w:marLeft w:val="0"/>
      <w:marRight w:val="0"/>
      <w:marTop w:val="0"/>
      <w:marBottom w:val="0"/>
      <w:divBdr>
        <w:top w:val="none" w:sz="0" w:space="0" w:color="auto"/>
        <w:left w:val="none" w:sz="0" w:space="0" w:color="auto"/>
        <w:bottom w:val="none" w:sz="0" w:space="0" w:color="auto"/>
        <w:right w:val="none" w:sz="0" w:space="0" w:color="auto"/>
      </w:divBdr>
    </w:div>
    <w:div w:id="1708027220">
      <w:bodyDiv w:val="1"/>
      <w:marLeft w:val="0"/>
      <w:marRight w:val="0"/>
      <w:marTop w:val="0"/>
      <w:marBottom w:val="0"/>
      <w:divBdr>
        <w:top w:val="none" w:sz="0" w:space="0" w:color="auto"/>
        <w:left w:val="none" w:sz="0" w:space="0" w:color="auto"/>
        <w:bottom w:val="none" w:sz="0" w:space="0" w:color="auto"/>
        <w:right w:val="none" w:sz="0" w:space="0" w:color="auto"/>
      </w:divBdr>
    </w:div>
    <w:div w:id="17633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973C-0CE2-4A67-97CA-2913C9CC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8804</Words>
  <Characters>5019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24.novembra noteikumos Nr. 664 “Darbības programmas “Izaugsme un nodarbinātība” 2.1.1. specifiskā atbalsta mērķa “Uzlabot elektroniskās sakaru infrastruktūras pieejamību lauku teritorijās” pirmās projektu iesniegumu atlases kārtas īstenošanas noteikumi</dc:title>
  <dc:subject/>
  <dc:creator>Inese Kalēja</dc:creator>
  <cp:keywords>Kalēja 67028023</cp:keywords>
  <dc:description>Kalēja 67028023
Inese.Kaleja@sam.gov.lv</dc:description>
  <cp:lastModifiedBy>Baiba Jirgena</cp:lastModifiedBy>
  <cp:revision>18</cp:revision>
  <cp:lastPrinted>2020-02-13T15:34:00Z</cp:lastPrinted>
  <dcterms:created xsi:type="dcterms:W3CDTF">2020-02-24T07:41:00Z</dcterms:created>
  <dcterms:modified xsi:type="dcterms:W3CDTF">2020-02-28T14:56:00Z</dcterms:modified>
</cp:coreProperties>
</file>