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47BE" w14:textId="77777777" w:rsidR="00033D26" w:rsidRPr="00CF410C" w:rsidRDefault="00033D26" w:rsidP="00033D26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CF410C">
        <w:rPr>
          <w:i/>
          <w:sz w:val="28"/>
          <w:szCs w:val="28"/>
          <w:lang w:val="lv-LV"/>
        </w:rPr>
        <w:t>Projekts</w:t>
      </w:r>
    </w:p>
    <w:p w14:paraId="5A8A47BF" w14:textId="77777777" w:rsidR="00033D26" w:rsidRPr="00CF410C" w:rsidRDefault="00033D26" w:rsidP="00033D26">
      <w:pPr>
        <w:jc w:val="center"/>
        <w:rPr>
          <w:b/>
          <w:sz w:val="28"/>
          <w:szCs w:val="28"/>
        </w:rPr>
      </w:pPr>
    </w:p>
    <w:p w14:paraId="5A8A47C0" w14:textId="77777777" w:rsidR="00033D26" w:rsidRPr="00CF410C" w:rsidRDefault="00033D26" w:rsidP="00033D26">
      <w:pPr>
        <w:jc w:val="center"/>
        <w:rPr>
          <w:b/>
          <w:sz w:val="28"/>
          <w:szCs w:val="28"/>
        </w:rPr>
      </w:pPr>
    </w:p>
    <w:p w14:paraId="5A8A47C1" w14:textId="77777777" w:rsidR="00033D26" w:rsidRPr="00CF410C" w:rsidRDefault="00033D26" w:rsidP="00033D26">
      <w:pPr>
        <w:jc w:val="center"/>
        <w:rPr>
          <w:b/>
          <w:sz w:val="28"/>
          <w:szCs w:val="28"/>
        </w:rPr>
      </w:pPr>
      <w:r w:rsidRPr="00CF410C">
        <w:rPr>
          <w:b/>
          <w:sz w:val="28"/>
          <w:szCs w:val="28"/>
        </w:rPr>
        <w:t xml:space="preserve">LATVIJAS REPUBLIKAS MINISTRU KABINETA </w:t>
      </w:r>
    </w:p>
    <w:p w14:paraId="5A8A47C2" w14:textId="77777777" w:rsidR="00033D26" w:rsidRPr="00CF410C" w:rsidRDefault="00033D26" w:rsidP="00033D26">
      <w:pPr>
        <w:jc w:val="center"/>
        <w:rPr>
          <w:b/>
          <w:sz w:val="28"/>
          <w:szCs w:val="28"/>
        </w:rPr>
      </w:pPr>
      <w:r w:rsidRPr="00CF410C">
        <w:rPr>
          <w:b/>
          <w:sz w:val="28"/>
          <w:szCs w:val="28"/>
        </w:rPr>
        <w:t>SĒDES PROTOKOLLĒMUMS</w:t>
      </w:r>
    </w:p>
    <w:p w14:paraId="5A8A47C3" w14:textId="77777777" w:rsidR="00033D26" w:rsidRPr="00CF410C" w:rsidRDefault="00033D26" w:rsidP="00033D26">
      <w:pPr>
        <w:jc w:val="center"/>
        <w:rPr>
          <w:b/>
          <w:sz w:val="28"/>
          <w:szCs w:val="28"/>
        </w:rPr>
      </w:pPr>
      <w:r w:rsidRPr="00CF410C">
        <w:rPr>
          <w:b/>
          <w:sz w:val="28"/>
          <w:szCs w:val="28"/>
        </w:rPr>
        <w:t>_________________________________________________________</w:t>
      </w:r>
    </w:p>
    <w:p w14:paraId="5A8A47C4" w14:textId="77777777" w:rsidR="00034CF4" w:rsidRPr="00CF410C" w:rsidRDefault="00034CF4">
      <w:pPr>
        <w:jc w:val="both"/>
        <w:rPr>
          <w:sz w:val="28"/>
          <w:szCs w:val="28"/>
          <w:lang w:val="lv-LV"/>
        </w:rPr>
      </w:pPr>
    </w:p>
    <w:p w14:paraId="5A8A47C5" w14:textId="77777777" w:rsidR="00033D26" w:rsidRPr="00CF410C" w:rsidRDefault="00033D26">
      <w:pPr>
        <w:jc w:val="both"/>
        <w:rPr>
          <w:sz w:val="28"/>
          <w:szCs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CF410C" w14:paraId="5A8A47C9" w14:textId="77777777" w:rsidTr="000F5067">
        <w:trPr>
          <w:cantSplit/>
        </w:trPr>
        <w:tc>
          <w:tcPr>
            <w:tcW w:w="4040" w:type="dxa"/>
            <w:hideMark/>
          </w:tcPr>
          <w:p w14:paraId="5A8A47C6" w14:textId="77777777" w:rsidR="00034CF4" w:rsidRPr="00CF410C" w:rsidRDefault="00371D37">
            <w:pPr>
              <w:rPr>
                <w:sz w:val="28"/>
                <w:szCs w:val="28"/>
                <w:lang w:val="lv-LV"/>
              </w:rPr>
            </w:pPr>
            <w:r w:rsidRPr="00CF41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A8A47C7" w14:textId="77777777" w:rsidR="00034CF4" w:rsidRPr="00CF410C" w:rsidRDefault="00371D37" w:rsidP="008F594B">
            <w:pPr>
              <w:rPr>
                <w:sz w:val="28"/>
                <w:szCs w:val="28"/>
                <w:lang w:val="lv-LV"/>
              </w:rPr>
            </w:pPr>
            <w:r w:rsidRPr="00CF410C">
              <w:rPr>
                <w:sz w:val="28"/>
                <w:szCs w:val="28"/>
                <w:lang w:val="lv-LV"/>
              </w:rPr>
              <w:t>Nr.</w:t>
            </w:r>
            <w:r w:rsidR="008F594B" w:rsidRPr="00CF410C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14:paraId="5A8A47C8" w14:textId="77777777" w:rsidR="00034CF4" w:rsidRPr="00CF410C" w:rsidRDefault="00371D37" w:rsidP="001A0B28">
            <w:pPr>
              <w:jc w:val="right"/>
              <w:rPr>
                <w:sz w:val="28"/>
                <w:szCs w:val="28"/>
                <w:lang w:val="lv-LV"/>
              </w:rPr>
            </w:pPr>
            <w:r w:rsidRPr="00CF410C">
              <w:rPr>
                <w:sz w:val="28"/>
                <w:szCs w:val="28"/>
                <w:lang w:val="lv-LV"/>
              </w:rPr>
              <w:t>20</w:t>
            </w:r>
            <w:r w:rsidR="0091032E" w:rsidRPr="00CF410C">
              <w:rPr>
                <w:sz w:val="28"/>
                <w:szCs w:val="28"/>
                <w:lang w:val="lv-LV"/>
              </w:rPr>
              <w:t>20</w:t>
            </w:r>
            <w:r w:rsidRPr="00CF410C">
              <w:rPr>
                <w:sz w:val="28"/>
                <w:szCs w:val="28"/>
                <w:lang w:val="lv-LV"/>
              </w:rPr>
              <w:t>.</w:t>
            </w:r>
            <w:r w:rsidR="001A0B28" w:rsidRPr="00CF410C">
              <w:rPr>
                <w:sz w:val="28"/>
                <w:szCs w:val="28"/>
                <w:lang w:val="lv-LV"/>
              </w:rPr>
              <w:t xml:space="preserve"> </w:t>
            </w:r>
            <w:r w:rsidRPr="00CF410C">
              <w:rPr>
                <w:sz w:val="28"/>
                <w:szCs w:val="28"/>
                <w:lang w:val="lv-LV"/>
              </w:rPr>
              <w:t xml:space="preserve">gada </w:t>
            </w:r>
            <w:r w:rsidR="001A0B28" w:rsidRPr="00CF410C">
              <w:rPr>
                <w:sz w:val="28"/>
                <w:szCs w:val="28"/>
                <w:lang w:val="lv-LV"/>
              </w:rPr>
              <w:t>___</w:t>
            </w:r>
            <w:r w:rsidR="00DA6BA7" w:rsidRPr="00CF410C">
              <w:rPr>
                <w:sz w:val="28"/>
                <w:szCs w:val="28"/>
                <w:lang w:val="lv-LV"/>
              </w:rPr>
              <w:t>.</w:t>
            </w:r>
            <w:r w:rsidR="001A0B28" w:rsidRPr="00CF410C">
              <w:rPr>
                <w:sz w:val="28"/>
                <w:szCs w:val="28"/>
                <w:lang w:val="lv-LV"/>
              </w:rPr>
              <w:t>_________</w:t>
            </w:r>
          </w:p>
        </w:tc>
      </w:tr>
    </w:tbl>
    <w:p w14:paraId="5A8A47CA" w14:textId="77777777" w:rsidR="00034CF4" w:rsidRPr="00CF410C" w:rsidRDefault="00034CF4">
      <w:pPr>
        <w:jc w:val="both"/>
        <w:rPr>
          <w:sz w:val="28"/>
          <w:szCs w:val="28"/>
          <w:lang w:val="lv-LV"/>
        </w:rPr>
      </w:pPr>
    </w:p>
    <w:p w14:paraId="5A8A47CB" w14:textId="77777777" w:rsidR="00034CF4" w:rsidRPr="00CF410C" w:rsidRDefault="00034CF4">
      <w:pPr>
        <w:jc w:val="both"/>
        <w:rPr>
          <w:sz w:val="28"/>
          <w:szCs w:val="28"/>
          <w:lang w:val="lv-LV"/>
        </w:rPr>
      </w:pPr>
    </w:p>
    <w:p w14:paraId="5A8A47CC" w14:textId="77777777" w:rsidR="00034CF4" w:rsidRPr="00CF410C" w:rsidRDefault="00DA6BA7">
      <w:pPr>
        <w:jc w:val="center"/>
        <w:rPr>
          <w:sz w:val="28"/>
          <w:szCs w:val="28"/>
          <w:lang w:val="lv-LV"/>
        </w:rPr>
      </w:pPr>
      <w:r w:rsidRPr="00CF410C">
        <w:rPr>
          <w:b/>
          <w:bCs/>
          <w:sz w:val="28"/>
          <w:szCs w:val="28"/>
          <w:lang w:val="lv-LV"/>
        </w:rPr>
        <w:t> </w:t>
      </w:r>
      <w:r w:rsidR="00371D37" w:rsidRPr="00CF410C">
        <w:rPr>
          <w:b/>
          <w:bCs/>
          <w:sz w:val="28"/>
          <w:szCs w:val="28"/>
          <w:lang w:val="lv-LV"/>
        </w:rPr>
        <w:t>.</w:t>
      </w:r>
      <w:r w:rsidR="001767D4" w:rsidRPr="00CF410C">
        <w:rPr>
          <w:b/>
          <w:bCs/>
          <w:sz w:val="28"/>
          <w:szCs w:val="28"/>
          <w:lang w:val="lv-LV"/>
        </w:rPr>
        <w:t> </w:t>
      </w:r>
      <w:r w:rsidR="00371D37" w:rsidRPr="00CF410C">
        <w:rPr>
          <w:b/>
          <w:bCs/>
          <w:sz w:val="28"/>
          <w:szCs w:val="28"/>
          <w:lang w:val="lv-LV"/>
        </w:rPr>
        <w:t>§</w:t>
      </w:r>
    </w:p>
    <w:p w14:paraId="5A8A47CD" w14:textId="77777777" w:rsidR="00034CF4" w:rsidRPr="00CF410C" w:rsidRDefault="00034CF4">
      <w:pPr>
        <w:rPr>
          <w:sz w:val="28"/>
          <w:szCs w:val="28"/>
          <w:lang w:val="lv-LV"/>
        </w:rPr>
      </w:pPr>
    </w:p>
    <w:p w14:paraId="5A8A47CE" w14:textId="77777777" w:rsidR="00034CF4" w:rsidRPr="00CF410C" w:rsidRDefault="00CE564E" w:rsidP="00826EEA">
      <w:pPr>
        <w:ind w:right="140"/>
        <w:jc w:val="center"/>
        <w:outlineLvl w:val="0"/>
        <w:rPr>
          <w:b/>
          <w:sz w:val="28"/>
          <w:szCs w:val="28"/>
          <w:lang w:val="lv-LV"/>
        </w:rPr>
      </w:pPr>
      <w:r w:rsidRPr="00CF410C">
        <w:rPr>
          <w:b/>
          <w:sz w:val="28"/>
          <w:szCs w:val="28"/>
          <w:lang w:val="lv-LV"/>
        </w:rPr>
        <w:t xml:space="preserve">Atbildes projekts </w:t>
      </w:r>
      <w:r w:rsidR="006D74CF" w:rsidRPr="00CF410C">
        <w:rPr>
          <w:b/>
          <w:sz w:val="28"/>
          <w:szCs w:val="28"/>
          <w:lang w:val="lv-LV"/>
        </w:rPr>
        <w:t>Tiesībsargam</w:t>
      </w:r>
    </w:p>
    <w:p w14:paraId="5A8A47CF" w14:textId="77777777" w:rsidR="00034CF4" w:rsidRPr="00CF410C" w:rsidRDefault="00371D37">
      <w:pPr>
        <w:pStyle w:val="Pamatteksts"/>
      </w:pPr>
      <w:r w:rsidRPr="00CF410C">
        <w:t>___________________________________________________________</w:t>
      </w:r>
    </w:p>
    <w:p w14:paraId="5A8A47D0" w14:textId="77777777" w:rsidR="00034CF4" w:rsidRPr="00CF410C" w:rsidRDefault="00034CF4" w:rsidP="00532F95">
      <w:pPr>
        <w:pStyle w:val="Pamatteksts"/>
        <w:ind w:firstLine="709"/>
        <w:jc w:val="left"/>
        <w:rPr>
          <w:b w:val="0"/>
        </w:rPr>
      </w:pPr>
    </w:p>
    <w:p w14:paraId="5A8A47D1" w14:textId="77777777" w:rsidR="00033D26" w:rsidRPr="00CF410C" w:rsidRDefault="00CE564E" w:rsidP="00CF410C">
      <w:pPr>
        <w:pStyle w:val="Sarakstarindkopa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Style w:val="spelle"/>
          <w:sz w:val="28"/>
          <w:szCs w:val="28"/>
          <w:lang w:val="lv-LV"/>
        </w:rPr>
      </w:pPr>
      <w:r w:rsidRPr="00CF410C">
        <w:rPr>
          <w:rStyle w:val="spelle"/>
          <w:sz w:val="28"/>
          <w:szCs w:val="28"/>
          <w:lang w:val="lv-LV"/>
        </w:rPr>
        <w:t xml:space="preserve">Atbalstīt iesniegto atbildes projektu </w:t>
      </w:r>
      <w:r w:rsidR="00491232" w:rsidRPr="00CF410C">
        <w:rPr>
          <w:rStyle w:val="spelle"/>
          <w:sz w:val="28"/>
          <w:szCs w:val="28"/>
          <w:lang w:val="lv-LV"/>
        </w:rPr>
        <w:t>T</w:t>
      </w:r>
      <w:r w:rsidR="00BC6BC3" w:rsidRPr="00CF410C">
        <w:rPr>
          <w:rStyle w:val="spelle"/>
          <w:sz w:val="28"/>
          <w:szCs w:val="28"/>
          <w:lang w:val="lv-LV"/>
        </w:rPr>
        <w:t>iesībsargam</w:t>
      </w:r>
      <w:r w:rsidR="000E7D4C" w:rsidRPr="00CF410C">
        <w:rPr>
          <w:rStyle w:val="spelle"/>
          <w:sz w:val="28"/>
          <w:szCs w:val="28"/>
          <w:lang w:val="lv-LV"/>
        </w:rPr>
        <w:t>.</w:t>
      </w:r>
    </w:p>
    <w:p w14:paraId="5A8A47D2" w14:textId="77777777" w:rsidR="00505441" w:rsidRPr="00CF410C" w:rsidRDefault="00505441" w:rsidP="00FE068F">
      <w:pPr>
        <w:pStyle w:val="Sarakstarindkopa"/>
        <w:jc w:val="both"/>
        <w:rPr>
          <w:rStyle w:val="spelle"/>
          <w:sz w:val="28"/>
          <w:szCs w:val="28"/>
          <w:lang w:val="lv-LV"/>
        </w:rPr>
      </w:pPr>
    </w:p>
    <w:p w14:paraId="5A8A47D3" w14:textId="77777777" w:rsidR="00505441" w:rsidRPr="00CF410C" w:rsidRDefault="00505441" w:rsidP="00CF410C">
      <w:pPr>
        <w:pStyle w:val="Sarakstarindkopa"/>
        <w:numPr>
          <w:ilvl w:val="0"/>
          <w:numId w:val="1"/>
        </w:numPr>
        <w:ind w:left="1077" w:hanging="368"/>
        <w:jc w:val="both"/>
        <w:rPr>
          <w:rStyle w:val="spelle"/>
          <w:sz w:val="28"/>
          <w:szCs w:val="28"/>
          <w:lang w:val="lv-LV"/>
        </w:rPr>
      </w:pPr>
      <w:r w:rsidRPr="00CF410C">
        <w:rPr>
          <w:rStyle w:val="spelle"/>
          <w:sz w:val="28"/>
          <w:szCs w:val="28"/>
          <w:lang w:val="lv-LV"/>
        </w:rPr>
        <w:t xml:space="preserve">Valsts kancelejai noformēt un nosūtīt atbildi </w:t>
      </w:r>
      <w:r w:rsidR="00491232" w:rsidRPr="00CF410C">
        <w:rPr>
          <w:rStyle w:val="spelle"/>
          <w:sz w:val="28"/>
          <w:szCs w:val="28"/>
          <w:lang w:val="lv-LV"/>
        </w:rPr>
        <w:t>T</w:t>
      </w:r>
      <w:r w:rsidRPr="00CF410C">
        <w:rPr>
          <w:rStyle w:val="spelle"/>
          <w:sz w:val="28"/>
          <w:szCs w:val="28"/>
          <w:lang w:val="lv-LV"/>
        </w:rPr>
        <w:t>iesībsargam.</w:t>
      </w:r>
    </w:p>
    <w:p w14:paraId="5A8A47D4" w14:textId="77777777" w:rsidR="00BC6BC3" w:rsidRPr="00CF410C" w:rsidRDefault="00BC6BC3" w:rsidP="00FE068F">
      <w:pPr>
        <w:pStyle w:val="Sarakstarindkopa"/>
        <w:jc w:val="both"/>
        <w:rPr>
          <w:rStyle w:val="spelle"/>
          <w:sz w:val="28"/>
          <w:szCs w:val="28"/>
          <w:lang w:val="lv-LV"/>
        </w:rPr>
      </w:pPr>
    </w:p>
    <w:p w14:paraId="5A8A47D5" w14:textId="77777777" w:rsidR="00EC7E22" w:rsidRPr="00CF410C" w:rsidRDefault="00BC6BC3" w:rsidP="00CF410C">
      <w:pPr>
        <w:pStyle w:val="Sarakstarindkopa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>Ministrijām</w:t>
      </w:r>
      <w:r w:rsidR="00517CED" w:rsidRPr="00CF410C">
        <w:rPr>
          <w:sz w:val="28"/>
          <w:szCs w:val="28"/>
          <w:lang w:val="lv-LV"/>
        </w:rPr>
        <w:t xml:space="preserve">, </w:t>
      </w:r>
      <w:r w:rsidR="00491232" w:rsidRPr="00CF410C">
        <w:rPr>
          <w:sz w:val="28"/>
          <w:szCs w:val="28"/>
          <w:lang w:val="lv-LV"/>
        </w:rPr>
        <w:t>Finanšu izlūkošanas dienestam</w:t>
      </w:r>
      <w:r w:rsidR="009E1015" w:rsidRPr="00CF410C">
        <w:rPr>
          <w:sz w:val="28"/>
          <w:szCs w:val="28"/>
          <w:lang w:val="lv-LV"/>
        </w:rPr>
        <w:t xml:space="preserve"> un</w:t>
      </w:r>
      <w:r w:rsidR="00491232" w:rsidRPr="00CF410C">
        <w:rPr>
          <w:sz w:val="28"/>
          <w:szCs w:val="28"/>
          <w:lang w:val="lv-LV"/>
        </w:rPr>
        <w:t xml:space="preserve"> </w:t>
      </w:r>
      <w:r w:rsidR="00EC7E22" w:rsidRPr="00CF410C">
        <w:rPr>
          <w:sz w:val="28"/>
          <w:szCs w:val="28"/>
          <w:lang w:val="lv-LV"/>
        </w:rPr>
        <w:t>Korupcijas novēršanas un apkarošanas birojam</w:t>
      </w:r>
      <w:r w:rsidR="009E1015" w:rsidRPr="00CF410C">
        <w:rPr>
          <w:sz w:val="28"/>
          <w:szCs w:val="28"/>
          <w:lang w:val="lv-LV"/>
        </w:rPr>
        <w:t>,</w:t>
      </w:r>
      <w:r w:rsidR="00517CED" w:rsidRPr="00CF410C">
        <w:rPr>
          <w:sz w:val="28"/>
          <w:szCs w:val="28"/>
          <w:lang w:val="lv-LV"/>
        </w:rPr>
        <w:t xml:space="preserve"> </w:t>
      </w:r>
      <w:r w:rsidR="007B284C" w:rsidRPr="00CF410C">
        <w:rPr>
          <w:sz w:val="28"/>
          <w:szCs w:val="28"/>
          <w:lang w:val="lv-LV"/>
        </w:rPr>
        <w:t xml:space="preserve">ievērojot atbildes projektā ietvertos secinājumus, </w:t>
      </w:r>
      <w:r w:rsidR="00505441" w:rsidRPr="00CF410C">
        <w:rPr>
          <w:sz w:val="28"/>
          <w:szCs w:val="28"/>
          <w:lang w:val="lv-LV"/>
        </w:rPr>
        <w:t>līdz 2020. gada 1. </w:t>
      </w:r>
      <w:r w:rsidR="00ED6057" w:rsidRPr="00CF410C">
        <w:rPr>
          <w:sz w:val="28"/>
          <w:szCs w:val="28"/>
          <w:lang w:val="lv-LV"/>
        </w:rPr>
        <w:t>oktobrim</w:t>
      </w:r>
      <w:r w:rsidR="00505441" w:rsidRPr="00CF410C">
        <w:rPr>
          <w:sz w:val="28"/>
          <w:szCs w:val="28"/>
          <w:lang w:val="lv-LV"/>
        </w:rPr>
        <w:t xml:space="preserve"> sagatavot </w:t>
      </w:r>
      <w:r w:rsidR="009E1015" w:rsidRPr="00CF410C">
        <w:rPr>
          <w:sz w:val="28"/>
          <w:szCs w:val="28"/>
          <w:lang w:val="lv-LV"/>
        </w:rPr>
        <w:t xml:space="preserve">un iesniegt Valsts kancelejā </w:t>
      </w:r>
      <w:r w:rsidR="004E3BAE" w:rsidRPr="00CF410C">
        <w:rPr>
          <w:sz w:val="28"/>
          <w:szCs w:val="28"/>
          <w:lang w:val="lv-LV"/>
        </w:rPr>
        <w:t>priekšlikumus</w:t>
      </w:r>
      <w:r w:rsidR="00505441" w:rsidRPr="00CF410C">
        <w:rPr>
          <w:sz w:val="28"/>
          <w:szCs w:val="28"/>
          <w:lang w:val="lv-LV"/>
        </w:rPr>
        <w:t xml:space="preserve"> </w:t>
      </w:r>
      <w:r w:rsidR="004E3BAE" w:rsidRPr="00CF410C">
        <w:rPr>
          <w:sz w:val="28"/>
          <w:szCs w:val="28"/>
          <w:lang w:val="lv-LV"/>
        </w:rPr>
        <w:t>grozījumiem</w:t>
      </w:r>
      <w:r w:rsidR="00505441" w:rsidRPr="00CF410C">
        <w:rPr>
          <w:sz w:val="28"/>
          <w:szCs w:val="28"/>
          <w:lang w:val="lv-LV"/>
        </w:rPr>
        <w:t xml:space="preserve"> savas nozares likumos un Ministru kabineta noteikumos </w:t>
      </w:r>
      <w:r w:rsidR="004E3BAE" w:rsidRPr="00CF410C">
        <w:rPr>
          <w:sz w:val="28"/>
          <w:szCs w:val="28"/>
          <w:lang w:val="lv-LV"/>
        </w:rPr>
        <w:t xml:space="preserve">attiecībā uz </w:t>
      </w:r>
      <w:r w:rsidR="00505441" w:rsidRPr="00CF410C">
        <w:rPr>
          <w:sz w:val="28"/>
          <w:szCs w:val="28"/>
          <w:lang w:val="lv-LV"/>
        </w:rPr>
        <w:t xml:space="preserve">personām paredzētajiem aizliegumiem </w:t>
      </w:r>
      <w:r w:rsidR="009E1015" w:rsidRPr="00CF410C">
        <w:rPr>
          <w:sz w:val="28"/>
          <w:szCs w:val="28"/>
          <w:lang w:val="lv-LV"/>
        </w:rPr>
        <w:t xml:space="preserve">vai ierobežojumiem </w:t>
      </w:r>
      <w:r w:rsidR="00505441" w:rsidRPr="00CF410C">
        <w:rPr>
          <w:sz w:val="28"/>
          <w:szCs w:val="28"/>
          <w:lang w:val="lv-LV"/>
        </w:rPr>
        <w:t>saistībā ar agrāk izdarītu noziedzīgu nodarījumu</w:t>
      </w:r>
      <w:r w:rsidR="00474D9B" w:rsidRPr="00CF410C">
        <w:rPr>
          <w:sz w:val="28"/>
          <w:szCs w:val="28"/>
          <w:lang w:val="lv-LV"/>
        </w:rPr>
        <w:t>,</w:t>
      </w:r>
      <w:r w:rsidRPr="00CF410C">
        <w:rPr>
          <w:sz w:val="28"/>
          <w:szCs w:val="28"/>
          <w:lang w:val="lv-LV"/>
        </w:rPr>
        <w:t xml:space="preserve"> </w:t>
      </w:r>
      <w:r w:rsidR="00EC7E22" w:rsidRPr="00CF410C">
        <w:rPr>
          <w:sz w:val="28"/>
          <w:szCs w:val="28"/>
          <w:lang w:val="lv-LV"/>
        </w:rPr>
        <w:t>izvērtējot šādus jautājumus:</w:t>
      </w:r>
    </w:p>
    <w:p w14:paraId="5A8A47D6" w14:textId="77777777" w:rsidR="00505441" w:rsidRPr="00CF410C" w:rsidRDefault="001A0395" w:rsidP="00CF410C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>3.1. v</w:t>
      </w:r>
      <w:r w:rsidR="00505441" w:rsidRPr="00CF410C">
        <w:rPr>
          <w:sz w:val="28"/>
          <w:szCs w:val="28"/>
          <w:lang w:val="lv-LV"/>
        </w:rPr>
        <w:t>ai aizliegums ir nepieciešams</w:t>
      </w:r>
      <w:r w:rsidRPr="00CF410C">
        <w:rPr>
          <w:sz w:val="28"/>
          <w:szCs w:val="28"/>
          <w:lang w:val="lv-LV"/>
        </w:rPr>
        <w:t>;</w:t>
      </w:r>
    </w:p>
    <w:p w14:paraId="5A8A47D7" w14:textId="77777777" w:rsidR="001A0395" w:rsidRPr="00CF410C" w:rsidRDefault="001A0395" w:rsidP="00CF410C">
      <w:pPr>
        <w:widowControl w:val="0"/>
        <w:ind w:firstLine="720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>3.2. v</w:t>
      </w:r>
      <w:r w:rsidR="00505441" w:rsidRPr="00CF410C">
        <w:rPr>
          <w:sz w:val="28"/>
          <w:szCs w:val="28"/>
          <w:lang w:val="lv-LV"/>
        </w:rPr>
        <w:t>ai aizliegumu ir iespējams attiecināt tikai uz tīšiem noziedzīgiem nodarījumiem</w:t>
      </w:r>
      <w:r w:rsidRPr="00CF410C">
        <w:rPr>
          <w:sz w:val="28"/>
          <w:szCs w:val="28"/>
          <w:lang w:val="lv-LV"/>
        </w:rPr>
        <w:t>;</w:t>
      </w:r>
    </w:p>
    <w:p w14:paraId="5A8A47D8" w14:textId="77777777" w:rsidR="00505441" w:rsidRDefault="001A0395" w:rsidP="00CF410C">
      <w:pPr>
        <w:widowControl w:val="0"/>
        <w:ind w:firstLine="720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>3.3. v</w:t>
      </w:r>
      <w:r w:rsidR="00505441" w:rsidRPr="00CF410C">
        <w:rPr>
          <w:sz w:val="28"/>
          <w:szCs w:val="28"/>
          <w:lang w:val="lv-LV"/>
        </w:rPr>
        <w:t>ai aizliegumu ir iespējams attiecināt tikai uz atsevišķiem noziedzīgiem nodarījumiem</w:t>
      </w:r>
      <w:r w:rsidR="00CF410C">
        <w:rPr>
          <w:sz w:val="28"/>
          <w:szCs w:val="28"/>
          <w:lang w:val="lv-LV"/>
        </w:rPr>
        <w:t xml:space="preserve"> (</w:t>
      </w:r>
      <w:r w:rsidR="00505441" w:rsidRPr="00CF410C">
        <w:rPr>
          <w:sz w:val="28"/>
          <w:szCs w:val="28"/>
          <w:lang w:val="lv-LV"/>
        </w:rPr>
        <w:t xml:space="preserve">piemēram, autortiesību un blakustiesību pārkāpšana </w:t>
      </w:r>
      <w:r w:rsidR="00CF410C">
        <w:rPr>
          <w:sz w:val="28"/>
          <w:szCs w:val="28"/>
          <w:lang w:val="lv-LV"/>
        </w:rPr>
        <w:t xml:space="preserve">saskaņā ar </w:t>
      </w:r>
      <w:r w:rsidR="00505441" w:rsidRPr="00CF410C">
        <w:rPr>
          <w:sz w:val="28"/>
          <w:szCs w:val="28"/>
          <w:lang w:val="lv-LV"/>
        </w:rPr>
        <w:t>K</w:t>
      </w:r>
      <w:r w:rsidR="00FE068F" w:rsidRPr="00CF410C">
        <w:rPr>
          <w:sz w:val="28"/>
          <w:szCs w:val="28"/>
          <w:lang w:val="lv-LV"/>
        </w:rPr>
        <w:t>rimināllikuma</w:t>
      </w:r>
      <w:r w:rsidR="00E73735">
        <w:rPr>
          <w:sz w:val="28"/>
          <w:szCs w:val="28"/>
          <w:lang w:val="lv-LV"/>
        </w:rPr>
        <w:t xml:space="preserve"> </w:t>
      </w:r>
      <w:r w:rsidR="00505441" w:rsidRPr="00CF410C">
        <w:rPr>
          <w:sz w:val="28"/>
          <w:szCs w:val="28"/>
          <w:lang w:val="lv-LV"/>
        </w:rPr>
        <w:t>148. pant</w:t>
      </w:r>
      <w:r w:rsidR="00CF410C">
        <w:rPr>
          <w:sz w:val="28"/>
          <w:szCs w:val="28"/>
          <w:lang w:val="lv-LV"/>
        </w:rPr>
        <w:t>u</w:t>
      </w:r>
      <w:r w:rsidR="005568A4">
        <w:rPr>
          <w:sz w:val="28"/>
          <w:szCs w:val="28"/>
          <w:lang w:val="lv-LV"/>
        </w:rPr>
        <w:t>,</w:t>
      </w:r>
      <w:r w:rsidR="00505441" w:rsidRPr="00CF410C">
        <w:rPr>
          <w:sz w:val="28"/>
          <w:szCs w:val="28"/>
          <w:lang w:val="lv-LV"/>
        </w:rPr>
        <w:t xml:space="preserve"> izvairīšanās no nodokļu un tiem pielīdzināto maksājumu nomaksas </w:t>
      </w:r>
      <w:r w:rsidR="00CF410C">
        <w:rPr>
          <w:sz w:val="28"/>
          <w:szCs w:val="28"/>
          <w:lang w:val="lv-LV"/>
        </w:rPr>
        <w:t xml:space="preserve">saskaņā ar </w:t>
      </w:r>
      <w:r w:rsidR="00505441" w:rsidRPr="00CF410C">
        <w:rPr>
          <w:sz w:val="28"/>
          <w:szCs w:val="28"/>
          <w:lang w:val="lv-LV"/>
        </w:rPr>
        <w:t>K</w:t>
      </w:r>
      <w:r w:rsidR="00FE068F" w:rsidRPr="00CF410C">
        <w:rPr>
          <w:sz w:val="28"/>
          <w:szCs w:val="28"/>
          <w:lang w:val="lv-LV"/>
        </w:rPr>
        <w:t>rimināllikuma</w:t>
      </w:r>
      <w:r w:rsidR="00505441" w:rsidRPr="00CF410C">
        <w:rPr>
          <w:sz w:val="28"/>
          <w:szCs w:val="28"/>
          <w:lang w:val="lv-LV"/>
        </w:rPr>
        <w:t xml:space="preserve"> 218. pant</w:t>
      </w:r>
      <w:r w:rsidR="00CF410C">
        <w:rPr>
          <w:sz w:val="28"/>
          <w:szCs w:val="28"/>
          <w:lang w:val="lv-LV"/>
        </w:rPr>
        <w:t>u</w:t>
      </w:r>
      <w:r w:rsidR="005568A4">
        <w:rPr>
          <w:sz w:val="28"/>
          <w:szCs w:val="28"/>
          <w:lang w:val="lv-LV"/>
        </w:rPr>
        <w:t xml:space="preserve"> un</w:t>
      </w:r>
      <w:r w:rsidR="00505441" w:rsidRPr="00CF410C">
        <w:rPr>
          <w:sz w:val="28"/>
          <w:szCs w:val="28"/>
          <w:lang w:val="lv-LV"/>
        </w:rPr>
        <w:t xml:space="preserve"> būvniecības noteikumu pārkāpšana </w:t>
      </w:r>
      <w:r w:rsidR="00CF410C">
        <w:rPr>
          <w:sz w:val="28"/>
          <w:szCs w:val="28"/>
          <w:lang w:val="lv-LV"/>
        </w:rPr>
        <w:t xml:space="preserve">saskaņā ar </w:t>
      </w:r>
      <w:r w:rsidR="00505441" w:rsidRPr="00CF410C">
        <w:rPr>
          <w:sz w:val="28"/>
          <w:szCs w:val="28"/>
          <w:lang w:val="lv-LV"/>
        </w:rPr>
        <w:t>K</w:t>
      </w:r>
      <w:r w:rsidR="00FE068F" w:rsidRPr="00CF410C">
        <w:rPr>
          <w:sz w:val="28"/>
          <w:szCs w:val="28"/>
          <w:lang w:val="lv-LV"/>
        </w:rPr>
        <w:t>rimināllikuma</w:t>
      </w:r>
      <w:r w:rsidR="00505441" w:rsidRPr="00CF410C">
        <w:rPr>
          <w:sz w:val="28"/>
          <w:szCs w:val="28"/>
          <w:lang w:val="lv-LV"/>
        </w:rPr>
        <w:t xml:space="preserve"> 239. pant</w:t>
      </w:r>
      <w:r w:rsidR="00CF410C">
        <w:rPr>
          <w:sz w:val="28"/>
          <w:szCs w:val="28"/>
          <w:lang w:val="lv-LV"/>
        </w:rPr>
        <w:t>u);</w:t>
      </w:r>
    </w:p>
    <w:p w14:paraId="5A8A47D9" w14:textId="77777777" w:rsidR="00505441" w:rsidRDefault="00CF410C" w:rsidP="00CF410C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3.4. v</w:t>
      </w:r>
      <w:r w:rsidR="00505441" w:rsidRPr="00CF410C">
        <w:rPr>
          <w:sz w:val="28"/>
          <w:szCs w:val="28"/>
          <w:lang w:val="lv-LV"/>
        </w:rPr>
        <w:t>ai aizliegumu ir iespējams attiecināt tikai uz atsevišķu noziedzīgu nodarījumu gr</w:t>
      </w:r>
      <w:r w:rsidR="003622C1" w:rsidRPr="00CF410C">
        <w:rPr>
          <w:sz w:val="28"/>
          <w:szCs w:val="28"/>
          <w:lang w:val="lv-LV"/>
        </w:rPr>
        <w:t>u</w:t>
      </w:r>
      <w:r w:rsidR="00505441" w:rsidRPr="00CF410C">
        <w:rPr>
          <w:sz w:val="28"/>
          <w:szCs w:val="28"/>
          <w:lang w:val="lv-LV"/>
        </w:rPr>
        <w:t>pām</w:t>
      </w:r>
      <w:r>
        <w:rPr>
          <w:sz w:val="28"/>
          <w:szCs w:val="28"/>
          <w:lang w:val="lv-LV"/>
        </w:rPr>
        <w:t xml:space="preserve"> (</w:t>
      </w:r>
      <w:r w:rsidR="00505441" w:rsidRPr="00CF410C">
        <w:rPr>
          <w:sz w:val="28"/>
          <w:szCs w:val="28"/>
          <w:lang w:val="lv-LV"/>
        </w:rPr>
        <w:t>piemēram, noziedzīgi nodarījumi pret personas dzīvību un veselību; noziedzīgi nodarījumi pret tikumību un dzimumneaizskaramību; noziedzīgi nodarījumi tautsaimniecībā; noziedzīgi nodarījumi valsts institūciju dienestā</w:t>
      </w:r>
      <w:r>
        <w:rPr>
          <w:sz w:val="28"/>
          <w:szCs w:val="28"/>
          <w:lang w:val="lv-LV"/>
        </w:rPr>
        <w:t>);</w:t>
      </w:r>
    </w:p>
    <w:p w14:paraId="5A8A47DA" w14:textId="77777777" w:rsidR="00505441" w:rsidRPr="00CF410C" w:rsidRDefault="00CF410C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3.5. v</w:t>
      </w:r>
      <w:r w:rsidR="00505441" w:rsidRPr="00CF410C">
        <w:rPr>
          <w:sz w:val="28"/>
          <w:szCs w:val="28"/>
          <w:lang w:val="lv-LV"/>
        </w:rPr>
        <w:t>ai atbilstoši noziedzīgu nodarījumu klasifikācijai, proti, no kaitīgākā uz mazāk ka</w:t>
      </w:r>
      <w:r w:rsidR="003622C1" w:rsidRPr="00CF410C">
        <w:rPr>
          <w:sz w:val="28"/>
          <w:szCs w:val="28"/>
          <w:lang w:val="lv-LV"/>
        </w:rPr>
        <w:t>i</w:t>
      </w:r>
      <w:r w:rsidR="00505441" w:rsidRPr="00CF410C">
        <w:rPr>
          <w:sz w:val="28"/>
          <w:szCs w:val="28"/>
          <w:lang w:val="lv-LV"/>
        </w:rPr>
        <w:t>tīgu, aizliegumu ir iespējams attiecināt tikai uz:</w:t>
      </w:r>
    </w:p>
    <w:p w14:paraId="5A8A47DB" w14:textId="77777777" w:rsidR="00505441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3.5.1. </w:t>
      </w:r>
      <w:r w:rsidR="00505441" w:rsidRPr="00CF410C">
        <w:rPr>
          <w:sz w:val="28"/>
          <w:szCs w:val="28"/>
          <w:lang w:val="lv-LV"/>
        </w:rPr>
        <w:t>sevišķi smagiem noziegumiem;</w:t>
      </w:r>
    </w:p>
    <w:p w14:paraId="5A8A47DC" w14:textId="77777777" w:rsidR="00505441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3.5.2. </w:t>
      </w:r>
      <w:r w:rsidR="00505441" w:rsidRPr="00CF410C">
        <w:rPr>
          <w:sz w:val="28"/>
          <w:szCs w:val="28"/>
          <w:lang w:val="lv-LV"/>
        </w:rPr>
        <w:t>smagiem un sevišķi smagiem noziegumiem;</w:t>
      </w:r>
    </w:p>
    <w:p w14:paraId="5A8A47DD" w14:textId="77777777" w:rsidR="00505441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3.5.3. </w:t>
      </w:r>
      <w:r w:rsidR="00505441" w:rsidRPr="00CF410C">
        <w:rPr>
          <w:sz w:val="28"/>
          <w:szCs w:val="28"/>
          <w:lang w:val="lv-LV"/>
        </w:rPr>
        <w:t>noziegumiem (</w:t>
      </w:r>
      <w:r w:rsidR="00505441" w:rsidRPr="00CF410C">
        <w:rPr>
          <w:rFonts w:eastAsia="Calibri"/>
          <w:sz w:val="28"/>
          <w:szCs w:val="28"/>
          <w:lang w:val="lv-LV" w:eastAsia="en-US"/>
        </w:rPr>
        <w:t xml:space="preserve">mazāk smagiem, </w:t>
      </w:r>
      <w:r w:rsidR="00505441" w:rsidRPr="00CF410C">
        <w:rPr>
          <w:sz w:val="28"/>
          <w:szCs w:val="28"/>
          <w:lang w:val="lv-LV"/>
        </w:rPr>
        <w:t xml:space="preserve">smagiem un sevišķi smagiem </w:t>
      </w:r>
      <w:r w:rsidR="00505441" w:rsidRPr="00CF410C">
        <w:rPr>
          <w:sz w:val="28"/>
          <w:szCs w:val="28"/>
          <w:lang w:val="lv-LV"/>
        </w:rPr>
        <w:lastRenderedPageBreak/>
        <w:t>noziegumiem);</w:t>
      </w:r>
    </w:p>
    <w:p w14:paraId="5A8A47DE" w14:textId="77777777" w:rsidR="00505441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3.5.4. </w:t>
      </w:r>
      <w:r w:rsidR="00505441" w:rsidRPr="00CF410C">
        <w:rPr>
          <w:sz w:val="28"/>
          <w:szCs w:val="28"/>
          <w:lang w:val="lv-LV"/>
        </w:rPr>
        <w:t>noziedzīgiem nodarījumiem (kriminālpārkāpumiem un noziegumiem)</w:t>
      </w:r>
      <w:r>
        <w:rPr>
          <w:sz w:val="28"/>
          <w:szCs w:val="28"/>
          <w:lang w:val="lv-LV"/>
        </w:rPr>
        <w:t>;</w:t>
      </w:r>
    </w:p>
    <w:p w14:paraId="5A8A47DF" w14:textId="77777777" w:rsidR="00505441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3.6. v</w:t>
      </w:r>
      <w:r w:rsidR="00505441" w:rsidRPr="00CF410C">
        <w:rPr>
          <w:sz w:val="28"/>
          <w:szCs w:val="28"/>
          <w:lang w:val="lv-LV"/>
        </w:rPr>
        <w:t>ai aizliegumu ir iespējams neattiecināt uz personām, kuras noziedzīgu nodarījumu izdarījušas būdamas nepilngadīgas;</w:t>
      </w:r>
    </w:p>
    <w:p w14:paraId="5A8A47E0" w14:textId="77777777" w:rsidR="005568A4" w:rsidRPr="005568A4" w:rsidRDefault="005568A4" w:rsidP="005568A4">
      <w:pPr>
        <w:widowControl w:val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3.7. </w:t>
      </w:r>
      <w:r w:rsidRPr="005568A4">
        <w:rPr>
          <w:sz w:val="28"/>
          <w:szCs w:val="28"/>
          <w:lang w:val="lv-LV"/>
        </w:rPr>
        <w:t>v</w:t>
      </w:r>
      <w:r w:rsidR="00505441" w:rsidRPr="005568A4">
        <w:rPr>
          <w:sz w:val="28"/>
          <w:szCs w:val="28"/>
          <w:lang w:val="lv-LV"/>
        </w:rPr>
        <w:t>ai absolūtu aizliegumu ir iespējams aizstāt ar terminētu aizliegumu, proti</w:t>
      </w:r>
      <w:r w:rsidR="00481168">
        <w:rPr>
          <w:sz w:val="28"/>
          <w:szCs w:val="28"/>
          <w:lang w:val="lv-LV"/>
        </w:rPr>
        <w:t>,</w:t>
      </w:r>
      <w:r w:rsidR="00505441" w:rsidRPr="005568A4">
        <w:rPr>
          <w:sz w:val="28"/>
          <w:szCs w:val="28"/>
          <w:lang w:val="lv-LV"/>
        </w:rPr>
        <w:t xml:space="preserve"> tādu, </w:t>
      </w:r>
      <w:proofErr w:type="gramStart"/>
      <w:r w:rsidR="00505441" w:rsidRPr="005568A4">
        <w:rPr>
          <w:sz w:val="28"/>
          <w:szCs w:val="28"/>
          <w:lang w:val="lv-LV"/>
        </w:rPr>
        <w:t>kas beidzas līdz ar sodāmības dzēšanu</w:t>
      </w:r>
      <w:proofErr w:type="gramEnd"/>
      <w:r w:rsidR="00505441" w:rsidRPr="005568A4">
        <w:rPr>
          <w:sz w:val="28"/>
          <w:szCs w:val="28"/>
          <w:lang w:val="lv-LV"/>
        </w:rPr>
        <w:t xml:space="preserve"> vai noņemšanu</w:t>
      </w:r>
      <w:r w:rsidRPr="005568A4">
        <w:rPr>
          <w:sz w:val="28"/>
          <w:szCs w:val="28"/>
          <w:lang w:val="lv-LV"/>
        </w:rPr>
        <w:t>;</w:t>
      </w:r>
    </w:p>
    <w:p w14:paraId="5A8A47E1" w14:textId="77777777" w:rsidR="00EC7E22" w:rsidRPr="00CF410C" w:rsidRDefault="005568A4" w:rsidP="005568A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3.8.</w:t>
      </w:r>
      <w:r w:rsidR="00505441" w:rsidRPr="005568A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</w:t>
      </w:r>
      <w:r w:rsidR="00505441" w:rsidRPr="00CF410C">
        <w:rPr>
          <w:sz w:val="28"/>
          <w:szCs w:val="28"/>
          <w:lang w:val="lv-LV"/>
        </w:rPr>
        <w:t>ai absolūtu aizliegumu ir iespējams atcelt, veicot individuālu izvērtējumu</w:t>
      </w:r>
      <w:r>
        <w:rPr>
          <w:sz w:val="28"/>
          <w:szCs w:val="28"/>
          <w:lang w:val="lv-LV"/>
        </w:rPr>
        <w:t>.</w:t>
      </w:r>
    </w:p>
    <w:p w14:paraId="5A8A47E2" w14:textId="77777777" w:rsidR="00FE068F" w:rsidRPr="00CF410C" w:rsidRDefault="00FE068F" w:rsidP="001A0395">
      <w:pPr>
        <w:widowControl w:val="0"/>
        <w:jc w:val="both"/>
        <w:rPr>
          <w:sz w:val="28"/>
          <w:szCs w:val="28"/>
          <w:lang w:val="lv-LV"/>
        </w:rPr>
      </w:pPr>
    </w:p>
    <w:p w14:paraId="5A8A47E3" w14:textId="77777777" w:rsidR="003622C1" w:rsidRPr="00CF410C" w:rsidRDefault="003622C1" w:rsidP="005568A4">
      <w:pPr>
        <w:pStyle w:val="Sarakstarindko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 xml:space="preserve">Valsts kancelejai </w:t>
      </w:r>
      <w:r w:rsidR="00AD293C" w:rsidRPr="00CF410C">
        <w:rPr>
          <w:sz w:val="28"/>
          <w:szCs w:val="28"/>
          <w:lang w:val="lv-LV"/>
        </w:rPr>
        <w:t>3</w:t>
      </w:r>
      <w:r w:rsidRPr="00CF410C">
        <w:rPr>
          <w:sz w:val="28"/>
          <w:szCs w:val="28"/>
          <w:lang w:val="lv-LV"/>
        </w:rPr>
        <w:t>.</w:t>
      </w:r>
      <w:r w:rsidR="007B284C" w:rsidRPr="00CF410C">
        <w:rPr>
          <w:sz w:val="28"/>
          <w:szCs w:val="28"/>
          <w:lang w:val="lv-LV"/>
        </w:rPr>
        <w:t> </w:t>
      </w:r>
      <w:r w:rsidRPr="00CF410C">
        <w:rPr>
          <w:sz w:val="28"/>
          <w:szCs w:val="28"/>
          <w:lang w:val="lv-LV"/>
        </w:rPr>
        <w:t xml:space="preserve">punktā minētos </w:t>
      </w:r>
      <w:r w:rsidR="004E3BAE" w:rsidRPr="00CF410C">
        <w:rPr>
          <w:sz w:val="28"/>
          <w:szCs w:val="28"/>
          <w:lang w:val="lv-LV"/>
        </w:rPr>
        <w:t>priekšlikumus</w:t>
      </w:r>
      <w:r w:rsidRPr="00CF410C">
        <w:rPr>
          <w:sz w:val="28"/>
          <w:szCs w:val="28"/>
          <w:lang w:val="lv-LV"/>
        </w:rPr>
        <w:t xml:space="preserve"> apkopot un iesniegt izskatīšanai Valsts sekretāru sanāksmē. </w:t>
      </w:r>
    </w:p>
    <w:p w14:paraId="5A8A47E4" w14:textId="77777777" w:rsidR="007B284C" w:rsidRPr="00CF410C" w:rsidRDefault="007B284C" w:rsidP="00FE068F">
      <w:pPr>
        <w:pStyle w:val="Sarakstarindkopa"/>
        <w:rPr>
          <w:sz w:val="28"/>
          <w:szCs w:val="28"/>
          <w:lang w:val="lv-LV"/>
        </w:rPr>
      </w:pPr>
    </w:p>
    <w:p w14:paraId="5A8A47E5" w14:textId="77777777" w:rsidR="007B284C" w:rsidRPr="00CF410C" w:rsidRDefault="007B284C" w:rsidP="005568A4">
      <w:pPr>
        <w:pStyle w:val="Sarakstarindko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 w:rsidRPr="00CF410C">
        <w:rPr>
          <w:sz w:val="28"/>
          <w:szCs w:val="28"/>
          <w:lang w:val="lv-LV"/>
        </w:rPr>
        <w:t xml:space="preserve">Aicināt </w:t>
      </w:r>
      <w:r w:rsidR="00ED6057" w:rsidRPr="00CF410C">
        <w:rPr>
          <w:sz w:val="28"/>
          <w:szCs w:val="28"/>
          <w:lang w:val="lv-LV"/>
        </w:rPr>
        <w:t>Saeimu, Valsts kontroli,</w:t>
      </w:r>
      <w:r w:rsidR="00517CED" w:rsidRPr="00CF410C">
        <w:rPr>
          <w:sz w:val="28"/>
          <w:szCs w:val="28"/>
          <w:lang w:val="lv-LV"/>
        </w:rPr>
        <w:t xml:space="preserve"> </w:t>
      </w:r>
      <w:r w:rsidR="00ED6057" w:rsidRPr="00CF410C">
        <w:rPr>
          <w:sz w:val="28"/>
          <w:szCs w:val="28"/>
          <w:lang w:val="lv-LV"/>
        </w:rPr>
        <w:t>Tiesībsargu</w:t>
      </w:r>
      <w:r w:rsidR="00517CED" w:rsidRPr="00CF410C">
        <w:rPr>
          <w:sz w:val="28"/>
          <w:szCs w:val="28"/>
          <w:lang w:val="lv-LV"/>
        </w:rPr>
        <w:t xml:space="preserve">, </w:t>
      </w:r>
      <w:r w:rsidR="00ED6057" w:rsidRPr="00CF410C">
        <w:rPr>
          <w:sz w:val="28"/>
          <w:szCs w:val="28"/>
          <w:lang w:val="lv-LV"/>
        </w:rPr>
        <w:t>Ģenerālprokuratūru</w:t>
      </w:r>
      <w:r w:rsidR="00517CED" w:rsidRPr="00CF410C">
        <w:rPr>
          <w:sz w:val="28"/>
          <w:szCs w:val="28"/>
          <w:lang w:val="lv-LV"/>
        </w:rPr>
        <w:t>,</w:t>
      </w:r>
      <w:r w:rsidR="00ED6057" w:rsidRPr="00CF410C">
        <w:rPr>
          <w:sz w:val="28"/>
          <w:szCs w:val="28"/>
          <w:lang w:val="lv-LV"/>
        </w:rPr>
        <w:t xml:space="preserve"> </w:t>
      </w:r>
      <w:r w:rsidR="00517CED" w:rsidRPr="00CF410C">
        <w:rPr>
          <w:sz w:val="28"/>
          <w:szCs w:val="28"/>
          <w:lang w:val="lv-LV"/>
        </w:rPr>
        <w:t xml:space="preserve">Latvijas Banku, </w:t>
      </w:r>
      <w:r w:rsidR="00187E9D" w:rsidRPr="00CF410C">
        <w:rPr>
          <w:sz w:val="28"/>
          <w:szCs w:val="28"/>
          <w:lang w:val="lv-LV"/>
        </w:rPr>
        <w:t>Finanšu un kapitāla tirgus komisiju,</w:t>
      </w:r>
      <w:r w:rsidR="00A77383" w:rsidRPr="00CF410C">
        <w:rPr>
          <w:sz w:val="28"/>
          <w:szCs w:val="28"/>
          <w:lang w:val="lv-LV"/>
        </w:rPr>
        <w:t xml:space="preserve"> Sabiedrisko pakalpojumu regulēšanas komisiju,</w:t>
      </w:r>
      <w:r w:rsidR="00187E9D" w:rsidRPr="00CF410C">
        <w:rPr>
          <w:sz w:val="28"/>
          <w:szCs w:val="28"/>
          <w:lang w:val="lv-LV"/>
        </w:rPr>
        <w:t xml:space="preserve"> Nacionālo elektronisko plašsaziņas līdzekļu padomi,</w:t>
      </w:r>
      <w:r w:rsidR="00491232" w:rsidRPr="00CF410C">
        <w:rPr>
          <w:sz w:val="28"/>
          <w:szCs w:val="28"/>
          <w:lang w:val="lv-LV"/>
        </w:rPr>
        <w:t xml:space="preserve"> Centrāl</w:t>
      </w:r>
      <w:r w:rsidR="00AD293C" w:rsidRPr="00CF410C">
        <w:rPr>
          <w:sz w:val="28"/>
          <w:szCs w:val="28"/>
          <w:lang w:val="lv-LV"/>
        </w:rPr>
        <w:t>o</w:t>
      </w:r>
      <w:r w:rsidR="00491232" w:rsidRPr="00CF410C">
        <w:rPr>
          <w:sz w:val="28"/>
          <w:szCs w:val="28"/>
          <w:lang w:val="lv-LV"/>
        </w:rPr>
        <w:t xml:space="preserve"> vēlēšanu komisiju</w:t>
      </w:r>
      <w:r w:rsidR="00187E9D" w:rsidRPr="00CF410C">
        <w:rPr>
          <w:sz w:val="28"/>
          <w:szCs w:val="28"/>
          <w:lang w:val="lv-LV"/>
        </w:rPr>
        <w:t xml:space="preserve"> </w:t>
      </w:r>
      <w:r w:rsidR="004E3BAE" w:rsidRPr="00CF410C">
        <w:rPr>
          <w:sz w:val="28"/>
          <w:szCs w:val="28"/>
          <w:lang w:val="lv-LV"/>
        </w:rPr>
        <w:t>izstrādāt</w:t>
      </w:r>
      <w:r w:rsidR="00BA730B" w:rsidRPr="00CF410C">
        <w:rPr>
          <w:sz w:val="28"/>
          <w:szCs w:val="28"/>
          <w:lang w:val="lv-LV"/>
        </w:rPr>
        <w:t xml:space="preserve"> 3. punktā minēto</w:t>
      </w:r>
      <w:r w:rsidR="0091032E" w:rsidRPr="00CF410C">
        <w:rPr>
          <w:sz w:val="28"/>
          <w:szCs w:val="28"/>
          <w:lang w:val="lv-LV"/>
        </w:rPr>
        <w:t>s</w:t>
      </w:r>
      <w:r w:rsidR="00BA730B" w:rsidRPr="00CF410C">
        <w:rPr>
          <w:sz w:val="28"/>
          <w:szCs w:val="28"/>
          <w:lang w:val="lv-LV"/>
        </w:rPr>
        <w:t xml:space="preserve"> </w:t>
      </w:r>
      <w:r w:rsidR="004E3BAE" w:rsidRPr="00CF410C">
        <w:rPr>
          <w:sz w:val="28"/>
          <w:szCs w:val="28"/>
          <w:lang w:val="lv-LV"/>
        </w:rPr>
        <w:t>priekšlikumus</w:t>
      </w:r>
      <w:r w:rsidR="00BA730B" w:rsidRPr="00CF410C">
        <w:rPr>
          <w:sz w:val="28"/>
          <w:szCs w:val="28"/>
          <w:lang w:val="lv-LV"/>
        </w:rPr>
        <w:t xml:space="preserve">. </w:t>
      </w:r>
    </w:p>
    <w:p w14:paraId="5A8A47E6" w14:textId="77777777" w:rsidR="00CE564E" w:rsidRPr="00CF410C" w:rsidRDefault="00CE564E" w:rsidP="00FE068F">
      <w:pPr>
        <w:ind w:left="360"/>
        <w:jc w:val="both"/>
        <w:rPr>
          <w:rStyle w:val="spelle"/>
          <w:sz w:val="28"/>
          <w:szCs w:val="28"/>
          <w:lang w:val="lv-LV"/>
        </w:rPr>
      </w:pPr>
    </w:p>
    <w:p w14:paraId="5A8A47E7" w14:textId="77777777" w:rsidR="006D59E5" w:rsidRPr="00CF410C" w:rsidRDefault="006D59E5" w:rsidP="00D6751A">
      <w:pPr>
        <w:tabs>
          <w:tab w:val="left" w:pos="6379"/>
          <w:tab w:val="right" w:pos="9071"/>
        </w:tabs>
        <w:jc w:val="both"/>
        <w:rPr>
          <w:sz w:val="28"/>
          <w:szCs w:val="28"/>
          <w:lang w:val="lv-LV"/>
        </w:rPr>
      </w:pPr>
    </w:p>
    <w:p w14:paraId="5A8A47E8" w14:textId="77777777" w:rsidR="005568A4" w:rsidRPr="005568A4" w:rsidRDefault="005568A4" w:rsidP="005568A4">
      <w:pPr>
        <w:tabs>
          <w:tab w:val="left" w:pos="7150"/>
          <w:tab w:val="left" w:pos="7178"/>
        </w:tabs>
        <w:snapToGrid w:val="0"/>
        <w:rPr>
          <w:color w:val="000000"/>
          <w:sz w:val="28"/>
          <w:szCs w:val="28"/>
          <w:lang w:val="lv-LV" w:eastAsia="en-US"/>
        </w:rPr>
      </w:pPr>
      <w:r w:rsidRPr="005568A4">
        <w:rPr>
          <w:color w:val="000000"/>
          <w:sz w:val="28"/>
          <w:szCs w:val="28"/>
          <w:lang w:val="lv-LV" w:eastAsia="en-US"/>
        </w:rPr>
        <w:t>Ministru prezidents</w:t>
      </w:r>
      <w:r w:rsidRPr="005568A4">
        <w:rPr>
          <w:color w:val="000000"/>
          <w:sz w:val="28"/>
          <w:szCs w:val="28"/>
          <w:lang w:val="lv-LV" w:eastAsia="en-US"/>
        </w:rPr>
        <w:tab/>
        <w:t>A. K. Kariņš</w:t>
      </w:r>
    </w:p>
    <w:p w14:paraId="5A8A47E9" w14:textId="77777777" w:rsidR="005568A4" w:rsidRPr="005568A4" w:rsidRDefault="005568A4" w:rsidP="005568A4">
      <w:pPr>
        <w:snapToGrid w:val="0"/>
        <w:jc w:val="center"/>
        <w:rPr>
          <w:sz w:val="28"/>
          <w:szCs w:val="20"/>
          <w:lang w:val="lv-LV" w:eastAsia="en-US"/>
        </w:rPr>
      </w:pPr>
    </w:p>
    <w:p w14:paraId="5A8A47EA" w14:textId="77777777" w:rsidR="005568A4" w:rsidRPr="005568A4" w:rsidRDefault="005568A4" w:rsidP="005568A4">
      <w:pPr>
        <w:snapToGrid w:val="0"/>
        <w:rPr>
          <w:sz w:val="28"/>
          <w:szCs w:val="20"/>
          <w:lang w:val="lv-LV" w:eastAsia="en-US"/>
        </w:rPr>
      </w:pPr>
    </w:p>
    <w:p w14:paraId="5A8A47EB" w14:textId="77777777" w:rsidR="005568A4" w:rsidRPr="005568A4" w:rsidRDefault="005568A4" w:rsidP="005568A4">
      <w:pPr>
        <w:tabs>
          <w:tab w:val="left" w:pos="7180"/>
        </w:tabs>
        <w:snapToGrid w:val="0"/>
        <w:rPr>
          <w:sz w:val="28"/>
          <w:szCs w:val="20"/>
          <w:lang w:val="lv-LV" w:eastAsia="en-US"/>
        </w:rPr>
      </w:pPr>
      <w:r w:rsidRPr="005568A4">
        <w:rPr>
          <w:sz w:val="28"/>
          <w:szCs w:val="20"/>
          <w:lang w:val="lv-LV" w:eastAsia="en-US"/>
        </w:rPr>
        <w:t>Valsts kancelejas direktors</w:t>
      </w:r>
      <w:r w:rsidRPr="005568A4">
        <w:rPr>
          <w:sz w:val="28"/>
          <w:szCs w:val="20"/>
          <w:lang w:val="lv-LV" w:eastAsia="en-US"/>
        </w:rPr>
        <w:tab/>
        <w:t>J. </w:t>
      </w:r>
      <w:proofErr w:type="spellStart"/>
      <w:r w:rsidRPr="005568A4">
        <w:rPr>
          <w:sz w:val="28"/>
          <w:szCs w:val="20"/>
          <w:lang w:val="lv-LV" w:eastAsia="en-US"/>
        </w:rPr>
        <w:t>Citskovskis</w:t>
      </w:r>
      <w:proofErr w:type="spellEnd"/>
    </w:p>
    <w:p w14:paraId="5A8A47EC" w14:textId="77777777" w:rsidR="005568A4" w:rsidRPr="005568A4" w:rsidRDefault="005568A4" w:rsidP="005568A4">
      <w:pPr>
        <w:snapToGrid w:val="0"/>
        <w:jc w:val="both"/>
        <w:rPr>
          <w:sz w:val="28"/>
          <w:szCs w:val="20"/>
          <w:lang w:val="lv-LV" w:eastAsia="en-US"/>
        </w:rPr>
      </w:pPr>
    </w:p>
    <w:p w14:paraId="5A8A47ED" w14:textId="77777777" w:rsidR="005568A4" w:rsidRPr="005568A4" w:rsidRDefault="005568A4" w:rsidP="005568A4">
      <w:pPr>
        <w:jc w:val="both"/>
        <w:rPr>
          <w:sz w:val="20"/>
          <w:szCs w:val="20"/>
          <w:lang w:val="lv-LV" w:eastAsia="en-US"/>
        </w:rPr>
      </w:pPr>
    </w:p>
    <w:p w14:paraId="5A8A47EE" w14:textId="77777777" w:rsidR="005568A4" w:rsidRPr="005568A4" w:rsidRDefault="005568A4" w:rsidP="005568A4">
      <w:pPr>
        <w:tabs>
          <w:tab w:val="left" w:pos="720"/>
          <w:tab w:val="left" w:pos="7178"/>
        </w:tabs>
        <w:snapToGrid w:val="0"/>
        <w:jc w:val="both"/>
        <w:rPr>
          <w:sz w:val="28"/>
          <w:szCs w:val="20"/>
          <w:lang w:val="lv-LV" w:eastAsia="en-US"/>
        </w:rPr>
      </w:pPr>
      <w:r w:rsidRPr="005568A4">
        <w:rPr>
          <w:sz w:val="28"/>
          <w:szCs w:val="20"/>
          <w:lang w:val="lv-LV" w:eastAsia="en-US"/>
        </w:rPr>
        <w:t>Iesniedzējs:</w:t>
      </w:r>
    </w:p>
    <w:p w14:paraId="5A8A47EF" w14:textId="77777777" w:rsidR="005568A4" w:rsidRPr="005568A4" w:rsidRDefault="005568A4" w:rsidP="005568A4">
      <w:pPr>
        <w:tabs>
          <w:tab w:val="left" w:pos="7178"/>
        </w:tabs>
        <w:snapToGrid w:val="0"/>
        <w:rPr>
          <w:sz w:val="28"/>
          <w:szCs w:val="20"/>
          <w:lang w:val="lv-LV" w:eastAsia="en-US"/>
        </w:rPr>
      </w:pPr>
      <w:r w:rsidRPr="005568A4">
        <w:rPr>
          <w:sz w:val="28"/>
          <w:szCs w:val="20"/>
          <w:lang w:val="lv-LV" w:eastAsia="en-US"/>
        </w:rPr>
        <w:t>Ministru prezidenta biedrs,</w:t>
      </w:r>
    </w:p>
    <w:p w14:paraId="5A8A47F0" w14:textId="77777777" w:rsidR="005568A4" w:rsidRPr="005568A4" w:rsidRDefault="005568A4" w:rsidP="005568A4">
      <w:pPr>
        <w:tabs>
          <w:tab w:val="left" w:pos="7178"/>
        </w:tabs>
        <w:snapToGrid w:val="0"/>
        <w:rPr>
          <w:sz w:val="20"/>
          <w:szCs w:val="20"/>
          <w:lang w:val="lv-LV" w:eastAsia="en-US"/>
        </w:rPr>
      </w:pPr>
      <w:r w:rsidRPr="005568A4">
        <w:rPr>
          <w:sz w:val="28"/>
          <w:szCs w:val="20"/>
          <w:lang w:val="lv-LV" w:eastAsia="en-US"/>
        </w:rPr>
        <w:t xml:space="preserve">tieslietu ministrs </w:t>
      </w:r>
      <w:r w:rsidRPr="005568A4">
        <w:rPr>
          <w:sz w:val="28"/>
          <w:szCs w:val="20"/>
          <w:lang w:val="lv-LV" w:eastAsia="en-US"/>
        </w:rPr>
        <w:tab/>
        <w:t>J. Bordāns</w:t>
      </w:r>
    </w:p>
    <w:p w14:paraId="5A8A47F1" w14:textId="77777777" w:rsidR="005568A4" w:rsidRPr="005568A4" w:rsidRDefault="005568A4" w:rsidP="005568A4">
      <w:pPr>
        <w:jc w:val="both"/>
        <w:rPr>
          <w:sz w:val="20"/>
          <w:szCs w:val="20"/>
          <w:lang w:val="lv-LV" w:eastAsia="en-US"/>
        </w:rPr>
      </w:pPr>
    </w:p>
    <w:p w14:paraId="5A8A47F2" w14:textId="77777777" w:rsidR="00DC35AE" w:rsidRPr="00CF410C" w:rsidRDefault="00DC35AE" w:rsidP="00AC3DE0">
      <w:pPr>
        <w:rPr>
          <w:sz w:val="28"/>
          <w:szCs w:val="28"/>
          <w:lang w:val="lv-LV"/>
        </w:rPr>
      </w:pPr>
    </w:p>
    <w:p w14:paraId="5A8A47F3" w14:textId="77777777" w:rsidR="00DC35AE" w:rsidRPr="00CF410C" w:rsidRDefault="00DC35AE" w:rsidP="00AC3DE0">
      <w:pPr>
        <w:rPr>
          <w:sz w:val="28"/>
          <w:szCs w:val="28"/>
          <w:lang w:val="lv-LV"/>
        </w:rPr>
      </w:pPr>
    </w:p>
    <w:p w14:paraId="5A8A47F4" w14:textId="77777777" w:rsidR="00DC35AE" w:rsidRPr="00CF410C" w:rsidRDefault="00DC35AE" w:rsidP="00AC3DE0">
      <w:pPr>
        <w:rPr>
          <w:sz w:val="28"/>
          <w:szCs w:val="28"/>
          <w:lang w:val="lv-LV"/>
        </w:rPr>
      </w:pPr>
    </w:p>
    <w:p w14:paraId="5A8A47F5" w14:textId="77777777" w:rsidR="00AC3DE0" w:rsidRPr="003622C1" w:rsidRDefault="00AC3DE0" w:rsidP="00AC3DE0">
      <w:pPr>
        <w:rPr>
          <w:i/>
          <w:iCs/>
          <w:sz w:val="20"/>
          <w:szCs w:val="20"/>
          <w:lang w:val="lv-LV"/>
        </w:rPr>
      </w:pPr>
    </w:p>
    <w:sectPr w:rsidR="00AC3DE0" w:rsidRPr="003622C1" w:rsidSect="006A7F0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47F8" w14:textId="77777777" w:rsidR="008F4F82" w:rsidRDefault="008F4F82">
      <w:r>
        <w:separator/>
      </w:r>
    </w:p>
  </w:endnote>
  <w:endnote w:type="continuationSeparator" w:id="0">
    <w:p w14:paraId="5A8A47F9" w14:textId="77777777" w:rsidR="008F4F82" w:rsidRDefault="008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47FC" w14:textId="77777777" w:rsidR="008F4F82" w:rsidRPr="00976A97" w:rsidRDefault="00867AF5" w:rsidP="007F422E">
    <w:pPr>
      <w:pStyle w:val="Kjene"/>
    </w:pPr>
    <w:bookmarkStart w:id="1" w:name="_Hlk31893094"/>
    <w:bookmarkStart w:id="2" w:name="_Hlk31893095"/>
    <w:bookmarkStart w:id="3" w:name="_Hlk31893124"/>
    <w:bookmarkStart w:id="4" w:name="_Hlk31893125"/>
    <w:r>
      <w:rPr>
        <w:lang w:val="en-GB"/>
      </w:rPr>
      <w:t>TM</w:t>
    </w:r>
    <w:r w:rsidR="008F4F82">
      <w:rPr>
        <w:lang w:val="en-GB"/>
      </w:rPr>
      <w:t>Prot_</w:t>
    </w:r>
    <w:r w:rsidR="009A2A91">
      <w:rPr>
        <w:lang w:val="en-GB"/>
      </w:rPr>
      <w:t>070220</w:t>
    </w:r>
    <w:bookmarkEnd w:id="1"/>
    <w:bookmarkEnd w:id="2"/>
    <w:bookmarkEnd w:id="3"/>
    <w:bookmarkEnd w:id="4"/>
    <w:r w:rsidR="009A2A91">
      <w:rPr>
        <w:lang w:val="en-GB"/>
      </w:rPr>
      <w:t>_proj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47FD" w14:textId="77777777" w:rsidR="000405F9" w:rsidRPr="00976A97" w:rsidRDefault="000405F9" w:rsidP="000405F9">
    <w:pPr>
      <w:pStyle w:val="Kjene"/>
    </w:pPr>
    <w:r>
      <w:rPr>
        <w:lang w:val="en-GB"/>
      </w:rPr>
      <w:t>TMProt_070220_proj</w:t>
    </w:r>
  </w:p>
  <w:p w14:paraId="5A8A47FE" w14:textId="77777777" w:rsidR="000405F9" w:rsidRDefault="000405F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47F6" w14:textId="77777777" w:rsidR="008F4F82" w:rsidRDefault="008F4F82">
      <w:r>
        <w:separator/>
      </w:r>
    </w:p>
  </w:footnote>
  <w:footnote w:type="continuationSeparator" w:id="0">
    <w:p w14:paraId="5A8A47F7" w14:textId="77777777" w:rsidR="008F4F82" w:rsidRDefault="008F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575335"/>
      <w:docPartObj>
        <w:docPartGallery w:val="Page Numbers (Top of Page)"/>
        <w:docPartUnique/>
      </w:docPartObj>
    </w:sdtPr>
    <w:sdtEndPr/>
    <w:sdtContent>
      <w:p w14:paraId="5A8A47FA" w14:textId="77777777" w:rsidR="006A7F06" w:rsidRDefault="006A7F0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5A8A47FB" w14:textId="77777777" w:rsidR="009A2A91" w:rsidRDefault="009A2A9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821"/>
    <w:multiLevelType w:val="hybridMultilevel"/>
    <w:tmpl w:val="A2BA252A"/>
    <w:lvl w:ilvl="0" w:tplc="F8381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3F4122"/>
    <w:multiLevelType w:val="hybridMultilevel"/>
    <w:tmpl w:val="D7B25D46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031FE"/>
    <w:multiLevelType w:val="multilevel"/>
    <w:tmpl w:val="5D060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00F42"/>
    <w:rsid w:val="00022237"/>
    <w:rsid w:val="00033D26"/>
    <w:rsid w:val="00034CF4"/>
    <w:rsid w:val="000405F9"/>
    <w:rsid w:val="000549D5"/>
    <w:rsid w:val="00074EE6"/>
    <w:rsid w:val="000802C2"/>
    <w:rsid w:val="000C710A"/>
    <w:rsid w:val="000E7D4C"/>
    <w:rsid w:val="000F0DFA"/>
    <w:rsid w:val="000F5067"/>
    <w:rsid w:val="000F694E"/>
    <w:rsid w:val="000F75AE"/>
    <w:rsid w:val="001066D8"/>
    <w:rsid w:val="00121502"/>
    <w:rsid w:val="001464B8"/>
    <w:rsid w:val="001767D4"/>
    <w:rsid w:val="00187E9D"/>
    <w:rsid w:val="001A0395"/>
    <w:rsid w:val="001A0B28"/>
    <w:rsid w:val="001C305C"/>
    <w:rsid w:val="001E49A2"/>
    <w:rsid w:val="0021442F"/>
    <w:rsid w:val="00236753"/>
    <w:rsid w:val="002B13AA"/>
    <w:rsid w:val="002B3883"/>
    <w:rsid w:val="002B6E02"/>
    <w:rsid w:val="002D432A"/>
    <w:rsid w:val="00314677"/>
    <w:rsid w:val="00325A2C"/>
    <w:rsid w:val="003560F1"/>
    <w:rsid w:val="003622C1"/>
    <w:rsid w:val="00371D37"/>
    <w:rsid w:val="00397420"/>
    <w:rsid w:val="003C35FC"/>
    <w:rsid w:val="003E328B"/>
    <w:rsid w:val="00417C8C"/>
    <w:rsid w:val="00474D9B"/>
    <w:rsid w:val="00481168"/>
    <w:rsid w:val="00487DD8"/>
    <w:rsid w:val="00491232"/>
    <w:rsid w:val="004946C1"/>
    <w:rsid w:val="004B2A45"/>
    <w:rsid w:val="004E33ED"/>
    <w:rsid w:val="004E3BAE"/>
    <w:rsid w:val="004F399C"/>
    <w:rsid w:val="004F4E19"/>
    <w:rsid w:val="00505441"/>
    <w:rsid w:val="00517CED"/>
    <w:rsid w:val="00517F32"/>
    <w:rsid w:val="00532F95"/>
    <w:rsid w:val="00554D6C"/>
    <w:rsid w:val="005568A4"/>
    <w:rsid w:val="00564CFC"/>
    <w:rsid w:val="00635DF0"/>
    <w:rsid w:val="00661105"/>
    <w:rsid w:val="0067302D"/>
    <w:rsid w:val="00691493"/>
    <w:rsid w:val="006A7F06"/>
    <w:rsid w:val="006B4D23"/>
    <w:rsid w:val="006D59E5"/>
    <w:rsid w:val="006D606F"/>
    <w:rsid w:val="006D74CF"/>
    <w:rsid w:val="00722A4F"/>
    <w:rsid w:val="0073120C"/>
    <w:rsid w:val="00744940"/>
    <w:rsid w:val="00750FAF"/>
    <w:rsid w:val="007B166E"/>
    <w:rsid w:val="007B284C"/>
    <w:rsid w:val="007B3932"/>
    <w:rsid w:val="007C1D4F"/>
    <w:rsid w:val="007F422E"/>
    <w:rsid w:val="0081578E"/>
    <w:rsid w:val="00824B7B"/>
    <w:rsid w:val="00826EEA"/>
    <w:rsid w:val="008520ED"/>
    <w:rsid w:val="00854952"/>
    <w:rsid w:val="00862E68"/>
    <w:rsid w:val="00867AF5"/>
    <w:rsid w:val="008760BF"/>
    <w:rsid w:val="00893A9D"/>
    <w:rsid w:val="008A3606"/>
    <w:rsid w:val="008B4350"/>
    <w:rsid w:val="008D52B0"/>
    <w:rsid w:val="008F4F82"/>
    <w:rsid w:val="008F594B"/>
    <w:rsid w:val="0091032E"/>
    <w:rsid w:val="00944B60"/>
    <w:rsid w:val="00945700"/>
    <w:rsid w:val="00973E34"/>
    <w:rsid w:val="0097688D"/>
    <w:rsid w:val="00976A97"/>
    <w:rsid w:val="009A2A91"/>
    <w:rsid w:val="009C72F3"/>
    <w:rsid w:val="009E1015"/>
    <w:rsid w:val="009E5DDF"/>
    <w:rsid w:val="00A574EF"/>
    <w:rsid w:val="00A77383"/>
    <w:rsid w:val="00A97B10"/>
    <w:rsid w:val="00AA7DDD"/>
    <w:rsid w:val="00AC3DE0"/>
    <w:rsid w:val="00AD293C"/>
    <w:rsid w:val="00AF445E"/>
    <w:rsid w:val="00B527DE"/>
    <w:rsid w:val="00B613C7"/>
    <w:rsid w:val="00BA30F3"/>
    <w:rsid w:val="00BA730B"/>
    <w:rsid w:val="00BC0D95"/>
    <w:rsid w:val="00BC45BC"/>
    <w:rsid w:val="00BC5E6A"/>
    <w:rsid w:val="00BC6BC3"/>
    <w:rsid w:val="00BF3EF3"/>
    <w:rsid w:val="00C11286"/>
    <w:rsid w:val="00CE564E"/>
    <w:rsid w:val="00CF410C"/>
    <w:rsid w:val="00D27558"/>
    <w:rsid w:val="00D6751A"/>
    <w:rsid w:val="00D97FF1"/>
    <w:rsid w:val="00DA6BA7"/>
    <w:rsid w:val="00DC35AE"/>
    <w:rsid w:val="00E0249D"/>
    <w:rsid w:val="00E428D4"/>
    <w:rsid w:val="00E45F00"/>
    <w:rsid w:val="00E47DDE"/>
    <w:rsid w:val="00E666E5"/>
    <w:rsid w:val="00E73735"/>
    <w:rsid w:val="00EA774E"/>
    <w:rsid w:val="00EC7E22"/>
    <w:rsid w:val="00ED6057"/>
    <w:rsid w:val="00EE5062"/>
    <w:rsid w:val="00F444F1"/>
    <w:rsid w:val="00F54483"/>
    <w:rsid w:val="00F562B3"/>
    <w:rsid w:val="00F96876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8A47BE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CE564E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4F4E1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MK atbildes vēstules projektu</vt:lpstr>
      <vt:lpstr>Par MK atbildes vēstules projektu</vt:lpstr>
    </vt:vector>
  </TitlesOfParts>
  <Company>Tieslietu ministrija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Tiesībsargam</dc:title>
  <dc:subject>Protokollēmuma projekts</dc:subject>
  <dc:creator>Kristīne Kapteine Miezere</dc:creator>
  <dc:description>Zemzars 67036943</dc:description>
  <cp:lastModifiedBy>Ausma Ozola</cp:lastModifiedBy>
  <cp:revision>2</cp:revision>
  <cp:lastPrinted>2020-02-11T12:25:00Z</cp:lastPrinted>
  <dcterms:created xsi:type="dcterms:W3CDTF">2020-02-14T07:07:00Z</dcterms:created>
  <dcterms:modified xsi:type="dcterms:W3CDTF">2020-02-14T07:07:00Z</dcterms:modified>
</cp:coreProperties>
</file>