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939B" w14:textId="77777777" w:rsidR="00D45E44" w:rsidRPr="00606385" w:rsidRDefault="00D45E44" w:rsidP="00D45E44">
      <w:pPr>
        <w:pStyle w:val="naisnod"/>
        <w:spacing w:before="0" w:after="0"/>
        <w:ind w:firstLine="720"/>
        <w:rPr>
          <w:sz w:val="28"/>
          <w:szCs w:val="28"/>
        </w:rPr>
      </w:pPr>
      <w:r w:rsidRPr="00606385">
        <w:rPr>
          <w:sz w:val="28"/>
          <w:szCs w:val="28"/>
        </w:rPr>
        <w:t>Izziņa par atzinumos sniegtajiem iebildumiem</w:t>
      </w:r>
    </w:p>
    <w:p w14:paraId="094B93E1" w14:textId="77777777" w:rsidR="00D45E44" w:rsidRPr="00606385"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D45E44" w:rsidRPr="00606385" w14:paraId="2224AB80" w14:textId="77777777" w:rsidTr="001D6E1B">
        <w:trPr>
          <w:jc w:val="center"/>
        </w:trPr>
        <w:tc>
          <w:tcPr>
            <w:tcW w:w="13204" w:type="dxa"/>
            <w:tcBorders>
              <w:bottom w:val="single" w:sz="6" w:space="0" w:color="000000"/>
            </w:tcBorders>
          </w:tcPr>
          <w:p w14:paraId="3374C7E0" w14:textId="11853A04" w:rsidR="00D45E44" w:rsidRPr="00DD11E2" w:rsidRDefault="00AF502B" w:rsidP="00AF502B">
            <w:pPr>
              <w:ind w:firstLine="720"/>
              <w:jc w:val="center"/>
              <w:rPr>
                <w:sz w:val="28"/>
                <w:szCs w:val="28"/>
              </w:rPr>
            </w:pPr>
            <w:r w:rsidRPr="00DD11E2">
              <w:rPr>
                <w:sz w:val="28"/>
                <w:szCs w:val="28"/>
              </w:rPr>
              <w:t xml:space="preserve">Informatīvais </w:t>
            </w:r>
            <w:r w:rsidR="00551B1F" w:rsidRPr="00DD11E2">
              <w:rPr>
                <w:sz w:val="28"/>
                <w:szCs w:val="28"/>
              </w:rPr>
              <w:t>ziņojums “</w:t>
            </w:r>
            <w:r w:rsidRPr="00DD11E2">
              <w:rPr>
                <w:sz w:val="28"/>
                <w:szCs w:val="28"/>
              </w:rPr>
              <w:t>Par Modernizācijas fonda ieviešanu</w:t>
            </w:r>
            <w:r w:rsidR="00551B1F" w:rsidRPr="00DD11E2">
              <w:rPr>
                <w:sz w:val="28"/>
                <w:szCs w:val="28"/>
              </w:rPr>
              <w:t>”</w:t>
            </w:r>
          </w:p>
        </w:tc>
      </w:tr>
    </w:tbl>
    <w:p w14:paraId="73D42025" w14:textId="77777777" w:rsidR="00D45E44" w:rsidRPr="00606385" w:rsidRDefault="00D45E44" w:rsidP="00D45E44">
      <w:pPr>
        <w:pStyle w:val="naisc"/>
        <w:spacing w:before="0" w:after="0"/>
        <w:ind w:firstLine="1080"/>
      </w:pPr>
      <w:r w:rsidRPr="00606385">
        <w:t>(dokumenta veids un nosaukums)</w:t>
      </w:r>
    </w:p>
    <w:p w14:paraId="2BE212B2" w14:textId="77777777" w:rsidR="00D45E44" w:rsidRPr="00606385" w:rsidRDefault="00D45E44" w:rsidP="00D45E44">
      <w:pPr>
        <w:pStyle w:val="naisf"/>
        <w:spacing w:before="0" w:after="0"/>
        <w:ind w:firstLine="720"/>
      </w:pPr>
    </w:p>
    <w:p w14:paraId="1AF3F5D5" w14:textId="77777777" w:rsidR="00D45E44" w:rsidRPr="00606385" w:rsidRDefault="00D45E44" w:rsidP="00D45E44">
      <w:pPr>
        <w:pStyle w:val="naisf"/>
        <w:spacing w:before="0" w:after="0"/>
        <w:ind w:firstLine="0"/>
        <w:jc w:val="center"/>
        <w:rPr>
          <w:b/>
        </w:rPr>
      </w:pPr>
      <w:r w:rsidRPr="00606385">
        <w:rPr>
          <w:b/>
        </w:rPr>
        <w:t>I. Jautājumi, par kuriem saskaņošanā vienošanās nav panākta</w:t>
      </w:r>
    </w:p>
    <w:p w14:paraId="1C2AA494" w14:textId="77777777" w:rsidR="00D45E44" w:rsidRPr="00606385"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45E44" w:rsidRPr="00606385"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606385" w:rsidRDefault="00D45E44" w:rsidP="001D6E1B">
            <w:pPr>
              <w:pStyle w:val="naisc"/>
              <w:spacing w:before="0" w:after="0"/>
            </w:pPr>
            <w:r w:rsidRPr="00606385">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606385" w:rsidRDefault="00D45E44" w:rsidP="001D6E1B">
            <w:pPr>
              <w:pStyle w:val="naisc"/>
              <w:spacing w:before="0" w:after="0"/>
              <w:ind w:firstLine="12"/>
            </w:pPr>
            <w:r w:rsidRPr="00606385">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606385" w:rsidRDefault="00D45E44" w:rsidP="001D6E1B">
            <w:pPr>
              <w:pStyle w:val="naisc"/>
              <w:spacing w:before="0" w:after="0"/>
              <w:ind w:right="3"/>
            </w:pPr>
            <w:r w:rsidRPr="00606385">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606385" w:rsidRDefault="00D45E44" w:rsidP="001D6E1B">
            <w:pPr>
              <w:pStyle w:val="naisc"/>
              <w:spacing w:before="0" w:after="0"/>
              <w:ind w:firstLine="21"/>
            </w:pPr>
            <w:r w:rsidRPr="00606385">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606385" w:rsidRDefault="00D45E44" w:rsidP="001D6E1B">
            <w:pPr>
              <w:jc w:val="center"/>
            </w:pPr>
            <w:r w:rsidRPr="00606385">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606385" w:rsidRDefault="00D45E44" w:rsidP="001D6E1B">
            <w:pPr>
              <w:jc w:val="center"/>
            </w:pPr>
            <w:r w:rsidRPr="00606385">
              <w:t>Projekta attiecīgā punkta (panta) galīgā redakcija</w:t>
            </w:r>
          </w:p>
        </w:tc>
      </w:tr>
      <w:tr w:rsidR="000E3959" w:rsidRPr="000E3959"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0E3959" w:rsidRDefault="00D45E44" w:rsidP="001D6E1B">
            <w:pPr>
              <w:pStyle w:val="naisc"/>
              <w:spacing w:before="0" w:after="0"/>
            </w:pPr>
            <w:r w:rsidRPr="000E3959">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0E3959" w:rsidRDefault="00D45E44" w:rsidP="001D6E1B">
            <w:pPr>
              <w:pStyle w:val="naisc"/>
              <w:spacing w:before="0" w:after="0"/>
              <w:ind w:firstLine="720"/>
            </w:pPr>
            <w:r w:rsidRPr="000E3959">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0E3959" w:rsidRDefault="00D45E44" w:rsidP="001D6E1B">
            <w:pPr>
              <w:pStyle w:val="naisc"/>
              <w:spacing w:before="0" w:after="0"/>
              <w:ind w:firstLine="720"/>
            </w:pPr>
            <w:r w:rsidRPr="000E3959">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0E3959" w:rsidRDefault="00D45E44" w:rsidP="001D6E1B">
            <w:pPr>
              <w:pStyle w:val="naisc"/>
              <w:spacing w:before="0" w:after="0"/>
              <w:ind w:firstLine="720"/>
            </w:pPr>
            <w:r w:rsidRPr="000E3959">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0E3959" w:rsidRDefault="00D45E44" w:rsidP="001D6E1B">
            <w:pPr>
              <w:jc w:val="center"/>
            </w:pPr>
            <w:r w:rsidRPr="000E3959">
              <w:t>5</w:t>
            </w:r>
          </w:p>
        </w:tc>
        <w:tc>
          <w:tcPr>
            <w:tcW w:w="1969" w:type="dxa"/>
            <w:tcBorders>
              <w:top w:val="single" w:sz="4" w:space="0" w:color="auto"/>
              <w:left w:val="single" w:sz="4" w:space="0" w:color="auto"/>
              <w:bottom w:val="single" w:sz="4" w:space="0" w:color="auto"/>
            </w:tcBorders>
          </w:tcPr>
          <w:p w14:paraId="7B74CA6A" w14:textId="77777777" w:rsidR="00D45E44" w:rsidRPr="000E3959" w:rsidRDefault="00D45E44" w:rsidP="001D6E1B">
            <w:pPr>
              <w:jc w:val="center"/>
            </w:pPr>
            <w:r w:rsidRPr="000E3959">
              <w:t>6</w:t>
            </w:r>
          </w:p>
        </w:tc>
      </w:tr>
      <w:tr w:rsidR="00C41CAB" w:rsidRPr="00606385" w14:paraId="4F5B8CF8" w14:textId="77777777" w:rsidTr="009023FA">
        <w:tc>
          <w:tcPr>
            <w:tcW w:w="708" w:type="dxa"/>
            <w:tcBorders>
              <w:top w:val="single" w:sz="6" w:space="0" w:color="000000"/>
              <w:left w:val="single" w:sz="6" w:space="0" w:color="000000"/>
              <w:bottom w:val="single" w:sz="6" w:space="0" w:color="000000"/>
              <w:right w:val="single" w:sz="6" w:space="0" w:color="000000"/>
            </w:tcBorders>
          </w:tcPr>
          <w:p w14:paraId="027FD666" w14:textId="32512DB9" w:rsidR="00C41CAB" w:rsidRDefault="00636FDD" w:rsidP="00267B23">
            <w:pPr>
              <w:jc w:val="center"/>
            </w:pPr>
            <w:r>
              <w:t>1.</w:t>
            </w:r>
          </w:p>
        </w:tc>
        <w:tc>
          <w:tcPr>
            <w:tcW w:w="2119" w:type="dxa"/>
            <w:tcBorders>
              <w:top w:val="single" w:sz="6" w:space="0" w:color="000000"/>
              <w:left w:val="single" w:sz="6" w:space="0" w:color="000000"/>
              <w:bottom w:val="single" w:sz="6" w:space="0" w:color="000000"/>
              <w:right w:val="single" w:sz="6" w:space="0" w:color="000000"/>
            </w:tcBorders>
          </w:tcPr>
          <w:p w14:paraId="7D50C518" w14:textId="19B69F3A" w:rsidR="00C41CAB" w:rsidRDefault="00636FDD" w:rsidP="00C41CAB">
            <w:pPr>
              <w:jc w:val="both"/>
              <w:rPr>
                <w:b/>
              </w:rPr>
            </w:pPr>
            <w:r>
              <w:rPr>
                <w:b/>
              </w:rPr>
              <w:t>Informatīvais ziņojums un protokollēmums</w:t>
            </w:r>
          </w:p>
        </w:tc>
        <w:tc>
          <w:tcPr>
            <w:tcW w:w="3544" w:type="dxa"/>
            <w:tcBorders>
              <w:top w:val="single" w:sz="6" w:space="0" w:color="000000"/>
              <w:left w:val="single" w:sz="6" w:space="0" w:color="000000"/>
              <w:bottom w:val="single" w:sz="6" w:space="0" w:color="000000"/>
              <w:right w:val="single" w:sz="6" w:space="0" w:color="000000"/>
            </w:tcBorders>
          </w:tcPr>
          <w:p w14:paraId="3C0A6B82" w14:textId="2394C98C" w:rsidR="00636FDD" w:rsidRPr="00267B23" w:rsidRDefault="00636FDD" w:rsidP="00267B23">
            <w:pPr>
              <w:spacing w:after="60"/>
              <w:jc w:val="center"/>
              <w:rPr>
                <w:b/>
              </w:rPr>
            </w:pPr>
            <w:r w:rsidRPr="00267B23">
              <w:rPr>
                <w:b/>
              </w:rPr>
              <w:t xml:space="preserve">Finanšu ministrijas </w:t>
            </w:r>
            <w:r w:rsidR="00171F5C" w:rsidRPr="00267B23">
              <w:rPr>
                <w:b/>
              </w:rPr>
              <w:t>20.01.20 atzinums</w:t>
            </w:r>
          </w:p>
          <w:p w14:paraId="36F879C4" w14:textId="77777777" w:rsidR="00636FDD" w:rsidRDefault="00636FDD" w:rsidP="00267B23">
            <w:pPr>
              <w:spacing w:after="60"/>
              <w:jc w:val="both"/>
            </w:pPr>
            <w:r>
              <w:t xml:space="preserve">Ar Ministru kabineta sēdes protokollēmuma projektu konceptuāli tiek atbalstīts, ka Vides aizsardzības un reģionālās attīstības ministrija (turpmāk – VARAM) iegūst līdzdalību akciju sabiedrībā “Attīstības finanšu institūcija Altum” (turpmāk – Altum). Vienlaikus informatīvā ziņojuma 3.nodaļas “Modernizācijas fonda pārvaldība un investīciju izvērtēšanas process” pēdējā rindkopa apraksta VARAM līdzdalības iegūšanas </w:t>
            </w:r>
            <w:r>
              <w:lastRenderedPageBreak/>
              <w:t xml:space="preserve">procedūru un tam nepieciešamos lēmumus. </w:t>
            </w:r>
          </w:p>
          <w:p w14:paraId="75642D71" w14:textId="77777777" w:rsidR="00636FDD" w:rsidRDefault="00636FDD" w:rsidP="003D33ED">
            <w:pPr>
              <w:spacing w:after="60"/>
              <w:jc w:val="both"/>
            </w:pPr>
            <w:r>
              <w:t xml:space="preserve">Vēršam uzmanību, ka paralēli Publiskas personas kapitāla daļu un kapitālsabiedrību pārvaldības likumam, Altum darbību regulē Attīstības finanšu institūcijas likums. Minētais likums noteic Altum darbības mērķi, jomas, juridisko statusu, organizatorisko struktūru un finansēšanas mehānismu. Vienlaikus  likuma 3.panta otrā daļa noteic finanšu institūcijas kapitāla daļu sadalījumu starp Finanšu ministriju (40%), Ekonomikas ministriju (30%) un Zemkopības ministriju (30%), kas vēsturiski veidojies no valsts akciju sabiedrības “Latvijas Hipotēku un zemes banka”, sabiedrības ar ierobežotu atbildību “Latvijas Garantiju aģentūra” un “Lauku atbalsta fonda” apvienošanas un šo kapitālsabiedrību ieguldījuma kopējā Altum kapitālā. </w:t>
            </w:r>
          </w:p>
          <w:p w14:paraId="1F302EB4" w14:textId="77777777" w:rsidR="00636FDD" w:rsidRDefault="00636FDD" w:rsidP="003D33ED">
            <w:pPr>
              <w:spacing w:after="60"/>
              <w:jc w:val="both"/>
            </w:pPr>
            <w:r>
              <w:t xml:space="preserve">No informatīvā ziņojuma secināms, ka VARAM līdzdalības iegūšanai netiek veikts ieguldījums Altum kapitālā, bet tam uzticēs Eiropas Investīciju bankas (turpmāk – EIB) izsolītos emisijas kvotu līdzekļus atbilstoši </w:t>
            </w:r>
            <w:r>
              <w:lastRenderedPageBreak/>
              <w:t xml:space="preserve">Latvijai pienākošai sadalījuma atslēgai novirzīšanai konkrētu investīciju atbalstam pēc EIB investīciju komitejas akcepta. </w:t>
            </w:r>
          </w:p>
          <w:p w14:paraId="167C838A" w14:textId="77777777" w:rsidR="00636FDD" w:rsidRDefault="00636FDD" w:rsidP="003D33ED">
            <w:pPr>
              <w:spacing w:after="60"/>
              <w:jc w:val="both"/>
            </w:pPr>
            <w:r>
              <w:t>Vadoties no minētā, Finanšu ministrija aicina izvērtēt jautājumu par nepieciešamību iegūt līdzdalību Altum pēc tam, kad veikts Ministru kabineta sēdes protokollēmuma 7.punktā iekļautais invertējums un ir skaidri Modernizācijas fonda daudzgadu programmas darbības noteikumi. Vienlaikus, ja tiek konceptuāli atbalstīta VARAM līdzdalības iegūšanas Altum, Finanšu ministrija uzskata, ka tas jāvirza kopā ar VARAM turējumā esošās sabiedrības ar ierobežotu atbildību “Vides investīciju fonds” pievienošanu ALTUM, kas netika atbalstīta Altum izveides brīdī, bet, kas patiesi nodrošinātu finanšu instrumentu efektīvu ieviešanu, koncentrējot kapacitāti un resursus vienuviet.</w:t>
            </w:r>
          </w:p>
          <w:p w14:paraId="1EA612D9" w14:textId="41CEF7EF" w:rsidR="00C41CAB" w:rsidRPr="00494DFF" w:rsidRDefault="00636FDD" w:rsidP="00636FDD">
            <w:pPr>
              <w:pStyle w:val="ListParagraph"/>
              <w:widowControl w:val="0"/>
              <w:spacing w:after="0" w:line="240" w:lineRule="auto"/>
              <w:ind w:left="0"/>
              <w:jc w:val="both"/>
              <w:rPr>
                <w:rFonts w:ascii="Times New Roman" w:hAnsi="Times New Roman"/>
                <w:b/>
                <w:bCs/>
                <w:sz w:val="24"/>
                <w:szCs w:val="24"/>
                <w:lang w:val="lv-LV"/>
              </w:rPr>
            </w:pPr>
            <w:r>
              <w:rPr>
                <w:rFonts w:ascii="Times New Roman" w:hAnsi="Times New Roman"/>
                <w:sz w:val="24"/>
                <w:szCs w:val="24"/>
              </w:rPr>
              <w:t xml:space="preserve">Tāpat papildus lūdzam sniegt informāciju, kā Vides aizsardzības un reģionālās attīstības ministrijas līdzdalības iegūšanu akciju </w:t>
            </w:r>
            <w:r>
              <w:rPr>
                <w:rFonts w:ascii="Times New Roman" w:hAnsi="Times New Roman"/>
                <w:sz w:val="24"/>
                <w:szCs w:val="24"/>
              </w:rPr>
              <w:lastRenderedPageBreak/>
              <w:t>sabiedrībā “Attīstības finanšu institūcija Altum” atbilst Eiropas Komisijas lēmuma SA.36904 – Latvija, Hipotēku un zemes bankas attīstības daļu un Latvijas Attīstības finanšu institūcijas izveidi (turpmāk – EK lēmums SA.36904) – nosacījumiem, tai skaitā, attiecībā uz  pamatkapitāla un rezerves kapitāla limitiem, kas noteikti EK lēmumā SA.36904. Vienlaikus vēršam uzmanību, ka gadījumā, ja būs nepieciešams veikt grozījumus EK lēmumā SA.36904, plānoto pasākuma īstenošanu varēs uzsākt tikai pēc EK lēmuma par pasākuma saderību ar ES iekšējo tirgu saņemšanas.</w:t>
            </w:r>
          </w:p>
        </w:tc>
        <w:tc>
          <w:tcPr>
            <w:tcW w:w="3802" w:type="dxa"/>
            <w:tcBorders>
              <w:top w:val="single" w:sz="6" w:space="0" w:color="000000"/>
              <w:left w:val="single" w:sz="6" w:space="0" w:color="000000"/>
              <w:bottom w:val="single" w:sz="6" w:space="0" w:color="000000"/>
              <w:right w:val="single" w:sz="6" w:space="0" w:color="000000"/>
            </w:tcBorders>
          </w:tcPr>
          <w:p w14:paraId="67502173" w14:textId="229D00D4" w:rsidR="00C41CAB" w:rsidRDefault="00F63EAC" w:rsidP="003D33ED">
            <w:pPr>
              <w:spacing w:before="120" w:after="120"/>
              <w:jc w:val="center"/>
              <w:rPr>
                <w:b/>
              </w:rPr>
            </w:pPr>
            <w:r>
              <w:rPr>
                <w:b/>
              </w:rPr>
              <w:lastRenderedPageBreak/>
              <w:t>Nav</w:t>
            </w:r>
            <w:r w:rsidR="00497E4D">
              <w:rPr>
                <w:b/>
              </w:rPr>
              <w:t xml:space="preserve"> ņemts vērā</w:t>
            </w:r>
          </w:p>
          <w:p w14:paraId="468EFEDA" w14:textId="4E2D2C74" w:rsidR="00E54AA9" w:rsidRDefault="00267B23" w:rsidP="003D33ED">
            <w:pPr>
              <w:spacing w:before="120" w:after="120"/>
              <w:jc w:val="both"/>
            </w:pPr>
            <w:r>
              <w:t>Gatvaojot</w:t>
            </w:r>
            <w:r w:rsidR="00E54AA9">
              <w:t xml:space="preserve"> informatīvo ziņojumu VARAM ir iepazinusies ar Altum darbību regulējošiem normatīvajiem aktiem, t.sk. arī ar Attīstības finanšu institūcijas likumu, kā arī ar vēsturisko kapitālsabiedrību apvienošanu.</w:t>
            </w:r>
            <w:r w:rsidR="00023BEE">
              <w:t xml:space="preserve"> </w:t>
            </w:r>
            <w:r w:rsidR="00E54AA9">
              <w:t>Līdz ar to lai VARAM iegūtu līdzdalību Altum, būs nepieciešami grozījumi arī Attīstības finanšu institūcijas likumā.</w:t>
            </w:r>
          </w:p>
          <w:p w14:paraId="7BB58980" w14:textId="783BF6F3" w:rsidR="00EB1145" w:rsidRDefault="00267B23" w:rsidP="003D33ED">
            <w:pPr>
              <w:spacing w:before="120" w:after="120"/>
              <w:jc w:val="both"/>
            </w:pPr>
            <w:r>
              <w:rPr>
                <w:szCs w:val="28"/>
              </w:rPr>
              <w:t>MK sēdes p</w:t>
            </w:r>
            <w:r w:rsidR="00EB1145">
              <w:rPr>
                <w:szCs w:val="28"/>
              </w:rPr>
              <w:t xml:space="preserve">rotokollēmuma punktu uzdevums nav atrunāt precīzu līdzdalības iegūšanas kārtību un apjomus, bet gan konceptuāli iezīmēt virzību Modernizācijas fonda </w:t>
            </w:r>
            <w:r w:rsidR="00EB1145">
              <w:rPr>
                <w:szCs w:val="28"/>
              </w:rPr>
              <w:lastRenderedPageBreak/>
              <w:t>līdzekļu pārvaldībai nacionālā līmenī,</w:t>
            </w:r>
            <w:r w:rsidR="00EB1145">
              <w:rPr>
                <w:u w:val="single"/>
              </w:rPr>
              <w:t xml:space="preserve"> līdz ar to ir būtiski jau šajā posmā atrunāt par pašu Modernizācijas fondu atbildīgo iestādi, kā arī atbildīgo iestādi par šī fonda līdzekļu apsaimniekošanu.</w:t>
            </w:r>
          </w:p>
          <w:p w14:paraId="217F2743" w14:textId="19A64EFD" w:rsidR="00027269" w:rsidRDefault="00027269" w:rsidP="003D33ED">
            <w:pPr>
              <w:spacing w:before="120" w:after="120"/>
              <w:jc w:val="both"/>
            </w:pPr>
            <w:r>
              <w:t>Vēršam uzmanību, ka nav plānots sabiedrību ar ierobežotu atbildību “Vides investīciju fonds” (turpmāk – VIF) pievienot Altum</w:t>
            </w:r>
            <w:r w:rsidR="006F2DB0">
              <w:t xml:space="preserve"> un</w:t>
            </w:r>
            <w:r>
              <w:t xml:space="preserve"> </w:t>
            </w:r>
            <w:r w:rsidR="006F2DB0">
              <w:t>tas turpinās nodrošināt būtisku lomu E</w:t>
            </w:r>
            <w:r w:rsidR="00886941">
              <w:t>misijas kvotu izsolīšanas instrumenta (turpmāk - E</w:t>
            </w:r>
            <w:r w:rsidR="006F2DB0">
              <w:t>KII</w:t>
            </w:r>
            <w:r w:rsidR="00886941">
              <w:t>)</w:t>
            </w:r>
            <w:r w:rsidR="00267B23">
              <w:t xml:space="preserve"> administrēšana</w:t>
            </w:r>
            <w:r w:rsidR="006F2DB0">
              <w:t>s procesā arī turpmāk tiešā VARAM pārvaldībā.</w:t>
            </w:r>
          </w:p>
          <w:p w14:paraId="17DB8C7C" w14:textId="22BF949F" w:rsidR="002120BD" w:rsidRPr="00023BEE" w:rsidRDefault="00023BEE" w:rsidP="003D33ED">
            <w:pPr>
              <w:spacing w:before="120" w:after="120"/>
              <w:jc w:val="both"/>
            </w:pPr>
            <w:r>
              <w:rPr>
                <w:color w:val="000000" w:themeColor="text1"/>
              </w:rPr>
              <w:t>L</w:t>
            </w:r>
            <w:r w:rsidRPr="00267B23">
              <w:rPr>
                <w:color w:val="000000" w:themeColor="text1"/>
              </w:rPr>
              <w:t>ai nodrošinātu Modernizācijas fonda finansējuma saderību ar iekšējo tirgu, ES dalībvalstīm saskaņā ar Līguma par Eiropas Savienības darbību (turpmāk – LESD) 108. panta 3. punktu būs jāpaziņo EK par visiem plānotajiem ieguldījumiem, kas ir valsts atbalsts 107. panta 1. daļas nozīmē un uz kuru neattieksies esoša apstiprināta vai atbrīvota atbalsta shēma vai individuāls lēmums.</w:t>
            </w:r>
            <w:r w:rsidRPr="00267B23">
              <w:t xml:space="preserve"> </w:t>
            </w:r>
            <w:r>
              <w:t>P</w:t>
            </w:r>
            <w:r w:rsidR="007174E8" w:rsidRPr="00023BEE">
              <w:t xml:space="preserve">lānoto pasākumu īstenošanu varēs uzsākt tikai </w:t>
            </w:r>
            <w:r w:rsidR="007174E8" w:rsidRPr="00267B23">
              <w:rPr>
                <w:color w:val="000000" w:themeColor="text1"/>
              </w:rPr>
              <w:t>ievērojot Komercdarbības atbalsta kontroles likuma prasības un nepieļaujot normatīvajiem aktiem neatbilstošu valsts atbalsta sniegšanu</w:t>
            </w:r>
            <w:r w:rsidR="007174E8" w:rsidRPr="00023BEE">
              <w:rPr>
                <w:color w:val="000000" w:themeColor="text1"/>
              </w:rPr>
              <w:t xml:space="preserve">, </w:t>
            </w:r>
            <w:r w:rsidR="007174E8" w:rsidRPr="00023BEE">
              <w:rPr>
                <w:color w:val="000000" w:themeColor="text1"/>
              </w:rPr>
              <w:lastRenderedPageBreak/>
              <w:t xml:space="preserve">kā arī tikai pēc </w:t>
            </w:r>
            <w:r w:rsidR="007174E8" w:rsidRPr="00023BEE">
              <w:t>Eiropas Komisijas lēmuma par pasākuma saderību ar ES iekšējo tirgu saņemšanas.</w:t>
            </w:r>
          </w:p>
          <w:p w14:paraId="389BF3FE" w14:textId="1C3102C0" w:rsidR="00EE34A9" w:rsidRDefault="00EE34A9" w:rsidP="003D33ED">
            <w:pPr>
              <w:spacing w:before="120" w:after="120"/>
              <w:jc w:val="both"/>
            </w:pPr>
            <w:r>
              <w:t xml:space="preserve">Vēršam uzmanību, ka </w:t>
            </w:r>
            <w:r w:rsidR="00E0101C">
              <w:t>EK lēmuma SA.36904 2.10</w:t>
            </w:r>
            <w:r w:rsidR="00ED18D4">
              <w:t xml:space="preserve"> sadaļas (69)</w:t>
            </w:r>
            <w:r w:rsidR="00E0101C">
              <w:t xml:space="preserve"> punkts nosaka:</w:t>
            </w:r>
            <w:r w:rsidR="003D33ED">
              <w:t xml:space="preserve"> </w:t>
            </w:r>
            <w:r w:rsidR="00E0101C">
              <w:t>”</w:t>
            </w:r>
            <w:r w:rsidR="00E0101C" w:rsidRPr="00267B23">
              <w:rPr>
                <w:i/>
              </w:rPr>
              <w:t>Juridiskais pamats nenosaka konkrētu AFI darbības ilgumu. Tomēr Latvijas iestādes vēlas, lai Komisija atļautu AFI</w:t>
            </w:r>
            <w:r w:rsidR="00ED18D4">
              <w:rPr>
                <w:rStyle w:val="FootnoteReference"/>
                <w:i/>
              </w:rPr>
              <w:footnoteReference w:id="1"/>
            </w:r>
            <w:r w:rsidR="00E0101C" w:rsidRPr="00267B23">
              <w:rPr>
                <w:i/>
              </w:rPr>
              <w:t xml:space="preserve"> darbību līdz 2022. gada 31. decembrim. Jebkāda darbības ilguma pagarināšana būtu jāpaziņo Komisijai laikus pirms pasākuma beigām 2022. gada 31. decembrī.</w:t>
            </w:r>
            <w:r w:rsidR="00E0101C">
              <w:t>”, kas nozīmē, ka tāpat Latvijai būs jāveic komunikācija ar Eiropas Komisiju saistībā ar šo lēmumu par valsts atbalstu.</w:t>
            </w:r>
            <w:r w:rsidR="00ED18D4">
              <w:t xml:space="preserve"> Turklāt jā</w:t>
            </w:r>
            <w:r w:rsidR="00852A0C">
              <w:t>a</w:t>
            </w:r>
            <w:r w:rsidR="00ED18D4">
              <w:t xml:space="preserve">tzīmē </w:t>
            </w:r>
            <w:r w:rsidR="00852A0C">
              <w:t xml:space="preserve">EK lēmuma SA.36904 </w:t>
            </w:r>
            <w:r w:rsidR="00ED18D4">
              <w:t>3.3.sadaļas (73)(d) punktā noteikto: “</w:t>
            </w:r>
            <w:r w:rsidR="00ED18D4" w:rsidRPr="00267B23">
              <w:rPr>
                <w:i/>
              </w:rPr>
              <w:t xml:space="preserve">Ceturtkārt, Latvijas iestādēm vēl nav zināmas visas turpmākās programmas, kas tiks pievienotas AFI, lai gan tās ir apņēmušās ievērot valsts atbalsta noteikumus. </w:t>
            </w:r>
            <w:r w:rsidR="00ED18D4" w:rsidRPr="00267B23">
              <w:rPr>
                <w:i/>
                <w:u w:val="single"/>
              </w:rPr>
              <w:t>Tādēļ šajā posmā Komisija nevar izslēgt, ka AFI var īstenot programmas, kas neietilpst šajā lēmumā apstiprinātajos uzdevumos.</w:t>
            </w:r>
            <w:r w:rsidR="00ED18D4">
              <w:t xml:space="preserve">” </w:t>
            </w:r>
          </w:p>
          <w:p w14:paraId="642DD33D" w14:textId="39795090" w:rsidR="00852A0C" w:rsidRPr="00267B23" w:rsidRDefault="00852A0C" w:rsidP="003D33ED">
            <w:pPr>
              <w:spacing w:before="120" w:after="120"/>
              <w:jc w:val="both"/>
            </w:pPr>
            <w:r>
              <w:lastRenderedPageBreak/>
              <w:t>Saskaņā ar EK lēmuma SA.36904 2.5 sadaļas (24) punktu kopējā kapitāla maksimālā summa, kas tiks iepludināta Altum no 2015. līdz 2022. gadam, ir EUR 512 231 000, taču šī paša lēmuma 5. sadaļas (121) punktā noteikts, ka</w:t>
            </w:r>
            <w:r w:rsidR="00165F47">
              <w:t>,</w:t>
            </w:r>
            <w:r>
              <w:t xml:space="preserve"> lai veiktu jebkuru turpmāku kapitāla iepludināšanu, kas pārsniedz minēto summu, vai jebkuru citu pasākumu, uz kuru attiecas </w:t>
            </w:r>
            <w:r w:rsidR="00023BEE">
              <w:t xml:space="preserve">LESD </w:t>
            </w:r>
            <w:r>
              <w:t xml:space="preserve">107. panta 1. punkts, ir nepieciešams oficiāls paziņojums </w:t>
            </w:r>
            <w:r w:rsidR="00165F47">
              <w:t>Komisijai un tās apstiprinājums, kas arī tiks ievērots.</w:t>
            </w:r>
          </w:p>
        </w:tc>
        <w:tc>
          <w:tcPr>
            <w:tcW w:w="2126" w:type="dxa"/>
            <w:tcBorders>
              <w:top w:val="single" w:sz="4" w:space="0" w:color="auto"/>
              <w:left w:val="single" w:sz="4" w:space="0" w:color="auto"/>
              <w:bottom w:val="single" w:sz="4" w:space="0" w:color="auto"/>
              <w:right w:val="single" w:sz="4" w:space="0" w:color="auto"/>
            </w:tcBorders>
          </w:tcPr>
          <w:p w14:paraId="4D0DC525" w14:textId="77777777" w:rsidR="00C41CAB" w:rsidRPr="00606385" w:rsidRDefault="00C41CA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061573DB" w14:textId="69A3B094" w:rsidR="00267B23" w:rsidRDefault="00267B23" w:rsidP="00023BEE">
            <w:pPr>
              <w:ind w:right="-1"/>
              <w:jc w:val="both"/>
              <w:rPr>
                <w:color w:val="000000" w:themeColor="text1"/>
              </w:rPr>
            </w:pPr>
            <w:r>
              <w:rPr>
                <w:b/>
              </w:rPr>
              <w:t>Informatīvais ziņojums un protokollēmums</w:t>
            </w:r>
          </w:p>
          <w:p w14:paraId="2450EB31" w14:textId="49928AF9" w:rsidR="00562121" w:rsidRPr="00267B23" w:rsidRDefault="00267B23" w:rsidP="00267B23">
            <w:pPr>
              <w:ind w:right="-1"/>
              <w:jc w:val="both"/>
              <w:rPr>
                <w:color w:val="000000" w:themeColor="text1"/>
              </w:rPr>
            </w:pPr>
            <w:r w:rsidRPr="00267B23">
              <w:rPr>
                <w:color w:val="000000" w:themeColor="text1"/>
              </w:rPr>
              <w:t>Papildināts inform</w:t>
            </w:r>
            <w:r>
              <w:rPr>
                <w:color w:val="000000" w:themeColor="text1"/>
              </w:rPr>
              <w:t>a</w:t>
            </w:r>
            <w:r w:rsidRPr="00267B23">
              <w:rPr>
                <w:color w:val="000000" w:themeColor="text1"/>
              </w:rPr>
              <w:t>tīvais ziņojums attiecībā uz valsts atbalsta nosacījumiem</w:t>
            </w:r>
          </w:p>
        </w:tc>
      </w:tr>
      <w:tr w:rsidR="00A138C3" w:rsidRPr="00606385" w14:paraId="0E82573F" w14:textId="77777777" w:rsidTr="009023FA">
        <w:tc>
          <w:tcPr>
            <w:tcW w:w="708" w:type="dxa"/>
            <w:tcBorders>
              <w:top w:val="single" w:sz="6" w:space="0" w:color="000000"/>
              <w:left w:val="single" w:sz="6" w:space="0" w:color="000000"/>
              <w:bottom w:val="single" w:sz="6" w:space="0" w:color="000000"/>
              <w:right w:val="single" w:sz="6" w:space="0" w:color="000000"/>
            </w:tcBorders>
          </w:tcPr>
          <w:p w14:paraId="6B74C622" w14:textId="76D3D18D" w:rsidR="00A138C3" w:rsidRDefault="00A138C3">
            <w:pPr>
              <w:jc w:val="center"/>
            </w:pPr>
            <w:r>
              <w:lastRenderedPageBreak/>
              <w:t>2.</w:t>
            </w:r>
          </w:p>
        </w:tc>
        <w:tc>
          <w:tcPr>
            <w:tcW w:w="2119" w:type="dxa"/>
            <w:tcBorders>
              <w:top w:val="single" w:sz="6" w:space="0" w:color="000000"/>
              <w:left w:val="single" w:sz="6" w:space="0" w:color="000000"/>
              <w:bottom w:val="single" w:sz="6" w:space="0" w:color="000000"/>
              <w:right w:val="single" w:sz="6" w:space="0" w:color="000000"/>
            </w:tcBorders>
          </w:tcPr>
          <w:p w14:paraId="79E206ED" w14:textId="68AB790A" w:rsidR="00A138C3" w:rsidRDefault="00A138C3" w:rsidP="00C41CAB">
            <w:pPr>
              <w:jc w:val="both"/>
              <w:rPr>
                <w:b/>
              </w:rPr>
            </w:pPr>
            <w:r>
              <w:rPr>
                <w:b/>
              </w:rPr>
              <w:t>Protokollēmuma 5. punkts</w:t>
            </w:r>
          </w:p>
        </w:tc>
        <w:tc>
          <w:tcPr>
            <w:tcW w:w="3544" w:type="dxa"/>
            <w:tcBorders>
              <w:top w:val="single" w:sz="6" w:space="0" w:color="000000"/>
              <w:left w:val="single" w:sz="6" w:space="0" w:color="000000"/>
              <w:bottom w:val="single" w:sz="6" w:space="0" w:color="000000"/>
              <w:right w:val="single" w:sz="6" w:space="0" w:color="000000"/>
            </w:tcBorders>
          </w:tcPr>
          <w:p w14:paraId="61E6BFC8" w14:textId="77777777" w:rsidR="00A138C3" w:rsidRDefault="00A138C3" w:rsidP="00A138C3">
            <w:pPr>
              <w:spacing w:after="60"/>
              <w:jc w:val="center"/>
              <w:rPr>
                <w:b/>
              </w:rPr>
            </w:pPr>
            <w:r>
              <w:rPr>
                <w:b/>
              </w:rPr>
              <w:t>Finanšu ministrijas 20.01.2020 atzinums</w:t>
            </w:r>
          </w:p>
          <w:p w14:paraId="6F30A69C" w14:textId="3DC51E97" w:rsidR="00334FCB" w:rsidRPr="00A138C3" w:rsidRDefault="00334FCB" w:rsidP="00267B23">
            <w:pPr>
              <w:spacing w:after="60"/>
              <w:jc w:val="both"/>
              <w:rPr>
                <w:b/>
              </w:rPr>
            </w:pPr>
            <w:r w:rsidRPr="00643CB7">
              <w:t>Aicinām svītrot Ministru kabineta sēdes protokollēmuma 5.punktu un izlemt par Modernizācijas fonda līdzekļu apsaim</w:t>
            </w:r>
            <w:bookmarkStart w:id="0" w:name="_GoBack"/>
            <w:bookmarkEnd w:id="0"/>
            <w:r w:rsidRPr="00643CB7">
              <w:t>niekošanas atbildīgo iestādi kopā ar protokollēmuma 4.punktā minētās Modernizācijas fonda daudzgadu programmas darbības noteikumu apstiprināšanu.</w:t>
            </w:r>
          </w:p>
        </w:tc>
        <w:tc>
          <w:tcPr>
            <w:tcW w:w="3802" w:type="dxa"/>
            <w:tcBorders>
              <w:top w:val="single" w:sz="6" w:space="0" w:color="000000"/>
              <w:left w:val="single" w:sz="6" w:space="0" w:color="000000"/>
              <w:bottom w:val="single" w:sz="6" w:space="0" w:color="000000"/>
              <w:right w:val="single" w:sz="6" w:space="0" w:color="000000"/>
            </w:tcBorders>
          </w:tcPr>
          <w:p w14:paraId="2A0D8317" w14:textId="77777777" w:rsidR="00A138C3" w:rsidRDefault="000109D5" w:rsidP="000109D5">
            <w:pPr>
              <w:ind w:right="-1"/>
              <w:jc w:val="center"/>
              <w:rPr>
                <w:b/>
              </w:rPr>
            </w:pPr>
            <w:r>
              <w:rPr>
                <w:b/>
              </w:rPr>
              <w:t>Nav ņemts vērā</w:t>
            </w:r>
          </w:p>
          <w:p w14:paraId="387499E5" w14:textId="06AE8679" w:rsidR="000109D5" w:rsidRPr="00267B23" w:rsidRDefault="00A93178" w:rsidP="00267B23">
            <w:pPr>
              <w:ind w:right="-1"/>
              <w:jc w:val="both"/>
            </w:pPr>
            <w:r>
              <w:t>I</w:t>
            </w:r>
            <w:r w:rsidR="00647CAA" w:rsidRPr="000721B8">
              <w:t xml:space="preserve">nformatīvā ziņojuma un </w:t>
            </w:r>
            <w:r w:rsidR="003D33ED">
              <w:t xml:space="preserve">MK sēdes </w:t>
            </w:r>
            <w:r w:rsidR="00647CAA" w:rsidRPr="000721B8">
              <w:t xml:space="preserve">protokollēmuma uzdevums </w:t>
            </w:r>
            <w:r w:rsidR="00647CAA" w:rsidRPr="003D33ED">
              <w:t xml:space="preserve">ir noteikt Modernizācijas fonda </w:t>
            </w:r>
            <w:r w:rsidR="00E54AA9" w:rsidRPr="003D33ED">
              <w:t xml:space="preserve">vispārēju </w:t>
            </w:r>
            <w:r w:rsidR="00647CAA" w:rsidRPr="003D33ED">
              <w:t xml:space="preserve">pārvaldību nacionālā līmenī līdz ar to ir būtiski jau šajā posmā iezīmēt par pašu Modernizācijas fondu atbildīgo iestādi, kā arī atbildīgo iestādi par </w:t>
            </w:r>
            <w:r w:rsidRPr="003D33ED">
              <w:t xml:space="preserve">šī fonda </w:t>
            </w:r>
            <w:r w:rsidR="00647CAA" w:rsidRPr="003D33ED">
              <w:t>līdzekļu apsaimniekošanu.</w:t>
            </w:r>
          </w:p>
        </w:tc>
        <w:tc>
          <w:tcPr>
            <w:tcW w:w="2126" w:type="dxa"/>
            <w:tcBorders>
              <w:top w:val="single" w:sz="4" w:space="0" w:color="auto"/>
              <w:left w:val="single" w:sz="4" w:space="0" w:color="auto"/>
              <w:bottom w:val="single" w:sz="4" w:space="0" w:color="auto"/>
              <w:right w:val="single" w:sz="4" w:space="0" w:color="auto"/>
            </w:tcBorders>
          </w:tcPr>
          <w:p w14:paraId="6C40BD55" w14:textId="77777777" w:rsidR="00A138C3" w:rsidRPr="00606385" w:rsidRDefault="00A138C3"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0AAC493D" w14:textId="148D9941" w:rsidR="00A138C3" w:rsidRPr="003D33ED" w:rsidRDefault="006B556D" w:rsidP="006B556D">
            <w:pPr>
              <w:ind w:right="-1"/>
              <w:jc w:val="both"/>
              <w:rPr>
                <w:b/>
                <w:color w:val="FF0000"/>
                <w:u w:val="single"/>
              </w:rPr>
            </w:pPr>
            <w:r w:rsidRPr="003D33ED">
              <w:rPr>
                <w:b/>
              </w:rPr>
              <w:t>Protokollēmuma 5. punkts</w:t>
            </w:r>
            <w:r w:rsidR="000109D5" w:rsidRPr="003D33ED">
              <w:rPr>
                <w:b/>
              </w:rPr>
              <w:t xml:space="preserve"> </w:t>
            </w:r>
          </w:p>
        </w:tc>
      </w:tr>
      <w:tr w:rsidR="00125EBB" w:rsidRPr="00606385" w14:paraId="078AA42B"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9305A08" w14:textId="6CC8A90F" w:rsidR="00125EBB" w:rsidRDefault="00125EBB">
            <w:pPr>
              <w:jc w:val="center"/>
            </w:pPr>
            <w:r>
              <w:t xml:space="preserve">3. </w:t>
            </w:r>
          </w:p>
        </w:tc>
        <w:tc>
          <w:tcPr>
            <w:tcW w:w="2119" w:type="dxa"/>
            <w:tcBorders>
              <w:top w:val="single" w:sz="6" w:space="0" w:color="000000"/>
              <w:left w:val="single" w:sz="6" w:space="0" w:color="000000"/>
              <w:bottom w:val="single" w:sz="6" w:space="0" w:color="000000"/>
              <w:right w:val="single" w:sz="6" w:space="0" w:color="000000"/>
            </w:tcBorders>
          </w:tcPr>
          <w:p w14:paraId="6EFA9C33" w14:textId="46BF2BF0" w:rsidR="00125EBB" w:rsidRDefault="00125EBB" w:rsidP="00C41CAB">
            <w:pPr>
              <w:jc w:val="both"/>
              <w:rPr>
                <w:b/>
              </w:rPr>
            </w:pPr>
            <w:r>
              <w:rPr>
                <w:b/>
              </w:rPr>
              <w:t>Protokollēmuma 5., 6., 7. punkts.</w:t>
            </w:r>
          </w:p>
        </w:tc>
        <w:tc>
          <w:tcPr>
            <w:tcW w:w="3544" w:type="dxa"/>
            <w:tcBorders>
              <w:top w:val="single" w:sz="6" w:space="0" w:color="000000"/>
              <w:left w:val="single" w:sz="6" w:space="0" w:color="000000"/>
              <w:bottom w:val="single" w:sz="6" w:space="0" w:color="000000"/>
              <w:right w:val="single" w:sz="6" w:space="0" w:color="000000"/>
            </w:tcBorders>
          </w:tcPr>
          <w:p w14:paraId="2BD98512" w14:textId="77777777" w:rsidR="00125EBB" w:rsidRDefault="00125EBB" w:rsidP="00125EBB">
            <w:pPr>
              <w:spacing w:after="60"/>
              <w:jc w:val="center"/>
              <w:rPr>
                <w:b/>
              </w:rPr>
            </w:pPr>
            <w:r>
              <w:rPr>
                <w:b/>
              </w:rPr>
              <w:t>Zemkopības ministrijas 17.01.2020 atzinums</w:t>
            </w:r>
          </w:p>
          <w:p w14:paraId="1F4752AE" w14:textId="07FA901C" w:rsidR="00125EBB" w:rsidRPr="00267B23" w:rsidRDefault="00A04995" w:rsidP="00267B23">
            <w:pPr>
              <w:spacing w:after="60"/>
              <w:jc w:val="both"/>
            </w:pPr>
            <w:r w:rsidRPr="00267B23">
              <w:lastRenderedPageBreak/>
              <w:t>Neatbalstām  protokollēmuma projekta 5., 6. un 7.punktu, jo līdzdalības iegūšana akciju sabiedrībā “Attīstības finanšu institūcija Altum”, balstoties tikai uz iespējamo Modernizācijas fonda līdzekļu administrēšanu, nav pamatota.</w:t>
            </w:r>
          </w:p>
        </w:tc>
        <w:tc>
          <w:tcPr>
            <w:tcW w:w="3802" w:type="dxa"/>
            <w:tcBorders>
              <w:top w:val="single" w:sz="6" w:space="0" w:color="000000"/>
              <w:left w:val="single" w:sz="6" w:space="0" w:color="000000"/>
              <w:bottom w:val="single" w:sz="6" w:space="0" w:color="000000"/>
              <w:right w:val="single" w:sz="6" w:space="0" w:color="000000"/>
            </w:tcBorders>
          </w:tcPr>
          <w:p w14:paraId="6A3C884A" w14:textId="77777777" w:rsidR="00125EBB" w:rsidRDefault="00A04995" w:rsidP="003D33ED">
            <w:pPr>
              <w:spacing w:before="120" w:after="120"/>
              <w:jc w:val="center"/>
              <w:rPr>
                <w:b/>
              </w:rPr>
            </w:pPr>
            <w:r>
              <w:rPr>
                <w:b/>
              </w:rPr>
              <w:lastRenderedPageBreak/>
              <w:t>Nav ņemts vērā</w:t>
            </w:r>
          </w:p>
          <w:p w14:paraId="5F813839" w14:textId="1E74D44A" w:rsidR="009244C2" w:rsidRDefault="009244C2" w:rsidP="003D33ED">
            <w:pPr>
              <w:spacing w:before="120" w:after="120"/>
              <w:jc w:val="both"/>
              <w:rPr>
                <w:szCs w:val="28"/>
              </w:rPr>
            </w:pPr>
            <w:r w:rsidRPr="00267B23">
              <w:lastRenderedPageBreak/>
              <w:t>Jānorāda, ka protokollēmuma 5.</w:t>
            </w:r>
            <w:r w:rsidR="003D33ED">
              <w:t> </w:t>
            </w:r>
            <w:r w:rsidRPr="00267B23">
              <w:t>punk</w:t>
            </w:r>
            <w:r>
              <w:t>t</w:t>
            </w:r>
            <w:r w:rsidRPr="00267B23">
              <w:t>s</w:t>
            </w:r>
            <w:r>
              <w:t xml:space="preserve"> nosaka, ka par atbildīgo Modernizācijas fonda iestādi</w:t>
            </w:r>
            <w:r w:rsidRPr="00267B23">
              <w:t xml:space="preserve"> </w:t>
            </w:r>
            <w:r>
              <w:t xml:space="preserve">Latvijā tiek noteikts Altum un šajā punktā netiek lietota atsauce uz VARAM līdzdalības iegūšanu Altum. </w:t>
            </w:r>
            <w:r w:rsidR="006B556D">
              <w:t>Savukārt, protokollēmuma 6. un 7.</w:t>
            </w:r>
            <w:r w:rsidR="003D33ED">
              <w:t> </w:t>
            </w:r>
            <w:r w:rsidR="006B556D">
              <w:t>punkts atspoguļo konceptuāl</w:t>
            </w:r>
            <w:r w:rsidR="003D33ED">
              <w:t>u</w:t>
            </w:r>
            <w:r w:rsidR="006B556D">
              <w:t xml:space="preserve"> atbalstu VARAM līdzdalības iegūšanai Altum un nepieciešamo izvērtējuma veikšanu saskaņā ar </w:t>
            </w:r>
            <w:r w:rsidR="006B556D" w:rsidRPr="005D5EB0">
              <w:rPr>
                <w:szCs w:val="28"/>
              </w:rPr>
              <w:t>Valsts pārvaldes iekārtas likuma 88.</w:t>
            </w:r>
            <w:r w:rsidR="003D33ED">
              <w:rPr>
                <w:szCs w:val="28"/>
              </w:rPr>
              <w:t> </w:t>
            </w:r>
            <w:r w:rsidR="006B556D" w:rsidRPr="005D5EB0">
              <w:rPr>
                <w:szCs w:val="28"/>
              </w:rPr>
              <w:t xml:space="preserve">panta </w:t>
            </w:r>
            <w:r w:rsidR="006B556D">
              <w:rPr>
                <w:szCs w:val="28"/>
              </w:rPr>
              <w:t xml:space="preserve">otrajā daļā noteikto. </w:t>
            </w:r>
          </w:p>
          <w:p w14:paraId="0E3BA452" w14:textId="347D8A1B" w:rsidR="006B556D" w:rsidRPr="00267B23" w:rsidRDefault="006B556D" w:rsidP="003D33ED">
            <w:pPr>
              <w:spacing w:before="120" w:after="120"/>
              <w:jc w:val="both"/>
            </w:pPr>
            <w:r>
              <w:rPr>
                <w:szCs w:val="28"/>
              </w:rPr>
              <w:t xml:space="preserve">Šo protokollēmuma punktu uzdevums nav atrunāt precīzu līdzdalības iegūšanas kārtību un apjomus, bet gan konceptuāli iezīmēt virzību Modernizācijas fonda līdzekļu pārvaldībai nacionālā līmenī. </w:t>
            </w:r>
          </w:p>
        </w:tc>
        <w:tc>
          <w:tcPr>
            <w:tcW w:w="2126" w:type="dxa"/>
            <w:tcBorders>
              <w:top w:val="single" w:sz="4" w:space="0" w:color="auto"/>
              <w:left w:val="single" w:sz="4" w:space="0" w:color="auto"/>
              <w:bottom w:val="single" w:sz="4" w:space="0" w:color="auto"/>
              <w:right w:val="single" w:sz="4" w:space="0" w:color="auto"/>
            </w:tcBorders>
          </w:tcPr>
          <w:p w14:paraId="211B9FBA" w14:textId="77777777" w:rsidR="00125EBB" w:rsidRPr="00606385" w:rsidRDefault="00125EB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3BCB766A" w14:textId="16ADF144" w:rsidR="00125EBB" w:rsidRPr="003D33ED" w:rsidRDefault="009244C2" w:rsidP="000109D5">
            <w:pPr>
              <w:ind w:right="-1"/>
              <w:jc w:val="both"/>
              <w:rPr>
                <w:b/>
                <w:color w:val="FF0000"/>
                <w:u w:val="single"/>
              </w:rPr>
            </w:pPr>
            <w:r w:rsidRPr="003D33ED">
              <w:rPr>
                <w:b/>
              </w:rPr>
              <w:t xml:space="preserve">Protokollēmuma 5., 6., 7. punkts </w:t>
            </w:r>
          </w:p>
        </w:tc>
      </w:tr>
    </w:tbl>
    <w:p w14:paraId="157DE4BA" w14:textId="4B9A915A" w:rsidR="00D45E44" w:rsidRPr="00606385" w:rsidRDefault="00D45E44" w:rsidP="00D45E44">
      <w:pPr>
        <w:pStyle w:val="naisf"/>
        <w:spacing w:before="0" w:after="0"/>
        <w:ind w:firstLine="0"/>
      </w:pPr>
    </w:p>
    <w:p w14:paraId="6A9C369C" w14:textId="77777777" w:rsidR="00D45E44" w:rsidRPr="00606385" w:rsidRDefault="00D45E44" w:rsidP="00D45E44">
      <w:pPr>
        <w:pStyle w:val="naisf"/>
        <w:spacing w:before="0" w:after="0"/>
        <w:ind w:firstLine="0"/>
        <w:rPr>
          <w:b/>
        </w:rPr>
      </w:pPr>
      <w:r w:rsidRPr="00606385">
        <w:rPr>
          <w:b/>
        </w:rPr>
        <w:t>Informācija par starpministriju (starpinstitūciju) sanāksmi vai elektronisko saskaņošanu</w:t>
      </w:r>
    </w:p>
    <w:p w14:paraId="05E7E2C8" w14:textId="77777777" w:rsidR="00D45E44" w:rsidRPr="00606385"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D45E44" w:rsidRPr="00606385" w14:paraId="60AC0833" w14:textId="77777777" w:rsidTr="001D6E1B">
        <w:tc>
          <w:tcPr>
            <w:tcW w:w="6345" w:type="dxa"/>
            <w:shd w:val="clear" w:color="auto" w:fill="auto"/>
          </w:tcPr>
          <w:p w14:paraId="2BF3B98C" w14:textId="77777777" w:rsidR="00D45E44" w:rsidRPr="00606385" w:rsidRDefault="00D45E44" w:rsidP="001D6E1B">
            <w:pPr>
              <w:pStyle w:val="naisf"/>
              <w:spacing w:before="0" w:after="0"/>
              <w:ind w:firstLine="0"/>
            </w:pPr>
            <w:r w:rsidRPr="00606385">
              <w:t xml:space="preserve">Datums: </w:t>
            </w:r>
          </w:p>
        </w:tc>
        <w:tc>
          <w:tcPr>
            <w:tcW w:w="6237" w:type="dxa"/>
            <w:tcBorders>
              <w:bottom w:val="single" w:sz="4" w:space="0" w:color="auto"/>
            </w:tcBorders>
            <w:shd w:val="clear" w:color="auto" w:fill="auto"/>
          </w:tcPr>
          <w:p w14:paraId="70AAB9EF" w14:textId="4086DC65" w:rsidR="00D45E44" w:rsidRPr="00606385" w:rsidRDefault="00AF502B" w:rsidP="000F297D">
            <w:pPr>
              <w:pStyle w:val="NormalWeb"/>
              <w:spacing w:before="0" w:beforeAutospacing="0" w:after="0" w:afterAutospacing="0"/>
            </w:pPr>
            <w:r>
              <w:t>Izsludināts VSS 1</w:t>
            </w:r>
            <w:r w:rsidR="000F297D">
              <w:t>5</w:t>
            </w:r>
            <w:r>
              <w:t>.08.2019</w:t>
            </w:r>
          </w:p>
        </w:tc>
      </w:tr>
      <w:tr w:rsidR="00D45E44" w:rsidRPr="00606385" w14:paraId="49A8E79E" w14:textId="77777777" w:rsidTr="001D6E1B">
        <w:tc>
          <w:tcPr>
            <w:tcW w:w="6345" w:type="dxa"/>
          </w:tcPr>
          <w:p w14:paraId="42C36877" w14:textId="77777777" w:rsidR="00D45E44" w:rsidRPr="00606385" w:rsidRDefault="00D45E44" w:rsidP="001D6E1B">
            <w:pPr>
              <w:pStyle w:val="naisf"/>
              <w:spacing w:before="0" w:after="0"/>
              <w:ind w:firstLine="0"/>
            </w:pPr>
          </w:p>
        </w:tc>
        <w:tc>
          <w:tcPr>
            <w:tcW w:w="6237" w:type="dxa"/>
            <w:tcBorders>
              <w:top w:val="single" w:sz="4" w:space="0" w:color="auto"/>
            </w:tcBorders>
          </w:tcPr>
          <w:p w14:paraId="5D8B7233" w14:textId="77777777" w:rsidR="00D45E44" w:rsidRPr="00606385" w:rsidRDefault="00D45E44" w:rsidP="001D6E1B">
            <w:pPr>
              <w:pStyle w:val="NormalWeb"/>
              <w:spacing w:before="0" w:beforeAutospacing="0" w:after="0" w:afterAutospacing="0"/>
            </w:pPr>
          </w:p>
        </w:tc>
      </w:tr>
      <w:tr w:rsidR="00D45E44" w:rsidRPr="00606385" w14:paraId="28B71EDF" w14:textId="77777777" w:rsidTr="001D6E1B">
        <w:tc>
          <w:tcPr>
            <w:tcW w:w="6345" w:type="dxa"/>
          </w:tcPr>
          <w:p w14:paraId="6FCA711C" w14:textId="77777777" w:rsidR="00D45E44" w:rsidRPr="00606385" w:rsidRDefault="00D45E44" w:rsidP="001D6E1B">
            <w:pPr>
              <w:pStyle w:val="naiskr"/>
              <w:spacing w:before="0" w:after="0"/>
              <w:jc w:val="both"/>
            </w:pPr>
            <w:r w:rsidRPr="00606385">
              <w:t>Saskaņošanas dalībnieki un datums, kad saņemts atzinums</w:t>
            </w:r>
          </w:p>
        </w:tc>
        <w:tc>
          <w:tcPr>
            <w:tcW w:w="6237" w:type="dxa"/>
            <w:tcBorders>
              <w:bottom w:val="single" w:sz="4" w:space="0" w:color="auto"/>
            </w:tcBorders>
          </w:tcPr>
          <w:p w14:paraId="446241C6" w14:textId="4EA8453A" w:rsidR="00D45E44" w:rsidRPr="00606385" w:rsidRDefault="00D45E44" w:rsidP="001D6E1B">
            <w:r w:rsidRPr="00606385">
              <w:t>Ekonomikas ministrija (</w:t>
            </w:r>
            <w:r w:rsidR="00494DFF">
              <w:t>02.09.2019</w:t>
            </w:r>
            <w:r w:rsidR="00744285">
              <w:t>; 15.10.2020</w:t>
            </w:r>
            <w:r w:rsidRPr="00606385">
              <w:t>)</w:t>
            </w:r>
          </w:p>
          <w:p w14:paraId="6F70E815" w14:textId="61BD416F" w:rsidR="00D45E44" w:rsidRDefault="00D45E44" w:rsidP="001D6E1B">
            <w:r w:rsidRPr="007C0664">
              <w:t>Finanšu ministrija (</w:t>
            </w:r>
            <w:r w:rsidR="00D81FF1" w:rsidRPr="007C0664">
              <w:t>02.09.2019</w:t>
            </w:r>
            <w:r w:rsidR="00171F5C">
              <w:t>; 20.01.2020</w:t>
            </w:r>
            <w:r w:rsidRPr="007C0664">
              <w:t>)</w:t>
            </w:r>
          </w:p>
          <w:p w14:paraId="23885456" w14:textId="41318ED3" w:rsidR="00551B1F" w:rsidRPr="00606385" w:rsidRDefault="00551B1F" w:rsidP="001D6E1B">
            <w:r>
              <w:t>Tieslietu ministrija (</w:t>
            </w:r>
            <w:r w:rsidR="00006269">
              <w:t>30.08</w:t>
            </w:r>
            <w:r>
              <w:t>.2019</w:t>
            </w:r>
            <w:r w:rsidR="00E415A1">
              <w:t>; 16.01.2020</w:t>
            </w:r>
            <w:r>
              <w:t>)</w:t>
            </w:r>
          </w:p>
          <w:p w14:paraId="309D702F" w14:textId="5FCCE057" w:rsidR="00D45E44" w:rsidRDefault="00D45E44" w:rsidP="00006269">
            <w:r w:rsidRPr="00606385">
              <w:t>Pārresoru koordinācijas centrs (</w:t>
            </w:r>
            <w:r w:rsidR="00006269">
              <w:t>29</w:t>
            </w:r>
            <w:r w:rsidR="00551B1F">
              <w:t>.0</w:t>
            </w:r>
            <w:r w:rsidR="00006269">
              <w:t>8</w:t>
            </w:r>
            <w:r w:rsidRPr="00606385">
              <w:t>.2019)</w:t>
            </w:r>
          </w:p>
          <w:p w14:paraId="1148C7BA" w14:textId="77777777" w:rsidR="00006269" w:rsidRDefault="00006269" w:rsidP="00006269">
            <w:r>
              <w:t>Latvijas Lielo pilsētu asociācija (02.09.2019)</w:t>
            </w:r>
          </w:p>
          <w:p w14:paraId="10051077" w14:textId="66373F9E" w:rsidR="00006269" w:rsidRDefault="00006269" w:rsidP="00006269">
            <w:r>
              <w:t>Latvijas pašvaldību savienība (27.08.2019</w:t>
            </w:r>
            <w:r w:rsidR="003A0A1F">
              <w:t>; 14.01.2020</w:t>
            </w:r>
            <w:r>
              <w:t>)</w:t>
            </w:r>
          </w:p>
          <w:p w14:paraId="01A3369C" w14:textId="77DE52F6" w:rsidR="00494DFF" w:rsidRDefault="00494DFF" w:rsidP="00006269">
            <w:r>
              <w:t>Satiksmes ministrija (02.09.2019</w:t>
            </w:r>
            <w:r w:rsidR="00617232">
              <w:t>; 15.01.2020</w:t>
            </w:r>
            <w:r>
              <w:t>)</w:t>
            </w:r>
          </w:p>
          <w:p w14:paraId="759727F2" w14:textId="77777777" w:rsidR="00885E7C" w:rsidRDefault="00885E7C" w:rsidP="00006269">
            <w:r>
              <w:t>AS "Augstsprieguma tīkls" (15.01.2020)</w:t>
            </w:r>
          </w:p>
          <w:p w14:paraId="71C83571" w14:textId="32EFA3CE" w:rsidR="00E20161" w:rsidRPr="00606385" w:rsidRDefault="00305EE8" w:rsidP="00006269">
            <w:r>
              <w:lastRenderedPageBreak/>
              <w:t>Zemkopības ministrija (</w:t>
            </w:r>
            <w:r w:rsidR="00171F5C">
              <w:t>17</w:t>
            </w:r>
            <w:r w:rsidR="00E20161">
              <w:t>.01.2020)</w:t>
            </w:r>
          </w:p>
        </w:tc>
      </w:tr>
    </w:tbl>
    <w:p w14:paraId="14281D5E" w14:textId="77777777" w:rsidR="00D45E44" w:rsidRPr="00606385" w:rsidRDefault="00D45E44" w:rsidP="00D45E44"/>
    <w:tbl>
      <w:tblPr>
        <w:tblW w:w="13136" w:type="dxa"/>
        <w:tblLook w:val="00A0" w:firstRow="1" w:lastRow="0" w:firstColumn="1" w:lastColumn="0" w:noHBand="0" w:noVBand="0"/>
      </w:tblPr>
      <w:tblGrid>
        <w:gridCol w:w="6642"/>
        <w:gridCol w:w="6494"/>
      </w:tblGrid>
      <w:tr w:rsidR="00D45E44" w:rsidRPr="00606385" w14:paraId="3AADB408" w14:textId="77777777" w:rsidTr="00551B1F">
        <w:trPr>
          <w:trHeight w:val="710"/>
        </w:trPr>
        <w:tc>
          <w:tcPr>
            <w:tcW w:w="6642" w:type="dxa"/>
          </w:tcPr>
          <w:p w14:paraId="61FB5625" w14:textId="77777777" w:rsidR="00D45E44" w:rsidRPr="00606385" w:rsidRDefault="00D45E44" w:rsidP="001D6E1B">
            <w:pPr>
              <w:pStyle w:val="naiskr"/>
              <w:spacing w:before="0" w:after="0"/>
            </w:pPr>
            <w:r w:rsidRPr="00606385">
              <w:t>Saskaņošanas dalībnieki izskatīja šādu ministriju (citu institūciju) iebildumus</w:t>
            </w:r>
          </w:p>
        </w:tc>
        <w:tc>
          <w:tcPr>
            <w:tcW w:w="6494" w:type="dxa"/>
            <w:tcBorders>
              <w:bottom w:val="single" w:sz="4" w:space="0" w:color="auto"/>
            </w:tcBorders>
          </w:tcPr>
          <w:p w14:paraId="1848C4AC" w14:textId="51C74757" w:rsidR="00D45E44" w:rsidRPr="00606385" w:rsidRDefault="00D45E44" w:rsidP="00551B1F"/>
        </w:tc>
      </w:tr>
      <w:tr w:rsidR="00D45E44" w:rsidRPr="00606385" w14:paraId="206131D5" w14:textId="77777777" w:rsidTr="00551B1F">
        <w:trPr>
          <w:trHeight w:val="1100"/>
        </w:trPr>
        <w:tc>
          <w:tcPr>
            <w:tcW w:w="6642" w:type="dxa"/>
          </w:tcPr>
          <w:p w14:paraId="57F4035A" w14:textId="77777777" w:rsidR="00551B1F" w:rsidRDefault="00551B1F" w:rsidP="001D6E1B">
            <w:pPr>
              <w:pStyle w:val="naiskr"/>
              <w:spacing w:before="0" w:after="0"/>
            </w:pPr>
          </w:p>
          <w:p w14:paraId="34E05D91" w14:textId="77777777" w:rsidR="00D45E44" w:rsidRPr="00606385" w:rsidRDefault="00D45E44" w:rsidP="001D6E1B">
            <w:pPr>
              <w:pStyle w:val="naiskr"/>
              <w:spacing w:before="0" w:after="0"/>
            </w:pPr>
            <w:r w:rsidRPr="00606385">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Default="00D45E44" w:rsidP="001D6E1B">
            <w:pPr>
              <w:pStyle w:val="naiskr"/>
              <w:spacing w:before="0" w:after="0"/>
              <w:ind w:firstLine="17"/>
            </w:pPr>
          </w:p>
          <w:p w14:paraId="1E72422B" w14:textId="3F9BF6CA" w:rsidR="00741670" w:rsidRPr="00606385" w:rsidRDefault="00741670" w:rsidP="001D6E1B">
            <w:pPr>
              <w:pStyle w:val="naiskr"/>
              <w:spacing w:before="0" w:after="0"/>
              <w:ind w:firstLine="17"/>
            </w:pPr>
          </w:p>
        </w:tc>
      </w:tr>
    </w:tbl>
    <w:p w14:paraId="0B13426A" w14:textId="77777777" w:rsidR="00551B1F" w:rsidRDefault="00551B1F" w:rsidP="00D45E44">
      <w:pPr>
        <w:pStyle w:val="naisf"/>
        <w:spacing w:before="0" w:after="0"/>
        <w:ind w:firstLine="0"/>
        <w:jc w:val="center"/>
        <w:rPr>
          <w:b/>
        </w:rPr>
      </w:pPr>
    </w:p>
    <w:p w14:paraId="59F771C2" w14:textId="77777777" w:rsidR="00D45E44" w:rsidRPr="00606385" w:rsidRDefault="00D45E44" w:rsidP="00D45E44">
      <w:pPr>
        <w:pStyle w:val="naisf"/>
        <w:spacing w:before="0" w:after="0"/>
        <w:ind w:firstLine="0"/>
        <w:jc w:val="center"/>
        <w:rPr>
          <w:b/>
        </w:rPr>
      </w:pPr>
      <w:r w:rsidRPr="00606385">
        <w:rPr>
          <w:b/>
        </w:rPr>
        <w:t>II. Jautājumi, par kuriem saskaņošanā vienošanās ir panākta</w:t>
      </w:r>
    </w:p>
    <w:p w14:paraId="04D4084E" w14:textId="77777777" w:rsidR="00D45E44" w:rsidRPr="00606385" w:rsidRDefault="00D45E44" w:rsidP="00D45E44">
      <w:pPr>
        <w:pStyle w:val="naisf"/>
        <w:spacing w:before="0" w:after="0"/>
        <w:ind w:firstLine="720"/>
      </w:pPr>
    </w:p>
    <w:p w14:paraId="554F503B" w14:textId="77777777" w:rsidR="00D45E44" w:rsidRPr="00606385" w:rsidRDefault="00D45E44" w:rsidP="00D45E44">
      <w:pPr>
        <w:pStyle w:val="naisf"/>
        <w:spacing w:before="0" w:after="0"/>
        <w:ind w:firstLine="720"/>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4394"/>
        <w:gridCol w:w="5103"/>
        <w:gridCol w:w="2385"/>
      </w:tblGrid>
      <w:tr w:rsidR="00D45E44" w:rsidRPr="00606385" w14:paraId="6F087869" w14:textId="77777777" w:rsidTr="008B684E">
        <w:tc>
          <w:tcPr>
            <w:tcW w:w="534" w:type="dxa"/>
            <w:tcBorders>
              <w:top w:val="single" w:sz="6" w:space="0" w:color="000000"/>
              <w:left w:val="single" w:sz="6" w:space="0" w:color="000000"/>
              <w:bottom w:val="single" w:sz="6" w:space="0" w:color="000000"/>
              <w:right w:val="single" w:sz="6" w:space="0" w:color="000000"/>
            </w:tcBorders>
          </w:tcPr>
          <w:p w14:paraId="5EC5D49A" w14:textId="77777777" w:rsidR="00D45E44" w:rsidRPr="00606385" w:rsidRDefault="00D45E44" w:rsidP="00672E77">
            <w:pPr>
              <w:pStyle w:val="naisc"/>
              <w:spacing w:before="0" w:after="0"/>
              <w:jc w:val="left"/>
            </w:pPr>
            <w:r w:rsidRPr="00606385">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606385" w:rsidRDefault="00D45E44" w:rsidP="001D6E1B">
            <w:pPr>
              <w:pStyle w:val="naisc"/>
              <w:spacing w:before="0" w:after="0"/>
              <w:ind w:firstLine="12"/>
            </w:pPr>
            <w:r w:rsidRPr="00606385">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606385" w:rsidRDefault="00D45E44" w:rsidP="001D6E1B">
            <w:pPr>
              <w:pStyle w:val="naisc"/>
              <w:spacing w:before="0" w:after="0"/>
              <w:ind w:right="3"/>
            </w:pPr>
            <w:r w:rsidRPr="00606385">
              <w:t xml:space="preserve">Atzinumā norādītais ministrijas (citas institūcijas) iebildums, kā arī saskaņošanā papildus izteiktais iebildums </w:t>
            </w:r>
            <w:r w:rsidR="00A33116">
              <w:t>par projekta konkrēto punktu (</w:t>
            </w:r>
            <w:r w:rsidRPr="00606385">
              <w:t>pantu)</w:t>
            </w:r>
          </w:p>
        </w:tc>
        <w:tc>
          <w:tcPr>
            <w:tcW w:w="5103"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606385" w:rsidRDefault="00D45E44" w:rsidP="00737CA4">
            <w:pPr>
              <w:pStyle w:val="naisc"/>
              <w:spacing w:before="0" w:after="0"/>
              <w:jc w:val="both"/>
            </w:pPr>
            <w:r w:rsidRPr="00606385">
              <w:t>Atbildīgās ministrijas norāde par to, ka iebildums ir ņemts vērā, vai informācija par saskaņošanā panākto alternatīvo risinājumu</w:t>
            </w:r>
          </w:p>
        </w:tc>
        <w:tc>
          <w:tcPr>
            <w:tcW w:w="2385" w:type="dxa"/>
            <w:tcBorders>
              <w:top w:val="single" w:sz="4" w:space="0" w:color="auto"/>
              <w:left w:val="single" w:sz="4" w:space="0" w:color="auto"/>
              <w:bottom w:val="single" w:sz="4" w:space="0" w:color="auto"/>
            </w:tcBorders>
            <w:vAlign w:val="center"/>
          </w:tcPr>
          <w:p w14:paraId="1A635033" w14:textId="77777777" w:rsidR="00D45E44" w:rsidRPr="00606385" w:rsidRDefault="00D45E44" w:rsidP="001D6E1B">
            <w:pPr>
              <w:jc w:val="center"/>
            </w:pPr>
            <w:r w:rsidRPr="00606385">
              <w:t>Projekta attiecīgā punkta (panta) galīgā redakcija</w:t>
            </w:r>
          </w:p>
        </w:tc>
      </w:tr>
      <w:tr w:rsidR="00D45E44" w:rsidRPr="00606385" w14:paraId="7E0C3989"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30043B7" w14:textId="77777777" w:rsidR="00D45E44" w:rsidRPr="00606385" w:rsidRDefault="00D45E44" w:rsidP="00672E77">
            <w:pPr>
              <w:pStyle w:val="naisc"/>
              <w:spacing w:before="0" w:after="0"/>
              <w:jc w:val="left"/>
            </w:pPr>
            <w:r w:rsidRPr="00606385">
              <w:t>1</w:t>
            </w:r>
          </w:p>
        </w:tc>
        <w:tc>
          <w:tcPr>
            <w:tcW w:w="2152" w:type="dxa"/>
            <w:tcBorders>
              <w:top w:val="single" w:sz="6" w:space="0" w:color="000000"/>
              <w:left w:val="single" w:sz="6" w:space="0" w:color="000000"/>
              <w:bottom w:val="single" w:sz="6" w:space="0" w:color="000000"/>
              <w:right w:val="single" w:sz="6" w:space="0" w:color="000000"/>
            </w:tcBorders>
          </w:tcPr>
          <w:p w14:paraId="2C3288CA" w14:textId="77777777" w:rsidR="00D45E44" w:rsidRPr="00606385" w:rsidRDefault="00D45E44" w:rsidP="001D6E1B">
            <w:pPr>
              <w:pStyle w:val="naisc"/>
              <w:spacing w:before="0" w:after="0"/>
              <w:ind w:firstLine="12"/>
            </w:pPr>
            <w:r w:rsidRPr="00606385">
              <w:t>2</w:t>
            </w:r>
          </w:p>
        </w:tc>
        <w:tc>
          <w:tcPr>
            <w:tcW w:w="4394" w:type="dxa"/>
            <w:tcBorders>
              <w:top w:val="single" w:sz="6" w:space="0" w:color="000000"/>
              <w:left w:val="single" w:sz="6" w:space="0" w:color="000000"/>
              <w:bottom w:val="single" w:sz="6" w:space="0" w:color="000000"/>
              <w:right w:val="single" w:sz="6" w:space="0" w:color="000000"/>
            </w:tcBorders>
          </w:tcPr>
          <w:p w14:paraId="29B687E6" w14:textId="77777777" w:rsidR="00D45E44" w:rsidRPr="00606385" w:rsidRDefault="00D45E44" w:rsidP="001D6E1B">
            <w:pPr>
              <w:pStyle w:val="naisc"/>
              <w:spacing w:before="0" w:after="0"/>
            </w:pPr>
            <w:r w:rsidRPr="00606385">
              <w:t>3</w:t>
            </w:r>
          </w:p>
        </w:tc>
        <w:tc>
          <w:tcPr>
            <w:tcW w:w="5103" w:type="dxa"/>
            <w:tcBorders>
              <w:top w:val="single" w:sz="6" w:space="0" w:color="000000"/>
              <w:left w:val="single" w:sz="6" w:space="0" w:color="000000"/>
              <w:bottom w:val="single" w:sz="6" w:space="0" w:color="000000"/>
              <w:right w:val="single" w:sz="6" w:space="0" w:color="000000"/>
            </w:tcBorders>
          </w:tcPr>
          <w:p w14:paraId="5A884637" w14:textId="77777777" w:rsidR="00D45E44" w:rsidRPr="00606385" w:rsidRDefault="00D45E44" w:rsidP="00551B1F">
            <w:pPr>
              <w:pStyle w:val="naisc"/>
              <w:spacing w:before="0" w:after="0"/>
            </w:pPr>
            <w:r w:rsidRPr="00606385">
              <w:t>4</w:t>
            </w:r>
          </w:p>
        </w:tc>
        <w:tc>
          <w:tcPr>
            <w:tcW w:w="2385" w:type="dxa"/>
            <w:tcBorders>
              <w:top w:val="single" w:sz="4" w:space="0" w:color="auto"/>
              <w:left w:val="single" w:sz="4" w:space="0" w:color="auto"/>
              <w:bottom w:val="single" w:sz="4" w:space="0" w:color="auto"/>
            </w:tcBorders>
          </w:tcPr>
          <w:p w14:paraId="38FA86A5" w14:textId="77777777" w:rsidR="00D45E44" w:rsidRPr="00606385" w:rsidRDefault="00D45E44" w:rsidP="001D6E1B">
            <w:pPr>
              <w:jc w:val="center"/>
            </w:pPr>
            <w:r w:rsidRPr="00606385">
              <w:t>5</w:t>
            </w:r>
          </w:p>
        </w:tc>
      </w:tr>
      <w:tr w:rsidR="004650F6" w:rsidRPr="00606385" w14:paraId="52684CB7" w14:textId="77777777" w:rsidTr="008B684E">
        <w:tc>
          <w:tcPr>
            <w:tcW w:w="534" w:type="dxa"/>
            <w:tcBorders>
              <w:top w:val="single" w:sz="6" w:space="0" w:color="000000"/>
              <w:left w:val="single" w:sz="6" w:space="0" w:color="000000"/>
              <w:bottom w:val="single" w:sz="6" w:space="0" w:color="000000"/>
              <w:right w:val="single" w:sz="6" w:space="0" w:color="000000"/>
            </w:tcBorders>
          </w:tcPr>
          <w:p w14:paraId="4A52937D" w14:textId="25DB8E49" w:rsidR="004650F6" w:rsidRDefault="00586C29">
            <w:r>
              <w:t>1.</w:t>
            </w:r>
          </w:p>
        </w:tc>
        <w:tc>
          <w:tcPr>
            <w:tcW w:w="2152" w:type="dxa"/>
            <w:tcBorders>
              <w:top w:val="single" w:sz="6" w:space="0" w:color="000000"/>
              <w:left w:val="single" w:sz="6" w:space="0" w:color="000000"/>
              <w:bottom w:val="single" w:sz="6" w:space="0" w:color="000000"/>
              <w:right w:val="single" w:sz="6" w:space="0" w:color="000000"/>
            </w:tcBorders>
          </w:tcPr>
          <w:p w14:paraId="5CF106F6" w14:textId="722374AD" w:rsidR="004650F6" w:rsidRDefault="004650F6" w:rsidP="001D6E1B">
            <w:pPr>
              <w:jc w:val="both"/>
              <w:rPr>
                <w:b/>
              </w:rPr>
            </w:pPr>
            <w:r>
              <w:rPr>
                <w:b/>
              </w:rPr>
              <w:t>Protokollēmums</w:t>
            </w:r>
          </w:p>
        </w:tc>
        <w:tc>
          <w:tcPr>
            <w:tcW w:w="4394" w:type="dxa"/>
            <w:tcBorders>
              <w:top w:val="single" w:sz="6" w:space="0" w:color="000000"/>
              <w:left w:val="single" w:sz="6" w:space="0" w:color="000000"/>
              <w:bottom w:val="single" w:sz="6" w:space="0" w:color="000000"/>
              <w:right w:val="single" w:sz="6" w:space="0" w:color="000000"/>
            </w:tcBorders>
          </w:tcPr>
          <w:p w14:paraId="5D9CF6C2" w14:textId="77777777" w:rsidR="004650F6" w:rsidRDefault="004650F6" w:rsidP="004650F6">
            <w:pPr>
              <w:pStyle w:val="ListParagraph"/>
              <w:widowControl w:val="0"/>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69B366A3" w14:textId="77777777" w:rsidR="004650F6" w:rsidRPr="00642B0A" w:rsidRDefault="004650F6" w:rsidP="004650F6">
            <w:pPr>
              <w:spacing w:before="120" w:after="120"/>
              <w:jc w:val="both"/>
            </w:pPr>
            <w:r w:rsidRPr="00642B0A">
              <w:rPr>
                <w:b/>
                <w:bCs/>
              </w:rPr>
              <w:t>Neatbalstām Protokollēmuma 3.punktu</w:t>
            </w:r>
            <w:r w:rsidRPr="00642B0A">
              <w:t>, kurā ir noteikts, ka MF apjoms netiek palielināts un tajā netiek iekļautas tās bezmaksas emisijas kvotas, kuru nepiešķiršanu elektroenerģijas ražošanai 2021.–2030. gadā Ministru kabinets atbalstīja 2019.gada 16.jūlija Ministru kabineta sēdē.</w:t>
            </w:r>
          </w:p>
          <w:p w14:paraId="22756637" w14:textId="77777777" w:rsidR="004650F6" w:rsidRPr="00642B0A" w:rsidRDefault="004650F6" w:rsidP="004650F6">
            <w:pPr>
              <w:spacing w:before="120" w:after="120"/>
              <w:jc w:val="both"/>
            </w:pPr>
            <w:r w:rsidRPr="00642B0A">
              <w:lastRenderedPageBreak/>
              <w:t xml:space="preserve">Atkārtoti norādām (skatīt Ekonomikas ministrijas 2019.gada 29.aprīļa atzinumu Nr. 3.1-20/2019/87 un 2019.gada 23.maija atzinumu Nr. 3.1-20/2019/112), ka iepriekšminētās emisijas kvotas Direktīvā Nr.2003/87/EK pēc būtība tika noteiktas (atļautas), kā piešķiramas bez maksas elektroenerģijas ražošanas iekārtām nolūkā modernizēt, diversificēt un ilgtspējīgi pārveidot enerģētikas nozari, tāpēc šīs emisijas kvotas būtu novirzāmas enerģētikas nozares modernizēšanai un diversificēšanai, kā nolūkā ir izveidots MF. </w:t>
            </w:r>
          </w:p>
          <w:p w14:paraId="25A5026E" w14:textId="0CDF0E25" w:rsidR="004650F6" w:rsidRPr="00494DFF" w:rsidRDefault="004650F6" w:rsidP="00586C29">
            <w:pPr>
              <w:pStyle w:val="ListParagraph"/>
              <w:widowControl w:val="0"/>
              <w:spacing w:after="0" w:line="240" w:lineRule="auto"/>
              <w:ind w:left="0"/>
              <w:jc w:val="both"/>
              <w:rPr>
                <w:rFonts w:ascii="Times New Roman" w:hAnsi="Times New Roman"/>
                <w:b/>
                <w:bCs/>
                <w:sz w:val="24"/>
                <w:szCs w:val="24"/>
                <w:lang w:val="lv-LV"/>
              </w:rPr>
            </w:pPr>
            <w:r w:rsidRPr="00642B0A">
              <w:rPr>
                <w:rFonts w:ascii="Times New Roman" w:hAnsi="Times New Roman"/>
                <w:sz w:val="24"/>
                <w:szCs w:val="24"/>
                <w:lang w:val="lv-LV"/>
              </w:rPr>
              <w:t>Līdz ar to norādām, ka Protokollēmuma 3.punktā ir jānosaka, ka MF finansējums ir palielināms ar to bezmaksas kvotu apjomu, kas piešķirts, ievērojot Direktīvas 2003/87/EK 10.c panta 4. punktu.</w:t>
            </w:r>
          </w:p>
        </w:tc>
        <w:tc>
          <w:tcPr>
            <w:tcW w:w="5103" w:type="dxa"/>
            <w:tcBorders>
              <w:top w:val="single" w:sz="6" w:space="0" w:color="000000"/>
              <w:left w:val="single" w:sz="6" w:space="0" w:color="000000"/>
              <w:bottom w:val="single" w:sz="6" w:space="0" w:color="000000"/>
              <w:right w:val="single" w:sz="6" w:space="0" w:color="000000"/>
            </w:tcBorders>
          </w:tcPr>
          <w:p w14:paraId="543DE70A" w14:textId="411F2504" w:rsidR="004650F6" w:rsidRPr="00586C29" w:rsidRDefault="004650F6" w:rsidP="00586C29">
            <w:pPr>
              <w:spacing w:after="120"/>
              <w:jc w:val="center"/>
              <w:rPr>
                <w:b/>
              </w:rPr>
            </w:pPr>
            <w:r w:rsidRPr="00586C29">
              <w:rPr>
                <w:b/>
              </w:rPr>
              <w:lastRenderedPageBreak/>
              <w:t>Vienošanās panākta saskaņošanas laikā</w:t>
            </w:r>
          </w:p>
          <w:p w14:paraId="465B017D" w14:textId="48112178" w:rsidR="004650F6" w:rsidRPr="00B07612" w:rsidDel="009A4EB6" w:rsidRDefault="004650F6" w:rsidP="00586C29">
            <w:pPr>
              <w:jc w:val="both"/>
              <w:rPr>
                <w:b/>
              </w:rPr>
            </w:pPr>
            <w:r w:rsidRPr="00A278BB">
              <w:t>Informatīvā ziņojuma 8.lpp</w:t>
            </w:r>
            <w:r>
              <w:t xml:space="preserve"> ir norādīts</w:t>
            </w:r>
            <w:r w:rsidRPr="00A278BB">
              <w:t>,</w:t>
            </w:r>
            <w:r>
              <w:t xml:space="preserve"> ka</w:t>
            </w:r>
            <w:r w:rsidRPr="00A278BB">
              <w:t xml:space="preserve"> Direktīvā 2003/87 nav noteikts, ka emisijas kvotu apjoms, ko potenciāli varēja bezmaksas piešķirt elektroenerģijas ražotājiem 2003/87 10.c panta 4.</w:t>
            </w:r>
            <w:r>
              <w:t> </w:t>
            </w:r>
            <w:r w:rsidRPr="00A278BB">
              <w:t xml:space="preserve">punkta ietvaros (derogācijai), būtu obligāti  “iezīmēts” kā emisijas kvotu apjoms elektroenerģijas ražojošo iekārtu atbalstam vai enerģētikas nozares modernizācijai. Turpretī ir būtiski norādīt, ka tās noteikti ir daļa no Direktīvas </w:t>
            </w:r>
            <w:r w:rsidRPr="00A278BB">
              <w:lastRenderedPageBreak/>
              <w:t>2003/87 10.</w:t>
            </w:r>
            <w:r>
              <w:t> </w:t>
            </w:r>
            <w:r w:rsidRPr="00A278BB">
              <w:t>panta 2.</w:t>
            </w:r>
            <w:r>
              <w:t> </w:t>
            </w:r>
            <w:r w:rsidRPr="00A278BB">
              <w:t>punktā minētajām</w:t>
            </w:r>
            <w:r>
              <w:t xml:space="preserve"> emisijas</w:t>
            </w:r>
            <w:r w:rsidRPr="00A278BB">
              <w:t xml:space="preserve"> kvotām, ko dalībvalstis izsola, un Latvijas nacionālā </w:t>
            </w:r>
            <w:r w:rsidRPr="00605FE4">
              <w:rPr>
                <w:color w:val="000000" w:themeColor="text1"/>
              </w:rPr>
              <w:t xml:space="preserve">līmenī </w:t>
            </w:r>
            <w:r>
              <w:rPr>
                <w:color w:val="000000" w:themeColor="text1"/>
              </w:rPr>
              <w:t xml:space="preserve">tas </w:t>
            </w:r>
            <w:r w:rsidRPr="00605FE4">
              <w:rPr>
                <w:color w:val="000000" w:themeColor="text1"/>
              </w:rPr>
              <w:t>ir EKII finansējuma avots.</w:t>
            </w:r>
          </w:p>
        </w:tc>
        <w:tc>
          <w:tcPr>
            <w:tcW w:w="2385" w:type="dxa"/>
            <w:tcBorders>
              <w:top w:val="single" w:sz="4" w:space="0" w:color="auto"/>
              <w:left w:val="single" w:sz="4" w:space="0" w:color="auto"/>
              <w:bottom w:val="single" w:sz="4" w:space="0" w:color="auto"/>
            </w:tcBorders>
          </w:tcPr>
          <w:p w14:paraId="2C54F5D9" w14:textId="781179A8" w:rsidR="004650F6" w:rsidRDefault="004650F6" w:rsidP="0047540F">
            <w:pPr>
              <w:jc w:val="both"/>
              <w:rPr>
                <w:b/>
              </w:rPr>
            </w:pPr>
            <w:r w:rsidRPr="004650F6">
              <w:rPr>
                <w:shd w:val="clear" w:color="auto" w:fill="FFFFFF"/>
              </w:rPr>
              <w:lastRenderedPageBreak/>
              <w:t>Informatīvā ziņojuma 5. noda</w:t>
            </w:r>
            <w:r w:rsidRPr="00F05C33">
              <w:rPr>
                <w:shd w:val="clear" w:color="auto" w:fill="FFFFFF"/>
              </w:rPr>
              <w:t>ļa papildināta ar teikumu šādā redakcijā: ” Lēmuma pieņemšana Ministru kabinetā</w:t>
            </w:r>
            <w:r w:rsidRPr="00F05C33">
              <w:rPr>
                <w:rStyle w:val="FootnoteReference"/>
                <w:shd w:val="clear" w:color="auto" w:fill="FFFFFF"/>
              </w:rPr>
              <w:footnoteReference w:id="2"/>
            </w:r>
            <w:r w:rsidRPr="00F05C33">
              <w:rPr>
                <w:shd w:val="clear" w:color="auto" w:fill="FFFFFF"/>
              </w:rPr>
              <w:t xml:space="preserve"> par finansējuma apjomiem ir formāla, jo ir </w:t>
            </w:r>
            <w:r w:rsidRPr="00F05C33">
              <w:t xml:space="preserve"> iestājies Direktīvas 2003/87 10 d. panta ceturtajā </w:t>
            </w:r>
            <w:r w:rsidRPr="00F05C33">
              <w:lastRenderedPageBreak/>
              <w:t>daļā noteiktais termiņš (</w:t>
            </w:r>
            <w:r w:rsidRPr="00F05C33">
              <w:rPr>
                <w:shd w:val="clear" w:color="auto" w:fill="FFFFFF"/>
              </w:rPr>
              <w:t>2019. gada 30. septembris), turklāt EK 2019. gada 30. oktobra telefonsarunā ar VARAM minēja, ka tā uzskata, ka Latvija neizmanto iespēju palielināt Modernizācijas fonda finansējumu un saskaņā ar EK norādījumiem ES dalībvalstīm, kas izvēlas neveikt Modernizācijas fonda finansējuma palielinājumu veicot emisiju kvotu pārskaitīšanu no izsolāmajiem kvotu apjomiem, tām nav jāinformē EK par pieņemto lēmumu.</w:t>
            </w:r>
            <w:r w:rsidRPr="004650F6">
              <w:rPr>
                <w:shd w:val="clear" w:color="auto" w:fill="FFFFFF"/>
              </w:rPr>
              <w:t>”</w:t>
            </w:r>
          </w:p>
        </w:tc>
      </w:tr>
      <w:tr w:rsidR="003E5969" w:rsidRPr="00606385" w14:paraId="66F2754B" w14:textId="77777777" w:rsidTr="008B684E">
        <w:tc>
          <w:tcPr>
            <w:tcW w:w="534" w:type="dxa"/>
            <w:tcBorders>
              <w:top w:val="single" w:sz="6" w:space="0" w:color="000000"/>
              <w:left w:val="single" w:sz="6" w:space="0" w:color="000000"/>
              <w:bottom w:val="single" w:sz="6" w:space="0" w:color="000000"/>
              <w:right w:val="single" w:sz="6" w:space="0" w:color="000000"/>
            </w:tcBorders>
          </w:tcPr>
          <w:p w14:paraId="25B55D09" w14:textId="2A45A18E" w:rsidR="003E5969" w:rsidRDefault="00586C29" w:rsidP="00586C29">
            <w:r>
              <w:lastRenderedPageBreak/>
              <w:t>2.</w:t>
            </w:r>
          </w:p>
        </w:tc>
        <w:tc>
          <w:tcPr>
            <w:tcW w:w="2152" w:type="dxa"/>
            <w:tcBorders>
              <w:top w:val="single" w:sz="6" w:space="0" w:color="000000"/>
              <w:left w:val="single" w:sz="6" w:space="0" w:color="000000"/>
              <w:bottom w:val="single" w:sz="6" w:space="0" w:color="000000"/>
              <w:right w:val="single" w:sz="6" w:space="0" w:color="000000"/>
            </w:tcBorders>
          </w:tcPr>
          <w:p w14:paraId="39BEEB07" w14:textId="0159C8FC" w:rsidR="003E5969" w:rsidRDefault="009A4EB6" w:rsidP="001D6E1B">
            <w:pPr>
              <w:jc w:val="both"/>
              <w:rPr>
                <w:b/>
              </w:rPr>
            </w:pPr>
            <w:r>
              <w:rPr>
                <w:b/>
              </w:rPr>
              <w:t>Protokollēmums</w:t>
            </w:r>
          </w:p>
        </w:tc>
        <w:tc>
          <w:tcPr>
            <w:tcW w:w="4394" w:type="dxa"/>
            <w:tcBorders>
              <w:top w:val="single" w:sz="6" w:space="0" w:color="000000"/>
              <w:left w:val="single" w:sz="6" w:space="0" w:color="000000"/>
              <w:bottom w:val="single" w:sz="6" w:space="0" w:color="000000"/>
              <w:right w:val="single" w:sz="6" w:space="0" w:color="000000"/>
            </w:tcBorders>
          </w:tcPr>
          <w:p w14:paraId="1C2027DB" w14:textId="77777777" w:rsidR="003E5969" w:rsidRDefault="003E5969" w:rsidP="003E5969">
            <w:pPr>
              <w:pStyle w:val="ListParagraph"/>
              <w:widowControl w:val="0"/>
              <w:spacing w:after="0" w:line="240" w:lineRule="auto"/>
              <w:ind w:left="0"/>
              <w:jc w:val="center"/>
              <w:rPr>
                <w:rFonts w:ascii="Times New Roman" w:hAnsi="Times New Roman"/>
                <w:b/>
                <w:bCs/>
                <w:sz w:val="24"/>
                <w:szCs w:val="24"/>
                <w:lang w:val="lv-LV"/>
              </w:rPr>
            </w:pPr>
            <w:r w:rsidRPr="00494DFF">
              <w:rPr>
                <w:rFonts w:ascii="Times New Roman" w:hAnsi="Times New Roman"/>
                <w:b/>
                <w:bCs/>
                <w:sz w:val="24"/>
                <w:szCs w:val="24"/>
                <w:lang w:val="lv-LV"/>
              </w:rPr>
              <w:t>Ekonomikas ministrijas 02.09.2019 atzinums.</w:t>
            </w:r>
          </w:p>
          <w:p w14:paraId="18A5B7FB" w14:textId="77777777" w:rsidR="003E5969" w:rsidRPr="00494DFF" w:rsidRDefault="003E5969" w:rsidP="003E5969">
            <w:pPr>
              <w:spacing w:before="120" w:after="120"/>
              <w:jc w:val="both"/>
            </w:pPr>
            <w:r w:rsidRPr="00494DFF">
              <w:rPr>
                <w:b/>
                <w:bCs/>
              </w:rPr>
              <w:t>Neatbalstām Protokollēmuma 2.punktu</w:t>
            </w:r>
            <w:r w:rsidRPr="00494DFF">
              <w:t>, kurā ir noteikts, ka par Modernizācijas fonda (turpmāk – MF) atbildīgo iestādi nacionālā līmenī tiek noteikts VARAM.</w:t>
            </w:r>
          </w:p>
          <w:p w14:paraId="288FCD3C" w14:textId="77777777" w:rsidR="003E5969" w:rsidRPr="00494DFF" w:rsidRDefault="003E5969" w:rsidP="003E5969">
            <w:pPr>
              <w:spacing w:before="120" w:after="120"/>
              <w:jc w:val="both"/>
            </w:pPr>
            <w:r w:rsidRPr="00494DFF">
              <w:lastRenderedPageBreak/>
              <w:t>Norādām, ka saskaņā ar Eiropas Parlamenta un Padomes direktīvas Nr.2003/87/EK</w:t>
            </w:r>
            <w:r w:rsidRPr="00494DFF">
              <w:rPr>
                <w:rStyle w:val="FootnoteReference"/>
              </w:rPr>
              <w:footnoteReference w:id="3"/>
            </w:r>
            <w:r w:rsidRPr="00494DFF">
              <w:t xml:space="preserve"> (turpmāk – Direktīva 2003/87/EK) 10.d panta 1.punktu (izteikts ar Direktīvu Nr.2018/410</w:t>
            </w:r>
            <w:r w:rsidRPr="00494DFF">
              <w:rPr>
                <w:rStyle w:val="FootnoteReference"/>
              </w:rPr>
              <w:footnoteReference w:id="4"/>
            </w:r>
            <w:r w:rsidRPr="00494DFF">
              <w:t xml:space="preserve">) MF līdzekļi ir izmantojami, lai </w:t>
            </w:r>
            <w:r w:rsidRPr="00494DFF">
              <w:rPr>
                <w:u w:val="single"/>
              </w:rPr>
              <w:t>finansētu neliela mēroga investīciju projektus energosistēmu modernizācijā un energoefektivitātes uzlabošanā</w:t>
            </w:r>
            <w:r w:rsidRPr="00494DFF">
              <w:t>. Tātad ir skaidri noteikts, ka MF iekļautie finanšu līdzekļi ir izmantojami tikai un vienīgi projektiem enerģētikā. Šis nosacījums ir arī skaidri noteikts Informatīvā ziņojuma 2. nodaļā</w:t>
            </w:r>
          </w:p>
          <w:p w14:paraId="2FC1415A" w14:textId="77777777" w:rsidR="003E5969" w:rsidRPr="00494DFF" w:rsidRDefault="003E5969" w:rsidP="003E5969">
            <w:pPr>
              <w:spacing w:before="120" w:after="120"/>
              <w:jc w:val="both"/>
            </w:pPr>
            <w:r w:rsidRPr="00494DFF">
              <w:t>Saskaņā ar Ministru kabineta 2010.gada 23.marta noteikumu Nr.271 “Ekonomikas ministrijas nolikums” 1.punktu enerģētikas politiku izstrādā un īstenot Ekonomikas ministrija. Savukārt Ministru kabineta 2011.gada 29.marta noteikumos Nr.233 “Vides aizsardzības un reģionālās attīstības ministrijas nolikums” nav noteikts, ka VARAM ir kompetence un tiesības izstrādāt un īstenot enerģētikas politiku.</w:t>
            </w:r>
          </w:p>
          <w:p w14:paraId="6C4B2D54" w14:textId="23F4E945" w:rsidR="003E5969" w:rsidRPr="00586C29" w:rsidRDefault="003E5969" w:rsidP="00586C29">
            <w:pPr>
              <w:pStyle w:val="ListParagraph"/>
              <w:widowControl w:val="0"/>
              <w:spacing w:after="0" w:line="240" w:lineRule="auto"/>
              <w:ind w:left="0"/>
              <w:jc w:val="both"/>
              <w:rPr>
                <w:rFonts w:ascii="Times New Roman" w:hAnsi="Times New Roman"/>
                <w:b/>
                <w:bCs/>
                <w:sz w:val="28"/>
                <w:szCs w:val="28"/>
                <w:lang w:val="lv-LV"/>
              </w:rPr>
            </w:pPr>
            <w:r w:rsidRPr="00586C29">
              <w:rPr>
                <w:rFonts w:ascii="Times New Roman" w:hAnsi="Times New Roman"/>
                <w:sz w:val="24"/>
                <w:szCs w:val="24"/>
                <w:u w:val="single"/>
              </w:rPr>
              <w:t>Līdz ar to norādām, ka Protokollēmuma 2.punktā ir jānosaka, ka par MF atbildīgo iestādi nacionālajā līmenī tiek noteikta</w:t>
            </w:r>
            <w:r w:rsidRPr="00586C29">
              <w:rPr>
                <w:rFonts w:ascii="Times New Roman" w:hAnsi="Times New Roman"/>
                <w:sz w:val="28"/>
                <w:szCs w:val="28"/>
                <w:u w:val="single"/>
              </w:rPr>
              <w:t xml:space="preserve"> </w:t>
            </w:r>
            <w:r w:rsidRPr="00586C29">
              <w:rPr>
                <w:rFonts w:ascii="Times New Roman" w:hAnsi="Times New Roman"/>
                <w:sz w:val="24"/>
                <w:szCs w:val="24"/>
                <w:u w:val="single"/>
              </w:rPr>
              <w:t>Ekonomikas ministrija.</w:t>
            </w:r>
          </w:p>
        </w:tc>
        <w:tc>
          <w:tcPr>
            <w:tcW w:w="5103" w:type="dxa"/>
            <w:tcBorders>
              <w:top w:val="single" w:sz="6" w:space="0" w:color="000000"/>
              <w:left w:val="single" w:sz="6" w:space="0" w:color="000000"/>
              <w:bottom w:val="single" w:sz="6" w:space="0" w:color="000000"/>
              <w:right w:val="single" w:sz="6" w:space="0" w:color="000000"/>
            </w:tcBorders>
          </w:tcPr>
          <w:p w14:paraId="7F2FBAB7" w14:textId="77777777" w:rsidR="004650F6" w:rsidRPr="00F05C33" w:rsidRDefault="004650F6" w:rsidP="004650F6">
            <w:pPr>
              <w:spacing w:after="120"/>
              <w:jc w:val="center"/>
              <w:rPr>
                <w:b/>
              </w:rPr>
            </w:pPr>
            <w:r w:rsidRPr="00F05C33">
              <w:rPr>
                <w:b/>
              </w:rPr>
              <w:lastRenderedPageBreak/>
              <w:t>Vienošanās panākta saskaņošanas laikā</w:t>
            </w:r>
          </w:p>
          <w:p w14:paraId="48E87FA3" w14:textId="77777777" w:rsidR="009A4EB6" w:rsidRDefault="009A4EB6" w:rsidP="009A4EB6">
            <w:pPr>
              <w:jc w:val="both"/>
            </w:pPr>
          </w:p>
          <w:p w14:paraId="1A7575E5" w14:textId="77777777" w:rsidR="009A4EB6" w:rsidRDefault="009A4EB6" w:rsidP="009A4EB6">
            <w:pPr>
              <w:jc w:val="both"/>
            </w:pPr>
            <w:r>
              <w:t>Direktīvas 2003/87 10. </w:t>
            </w:r>
            <w:r w:rsidRPr="00B07612">
              <w:t>panta 1.</w:t>
            </w:r>
            <w:r>
              <w:t> </w:t>
            </w:r>
            <w:r w:rsidRPr="00B07612">
              <w:t>punktā noteikts: “</w:t>
            </w:r>
            <w:r w:rsidRPr="00B07612">
              <w:rPr>
                <w:i/>
              </w:rPr>
              <w:t>2</w:t>
            </w:r>
            <w:r>
              <w:rPr>
                <w:i/>
              </w:rPr>
              <w:t> </w:t>
            </w:r>
            <w:r w:rsidRPr="00B07612">
              <w:rPr>
                <w:i/>
              </w:rPr>
              <w:t>% no kopējā kvotu daudzuma laikā no 2021. līdz 2030. gadam izsola, lai izveidotu fondu, kura mērķis ir uzlabot energoefektivitāti un modernizēt energosistēmas dažās dalībvalstīs, kā noteikts 10.d pantā</w:t>
            </w:r>
            <w:r>
              <w:t>”. Direktīvas 2003/87 10 d</w:t>
            </w:r>
            <w:r w:rsidRPr="00B07612">
              <w:t xml:space="preserve"> </w:t>
            </w:r>
            <w:r>
              <w:t xml:space="preserve"> </w:t>
            </w:r>
            <w:r w:rsidRPr="00B07612">
              <w:t>pan</w:t>
            </w:r>
            <w:r>
              <w:t>ta</w:t>
            </w:r>
            <w:r w:rsidRPr="00B07612">
              <w:t xml:space="preserve"> 2.</w:t>
            </w:r>
            <w:r>
              <w:t> </w:t>
            </w:r>
            <w:r w:rsidRPr="00B07612">
              <w:t>punktā</w:t>
            </w:r>
            <w:r>
              <w:t xml:space="preserve"> ir</w:t>
            </w:r>
            <w:r w:rsidRPr="00B07612">
              <w:t xml:space="preserve"> </w:t>
            </w:r>
            <w:r>
              <w:t>uzskaitīts</w:t>
            </w:r>
            <w:r w:rsidRPr="00B07612">
              <w:t xml:space="preserve"> plašs loks ar prioritārajām investīcijām, </w:t>
            </w:r>
            <w:r w:rsidRPr="00B07612">
              <w:lastRenderedPageBreak/>
              <w:t>t.sk. investīcijām energoefektivitātē transporta, ēku, lauksaimniecības un atkritumu apsaimniekošanas jomās. Turklāt jānorāda, ka 30</w:t>
            </w:r>
            <w:r>
              <w:t> </w:t>
            </w:r>
            <w:r w:rsidRPr="00B07612">
              <w:t>% no visa Modernizācijas fonda līdzekļiem ir iespēja izmantot pasākumiem, kas nav ietverti 10.d panta 2.</w:t>
            </w:r>
            <w:r>
              <w:t> </w:t>
            </w:r>
            <w:r w:rsidRPr="00B07612">
              <w:t xml:space="preserve">punkta minētajā uzskaitījumā. </w:t>
            </w:r>
          </w:p>
          <w:p w14:paraId="27389853" w14:textId="77777777" w:rsidR="009A4EB6" w:rsidRDefault="009A4EB6" w:rsidP="009A4EB6">
            <w:pPr>
              <w:jc w:val="both"/>
            </w:pPr>
          </w:p>
          <w:p w14:paraId="41388297" w14:textId="77777777" w:rsidR="009A4EB6" w:rsidRDefault="009A4EB6" w:rsidP="009A4EB6">
            <w:pPr>
              <w:jc w:val="both"/>
            </w:pPr>
            <w:r w:rsidRPr="00B07612">
              <w:t>Pretēji Ekonomikas ministrijas paustajam vēlamies norādīt, ka informatīvajā ziņojumā nav minēts, ka Modernizācijas fonda līdzekļi būtu izmantojami tikai u</w:t>
            </w:r>
            <w:r>
              <w:t xml:space="preserve">n vienīgi projektiem enerģētikā un tas būtu pretrunā arī ar Direktīvas 2003/87 10 d panta nosacījumiem. </w:t>
            </w:r>
            <w:r w:rsidRPr="00B07612">
              <w:t>S</w:t>
            </w:r>
            <w:r>
              <w:t>askaņā ar Direktīvas 2003/87 10 </w:t>
            </w:r>
            <w:r w:rsidRPr="00B07612">
              <w:t>d panta 1.</w:t>
            </w:r>
            <w:r>
              <w:t> </w:t>
            </w:r>
            <w:r w:rsidRPr="00B07612">
              <w:t xml:space="preserve">punkta otrajā rindkopā minēto atbalstītajām investīcijām jābūt saskanīgām ar Direktīvas 2003/87 mērķiem, kā arī ar mērķiem, ko paredz </w:t>
            </w:r>
            <w:r>
              <w:t>ES</w:t>
            </w:r>
            <w:r w:rsidRPr="00B07612">
              <w:t xml:space="preserve"> klimata un enerģētikas politikas satvars laikposmam līdz 2030.</w:t>
            </w:r>
            <w:r>
              <w:t> </w:t>
            </w:r>
            <w:r w:rsidRPr="00B07612">
              <w:t>gadam, un Parīzes nolīgumā paustajiem ilgtermiņa mērķiem. Gan Direktīva 2003/87, gan klimata un enerģētikas satvars, gan Parīzes nolīgums ir tieši saistīti ar klimata politiku un Latvija saskaņā ar Ministru kabineta 2011. gada 29. marta noteikumu Nr. 233 “Vides aizsardzības un reģionālās attīstības ministrijas nolikums” 4. punktu VARAM ir atbildīgā iestāde par vides, dabas aizsardzības un klimata politikas izstrādi, līdz ar to par Modernizācijas fonda atbildīgo iestādi nosakāma VARAM.</w:t>
            </w:r>
          </w:p>
          <w:p w14:paraId="1B16DBCA" w14:textId="2FF6BDE9" w:rsidR="003E5969" w:rsidRDefault="009A4EB6" w:rsidP="009A4EB6">
            <w:pPr>
              <w:jc w:val="both"/>
              <w:rPr>
                <w:b/>
                <w:lang w:eastAsia="x-none"/>
              </w:rPr>
            </w:pPr>
            <w:r>
              <w:lastRenderedPageBreak/>
              <w:t>Ar Modernizācijas fonda izveidi netiek plānots mainīt VARAM kompetenci izstrādāt vai īstenot politiku enerģētikas jomā, bet gan sagatavot juridisko ietvaru, lai varētu sniegt atbalstu SEG emisiju samazinošu pasākumu īstenošanai, t.sk. enerģētikas sektorā.</w:t>
            </w:r>
          </w:p>
        </w:tc>
        <w:tc>
          <w:tcPr>
            <w:tcW w:w="2385" w:type="dxa"/>
            <w:tcBorders>
              <w:top w:val="single" w:sz="4" w:space="0" w:color="auto"/>
              <w:left w:val="single" w:sz="4" w:space="0" w:color="auto"/>
              <w:bottom w:val="single" w:sz="4" w:space="0" w:color="auto"/>
            </w:tcBorders>
          </w:tcPr>
          <w:p w14:paraId="4AD51936" w14:textId="77777777" w:rsidR="00DD11E2" w:rsidRDefault="00DD11E2" w:rsidP="00586C29">
            <w:pPr>
              <w:pStyle w:val="Title"/>
              <w:spacing w:before="120" w:after="120"/>
              <w:jc w:val="both"/>
              <w:outlineLvl w:val="0"/>
              <w:rPr>
                <w:b/>
                <w:sz w:val="24"/>
                <w:szCs w:val="24"/>
              </w:rPr>
            </w:pPr>
          </w:p>
          <w:p w14:paraId="56FA99FD" w14:textId="76C3168E" w:rsidR="003E5969" w:rsidRPr="00586C29" w:rsidRDefault="009A4EB6" w:rsidP="00586C29">
            <w:pPr>
              <w:pStyle w:val="Title"/>
              <w:spacing w:before="120" w:after="120"/>
              <w:jc w:val="both"/>
              <w:outlineLvl w:val="0"/>
              <w:rPr>
                <w:b/>
                <w:sz w:val="24"/>
                <w:szCs w:val="24"/>
              </w:rPr>
            </w:pPr>
            <w:r w:rsidRPr="00586C29">
              <w:rPr>
                <w:b/>
                <w:sz w:val="24"/>
                <w:szCs w:val="24"/>
              </w:rPr>
              <w:t>Papildināts Protokolēmums ar 4. punktu šādā redakcijā; “</w:t>
            </w:r>
            <w:r w:rsidRPr="00586C29">
              <w:rPr>
                <w:sz w:val="24"/>
                <w:szCs w:val="24"/>
              </w:rPr>
              <w:t>4. </w:t>
            </w:r>
            <w:r w:rsidR="004650F6" w:rsidRPr="00586C29">
              <w:rPr>
                <w:sz w:val="24"/>
                <w:szCs w:val="24"/>
              </w:rPr>
              <w:t xml:space="preserve">Vides aizsardzības un reģionālās attīstības ministrijai un </w:t>
            </w:r>
            <w:r w:rsidR="004650F6" w:rsidRPr="00586C29">
              <w:rPr>
                <w:sz w:val="24"/>
                <w:szCs w:val="24"/>
              </w:rPr>
              <w:lastRenderedPageBreak/>
              <w:t>Ekonomikas ministrijai līdz 2020. gada 31. decembrim izstrādāt Modernizācijas fonda daudzgadu programmas darbības noteikumus.</w:t>
            </w:r>
            <w:r w:rsidRPr="00586C29">
              <w:rPr>
                <w:b/>
                <w:sz w:val="24"/>
                <w:szCs w:val="24"/>
              </w:rPr>
              <w:t>”</w:t>
            </w:r>
          </w:p>
        </w:tc>
      </w:tr>
      <w:tr w:rsidR="003E5969" w:rsidRPr="00606385" w14:paraId="6085B75F"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E33861D" w14:textId="5FB04423" w:rsidR="003E5969" w:rsidRDefault="00586C29" w:rsidP="009A4EB6">
            <w:r>
              <w:lastRenderedPageBreak/>
              <w:t>3</w:t>
            </w:r>
            <w:r w:rsidR="009A4EB6">
              <w:t>.</w:t>
            </w:r>
          </w:p>
        </w:tc>
        <w:tc>
          <w:tcPr>
            <w:tcW w:w="2152" w:type="dxa"/>
            <w:tcBorders>
              <w:top w:val="single" w:sz="6" w:space="0" w:color="000000"/>
              <w:left w:val="single" w:sz="6" w:space="0" w:color="000000"/>
              <w:bottom w:val="single" w:sz="6" w:space="0" w:color="000000"/>
              <w:right w:val="single" w:sz="6" w:space="0" w:color="000000"/>
            </w:tcBorders>
          </w:tcPr>
          <w:p w14:paraId="59ACDE33" w14:textId="13DA7F49" w:rsidR="003E5969" w:rsidRDefault="009A4EB6" w:rsidP="001D6E1B">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5447D488" w14:textId="77777777" w:rsidR="009A4EB6" w:rsidRDefault="009A4EB6" w:rsidP="009A4EB6">
            <w:pPr>
              <w:pStyle w:val="ListParagraph"/>
              <w:widowControl w:val="0"/>
              <w:spacing w:after="0" w:line="240" w:lineRule="auto"/>
              <w:ind w:left="0"/>
              <w:jc w:val="both"/>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62B14B9B" w14:textId="77777777" w:rsidR="009A4EB6" w:rsidRPr="00642B0A" w:rsidRDefault="009A4EB6" w:rsidP="009A4EB6">
            <w:pPr>
              <w:spacing w:before="120" w:after="120"/>
              <w:jc w:val="both"/>
            </w:pPr>
            <w:r w:rsidRPr="00642B0A">
              <w:rPr>
                <w:b/>
                <w:bCs/>
              </w:rPr>
              <w:t>Neatbalstām</w:t>
            </w:r>
            <w:r>
              <w:rPr>
                <w:b/>
                <w:bCs/>
              </w:rPr>
              <w:t xml:space="preserve"> </w:t>
            </w:r>
            <w:r w:rsidRPr="00642B0A">
              <w:rPr>
                <w:b/>
                <w:bCs/>
              </w:rPr>
              <w:t>Informatīvā ziņojuma 3.nodaļas pēdējā rindkopā minēto</w:t>
            </w:r>
            <w:r w:rsidRPr="00642B0A">
              <w:t>, ka MF ietvars saistāms ar klimata mērķu sasniegšanu enerģētikas, transporta, lauksaimniecības un atkritumu apsaimniekošanas sektoros, jo tas neatbilst nosacījumiem, kas ir noteikti Direktīvas 2003/87/EK 10.d panta 1. un 2.punktā:</w:t>
            </w:r>
          </w:p>
          <w:p w14:paraId="46AE7038" w14:textId="77777777" w:rsidR="009A4EB6" w:rsidRPr="00642B0A" w:rsidRDefault="009A4EB6" w:rsidP="009A4EB6">
            <w:pPr>
              <w:spacing w:before="120" w:after="120"/>
              <w:jc w:val="both"/>
              <w:rPr>
                <w:i/>
                <w:iCs/>
              </w:rPr>
            </w:pPr>
            <w:r w:rsidRPr="00642B0A">
              <w:t>“</w:t>
            </w:r>
            <w:r w:rsidRPr="00642B0A">
              <w:rPr>
                <w:i/>
                <w:iCs/>
              </w:rPr>
              <w:t xml:space="preserve">1. Laikposmam no 2021. līdz 2030. gadam tiek izveidots fonds, ar kuru atbalsta investīcijas, ko ierosinājušas saņēmējas dalībvalstis, tostarp, </w:t>
            </w:r>
            <w:r w:rsidRPr="00642B0A">
              <w:rPr>
                <w:b/>
                <w:bCs/>
                <w:i/>
                <w:iCs/>
              </w:rPr>
              <w:t>lai finansētu neliela mēroga investīciju projektus, energosistēmu modernizācijā un energoefektivitātes uzlabošanā</w:t>
            </w:r>
            <w:r w:rsidRPr="00642B0A">
              <w:rPr>
                <w:i/>
                <w:iCs/>
              </w:rPr>
              <w:t xml:space="preserve"> tādās dalībvalstīs, kuru IKP uz vienu iedzīvotāju tirgus cenās 2013. gadā nesasniedza 60 % no Savienības vidējā rādītāja (“modernizācijas fonds”). Modernizācijas fondu finansē no kvotu izsolēm, kā noteikts 10. pantā.</w:t>
            </w:r>
          </w:p>
          <w:p w14:paraId="2D13F84D" w14:textId="77777777" w:rsidR="009A4EB6" w:rsidRPr="00642B0A" w:rsidRDefault="009A4EB6" w:rsidP="009A4EB6">
            <w:pPr>
              <w:spacing w:before="120" w:after="120"/>
              <w:jc w:val="both"/>
              <w:rPr>
                <w:i/>
                <w:iCs/>
              </w:rPr>
            </w:pPr>
            <w:r w:rsidRPr="00642B0A">
              <w:rPr>
                <w:i/>
                <w:iCs/>
              </w:rPr>
              <w:t xml:space="preserve">Atbalstītajām investīcijām jābūt saskanīgām ar šīs direktīvas mērķiem, </w:t>
            </w:r>
            <w:r w:rsidRPr="00642B0A">
              <w:rPr>
                <w:b/>
                <w:bCs/>
                <w:i/>
                <w:iCs/>
              </w:rPr>
              <w:t xml:space="preserve">kā arī ar mērķiem, ko paredz Savienības </w:t>
            </w:r>
            <w:r w:rsidRPr="00642B0A">
              <w:rPr>
                <w:b/>
                <w:bCs/>
                <w:i/>
                <w:iCs/>
              </w:rPr>
              <w:lastRenderedPageBreak/>
              <w:t>klimata un enerģētikas politikas satvars</w:t>
            </w:r>
            <w:r w:rsidRPr="00642B0A">
              <w:rPr>
                <w:i/>
                <w:iCs/>
              </w:rPr>
              <w:t xml:space="preserve"> laikposmam līdz 2030. gadam, un Parīzes nolīgumā paustajiem ilgtermiņa mērķiem. No modernizācijas fonda atbalstu nesniedz elektroenerģijas ražošanas iekārtām, kurās izmanto cieto fosilo kurināmo, izņemot efektīvai un ilgtspējīgai centralizētajai siltumapgādei dalībvalstīs, kuru IKP uz vienu iedzīvotāju tirgus cenās 2013. gadā nesasniedza 30 % no Savienības vidējā rādītāja, ar noteikumu, ka vismaz līdzvērtīgas vērtības kvotu apjoms tiek izmantots tādām investīcijām saskaņā ar 10.c pantu, kas neietver cieto fosilo kurināmo.</w:t>
            </w:r>
          </w:p>
          <w:p w14:paraId="72296149" w14:textId="77777777" w:rsidR="009A4EB6" w:rsidRPr="00642B0A" w:rsidRDefault="009A4EB6" w:rsidP="009A4EB6">
            <w:pPr>
              <w:spacing w:before="120" w:after="120"/>
              <w:jc w:val="both"/>
            </w:pPr>
            <w:r w:rsidRPr="00642B0A">
              <w:rPr>
                <w:i/>
                <w:iCs/>
              </w:rPr>
              <w:t xml:space="preserve">2. </w:t>
            </w:r>
            <w:r w:rsidRPr="00642B0A">
              <w:rPr>
                <w:b/>
                <w:bCs/>
                <w:i/>
                <w:iCs/>
              </w:rPr>
              <w:t>Vismaz 70 % finanšu resursus no modernizācijas fonda izmanto tam, lai atbalstītu investīcijas elektroenerģijas ražošanā un izmantošanā no atjaunojamiem avotiem, energoefektivitātes uzlabošanā</w:t>
            </w:r>
            <w:r w:rsidRPr="00642B0A">
              <w:rPr>
                <w:i/>
                <w:iCs/>
              </w:rPr>
              <w:t xml:space="preserve">, izņemot energoefektivitātes uzlabošanu, kas saistīta ar elektroenerģijas ražošanu, kurā izmanto cieto fosilo kurināmo, </w:t>
            </w:r>
            <w:r w:rsidRPr="00642B0A">
              <w:rPr>
                <w:b/>
                <w:bCs/>
                <w:i/>
                <w:iCs/>
              </w:rPr>
              <w:t xml:space="preserve">enerģijas uzglabāšanā un energotīklu, tostarp centralizētajā siltumapgādē izmantoto cauruļvadu, un elektropārvades tīklu modernizēšanā un starpsavienojumu palielināšana starp dalībvalstīm, kā arī tam, lai atbalstītu taisnīgu pāreju no </w:t>
            </w:r>
            <w:r w:rsidRPr="00642B0A">
              <w:rPr>
                <w:b/>
                <w:bCs/>
                <w:i/>
                <w:iCs/>
              </w:rPr>
              <w:lastRenderedPageBreak/>
              <w:t>oglekļa atkarīgajos reģionos saņēmējās dalībvalstīs, ar mērķi tādējādi atbalstīt darba ņēmēju pārcelšanu, pārkvalificēšanu un kvalifikācijas celšanu, izglītību, darba meklēšanas iniciatīvas un jaunuzņēmumus, veidojot dialogu ar sociālajiem partneriem. Finansējumu var piešķirt arī investīcijām energoefektivitātē transporta, ēku, lauksaimniecības un atkritumu apsaimniekošanas nozarēs.</w:t>
            </w:r>
            <w:r w:rsidRPr="00642B0A">
              <w:t>”</w:t>
            </w:r>
          </w:p>
          <w:p w14:paraId="38861A04" w14:textId="77777777" w:rsidR="009A4EB6" w:rsidRPr="00642B0A" w:rsidRDefault="009A4EB6" w:rsidP="009A4EB6">
            <w:pPr>
              <w:spacing w:before="120" w:after="120"/>
              <w:jc w:val="both"/>
            </w:pPr>
            <w:r w:rsidRPr="00642B0A">
              <w:t xml:space="preserve">Norādām, ka iepriekšminētie Direktīvas 2003/87/EK nosacījumi skaidri nosaka, ka MF līdzekļi ir izmantojami transporta, ēku, lauksaimniecības un atkritumu apsaimniekošanas nozarēs </w:t>
            </w:r>
            <w:r w:rsidRPr="00642B0A">
              <w:rPr>
                <w:u w:val="single"/>
              </w:rPr>
              <w:t>energoefektivitātes uzlabošanas pasākumiem</w:t>
            </w:r>
            <w:r w:rsidRPr="00642B0A">
              <w:t>.</w:t>
            </w:r>
          </w:p>
          <w:p w14:paraId="70DF66B0" w14:textId="77777777" w:rsidR="003E5969" w:rsidRDefault="009A4EB6" w:rsidP="00586C29">
            <w:pPr>
              <w:spacing w:before="120" w:after="120"/>
              <w:jc w:val="both"/>
            </w:pPr>
            <w:r w:rsidRPr="00642B0A">
              <w:t>Tāpat norādām, ka Direktīvā 2003/87/EK ir noteikts, ka MF līdzekļu izmantojumam ir jābūt saskanīgam ar mērķiem, kas ir noteikti Savienības klimata un enerģētikas politikas satvarā. Atgādinām, ka Eiropadomes 2014.gada 23.-24.oktobra secinājumos “Klimata un enerģētikas politikas satvars laikposmam līdz 2030.gadam”</w:t>
            </w:r>
            <w:r w:rsidRPr="00642B0A">
              <w:rPr>
                <w:rStyle w:val="FootnoteReference"/>
              </w:rPr>
              <w:footnoteReference w:id="5"/>
            </w:r>
            <w:r w:rsidRPr="00642B0A">
              <w:t xml:space="preserve"> ir noteikti šādi mērķi: 1) SEG emisiju samazināšanas mērķis, 2) atjaunojamo energoresursu izmantošanas mērķis; 3) energoefektivitātes </w:t>
            </w:r>
            <w:r w:rsidRPr="00642B0A">
              <w:lastRenderedPageBreak/>
              <w:t>uzlabošanas mērķis; 4) starpsavienojumu mērķis.</w:t>
            </w:r>
          </w:p>
          <w:p w14:paraId="57D5384C" w14:textId="45735DCE" w:rsidR="009A4EB6" w:rsidRPr="00C078FD" w:rsidRDefault="009A4EB6" w:rsidP="009A4EB6">
            <w:pPr>
              <w:spacing w:before="120" w:after="120"/>
              <w:jc w:val="both"/>
              <w:rPr>
                <w:b/>
                <w:bCs/>
              </w:rPr>
            </w:pPr>
            <w:r w:rsidRPr="00642B0A">
              <w:t>Līdz ar to norādām, ka Informatīvā ziņojuma 3.</w:t>
            </w:r>
            <w:r>
              <w:t> </w:t>
            </w:r>
            <w:r w:rsidRPr="00642B0A">
              <w:t>nodaļas pēdējā rindkopa ir svītrojama.</w:t>
            </w:r>
          </w:p>
        </w:tc>
        <w:tc>
          <w:tcPr>
            <w:tcW w:w="5103" w:type="dxa"/>
            <w:tcBorders>
              <w:top w:val="single" w:sz="6" w:space="0" w:color="000000"/>
              <w:left w:val="single" w:sz="6" w:space="0" w:color="000000"/>
              <w:bottom w:val="single" w:sz="6" w:space="0" w:color="000000"/>
              <w:right w:val="single" w:sz="6" w:space="0" w:color="000000"/>
            </w:tcBorders>
          </w:tcPr>
          <w:p w14:paraId="197B3D7F" w14:textId="77777777" w:rsidR="004650F6" w:rsidRPr="00F05C33" w:rsidRDefault="004650F6" w:rsidP="004650F6">
            <w:pPr>
              <w:spacing w:after="120"/>
              <w:jc w:val="center"/>
              <w:rPr>
                <w:b/>
              </w:rPr>
            </w:pPr>
            <w:r w:rsidRPr="00F05C33">
              <w:rPr>
                <w:b/>
              </w:rPr>
              <w:lastRenderedPageBreak/>
              <w:t>Vienošanās panākta saskaņošanas laikā</w:t>
            </w:r>
          </w:p>
          <w:p w14:paraId="6DADA50E" w14:textId="77777777" w:rsidR="009A4EB6" w:rsidRDefault="009A4EB6" w:rsidP="009A4EB6">
            <w:pPr>
              <w:spacing w:before="120" w:after="120"/>
              <w:jc w:val="both"/>
            </w:pPr>
            <w:r w:rsidRPr="00B73772">
              <w:t xml:space="preserve">Informatīvā ziņojuma teikums: “MF ietvars </w:t>
            </w:r>
            <w:r w:rsidRPr="00B73772">
              <w:rPr>
                <w:u w:val="single"/>
              </w:rPr>
              <w:t>saistāms ar klimata</w:t>
            </w:r>
            <w:r w:rsidRPr="00B73772">
              <w:t xml:space="preserve"> mērķu sasniegšanu enerģētikas, transporta, lauksaimniecības un atkritumu apsaimniekošanas sektoros” nav pretrunā ar Direktīvas 10.d. panta nosacījumiem.</w:t>
            </w:r>
          </w:p>
          <w:p w14:paraId="29DD996C" w14:textId="39A20678" w:rsidR="003E5969" w:rsidRDefault="009A4EB6" w:rsidP="009A4EB6">
            <w:pPr>
              <w:jc w:val="both"/>
              <w:rPr>
                <w:b/>
                <w:lang w:eastAsia="x-none"/>
              </w:rPr>
            </w:pPr>
            <w:r w:rsidRPr="00B73772">
              <w:t>Gan Direktīva 2003/87, gan klimata un enerģētikas satvars, gan Parīzes nolīgums ir tieši saistīt</w:t>
            </w:r>
            <w:r>
              <w:t xml:space="preserve">i ar klimata politiku. Turklāt </w:t>
            </w:r>
            <w:r w:rsidRPr="00B73772">
              <w:t>Direktīva</w:t>
            </w:r>
            <w:r>
              <w:t>s</w:t>
            </w:r>
            <w:r w:rsidRPr="00B73772">
              <w:t xml:space="preserve"> 2003/87 pirmais pants “priekšmets” skaidri norāda uz SEG emisijām un to samazināšanu. Gan energoefektivitātes, gan atjaunojamo energoresursu izmantošanas veicināšana ir pasākumi, kas vērsti uz tiešu SEG emisiju sam</w:t>
            </w:r>
            <w:r>
              <w:t>azināšanu. Jāpiebilst, ka 2018. </w:t>
            </w:r>
            <w:r w:rsidRPr="00B73772">
              <w:t>gada 28.</w:t>
            </w:r>
            <w:r>
              <w:t> </w:t>
            </w:r>
            <w:r w:rsidRPr="00B73772">
              <w:t>novembrī Eiropas Komisijas publicētajā paziņojumu “Tīru planētu visiem! Stratēģisks Eiropas ilgtermiņa redzējums par pārticīgu, modernu, konkurētspējīgu un klimatneitrālu ekonomiku", kas ir redzējums klimatneitrālas Eiropas sasniegšanai līdz 2050.</w:t>
            </w:r>
            <w:r>
              <w:t> </w:t>
            </w:r>
            <w:r w:rsidRPr="00B73772">
              <w:t>gadam un kurā paredzēti 8 scenāriji un visi scenāriji pamatā ietver SEG emisiju samazināšanu balstoties uz ilgtermiņā izdevīgākajām rīcībpolitikām atjaunojamās enerģijas un energoefektivitātes jomā.</w:t>
            </w:r>
          </w:p>
        </w:tc>
        <w:tc>
          <w:tcPr>
            <w:tcW w:w="2385" w:type="dxa"/>
            <w:tcBorders>
              <w:top w:val="single" w:sz="4" w:space="0" w:color="auto"/>
              <w:left w:val="single" w:sz="4" w:space="0" w:color="auto"/>
              <w:bottom w:val="single" w:sz="4" w:space="0" w:color="auto"/>
            </w:tcBorders>
          </w:tcPr>
          <w:p w14:paraId="43176777" w14:textId="1B034A5A" w:rsidR="00586C29" w:rsidRPr="00586C29" w:rsidRDefault="009A4EB6" w:rsidP="00DD11E2">
            <w:pPr>
              <w:ind w:right="-1"/>
              <w:jc w:val="both"/>
              <w:rPr>
                <w:shd w:val="clear" w:color="auto" w:fill="FFFFFF"/>
              </w:rPr>
            </w:pPr>
            <w:r w:rsidRPr="00586C29">
              <w:rPr>
                <w:b/>
              </w:rPr>
              <w:t>Informatīv</w:t>
            </w:r>
            <w:r w:rsidR="004650F6" w:rsidRPr="00586C29">
              <w:rPr>
                <w:b/>
              </w:rPr>
              <w:t>ā</w:t>
            </w:r>
            <w:r w:rsidR="00DD11E2">
              <w:rPr>
                <w:b/>
              </w:rPr>
              <w:t xml:space="preserve"> ziņojuma 3.</w:t>
            </w:r>
            <w:r w:rsidRPr="00586C29">
              <w:rPr>
                <w:b/>
              </w:rPr>
              <w:t xml:space="preserve">sadaļa papildināta ar </w:t>
            </w:r>
            <w:r w:rsidR="00DD11E2">
              <w:rPr>
                <w:b/>
              </w:rPr>
              <w:t>šādu</w:t>
            </w:r>
            <w:r w:rsidRPr="00586C29">
              <w:rPr>
                <w:b/>
              </w:rPr>
              <w:t xml:space="preserve"> redakcij</w:t>
            </w:r>
            <w:r w:rsidR="00586C29">
              <w:rPr>
                <w:b/>
              </w:rPr>
              <w:t>u</w:t>
            </w:r>
            <w:r w:rsidRPr="00586C29">
              <w:rPr>
                <w:b/>
              </w:rPr>
              <w:t>: “</w:t>
            </w:r>
            <w:r w:rsidR="00586C29" w:rsidRPr="00586C29">
              <w:rPr>
                <w:shd w:val="clear" w:color="auto" w:fill="FFFFFF"/>
              </w:rPr>
              <w:t xml:space="preserve">Ņemot vērā iepriekš minēto un faktu, ka Modernizācijas fonda ietvars saistāms ar klimata mērķu sasniegšanu enerģētikas, transporta, lauksaimniecības un atkritumu apsaimniekošanas sektoros, </w:t>
            </w:r>
            <w:r w:rsidR="00586C29" w:rsidRPr="00586C29">
              <w:rPr>
                <w:u w:val="single"/>
                <w:shd w:val="clear" w:color="auto" w:fill="FFFFFF"/>
              </w:rPr>
              <w:t>par Modernizācijas fonda atbildīgo iestādi Latvijā ir jānosaka VARAM.</w:t>
            </w:r>
            <w:r w:rsidR="00586C29" w:rsidRPr="00586C29">
              <w:rPr>
                <w:shd w:val="clear" w:color="auto" w:fill="FFFFFF"/>
              </w:rPr>
              <w:t xml:space="preserve"> Ņemot vērā, ka Modernizācijas fonda ietvaros atbalstāmās aktivitātes galvenokārt (bet ne tikai) ir saistāmas ar enerģētikas nozari, kas ir Ekonomikas </w:t>
            </w:r>
            <w:r w:rsidR="00586C29" w:rsidRPr="00586C29">
              <w:rPr>
                <w:shd w:val="clear" w:color="auto" w:fill="FFFFFF"/>
              </w:rPr>
              <w:lastRenderedPageBreak/>
              <w:t>ministrijas (turpmāk – EM) kompetences jautājums, Modernizācijas fonda ieviešana un darbības nodrošināšana nacionālā līmenī VARAM jāveic sadarbībā ar EM.</w:t>
            </w:r>
          </w:p>
          <w:p w14:paraId="35538799" w14:textId="0B5AEDFC" w:rsidR="003E5969" w:rsidRPr="00586C29" w:rsidRDefault="00586C29" w:rsidP="00B40FFE">
            <w:pPr>
              <w:jc w:val="both"/>
              <w:rPr>
                <w:b/>
              </w:rPr>
            </w:pPr>
            <w:r w:rsidRPr="00586C29">
              <w:t>Lai nodrošinātu centralizētu investīciju priekšlikumu iesniegšanu un arī vienkāršāku finansējuma iegūšanu no EIB, kā arī, lai nodrošinātu līdzekļu segregāciju no esošajiem finanšu instrumentiem, piemēram, EKII</w:t>
            </w:r>
            <w:r w:rsidRPr="00586C29">
              <w:rPr>
                <w:rStyle w:val="FootnoteReference"/>
              </w:rPr>
              <w:footnoteReference w:id="6"/>
            </w:r>
            <w:r w:rsidRPr="00586C29">
              <w:t xml:space="preserve">, ir nepieciešams izstrādāt jaunu nacionālo investīciju programmu. Akciju sabiedrībai "Attīstības finanšu institūcija Altum" (turpmāk – ALTUM) ir pieredze dažādu </w:t>
            </w:r>
            <w:r w:rsidRPr="00586C29">
              <w:lastRenderedPageBreak/>
              <w:t xml:space="preserve">finanšu instrumentu izmantošanā, t.sk. energoefektivitātes veicināšanā un atbalsta lauksaimnieku attīstībai sniegšanā. Līdz ar to Latvijai paredzēto Modernizācijas fonda līdzekļu apsaimniekošanu, </w:t>
            </w:r>
            <w:r w:rsidRPr="00C028B1">
              <w:t xml:space="preserve">pamatojoties uz VARAM </w:t>
            </w:r>
            <w:r w:rsidR="00C028B1" w:rsidRPr="00C028B1">
              <w:t>un</w:t>
            </w:r>
            <w:r w:rsidRPr="00C028B1">
              <w:t xml:space="preserve"> EM izstrādātiem </w:t>
            </w:r>
            <w:r w:rsidR="00C028B1" w:rsidRPr="00C028B1">
              <w:t>Modernizācijas fonda daudzgadu programmas darbības noteikumiem</w:t>
            </w:r>
            <w:r w:rsidRPr="00C028B1">
              <w:t xml:space="preserve">, </w:t>
            </w:r>
            <w:r w:rsidR="00B40FFE">
              <w:t>plānots</w:t>
            </w:r>
            <w:r w:rsidRPr="00C028B1">
              <w:t xml:space="preserve"> </w:t>
            </w:r>
            <w:r w:rsidR="00D732CD" w:rsidRPr="00D732CD">
              <w:t xml:space="preserve">iegūstot līdzdalību </w:t>
            </w:r>
            <w:r w:rsidRPr="00C028B1">
              <w:t>ALTUM.</w:t>
            </w:r>
            <w:r w:rsidRPr="00C028B1">
              <w:rPr>
                <w:shd w:val="clear" w:color="auto" w:fill="FFFFFF"/>
              </w:rPr>
              <w:t>”</w:t>
            </w:r>
          </w:p>
        </w:tc>
      </w:tr>
      <w:tr w:rsidR="003E5969" w:rsidRPr="00606385" w14:paraId="3454D00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7D9DA170" w14:textId="27C96194" w:rsidR="003E5969" w:rsidRDefault="00586C29" w:rsidP="009A4EB6">
            <w:r>
              <w:lastRenderedPageBreak/>
              <w:t>4.</w:t>
            </w:r>
          </w:p>
        </w:tc>
        <w:tc>
          <w:tcPr>
            <w:tcW w:w="2152" w:type="dxa"/>
            <w:tcBorders>
              <w:top w:val="single" w:sz="6" w:space="0" w:color="000000"/>
              <w:left w:val="single" w:sz="6" w:space="0" w:color="000000"/>
              <w:bottom w:val="single" w:sz="6" w:space="0" w:color="000000"/>
              <w:right w:val="single" w:sz="6" w:space="0" w:color="000000"/>
            </w:tcBorders>
          </w:tcPr>
          <w:p w14:paraId="23474777" w14:textId="472CBC80" w:rsidR="003E5969" w:rsidRDefault="009A4EB6" w:rsidP="001D6E1B">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4CA59F6E" w14:textId="77777777" w:rsidR="009A4EB6" w:rsidRDefault="009A4EB6" w:rsidP="009A4EB6">
            <w:pPr>
              <w:pStyle w:val="ListParagraph"/>
              <w:widowControl w:val="0"/>
              <w:spacing w:after="0" w:line="240" w:lineRule="auto"/>
              <w:ind w:left="0"/>
              <w:jc w:val="center"/>
              <w:rPr>
                <w:rFonts w:ascii="Times New Roman" w:hAnsi="Times New Roman"/>
                <w:b/>
                <w:bCs/>
                <w:sz w:val="24"/>
                <w:szCs w:val="24"/>
                <w:lang w:val="lv-LV"/>
              </w:rPr>
            </w:pPr>
            <w:r w:rsidRPr="00494DFF">
              <w:rPr>
                <w:rFonts w:ascii="Times New Roman" w:hAnsi="Times New Roman"/>
                <w:b/>
                <w:bCs/>
                <w:sz w:val="24"/>
                <w:szCs w:val="24"/>
                <w:lang w:val="lv-LV"/>
              </w:rPr>
              <w:t>Ekonomikas ministrijas 02.09.2019 atzinums.</w:t>
            </w:r>
          </w:p>
          <w:p w14:paraId="08E21D4D" w14:textId="77777777" w:rsidR="009A4EB6" w:rsidRPr="00642B0A" w:rsidRDefault="009A4EB6" w:rsidP="009A4EB6">
            <w:pPr>
              <w:spacing w:before="120" w:after="120"/>
              <w:jc w:val="both"/>
            </w:pPr>
            <w:r w:rsidRPr="00642B0A">
              <w:rPr>
                <w:b/>
                <w:bCs/>
              </w:rPr>
              <w:t>Neatbalstām Informatīvā ziņojuma 2.nodaļā iekļauto nosacījumu,</w:t>
            </w:r>
            <w:r w:rsidRPr="00642B0A">
              <w:t xml:space="preserve"> ka MF līdzekļi ir jākoncentrē uz siltumnīcefekta gāzu (turpmāk – SEG) emisiju apjoma, kas ir radīts Eiropas Savienības (turpmāk – ES) Emisijas kvotu tirdzniecības sistēmā (turpmāk – ES ETS) neiekļautajās darbībās (turpmāk – ne-ETS darbības), samazināšanu.</w:t>
            </w:r>
          </w:p>
          <w:p w14:paraId="658ABA62" w14:textId="77777777" w:rsidR="009A4EB6" w:rsidRPr="00642B0A" w:rsidRDefault="009A4EB6" w:rsidP="009A4EB6">
            <w:pPr>
              <w:spacing w:before="120" w:after="120"/>
              <w:jc w:val="both"/>
            </w:pPr>
            <w:r w:rsidRPr="00642B0A">
              <w:t>Atkārtoti norādām, ka,</w:t>
            </w:r>
            <w:r>
              <w:t xml:space="preserve"> neskatoti</w:t>
            </w:r>
            <w:r w:rsidRPr="00642B0A">
              <w:t xml:space="preserve">es uz VARAM pausto viedokli un uzskatu, </w:t>
            </w:r>
            <w:r w:rsidRPr="00642B0A">
              <w:rPr>
                <w:u w:val="single"/>
              </w:rPr>
              <w:t>Latvijai kopumā kā ES dalībvalstij ir saistoši ne tikai SEG emisiju samazināšanas mērķi, bet arī tie mērķi, kas ir noteikti enerģētikas, tai skaitā, transporta darbībām</w:t>
            </w:r>
            <w:r w:rsidRPr="00642B0A">
              <w:t xml:space="preserve"> – juridiski saistošie atjaunojamo energoresursu izmantošanas mērķi (enerģijas galapatēriņā un transportā), moderno biodegvielu izmantošanas mērķis, energoefektivitātes uzlabošanas mērķi (energoresursu patēriņa un energoietaupījumu mērķi), starpsavienojumu mērķis, enerģētiskās </w:t>
            </w:r>
            <w:r w:rsidRPr="00642B0A">
              <w:lastRenderedPageBreak/>
              <w:t>drošības uzlabošanas un enerģētiskās nabadzības samazināšanas mērķis.</w:t>
            </w:r>
          </w:p>
          <w:p w14:paraId="161D3046" w14:textId="77777777" w:rsidR="009A4EB6" w:rsidRPr="00642B0A" w:rsidRDefault="009A4EB6" w:rsidP="009A4EB6">
            <w:pPr>
              <w:spacing w:before="120" w:after="120"/>
              <w:jc w:val="both"/>
            </w:pPr>
            <w:r w:rsidRPr="00642B0A">
              <w:t>Ņemot vērā iepriekšminēto un arī Direktīvas Nr.2003/87/EK 10.d panta 1.punktā noteikto, norādām, ka MF līdzekļi ir jākoncentrē nevis uz SEG emisiju samazināšanu ne-ETS darbībās, bet uz enerģētikas nozares modernizēšanu (kas savukārt rezultēsies SEG emisiju samazināšanā enerģētikā).</w:t>
            </w:r>
          </w:p>
          <w:p w14:paraId="78D1ABC4" w14:textId="77777777" w:rsidR="009A4EB6" w:rsidRPr="00642B0A" w:rsidRDefault="009A4EB6" w:rsidP="009A4EB6">
            <w:pPr>
              <w:spacing w:before="120" w:after="120"/>
              <w:jc w:val="both"/>
            </w:pPr>
            <w:r w:rsidRPr="00642B0A">
              <w:t>Papildus norādām, ka Latvijai ir noteikti ne tikai juridiski saistoši ne-ETS darbību SEG emisiju samazināšanas mērķi, bet Latvijas Ilgtspējīga attīstības stratēģijā līdz 2030.gadam</w:t>
            </w:r>
            <w:r w:rsidRPr="00642B0A">
              <w:rPr>
                <w:rStyle w:val="FootnoteReference"/>
              </w:rPr>
              <w:footnoteReference w:id="7"/>
            </w:r>
            <w:r w:rsidRPr="00642B0A">
              <w:t xml:space="preserve"> ir noteikts arī Latvijas kopējā SEG emisiju apjoma samazināšanas mērķis.</w:t>
            </w:r>
          </w:p>
          <w:p w14:paraId="008D6ACA" w14:textId="1EB78334" w:rsidR="003E5969" w:rsidRPr="00C078FD" w:rsidRDefault="009A4EB6" w:rsidP="009A4EB6">
            <w:pPr>
              <w:pStyle w:val="ListParagraph"/>
              <w:widowControl w:val="0"/>
              <w:spacing w:after="0" w:line="240" w:lineRule="auto"/>
              <w:ind w:left="0"/>
              <w:jc w:val="both"/>
              <w:rPr>
                <w:rFonts w:ascii="Times New Roman" w:hAnsi="Times New Roman"/>
                <w:b/>
                <w:bCs/>
                <w:sz w:val="24"/>
                <w:szCs w:val="24"/>
                <w:lang w:val="lv-LV"/>
              </w:rPr>
            </w:pPr>
            <w:r w:rsidRPr="00642B0A">
              <w:rPr>
                <w:rFonts w:ascii="Times New Roman" w:hAnsi="Times New Roman"/>
                <w:sz w:val="24"/>
                <w:szCs w:val="24"/>
                <w:lang w:val="lv-LV"/>
              </w:rPr>
              <w:t>Līdz ar to norādām, ka Informatīvā ziņojuma 2.nodaļas pēdējā rindkopa ir svītrojama.</w:t>
            </w:r>
          </w:p>
        </w:tc>
        <w:tc>
          <w:tcPr>
            <w:tcW w:w="5103" w:type="dxa"/>
            <w:tcBorders>
              <w:top w:val="single" w:sz="6" w:space="0" w:color="000000"/>
              <w:left w:val="single" w:sz="6" w:space="0" w:color="000000"/>
              <w:bottom w:val="single" w:sz="6" w:space="0" w:color="000000"/>
              <w:right w:val="single" w:sz="6" w:space="0" w:color="000000"/>
            </w:tcBorders>
          </w:tcPr>
          <w:p w14:paraId="5FD218F8" w14:textId="77777777" w:rsidR="00586C29" w:rsidRPr="00F05C33" w:rsidRDefault="00586C29" w:rsidP="00586C29">
            <w:pPr>
              <w:spacing w:after="120"/>
              <w:jc w:val="center"/>
              <w:rPr>
                <w:b/>
              </w:rPr>
            </w:pPr>
            <w:r w:rsidRPr="00F05C33">
              <w:rPr>
                <w:b/>
              </w:rPr>
              <w:lastRenderedPageBreak/>
              <w:t>Vienošanās panākta saskaņošanas laikā</w:t>
            </w:r>
          </w:p>
          <w:p w14:paraId="510D9365" w14:textId="77777777" w:rsidR="009A4EB6" w:rsidRPr="00B73772" w:rsidRDefault="009A4EB6" w:rsidP="009A4EB6">
            <w:pPr>
              <w:spacing w:before="120" w:after="120"/>
              <w:jc w:val="both"/>
            </w:pPr>
            <w:r w:rsidRPr="00B73772">
              <w:t xml:space="preserve">Modernizācijas fonds ir Direktīvas 2003/87 sastāvdaļa, un Direktīva 2003/87 ir vērsta uz SEG </w:t>
            </w:r>
            <w:r>
              <w:t xml:space="preserve">emisiju </w:t>
            </w:r>
            <w:r w:rsidRPr="00B73772">
              <w:t xml:space="preserve">samazināšanu. Arī 2018. gada 14. marta </w:t>
            </w:r>
            <w:r w:rsidRPr="00B73772">
              <w:rPr>
                <w:i/>
              </w:rPr>
              <w:t>Eiropas Parlamenta un Padomes Direktīvas (ES) 2018/410, ar ko groza Direktīvu 2003/87/EK, lai sekmētu emisiju izmaksefektīvu samazināšanu un investīcijas mazoglekļa risinājumos, un Lēmumu (ES) 2015/1814</w:t>
            </w:r>
            <w:r w:rsidRPr="00B73772">
              <w:t xml:space="preserve"> nosaukumā ir skaidri norādīts Direktīvas uzdevums</w:t>
            </w:r>
            <w:r>
              <w:t> – </w:t>
            </w:r>
            <w:r w:rsidRPr="00B73772">
              <w:t>sekmēt izmaksefektīvu SEG samazināšanu.</w:t>
            </w:r>
          </w:p>
          <w:p w14:paraId="10DC640F" w14:textId="77777777" w:rsidR="009A4EB6" w:rsidRPr="00B73772" w:rsidRDefault="009A4EB6" w:rsidP="009A4EB6">
            <w:pPr>
              <w:spacing w:before="120" w:after="120"/>
              <w:jc w:val="both"/>
            </w:pPr>
            <w:r w:rsidRPr="00B73772">
              <w:t>Ja ES ETS sektora mērķa atbildība ir ES ETS operatoru atbil</w:t>
            </w:r>
            <w:r>
              <w:t>dība, tad n</w:t>
            </w:r>
            <w:r w:rsidRPr="00B73772">
              <w:t>e-ETS SEG emisiju samazināšanas mērķa izpildes saistības ir pārdalītas katrai ES dalībvalstij, t.sk. Latvijai un kā norādīts Informatīvā ziņojuma attēlā Nr.</w:t>
            </w:r>
            <w:r>
              <w:t> </w:t>
            </w:r>
            <w:r w:rsidRPr="00B73772">
              <w:t>2 lielākās SEG emisijas ir tieši no ne-ETS sektora.</w:t>
            </w:r>
          </w:p>
          <w:p w14:paraId="4C467098" w14:textId="71F7492C" w:rsidR="003E5969" w:rsidRDefault="009A4EB6" w:rsidP="009A4EB6">
            <w:pPr>
              <w:jc w:val="both"/>
              <w:rPr>
                <w:b/>
                <w:lang w:eastAsia="x-none"/>
              </w:rPr>
            </w:pPr>
            <w:r w:rsidRPr="00B73772">
              <w:t xml:space="preserve">Ir saprotams, ka Latvijai ir saistoši ne tikai SEG emisiju mērķi, </w:t>
            </w:r>
            <w:r>
              <w:t>taču</w:t>
            </w:r>
            <w:r w:rsidRPr="00B73772">
              <w:t xml:space="preserve"> norādām, ka izmantojot Modernizācijas fonda līdzekļus atbilstoši D</w:t>
            </w:r>
            <w:r>
              <w:t>irektīvas 2003/87 10.d 2. un 6. </w:t>
            </w:r>
            <w:r w:rsidRPr="00B73772">
              <w:t>punkt</w:t>
            </w:r>
            <w:r>
              <w:t>am ir iespējams veikt SEG samazinājumus vairākās nozarēs ne tikai enerģētikā.</w:t>
            </w:r>
          </w:p>
        </w:tc>
        <w:tc>
          <w:tcPr>
            <w:tcW w:w="2385" w:type="dxa"/>
            <w:tcBorders>
              <w:top w:val="single" w:sz="4" w:space="0" w:color="auto"/>
              <w:left w:val="single" w:sz="4" w:space="0" w:color="auto"/>
              <w:bottom w:val="single" w:sz="4" w:space="0" w:color="auto"/>
            </w:tcBorders>
          </w:tcPr>
          <w:p w14:paraId="455A4D50" w14:textId="155BF1DE" w:rsidR="003E5969" w:rsidRDefault="009A4EB6" w:rsidP="00586C29">
            <w:pPr>
              <w:jc w:val="both"/>
              <w:rPr>
                <w:b/>
              </w:rPr>
            </w:pPr>
            <w:r w:rsidRPr="006C095D">
              <w:rPr>
                <w:b/>
              </w:rPr>
              <w:t>Informatīvais ziņojum</w:t>
            </w:r>
            <w:r w:rsidR="00586C29">
              <w:rPr>
                <w:b/>
              </w:rPr>
              <w:t>a</w:t>
            </w:r>
            <w:r>
              <w:rPr>
                <w:b/>
              </w:rPr>
              <w:t xml:space="preserve"> </w:t>
            </w:r>
            <w:r w:rsidRPr="006C095D">
              <w:rPr>
                <w:b/>
              </w:rPr>
              <w:t>3. sadaļa papildin</w:t>
            </w:r>
            <w:r w:rsidRPr="00EC3A2E">
              <w:rPr>
                <w:b/>
              </w:rPr>
              <w:t>āta ar sekojoš</w:t>
            </w:r>
            <w:r w:rsidR="00586C29">
              <w:rPr>
                <w:b/>
              </w:rPr>
              <w:t>u</w:t>
            </w:r>
            <w:r w:rsidRPr="00EC3A2E">
              <w:rPr>
                <w:b/>
              </w:rPr>
              <w:t xml:space="preserve"> redakcij</w:t>
            </w:r>
            <w:r w:rsidR="00586C29">
              <w:rPr>
                <w:b/>
              </w:rPr>
              <w:t>u</w:t>
            </w:r>
            <w:r w:rsidRPr="00EC3A2E">
              <w:rPr>
                <w:b/>
              </w:rPr>
              <w:t>: “</w:t>
            </w:r>
            <w:r w:rsidRPr="00EC3A2E">
              <w:rPr>
                <w:shd w:val="clear" w:color="auto" w:fill="FFFFFF"/>
              </w:rPr>
              <w:t>Ņemot vērā, ka Modernizācijas fonda ietvaros atbalstāmās aktivitātes galvenokārt (bet ne tikai) ir saistāmas ar enerģētikas nozari, kas ir Ekonomikas ministrijas (turpmāk – EM) kompetences jautājums, Modernizācijas fonda ieviešana un darbības nodrošināšana nacionālā līmenī VARAM jāveic sadarbībā ar EM.</w:t>
            </w:r>
            <w:r w:rsidRPr="006C095D">
              <w:rPr>
                <w:b/>
              </w:rPr>
              <w:t>”</w:t>
            </w:r>
          </w:p>
        </w:tc>
      </w:tr>
      <w:tr w:rsidR="00D45E44" w:rsidRPr="00606385" w14:paraId="5FE06487" w14:textId="77777777" w:rsidTr="008B684E">
        <w:tc>
          <w:tcPr>
            <w:tcW w:w="534" w:type="dxa"/>
            <w:tcBorders>
              <w:top w:val="single" w:sz="6" w:space="0" w:color="000000"/>
              <w:left w:val="single" w:sz="6" w:space="0" w:color="000000"/>
              <w:bottom w:val="single" w:sz="6" w:space="0" w:color="000000"/>
              <w:right w:val="single" w:sz="6" w:space="0" w:color="000000"/>
            </w:tcBorders>
          </w:tcPr>
          <w:p w14:paraId="2C099B46" w14:textId="79ACA9C9" w:rsidR="00A86A18" w:rsidRDefault="00A86A18" w:rsidP="00672E77">
            <w:pPr>
              <w:pStyle w:val="naisc"/>
              <w:spacing w:before="0" w:after="0"/>
              <w:ind w:left="426"/>
              <w:jc w:val="left"/>
            </w:pPr>
            <w:r>
              <w:t>1.</w:t>
            </w:r>
          </w:p>
          <w:p w14:paraId="54FCEC24" w14:textId="5EBA459B" w:rsidR="00D45E44" w:rsidRPr="00A86A18" w:rsidRDefault="00586C29" w:rsidP="00672E77">
            <w:r>
              <w:t>5</w:t>
            </w:r>
            <w:r w:rsidR="00A86A18">
              <w:t>.</w:t>
            </w:r>
          </w:p>
        </w:tc>
        <w:tc>
          <w:tcPr>
            <w:tcW w:w="2152" w:type="dxa"/>
            <w:tcBorders>
              <w:top w:val="single" w:sz="6" w:space="0" w:color="000000"/>
              <w:left w:val="single" w:sz="6" w:space="0" w:color="000000"/>
              <w:bottom w:val="single" w:sz="6" w:space="0" w:color="000000"/>
              <w:right w:val="single" w:sz="6" w:space="0" w:color="000000"/>
            </w:tcBorders>
          </w:tcPr>
          <w:p w14:paraId="0796A825" w14:textId="6508B75C" w:rsidR="00D45E44" w:rsidRPr="007B4B1D" w:rsidRDefault="00AF502B" w:rsidP="001D6E1B">
            <w:pPr>
              <w:jc w:val="both"/>
              <w:rPr>
                <w:b/>
              </w:rPr>
            </w:pPr>
            <w:r>
              <w:rPr>
                <w:b/>
              </w:rPr>
              <w:t xml:space="preserve">Informatīvais </w:t>
            </w:r>
            <w:r w:rsidR="007B4B1D">
              <w:rPr>
                <w:b/>
              </w:rPr>
              <w:t>ziņojums</w:t>
            </w:r>
          </w:p>
        </w:tc>
        <w:tc>
          <w:tcPr>
            <w:tcW w:w="4394" w:type="dxa"/>
            <w:tcBorders>
              <w:top w:val="single" w:sz="6" w:space="0" w:color="000000"/>
              <w:left w:val="single" w:sz="6" w:space="0" w:color="000000"/>
              <w:bottom w:val="single" w:sz="6" w:space="0" w:color="000000"/>
              <w:right w:val="single" w:sz="6" w:space="0" w:color="000000"/>
            </w:tcBorders>
          </w:tcPr>
          <w:p w14:paraId="7A70F04F" w14:textId="1713A002" w:rsidR="00A96F98" w:rsidRDefault="00A96F98" w:rsidP="006D1A73">
            <w:pPr>
              <w:pStyle w:val="ListParagraph"/>
              <w:widowControl w:val="0"/>
              <w:spacing w:after="0" w:line="240" w:lineRule="auto"/>
              <w:ind w:left="0"/>
              <w:jc w:val="center"/>
              <w:rPr>
                <w:rFonts w:ascii="Times New Roman" w:hAnsi="Times New Roman"/>
                <w:b/>
                <w:sz w:val="24"/>
                <w:szCs w:val="24"/>
                <w:lang w:val="lv-LV"/>
              </w:rPr>
            </w:pPr>
            <w:r w:rsidRPr="00C078FD">
              <w:rPr>
                <w:rFonts w:ascii="Times New Roman" w:hAnsi="Times New Roman"/>
                <w:b/>
                <w:bCs/>
                <w:sz w:val="24"/>
                <w:szCs w:val="24"/>
                <w:lang w:val="lv-LV"/>
              </w:rPr>
              <w:t>Parresoru koordinācijas Centra</w:t>
            </w:r>
            <w:r w:rsidR="00443417">
              <w:rPr>
                <w:rFonts w:ascii="Times New Roman" w:hAnsi="Times New Roman"/>
                <w:b/>
                <w:bCs/>
                <w:sz w:val="24"/>
                <w:szCs w:val="24"/>
                <w:lang w:val="lv-LV"/>
              </w:rPr>
              <w:t xml:space="preserve"> </w:t>
            </w:r>
            <w:r w:rsidRPr="00C078FD">
              <w:rPr>
                <w:rFonts w:ascii="Times New Roman" w:hAnsi="Times New Roman"/>
                <w:b/>
                <w:bCs/>
                <w:sz w:val="24"/>
                <w:szCs w:val="24"/>
                <w:lang w:val="lv-LV"/>
              </w:rPr>
              <w:t>29.08.2019 atzinums</w:t>
            </w:r>
          </w:p>
          <w:p w14:paraId="31C616FF" w14:textId="77777777" w:rsidR="0047540F" w:rsidRDefault="0047540F" w:rsidP="004754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Ņemot vērā, ka projektā, izvērtējot Modernizācijas fonda palielināšanas iespējas (8.lpp), nepārprotami tiek norādīta vajadzība nesamazināt Emisijas kvotu izsolīšanas instrumenta (turpmāk - EKII) finansējumu, kas var veidoties, ja tiks paredzēts Modernizācijas fonda finansējuma pieaugums, izmantojot (a) solidaritātes emisiju kvotu apjomu vai (b) </w:t>
            </w:r>
            <w:r>
              <w:rPr>
                <w:rFonts w:ascii="Times New Roman" w:hAnsi="Times New Roman"/>
                <w:sz w:val="24"/>
                <w:szCs w:val="24"/>
              </w:rPr>
              <w:lastRenderedPageBreak/>
              <w:t xml:space="preserve">vienlaicīgi kombinējot solidaritātes emisijas kvotu un derogācijai pieejamo emisiju kvotu apjomu, </w:t>
            </w:r>
            <w:r w:rsidRPr="004F39A5">
              <w:rPr>
                <w:rFonts w:ascii="Times New Roman" w:hAnsi="Times New Roman"/>
                <w:b/>
                <w:sz w:val="24"/>
                <w:szCs w:val="24"/>
              </w:rPr>
              <w:t>lūdzam projektā sniegt plašāku skaidrojumu par EKII instrumenta prioritizēšanu</w:t>
            </w:r>
            <w:r>
              <w:rPr>
                <w:rFonts w:ascii="Times New Roman" w:hAnsi="Times New Roman"/>
                <w:b/>
                <w:sz w:val="24"/>
                <w:szCs w:val="24"/>
              </w:rPr>
              <w:t xml:space="preserve"> </w:t>
            </w:r>
            <w:r w:rsidRPr="0093535C">
              <w:rPr>
                <w:rFonts w:ascii="Times New Roman" w:hAnsi="Times New Roman"/>
                <w:i/>
                <w:sz w:val="24"/>
                <w:szCs w:val="24"/>
              </w:rPr>
              <w:t xml:space="preserve">versus </w:t>
            </w:r>
            <w:r w:rsidRPr="0093535C">
              <w:rPr>
                <w:rFonts w:ascii="Times New Roman" w:hAnsi="Times New Roman"/>
                <w:sz w:val="24"/>
                <w:szCs w:val="24"/>
              </w:rPr>
              <w:t>Modernizācijas fonda finansējuma pieaugumam</w:t>
            </w:r>
            <w:r>
              <w:rPr>
                <w:rFonts w:ascii="Times New Roman" w:hAnsi="Times New Roman"/>
                <w:sz w:val="24"/>
                <w:szCs w:val="24"/>
              </w:rPr>
              <w:t xml:space="preserve">, saprotot, ka </w:t>
            </w:r>
            <w:r w:rsidRPr="00AE796D">
              <w:rPr>
                <w:rFonts w:ascii="Times New Roman" w:hAnsi="Times New Roman"/>
                <w:b/>
                <w:sz w:val="24"/>
                <w:szCs w:val="24"/>
              </w:rPr>
              <w:t>Modernizācijas fonda investīcijas tiks mērķētas</w:t>
            </w:r>
            <w:r>
              <w:rPr>
                <w:rFonts w:ascii="Times New Roman" w:hAnsi="Times New Roman"/>
                <w:b/>
                <w:sz w:val="24"/>
                <w:szCs w:val="24"/>
              </w:rPr>
              <w:t xml:space="preserve"> tikai</w:t>
            </w:r>
            <w:r w:rsidRPr="00AE796D">
              <w:rPr>
                <w:rFonts w:ascii="Times New Roman" w:hAnsi="Times New Roman"/>
                <w:b/>
                <w:sz w:val="24"/>
                <w:szCs w:val="24"/>
              </w:rPr>
              <w:t xml:space="preserve"> uz ne ETS darbībām</w:t>
            </w:r>
            <w:r>
              <w:rPr>
                <w:rFonts w:ascii="Times New Roman" w:hAnsi="Times New Roman"/>
                <w:sz w:val="24"/>
                <w:szCs w:val="24"/>
              </w:rPr>
              <w:t>, kas Latvijas gadījumā ir kritisks, emisiju ietilpīgs sektors un nozīmīgs attīstības izaicinājums sekmīgai uzņēmējdarbībai.</w:t>
            </w:r>
          </w:p>
          <w:p w14:paraId="176D11B3" w14:textId="77777777" w:rsidR="0047540F" w:rsidRDefault="0047540F" w:rsidP="0047540F">
            <w:pPr>
              <w:pStyle w:val="ListParagraph"/>
              <w:spacing w:after="0" w:line="240" w:lineRule="auto"/>
              <w:ind w:left="0"/>
              <w:jc w:val="both"/>
              <w:rPr>
                <w:rFonts w:ascii="Times New Roman" w:hAnsi="Times New Roman"/>
                <w:sz w:val="24"/>
                <w:szCs w:val="24"/>
              </w:rPr>
            </w:pPr>
          </w:p>
          <w:p w14:paraId="47573804" w14:textId="00767159" w:rsidR="00CF39C4" w:rsidRPr="00A779C6" w:rsidRDefault="0047540F" w:rsidP="00D21D3E">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rPr>
              <w:t>Ievērojot minēto aicinām atkārtoti apsvērt Modernizācijas fonda finansējuma palielinājuma iespējas, ņemot vērā VARAM pieredzi par emisiju samazināšanas izmaksām ne ETS darbībām un prognozēto ne ETS darbību emisiju pieaugumu.</w:t>
            </w:r>
          </w:p>
        </w:tc>
        <w:tc>
          <w:tcPr>
            <w:tcW w:w="5103" w:type="dxa"/>
            <w:tcBorders>
              <w:top w:val="single" w:sz="6" w:space="0" w:color="000000"/>
              <w:left w:val="single" w:sz="6" w:space="0" w:color="000000"/>
              <w:bottom w:val="single" w:sz="6" w:space="0" w:color="000000"/>
              <w:right w:val="single" w:sz="6" w:space="0" w:color="000000"/>
            </w:tcBorders>
          </w:tcPr>
          <w:p w14:paraId="1FD8B0F3" w14:textId="64E33758" w:rsidR="00AF502B" w:rsidRDefault="0047540F" w:rsidP="008B684E">
            <w:pPr>
              <w:jc w:val="center"/>
              <w:rPr>
                <w:lang w:eastAsia="x-none"/>
              </w:rPr>
            </w:pPr>
            <w:r>
              <w:rPr>
                <w:b/>
                <w:lang w:eastAsia="x-none"/>
              </w:rPr>
              <w:lastRenderedPageBreak/>
              <w:t>Ņ</w:t>
            </w:r>
            <w:r w:rsidR="00AF502B">
              <w:rPr>
                <w:b/>
                <w:lang w:eastAsia="x-none"/>
              </w:rPr>
              <w:t>emts vērā</w:t>
            </w:r>
          </w:p>
          <w:p w14:paraId="434A28AC" w14:textId="6DA013CD" w:rsidR="0047540F" w:rsidRPr="007C0664" w:rsidRDefault="0047540F" w:rsidP="008B684E">
            <w:pPr>
              <w:pStyle w:val="ListParagraph"/>
              <w:spacing w:after="0" w:line="240" w:lineRule="auto"/>
              <w:ind w:left="0"/>
              <w:jc w:val="both"/>
              <w:rPr>
                <w:rFonts w:ascii="Times New Roman" w:eastAsia="Calibri" w:hAnsi="Times New Roman"/>
                <w:sz w:val="24"/>
                <w:szCs w:val="24"/>
                <w:lang w:val="lv-LV"/>
              </w:rPr>
            </w:pPr>
            <w:r w:rsidRPr="002E2C9B">
              <w:rPr>
                <w:rFonts w:ascii="Times New Roman" w:eastAsia="Calibri" w:hAnsi="Times New Roman"/>
                <w:sz w:val="24"/>
                <w:szCs w:val="24"/>
                <w:lang w:val="lv-LV"/>
              </w:rPr>
              <w:t xml:space="preserve">Precizēta </w:t>
            </w:r>
            <w:r>
              <w:rPr>
                <w:rFonts w:ascii="Times New Roman" w:eastAsia="Calibri" w:hAnsi="Times New Roman"/>
                <w:sz w:val="24"/>
                <w:szCs w:val="24"/>
                <w:lang w:val="lv-LV"/>
              </w:rPr>
              <w:t>I</w:t>
            </w:r>
            <w:r w:rsidRPr="002E2C9B">
              <w:rPr>
                <w:rFonts w:ascii="Times New Roman" w:eastAsia="Calibri" w:hAnsi="Times New Roman"/>
                <w:sz w:val="24"/>
                <w:szCs w:val="24"/>
                <w:lang w:val="lv-LV"/>
              </w:rPr>
              <w:t>nformatīvā ziņojuma 5.nodaļa.</w:t>
            </w:r>
          </w:p>
          <w:p w14:paraId="0F072CD3" w14:textId="120A177C" w:rsidR="0047540F" w:rsidRPr="00494DFF" w:rsidRDefault="00D21D3E" w:rsidP="008B684E">
            <w:pPr>
              <w:pStyle w:val="ListParagraph"/>
              <w:spacing w:after="0" w:line="240" w:lineRule="auto"/>
              <w:ind w:left="0"/>
              <w:jc w:val="both"/>
              <w:rPr>
                <w:bCs/>
                <w:color w:val="000000" w:themeColor="text1"/>
                <w:sz w:val="24"/>
                <w:szCs w:val="24"/>
              </w:rPr>
            </w:pPr>
            <w:r>
              <w:rPr>
                <w:rFonts w:ascii="Times New Roman" w:eastAsia="Calibri" w:hAnsi="Times New Roman"/>
                <w:sz w:val="24"/>
                <w:szCs w:val="24"/>
                <w:lang w:val="lv-LV"/>
              </w:rPr>
              <w:t xml:space="preserve">VARAM ir uzsākusi aktualizēt </w:t>
            </w:r>
            <w:r w:rsidR="0047540F" w:rsidRPr="00494DFF">
              <w:rPr>
                <w:rFonts w:ascii="Times New Roman" w:eastAsia="Calibri" w:hAnsi="Times New Roman"/>
                <w:sz w:val="24"/>
                <w:szCs w:val="24"/>
              </w:rPr>
              <w:t>E</w:t>
            </w:r>
            <w:r>
              <w:rPr>
                <w:rFonts w:ascii="Times New Roman" w:eastAsia="Calibri" w:hAnsi="Times New Roman"/>
                <w:sz w:val="24"/>
                <w:szCs w:val="24"/>
                <w:lang w:val="lv-LV"/>
              </w:rPr>
              <w:t xml:space="preserve">misijas kvotu izsolīšanas instrumenta </w:t>
            </w:r>
            <w:r w:rsidR="0047540F" w:rsidRPr="00494DFF">
              <w:rPr>
                <w:rFonts w:ascii="Times New Roman" w:eastAsia="Calibri" w:hAnsi="Times New Roman"/>
                <w:sz w:val="24"/>
                <w:szCs w:val="24"/>
              </w:rPr>
              <w:t>darbības stratēģij</w:t>
            </w:r>
            <w:r>
              <w:rPr>
                <w:rFonts w:ascii="Times New Roman" w:eastAsia="Calibri" w:hAnsi="Times New Roman"/>
                <w:sz w:val="24"/>
                <w:szCs w:val="24"/>
                <w:lang w:val="lv-LV"/>
              </w:rPr>
              <w:t>u</w:t>
            </w:r>
            <w:r>
              <w:rPr>
                <w:rFonts w:ascii="Times New Roman" w:eastAsia="Calibri" w:hAnsi="Times New Roman"/>
                <w:sz w:val="24"/>
                <w:szCs w:val="24"/>
              </w:rPr>
              <w:t xml:space="preserve"> un </w:t>
            </w:r>
            <w:r>
              <w:rPr>
                <w:rFonts w:ascii="Times New Roman" w:eastAsia="Calibri" w:hAnsi="Times New Roman"/>
                <w:sz w:val="24"/>
                <w:szCs w:val="24"/>
                <w:lang w:val="lv-LV"/>
              </w:rPr>
              <w:t xml:space="preserve">šīs stratēģijas ietvaros </w:t>
            </w:r>
            <w:r>
              <w:rPr>
                <w:rFonts w:ascii="Times New Roman" w:eastAsia="Calibri" w:hAnsi="Times New Roman"/>
                <w:sz w:val="24"/>
                <w:szCs w:val="24"/>
              </w:rPr>
              <w:t>ar</w:t>
            </w:r>
            <w:r>
              <w:rPr>
                <w:rFonts w:ascii="Times New Roman" w:eastAsia="Calibri" w:hAnsi="Times New Roman"/>
                <w:sz w:val="24"/>
                <w:szCs w:val="24"/>
                <w:lang w:val="lv-LV"/>
              </w:rPr>
              <w:t xml:space="preserve">ī turpmāk </w:t>
            </w:r>
            <w:r w:rsidR="0047540F" w:rsidRPr="002B236C">
              <w:rPr>
                <w:rFonts w:ascii="Times New Roman" w:eastAsia="Calibri" w:hAnsi="Times New Roman"/>
                <w:sz w:val="24"/>
                <w:szCs w:val="24"/>
              </w:rPr>
              <w:t>tiek pl</w:t>
            </w:r>
            <w:r w:rsidR="0047540F">
              <w:rPr>
                <w:rFonts w:ascii="Times New Roman" w:eastAsia="Calibri" w:hAnsi="Times New Roman"/>
                <w:sz w:val="24"/>
                <w:szCs w:val="24"/>
                <w:lang w:val="lv-LV"/>
              </w:rPr>
              <w:t>ānots, ka</w:t>
            </w:r>
            <w:r w:rsidR="0047540F" w:rsidRPr="00494DFF">
              <w:rPr>
                <w:rFonts w:ascii="Times New Roman" w:eastAsia="Calibri" w:hAnsi="Times New Roman"/>
                <w:sz w:val="24"/>
                <w:szCs w:val="24"/>
              </w:rPr>
              <w:t xml:space="preserve"> </w:t>
            </w:r>
            <w:r w:rsidR="0047540F" w:rsidRPr="00494DFF">
              <w:rPr>
                <w:rFonts w:ascii="Times New Roman" w:hAnsi="Times New Roman"/>
                <w:bCs/>
                <w:color w:val="000000" w:themeColor="text1"/>
                <w:sz w:val="24"/>
                <w:szCs w:val="24"/>
              </w:rPr>
              <w:t>p</w:t>
            </w:r>
            <w:r w:rsidR="0047540F" w:rsidRPr="00494DFF">
              <w:rPr>
                <w:rFonts w:ascii="Times New Roman" w:hAnsi="Times New Roman"/>
                <w:color w:val="000000" w:themeColor="text1"/>
                <w:sz w:val="24"/>
                <w:szCs w:val="24"/>
              </w:rPr>
              <w:t xml:space="preserve">rioritāri </w:t>
            </w:r>
            <w:r w:rsidR="0047540F" w:rsidRPr="00494DFF">
              <w:rPr>
                <w:rFonts w:ascii="Times New Roman" w:hAnsi="Times New Roman"/>
                <w:bCs/>
                <w:color w:val="000000" w:themeColor="text1"/>
                <w:sz w:val="24"/>
                <w:szCs w:val="24"/>
              </w:rPr>
              <w:t>finansējums tiks piešķirts tādu aktivitāšu finansēšanai, kas vērst</w:t>
            </w:r>
            <w:r>
              <w:rPr>
                <w:rFonts w:ascii="Times New Roman" w:hAnsi="Times New Roman"/>
                <w:bCs/>
                <w:color w:val="000000" w:themeColor="text1"/>
                <w:sz w:val="24"/>
                <w:szCs w:val="24"/>
                <w:lang w:val="lv-LV"/>
              </w:rPr>
              <w:t>as</w:t>
            </w:r>
            <w:r w:rsidR="0047540F" w:rsidRPr="00494DFF">
              <w:rPr>
                <w:rFonts w:ascii="Times New Roman" w:hAnsi="Times New Roman"/>
                <w:bCs/>
                <w:color w:val="000000" w:themeColor="text1"/>
                <w:sz w:val="24"/>
                <w:szCs w:val="24"/>
              </w:rPr>
              <w:t xml:space="preserve"> uz SEG emisiju samazināšanu ne-ETS </w:t>
            </w:r>
            <w:r w:rsidR="0047540F">
              <w:rPr>
                <w:rFonts w:ascii="Times New Roman" w:hAnsi="Times New Roman"/>
                <w:bCs/>
                <w:color w:val="000000" w:themeColor="text1"/>
                <w:sz w:val="24"/>
                <w:szCs w:val="24"/>
                <w:lang w:val="lv-LV"/>
              </w:rPr>
              <w:t>sektorā</w:t>
            </w:r>
            <w:r w:rsidR="0047540F" w:rsidRPr="002B236C">
              <w:rPr>
                <w:rFonts w:ascii="Times New Roman" w:hAnsi="Times New Roman"/>
                <w:bCs/>
                <w:color w:val="000000" w:themeColor="text1"/>
                <w:sz w:val="24"/>
                <w:szCs w:val="24"/>
              </w:rPr>
              <w:t xml:space="preserve">. </w:t>
            </w:r>
            <w:r w:rsidR="0047540F">
              <w:rPr>
                <w:rFonts w:ascii="Times New Roman" w:hAnsi="Times New Roman"/>
                <w:bCs/>
                <w:color w:val="000000" w:themeColor="text1"/>
                <w:sz w:val="24"/>
                <w:szCs w:val="24"/>
                <w:lang w:val="lv-LV"/>
              </w:rPr>
              <w:t>Līdz ar to var teikt, ka gan EKII, gan Mode</w:t>
            </w:r>
            <w:r>
              <w:rPr>
                <w:rFonts w:ascii="Times New Roman" w:hAnsi="Times New Roman"/>
                <w:bCs/>
                <w:color w:val="000000" w:themeColor="text1"/>
                <w:sz w:val="24"/>
                <w:szCs w:val="24"/>
                <w:lang w:val="lv-LV"/>
              </w:rPr>
              <w:t>r</w:t>
            </w:r>
            <w:r w:rsidR="0047540F">
              <w:rPr>
                <w:rFonts w:ascii="Times New Roman" w:hAnsi="Times New Roman"/>
                <w:bCs/>
                <w:color w:val="000000" w:themeColor="text1"/>
                <w:sz w:val="24"/>
                <w:szCs w:val="24"/>
                <w:lang w:val="lv-LV"/>
              </w:rPr>
              <w:t>nizācijas fonda līdzekļi tiks vērsti uz ne-ETS sektora SEG emisiju problemātikas risināšanu.</w:t>
            </w:r>
          </w:p>
          <w:p w14:paraId="214F4211" w14:textId="477BD1D5" w:rsidR="0047540F" w:rsidRDefault="0047540F" w:rsidP="0047540F">
            <w:pPr>
              <w:jc w:val="both"/>
              <w:rPr>
                <w:rFonts w:eastAsia="Calibri"/>
              </w:rPr>
            </w:pPr>
            <w:r>
              <w:rPr>
                <w:rFonts w:eastAsia="Calibri"/>
              </w:rPr>
              <w:lastRenderedPageBreak/>
              <w:t xml:space="preserve">Atkārtoti izvērtējot Modernizācjas fonda finansējuma </w:t>
            </w:r>
            <w:r w:rsidR="002F64F0">
              <w:rPr>
                <w:rFonts w:eastAsia="Calibri"/>
              </w:rPr>
              <w:t>p</w:t>
            </w:r>
            <w:r>
              <w:rPr>
                <w:rFonts w:eastAsia="Calibri"/>
              </w:rPr>
              <w:t xml:space="preserve">alielinājuma iespējas </w:t>
            </w:r>
            <w:r w:rsidR="002F64F0">
              <w:rPr>
                <w:rFonts w:eastAsia="Calibri"/>
              </w:rPr>
              <w:t>un ņemot vērā Informatīvā ziņojums 5.</w:t>
            </w:r>
            <w:r w:rsidR="008D2958">
              <w:rPr>
                <w:rFonts w:eastAsia="Calibri"/>
              </w:rPr>
              <w:t> </w:t>
            </w:r>
            <w:r w:rsidR="002F64F0">
              <w:rPr>
                <w:rFonts w:eastAsia="Calibri"/>
              </w:rPr>
              <w:t xml:space="preserve">nodaļā aprakstītos apsvērumus </w:t>
            </w:r>
            <w:r>
              <w:rPr>
                <w:rFonts w:eastAsia="Calibri"/>
              </w:rPr>
              <w:t>ir secināts, ka nebūtu pieļaujama nacionālā finanšu instrumenta finansējuma samazināšana.</w:t>
            </w:r>
          </w:p>
          <w:p w14:paraId="486968A8" w14:textId="72DAFBB1" w:rsidR="00D45E44" w:rsidRPr="007B4B1D" w:rsidRDefault="00D45E44" w:rsidP="00785181">
            <w:pPr>
              <w:jc w:val="both"/>
              <w:rPr>
                <w:b/>
                <w:lang w:eastAsia="x-none"/>
              </w:rPr>
            </w:pPr>
          </w:p>
        </w:tc>
        <w:tc>
          <w:tcPr>
            <w:tcW w:w="2385" w:type="dxa"/>
            <w:tcBorders>
              <w:top w:val="single" w:sz="4" w:space="0" w:color="auto"/>
              <w:left w:val="single" w:sz="4" w:space="0" w:color="auto"/>
              <w:bottom w:val="single" w:sz="4" w:space="0" w:color="auto"/>
            </w:tcBorders>
          </w:tcPr>
          <w:p w14:paraId="0EE0C489" w14:textId="6AECF68F" w:rsidR="00F70C25" w:rsidRPr="00606385" w:rsidRDefault="008B684E" w:rsidP="0047540F">
            <w:pPr>
              <w:jc w:val="both"/>
              <w:rPr>
                <w:rFonts w:eastAsia="Calibri"/>
              </w:rPr>
            </w:pPr>
            <w:r>
              <w:rPr>
                <w:b/>
              </w:rPr>
              <w:lastRenderedPageBreak/>
              <w:t>Informatīvais ziņojums</w:t>
            </w:r>
          </w:p>
        </w:tc>
      </w:tr>
      <w:tr w:rsidR="006C425E" w:rsidRPr="00606385" w14:paraId="35A1946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FEEEDA5" w14:textId="5CFFCEFE" w:rsidR="006C425E" w:rsidRDefault="006C425E" w:rsidP="006C425E">
            <w:pPr>
              <w:pStyle w:val="naisc"/>
              <w:spacing w:before="0" w:after="0"/>
              <w:ind w:left="426"/>
              <w:jc w:val="left"/>
            </w:pPr>
          </w:p>
          <w:p w14:paraId="5CB4BFA9" w14:textId="7DCBC4D3" w:rsidR="006C425E" w:rsidRPr="00A86A18" w:rsidRDefault="00586C29" w:rsidP="006C425E">
            <w:r>
              <w:t>6</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4C1FA284" w14:textId="6EE6F1CF" w:rsidR="006C425E" w:rsidRPr="00D41EC6"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5B46EF48" w14:textId="697392D4" w:rsidR="006C425E" w:rsidRDefault="006C425E" w:rsidP="008E23C3">
            <w:pPr>
              <w:jc w:val="center"/>
              <w:rPr>
                <w:b/>
              </w:rPr>
            </w:pPr>
            <w:r>
              <w:rPr>
                <w:b/>
              </w:rPr>
              <w:t>02.09.2019 Satiksmes ministrijas atzinums</w:t>
            </w:r>
          </w:p>
          <w:p w14:paraId="19335E16" w14:textId="77777777" w:rsidR="006C425E" w:rsidRDefault="006C425E" w:rsidP="008B684E">
            <w:pPr>
              <w:jc w:val="both"/>
              <w:rPr>
                <w:rFonts w:eastAsiaTheme="minorHAnsi"/>
              </w:rPr>
            </w:pPr>
            <w:r>
              <w:rPr>
                <w:rFonts w:eastAsiaTheme="minorHAnsi"/>
              </w:rPr>
              <w:t>I</w:t>
            </w:r>
            <w:r w:rsidRPr="00DA642E">
              <w:rPr>
                <w:rFonts w:eastAsiaTheme="minorHAnsi"/>
              </w:rPr>
              <w:t xml:space="preserve">nformatīvā ziņojuma projektā </w:t>
            </w:r>
            <w:r>
              <w:rPr>
                <w:rFonts w:eastAsiaTheme="minorHAnsi"/>
              </w:rPr>
              <w:t xml:space="preserve">norādīts, ka </w:t>
            </w:r>
            <w:r w:rsidRPr="00DA642E">
              <w:rPr>
                <w:rFonts w:eastAsiaTheme="minorHAnsi"/>
              </w:rPr>
              <w:t xml:space="preserve">šo </w:t>
            </w:r>
            <w:r>
              <w:rPr>
                <w:rFonts w:eastAsiaTheme="minorHAnsi"/>
              </w:rPr>
              <w:t>I</w:t>
            </w:r>
            <w:r w:rsidRPr="00DA642E">
              <w:rPr>
                <w:rFonts w:eastAsiaTheme="minorHAnsi"/>
              </w:rPr>
              <w:t xml:space="preserve">nformatīvo ziņojumu ir plānots izskatīt </w:t>
            </w:r>
            <w:r>
              <w:rPr>
                <w:rFonts w:eastAsiaTheme="minorHAnsi"/>
              </w:rPr>
              <w:t xml:space="preserve">Ministru kabineta sēdē </w:t>
            </w:r>
            <w:r w:rsidRPr="00DA642E">
              <w:rPr>
                <w:rFonts w:eastAsiaTheme="minorHAnsi"/>
              </w:rPr>
              <w:t xml:space="preserve">vienlaikus ar </w:t>
            </w:r>
            <w:r>
              <w:rPr>
                <w:rFonts w:eastAsiaTheme="minorHAnsi"/>
              </w:rPr>
              <w:t xml:space="preserve">patlaban VARAM gatavoto </w:t>
            </w:r>
            <w:r w:rsidRPr="00DA642E">
              <w:rPr>
                <w:rFonts w:eastAsiaTheme="minorHAnsi"/>
              </w:rPr>
              <w:t>informatīv</w:t>
            </w:r>
            <w:r>
              <w:rPr>
                <w:rFonts w:eastAsiaTheme="minorHAnsi"/>
              </w:rPr>
              <w:t>o</w:t>
            </w:r>
            <w:r w:rsidRPr="00DA642E">
              <w:rPr>
                <w:rFonts w:eastAsiaTheme="minorHAnsi"/>
              </w:rPr>
              <w:t xml:space="preserve"> ziņojumu</w:t>
            </w:r>
            <w:r>
              <w:rPr>
                <w:rFonts w:eastAsiaTheme="minorHAnsi"/>
              </w:rPr>
              <w:t xml:space="preserve"> </w:t>
            </w:r>
            <w:r w:rsidRPr="00DA642E">
              <w:rPr>
                <w:rFonts w:eastAsiaTheme="minorHAnsi"/>
              </w:rPr>
              <w:t>par Emisijas kvotu izsilšanas instrumenta</w:t>
            </w:r>
            <w:r>
              <w:rPr>
                <w:rFonts w:eastAsiaTheme="minorHAnsi"/>
              </w:rPr>
              <w:t xml:space="preserve"> (turpmāk – EKII)</w:t>
            </w:r>
            <w:r w:rsidRPr="00DA642E">
              <w:rPr>
                <w:rFonts w:eastAsiaTheme="minorHAnsi"/>
              </w:rPr>
              <w:t xml:space="preserve"> darbības stratēģiju,</w:t>
            </w:r>
            <w:r>
              <w:rPr>
                <w:rFonts w:eastAsiaTheme="minorHAnsi"/>
              </w:rPr>
              <w:t xml:space="preserve"> </w:t>
            </w:r>
            <w:r w:rsidRPr="00DA642E">
              <w:rPr>
                <w:rFonts w:eastAsiaTheme="minorHAnsi"/>
              </w:rPr>
              <w:t>kurā tiks identificēti pasākumi EKII finansējuma izmantošanai pēc 2020. gada.</w:t>
            </w:r>
            <w:r w:rsidRPr="00C1534D">
              <w:rPr>
                <w:rFonts w:eastAsiaTheme="minorHAnsi"/>
              </w:rPr>
              <w:t xml:space="preserve"> </w:t>
            </w:r>
            <w:r>
              <w:rPr>
                <w:rFonts w:eastAsiaTheme="minorHAnsi"/>
              </w:rPr>
              <w:t>Attiecīgi atzinumu</w:t>
            </w:r>
            <w:r w:rsidRPr="00DA642E">
              <w:rPr>
                <w:rFonts w:eastAsiaTheme="minorHAnsi"/>
              </w:rPr>
              <w:t xml:space="preserve"> </w:t>
            </w:r>
            <w:r>
              <w:rPr>
                <w:rFonts w:eastAsiaTheme="minorHAnsi"/>
              </w:rPr>
              <w:t>Satiksmes ministrija</w:t>
            </w:r>
            <w:r w:rsidRPr="00DA642E">
              <w:rPr>
                <w:rFonts w:eastAsiaTheme="minorHAnsi"/>
              </w:rPr>
              <w:t xml:space="preserve"> </w:t>
            </w:r>
            <w:r>
              <w:rPr>
                <w:rFonts w:eastAsiaTheme="minorHAnsi"/>
              </w:rPr>
              <w:t xml:space="preserve">varēs </w:t>
            </w:r>
            <w:r w:rsidRPr="00DA642E">
              <w:rPr>
                <w:rFonts w:eastAsiaTheme="minorHAnsi"/>
              </w:rPr>
              <w:t>sniegt pēc abu informatīvo ziņojumu izskatīšanas.</w:t>
            </w:r>
          </w:p>
          <w:p w14:paraId="74AA780B" w14:textId="312884CE" w:rsidR="006C425E" w:rsidRPr="00606385" w:rsidRDefault="006C425E" w:rsidP="008B684E">
            <w:pPr>
              <w:jc w:val="both"/>
              <w:rPr>
                <w:b/>
              </w:rPr>
            </w:pPr>
            <w:r>
              <w:rPr>
                <w:rFonts w:eastAsiaTheme="minorHAnsi"/>
              </w:rPr>
              <w:lastRenderedPageBreak/>
              <w:t>Atbilstoši Informatīvajā ziņojumā paredzētajam</w:t>
            </w:r>
            <w:r w:rsidRPr="00DA642E">
              <w:rPr>
                <w:rFonts w:eastAsiaTheme="minorHAnsi"/>
              </w:rPr>
              <w:t xml:space="preserve"> modernizācijas fonda līdzekļus plānots novirzīt pamatā emisiju samazināšanai </w:t>
            </w:r>
            <w:r>
              <w:rPr>
                <w:rFonts w:eastAsiaTheme="minorHAnsi"/>
              </w:rPr>
              <w:t>Eiropas Savienības emisijas tirdzniecības sistēmā neiekļautajām darbībām (ne-ETS)</w:t>
            </w:r>
            <w:r w:rsidRPr="00DA642E">
              <w:rPr>
                <w:rFonts w:eastAsiaTheme="minorHAnsi"/>
              </w:rPr>
              <w:t xml:space="preserve"> problemātiskajos sektoros, kas neskar gaisa satiksmi</w:t>
            </w:r>
            <w:r>
              <w:rPr>
                <w:rFonts w:eastAsiaTheme="minorHAnsi"/>
              </w:rPr>
              <w:t xml:space="preserve">. </w:t>
            </w:r>
          </w:p>
        </w:tc>
        <w:tc>
          <w:tcPr>
            <w:tcW w:w="5103" w:type="dxa"/>
            <w:tcBorders>
              <w:top w:val="single" w:sz="6" w:space="0" w:color="000000"/>
              <w:left w:val="single" w:sz="6" w:space="0" w:color="000000"/>
              <w:bottom w:val="single" w:sz="6" w:space="0" w:color="000000"/>
              <w:right w:val="single" w:sz="6" w:space="0" w:color="000000"/>
            </w:tcBorders>
          </w:tcPr>
          <w:p w14:paraId="21F0633D" w14:textId="5F918A8F" w:rsidR="006C425E" w:rsidRPr="006C425E" w:rsidRDefault="008B684E" w:rsidP="008B684E">
            <w:pPr>
              <w:jc w:val="center"/>
              <w:rPr>
                <w:b/>
                <w:color w:val="000000" w:themeColor="text1"/>
              </w:rPr>
            </w:pPr>
            <w:r>
              <w:rPr>
                <w:b/>
                <w:color w:val="000000" w:themeColor="text1"/>
              </w:rPr>
              <w:lastRenderedPageBreak/>
              <w:t>Ņemts vērā</w:t>
            </w:r>
          </w:p>
          <w:p w14:paraId="5EBE8530" w14:textId="42DA9278" w:rsidR="006C425E" w:rsidRDefault="006C425E" w:rsidP="006C425E">
            <w:pPr>
              <w:jc w:val="both"/>
              <w:rPr>
                <w:rFonts w:eastAsia="Calibri"/>
              </w:rPr>
            </w:pPr>
            <w:r w:rsidRPr="00494DFF">
              <w:rPr>
                <w:color w:val="000000" w:themeColor="text1"/>
              </w:rPr>
              <w:t>Emisijas kvotu izsolīšanas instrumenta (turpmāk – EKII) darbība šobrīd ir reglamentēta</w:t>
            </w:r>
            <w:r w:rsidR="008E23C3">
              <w:rPr>
                <w:color w:val="000000" w:themeColor="text1"/>
              </w:rPr>
              <w:t xml:space="preserve"> t.sk.</w:t>
            </w:r>
            <w:r w:rsidRPr="00494DFF">
              <w:rPr>
                <w:color w:val="000000" w:themeColor="text1"/>
              </w:rPr>
              <w:t xml:space="preserve"> ar VARAM 2016. gada 21 .oktobra rīkojumu </w:t>
            </w:r>
            <w:r w:rsidRPr="00494DFF">
              <w:rPr>
                <w:bCs/>
                <w:color w:val="000000" w:themeColor="text1"/>
              </w:rPr>
              <w:t xml:space="preserve">Nr. 265 “Par Emisijas kvotu izsolīšanas instrumenta darbības stratēģijas apstiprināšanu”. Ņemot vērā, ka EKII </w:t>
            </w:r>
            <w:r w:rsidR="008E23C3">
              <w:rPr>
                <w:bCs/>
                <w:color w:val="000000" w:themeColor="text1"/>
              </w:rPr>
              <w:t xml:space="preserve">darbības </w:t>
            </w:r>
            <w:r w:rsidRPr="00494DFF">
              <w:rPr>
                <w:bCs/>
                <w:color w:val="000000" w:themeColor="text1"/>
              </w:rPr>
              <w:t xml:space="preserve">stratēģijas joprojām </w:t>
            </w:r>
            <w:r w:rsidR="008E23C3">
              <w:rPr>
                <w:bCs/>
                <w:color w:val="000000" w:themeColor="text1"/>
              </w:rPr>
              <w:t>tiek gatavota,</w:t>
            </w:r>
            <w:r w:rsidRPr="00494DFF">
              <w:rPr>
                <w:bCs/>
                <w:color w:val="000000" w:themeColor="text1"/>
              </w:rPr>
              <w:t xml:space="preserve"> </w:t>
            </w:r>
            <w:r w:rsidR="008E23C3">
              <w:rPr>
                <w:bCs/>
                <w:color w:val="000000" w:themeColor="text1"/>
              </w:rPr>
              <w:t>dokumentu</w:t>
            </w:r>
            <w:r>
              <w:rPr>
                <w:bCs/>
                <w:color w:val="000000" w:themeColor="text1"/>
              </w:rPr>
              <w:t xml:space="preserve"> izskatīšana vienā MK sēdē kopā ar informatīvo ziņojumu par Modernizācijas fonda darbību nebūs iespējama</w:t>
            </w:r>
            <w:r w:rsidR="008E23C3">
              <w:rPr>
                <w:bCs/>
                <w:color w:val="000000" w:themeColor="text1"/>
              </w:rPr>
              <w:t>.</w:t>
            </w:r>
            <w:r>
              <w:rPr>
                <w:bCs/>
                <w:color w:val="000000" w:themeColor="text1"/>
              </w:rPr>
              <w:t xml:space="preserve"> </w:t>
            </w:r>
            <w:r w:rsidR="008E23C3">
              <w:rPr>
                <w:bCs/>
                <w:color w:val="000000" w:themeColor="text1"/>
              </w:rPr>
              <w:t>L</w:t>
            </w:r>
            <w:r>
              <w:rPr>
                <w:bCs/>
                <w:color w:val="000000" w:themeColor="text1"/>
              </w:rPr>
              <w:t>īdz ar to ir</w:t>
            </w:r>
            <w:r w:rsidRPr="00494DFF">
              <w:rPr>
                <w:bCs/>
                <w:color w:val="000000" w:themeColor="text1"/>
              </w:rPr>
              <w:t xml:space="preserve"> </w:t>
            </w:r>
            <w:r w:rsidR="008E23C3">
              <w:rPr>
                <w:bCs/>
                <w:color w:val="000000" w:themeColor="text1"/>
              </w:rPr>
              <w:t>svītrota</w:t>
            </w:r>
            <w:r w:rsidRPr="00464E07">
              <w:rPr>
                <w:rFonts w:eastAsia="Calibri"/>
              </w:rPr>
              <w:t xml:space="preserve"> atsauce 10.lpp </w:t>
            </w:r>
            <w:r w:rsidRPr="006D25F3">
              <w:rPr>
                <w:rFonts w:eastAsia="Calibri"/>
              </w:rPr>
              <w:t xml:space="preserve">kājenē attiecībā uz informatīvo ziņojumu par atjaunotās EKII darbības stratēģijas izskatīšanu vienlaicīgi ar </w:t>
            </w:r>
            <w:r w:rsidRPr="006D25F3">
              <w:rPr>
                <w:rFonts w:eastAsia="Calibri"/>
              </w:rPr>
              <w:lastRenderedPageBreak/>
              <w:t>I</w:t>
            </w:r>
            <w:r w:rsidRPr="00ED007B">
              <w:rPr>
                <w:rFonts w:eastAsia="Calibri"/>
              </w:rPr>
              <w:t>nformatīvo ziņojumu par Modernizācijas fonda darb</w:t>
            </w:r>
            <w:r w:rsidRPr="001D3DA4">
              <w:rPr>
                <w:rFonts w:eastAsia="Calibri"/>
              </w:rPr>
              <w:t xml:space="preserve">ību. </w:t>
            </w:r>
          </w:p>
          <w:p w14:paraId="6BF439EE" w14:textId="77777777" w:rsidR="006C425E" w:rsidRDefault="006C425E" w:rsidP="006C425E">
            <w:pPr>
              <w:jc w:val="both"/>
              <w:rPr>
                <w:rFonts w:eastAsia="Calibri"/>
              </w:rPr>
            </w:pPr>
          </w:p>
          <w:p w14:paraId="0B52CBF3" w14:textId="7AE7F0BF" w:rsidR="006C425E" w:rsidRDefault="006C425E" w:rsidP="006C425E">
            <w:pPr>
              <w:jc w:val="both"/>
              <w:rPr>
                <w:bCs/>
                <w:color w:val="000000" w:themeColor="text1"/>
              </w:rPr>
            </w:pPr>
            <w:r w:rsidRPr="001D3DA4">
              <w:rPr>
                <w:rFonts w:eastAsia="Calibri"/>
              </w:rPr>
              <w:t>Vēršam uzmanību, ka</w:t>
            </w:r>
            <w:r>
              <w:rPr>
                <w:rFonts w:eastAsia="Calibri"/>
              </w:rPr>
              <w:t xml:space="preserve"> izstrādājot EKII </w:t>
            </w:r>
            <w:r w:rsidR="008E23C3">
              <w:rPr>
                <w:rFonts w:eastAsia="Calibri"/>
              </w:rPr>
              <w:t xml:space="preserve">darbības </w:t>
            </w:r>
            <w:r>
              <w:rPr>
                <w:rFonts w:eastAsia="Calibri"/>
              </w:rPr>
              <w:t xml:space="preserve">stratēģiju </w:t>
            </w:r>
            <w:r w:rsidRPr="00494DFF">
              <w:rPr>
                <w:bCs/>
                <w:color w:val="000000" w:themeColor="text1"/>
              </w:rPr>
              <w:t>tiek plānots nodrošināt demarkāciju starp citiem finanšu instrumentiem</w:t>
            </w:r>
            <w:r>
              <w:rPr>
                <w:bCs/>
                <w:color w:val="000000" w:themeColor="text1"/>
              </w:rPr>
              <w:t>, novēršot pieejamā finansējuma dublēšanos</w:t>
            </w:r>
            <w:r w:rsidRPr="00494DFF">
              <w:rPr>
                <w:bCs/>
                <w:color w:val="000000" w:themeColor="text1"/>
              </w:rPr>
              <w:t>.</w:t>
            </w:r>
          </w:p>
          <w:p w14:paraId="0266D26B" w14:textId="77777777" w:rsidR="006C425E" w:rsidRDefault="006C425E" w:rsidP="006C425E">
            <w:pPr>
              <w:jc w:val="both"/>
              <w:rPr>
                <w:bCs/>
                <w:color w:val="000000" w:themeColor="text1"/>
              </w:rPr>
            </w:pPr>
          </w:p>
          <w:p w14:paraId="3567BDE8" w14:textId="11058D85" w:rsidR="008E23C3" w:rsidRDefault="008E23C3" w:rsidP="006C425E">
            <w:pPr>
              <w:jc w:val="both"/>
              <w:rPr>
                <w:bCs/>
                <w:color w:val="000000" w:themeColor="text1"/>
              </w:rPr>
            </w:pPr>
            <w:r w:rsidRPr="000721B8">
              <w:t xml:space="preserve">Informatīvā ziņojuma </w:t>
            </w:r>
            <w:r w:rsidRPr="00920143">
              <w:rPr>
                <w:u w:val="single"/>
              </w:rPr>
              <w:t>uzdevums nav noteikt konkrētus pasākumus vai pat projektus</w:t>
            </w:r>
            <w:r w:rsidRPr="000721B8">
              <w:t>, kas tiks atbalstīti Modernizācijas fonda ietvaros. Saskaņā ar ministru kabineta 2019.</w:t>
            </w:r>
            <w:r>
              <w:t> </w:t>
            </w:r>
            <w:r w:rsidRPr="000721B8">
              <w:t>gada 17.</w:t>
            </w:r>
            <w:r>
              <w:t> </w:t>
            </w:r>
            <w:r w:rsidRPr="000721B8">
              <w:t>jūnija rīkojumu Nr.</w:t>
            </w:r>
            <w:r>
              <w:t> </w:t>
            </w:r>
            <w:r w:rsidRPr="000721B8">
              <w:t>381</w:t>
            </w:r>
            <w:r>
              <w:t xml:space="preserve"> </w:t>
            </w:r>
            <w:r w:rsidRPr="000721B8">
              <w:t>(prot.</w:t>
            </w:r>
            <w:r>
              <w:t> </w:t>
            </w:r>
            <w:r w:rsidRPr="000721B8">
              <w:t>Nr. 33 75. §) “Par konceptuālo ziņojumu "Par bezmaksas emisijas kvotu piešķiršanu elektroenerģijas ražotājiem Eiropas Savienības emisiju tirdzniecības sistēma</w:t>
            </w:r>
            <w:r>
              <w:t>s 2021.–2030. gada periodā"” 3. </w:t>
            </w:r>
            <w:r w:rsidRPr="000721B8">
              <w:t xml:space="preserve">punktu Informatīvā ziņojuma un protokollēmuma uzdevums ir </w:t>
            </w:r>
            <w:r w:rsidRPr="00920143">
              <w:rPr>
                <w:u w:val="single"/>
              </w:rPr>
              <w:t>noteikt Modernizācijas fonda pārvaldību un pieejamo finansējuma apjomu</w:t>
            </w:r>
            <w:r w:rsidRPr="000721B8">
              <w:t>, lai saskaņā ar D</w:t>
            </w:r>
            <w:r>
              <w:t>irektīvas 2003/87 10.d panta 4. daļu līdz 2019. </w:t>
            </w:r>
            <w:r w:rsidRPr="000721B8">
              <w:t>gada 30.</w:t>
            </w:r>
            <w:r>
              <w:t> </w:t>
            </w:r>
            <w:r w:rsidRPr="000721B8">
              <w:t xml:space="preserve">septembrim būtu iespējams paziņot Eiropas Komisijai par izmantojamajiem </w:t>
            </w:r>
            <w:r>
              <w:t xml:space="preserve">emisijas </w:t>
            </w:r>
            <w:r w:rsidRPr="000721B8">
              <w:t>kvotu apjomiem Modernizācijas fonda vajadzībām.</w:t>
            </w:r>
          </w:p>
          <w:p w14:paraId="67ED2DDE" w14:textId="77777777" w:rsidR="008E23C3" w:rsidRDefault="008E23C3" w:rsidP="006C425E">
            <w:pPr>
              <w:jc w:val="both"/>
              <w:rPr>
                <w:bCs/>
                <w:color w:val="000000" w:themeColor="text1"/>
              </w:rPr>
            </w:pPr>
          </w:p>
          <w:p w14:paraId="4ACC32E2" w14:textId="1F0977E1" w:rsidR="006C425E" w:rsidRPr="00E73FE8" w:rsidRDefault="006C425E" w:rsidP="001774AB">
            <w:pPr>
              <w:jc w:val="both"/>
            </w:pPr>
            <w:r>
              <w:rPr>
                <w:bCs/>
                <w:color w:val="000000" w:themeColor="text1"/>
              </w:rPr>
              <w:t>Papildus</w:t>
            </w:r>
            <w:r w:rsidR="008E23C3">
              <w:rPr>
                <w:bCs/>
                <w:color w:val="000000" w:themeColor="text1"/>
              </w:rPr>
              <w:t xml:space="preserve"> </w:t>
            </w:r>
            <w:r>
              <w:rPr>
                <w:bCs/>
                <w:color w:val="000000" w:themeColor="text1"/>
              </w:rPr>
              <w:t xml:space="preserve">informējam, ka saskaņā ar </w:t>
            </w:r>
            <w:r w:rsidRPr="00A278BB">
              <w:t>saskaņā ar 2009.</w:t>
            </w:r>
            <w:r w:rsidR="001774AB">
              <w:t> </w:t>
            </w:r>
            <w:r w:rsidRPr="00A278BB">
              <w:t>gada 7.</w:t>
            </w:r>
            <w:r w:rsidR="001774AB">
              <w:t> </w:t>
            </w:r>
            <w:r w:rsidRPr="00A278BB">
              <w:t xml:space="preserve">aprīļa </w:t>
            </w:r>
            <w:r w:rsidR="001774AB">
              <w:t>Ministru kabineta noteikumu Nr. </w:t>
            </w:r>
            <w:r w:rsidRPr="00A278BB">
              <w:t>300 “Ministru kabineta kārtības rullis”</w:t>
            </w:r>
            <w:r>
              <w:t xml:space="preserve"> 79.</w:t>
            </w:r>
            <w:r w:rsidR="001774AB">
              <w:t> </w:t>
            </w:r>
            <w:r>
              <w:t>punktu m</w:t>
            </w:r>
            <w:r w:rsidRPr="006C425E">
              <w:t>inistrija vai cita institūcija nevar atteikties sniegt atzinumu, ja attiecīgais projekts tieši skar tās kompetencē esošos jautājumus</w:t>
            </w:r>
            <w:r>
              <w:t>.</w:t>
            </w:r>
          </w:p>
        </w:tc>
        <w:tc>
          <w:tcPr>
            <w:tcW w:w="2385" w:type="dxa"/>
            <w:tcBorders>
              <w:top w:val="single" w:sz="4" w:space="0" w:color="auto"/>
              <w:left w:val="single" w:sz="4" w:space="0" w:color="auto"/>
              <w:bottom w:val="single" w:sz="4" w:space="0" w:color="auto"/>
            </w:tcBorders>
          </w:tcPr>
          <w:p w14:paraId="16C8EFBB" w14:textId="768444A1" w:rsidR="006C425E" w:rsidRPr="00606385" w:rsidRDefault="008B684E" w:rsidP="006C425E">
            <w:pPr>
              <w:jc w:val="both"/>
              <w:rPr>
                <w:rFonts w:eastAsia="Calibri"/>
              </w:rPr>
            </w:pPr>
            <w:r>
              <w:rPr>
                <w:b/>
              </w:rPr>
              <w:lastRenderedPageBreak/>
              <w:t>Informatīvais ziņojums</w:t>
            </w:r>
          </w:p>
        </w:tc>
      </w:tr>
      <w:tr w:rsidR="00C61609" w:rsidRPr="00606385" w14:paraId="52900685" w14:textId="77777777" w:rsidTr="008B684E">
        <w:tc>
          <w:tcPr>
            <w:tcW w:w="534" w:type="dxa"/>
            <w:tcBorders>
              <w:top w:val="single" w:sz="6" w:space="0" w:color="000000"/>
              <w:left w:val="single" w:sz="6" w:space="0" w:color="000000"/>
              <w:bottom w:val="single" w:sz="6" w:space="0" w:color="000000"/>
              <w:right w:val="single" w:sz="6" w:space="0" w:color="000000"/>
            </w:tcBorders>
          </w:tcPr>
          <w:p w14:paraId="7E735353" w14:textId="702E9AAE" w:rsidR="00C61609" w:rsidRDefault="00586C29" w:rsidP="0053526A">
            <w:r>
              <w:t>7</w:t>
            </w:r>
            <w:r w:rsidR="007F737A">
              <w:t>.</w:t>
            </w:r>
          </w:p>
        </w:tc>
        <w:tc>
          <w:tcPr>
            <w:tcW w:w="2152" w:type="dxa"/>
            <w:tcBorders>
              <w:top w:val="single" w:sz="6" w:space="0" w:color="000000"/>
              <w:left w:val="single" w:sz="6" w:space="0" w:color="000000"/>
              <w:bottom w:val="single" w:sz="6" w:space="0" w:color="000000"/>
              <w:right w:val="single" w:sz="6" w:space="0" w:color="000000"/>
            </w:tcBorders>
          </w:tcPr>
          <w:p w14:paraId="29509FC0" w14:textId="64AB85D1" w:rsidR="00C61609" w:rsidRDefault="00C61609"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7A570523" w14:textId="77777777" w:rsidR="00C61609" w:rsidRDefault="00C61609" w:rsidP="00C61609">
            <w:pPr>
              <w:pStyle w:val="ListParagraph"/>
              <w:widowControl w:val="0"/>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776D1456" w14:textId="77777777" w:rsidR="00C61609" w:rsidRPr="00642B0A" w:rsidRDefault="00C61609" w:rsidP="00C61609">
            <w:pPr>
              <w:spacing w:before="120" w:after="120"/>
              <w:jc w:val="both"/>
            </w:pPr>
            <w:r w:rsidRPr="00642B0A">
              <w:lastRenderedPageBreak/>
              <w:t xml:space="preserve">Ņemot vērā šī atzinuma 1.punktā minētos argumentus, </w:t>
            </w:r>
            <w:r w:rsidRPr="00642B0A">
              <w:rPr>
                <w:b/>
                <w:bCs/>
              </w:rPr>
              <w:t>neatbalstām Informatīvā ziņojuma 3.nodaļas 5.rindkopu</w:t>
            </w:r>
            <w:r w:rsidRPr="00642B0A">
              <w:t>, kur ir noteikts, ka par MF atbildīgā iestāde ir VARAM, kā ar argumentu minot to, ka VARAM nodrošina līdzdalību ES ETS un izpilda Latvijas saistības attiecībā uz SEG emisiju samazināšanu un oglekļa dioksīda piesaisti likuma “Par piesārņojumu” 2. panta 9. punkta izpratnē.</w:t>
            </w:r>
          </w:p>
          <w:p w14:paraId="2EB21490" w14:textId="77777777" w:rsidR="00C61609" w:rsidRPr="00642B0A" w:rsidRDefault="00C61609" w:rsidP="00C61609">
            <w:pPr>
              <w:spacing w:before="120" w:after="120"/>
              <w:jc w:val="both"/>
            </w:pPr>
            <w:r w:rsidRPr="00642B0A">
              <w:t xml:space="preserve">Norādām, ka MF administrēšana pēc būtības nav saistīta ar Latvijas līdzdalības ES ETS nodrošināšanu. MF tiks iekļauti finanšu līdzekļi, kas gūti izsolot emisijas kvotas, kuru izsolīšanu neveiks dalībvalsts, bet tā tiks veikta Kopējā izsoļu platformā (šobrīd šis pats princips tiek ievērots finanšu līdzekļu ieguvei Emisijas kvotu izsolīšanas instrumentam (turpmāk – EKII)). Savukārt ar Latvijas līdzdalību ES ETS nodrošināšanu ir saprotamas tādas darbības, kā SEG atļauju izsniegšana, ES ETS Latvijas operatoru un gaisa kuģu operatoru darbību monitorings un uzraudzība, ikgadējo emisiju ziņojumu pārbaude, emisijas kvotu piešķiršana un piešķīruma atbilstības pārbaude uc. Tāpēc ir secināms, ka MF administrēšana un tajā </w:t>
            </w:r>
            <w:r w:rsidRPr="00642B0A">
              <w:lastRenderedPageBreak/>
              <w:t>iekļauto līdzekļu izmantošana nav saistīta ar Latvijas līdzdalību ES ETS nodrošināšanu.</w:t>
            </w:r>
          </w:p>
          <w:p w14:paraId="00CBB2C1" w14:textId="77777777" w:rsidR="00C61609" w:rsidRPr="00642B0A" w:rsidRDefault="00C61609" w:rsidP="00C61609">
            <w:pPr>
              <w:spacing w:before="120" w:after="120"/>
              <w:jc w:val="both"/>
            </w:pPr>
            <w:r w:rsidRPr="00642B0A">
              <w:t>Papildus norādām, ka VARAM klimata politiku izstrādā sadarbībā ar Zemkopības ministriju, Ekonomikas ministriju, Satiksmes ministriju un citām nozaru ministrijām un koordinē attiecīgās politikas īstenošanu</w:t>
            </w:r>
            <w:r w:rsidRPr="00642B0A">
              <w:rPr>
                <w:rStyle w:val="FootnoteReference"/>
              </w:rPr>
              <w:footnoteReference w:id="8"/>
            </w:r>
            <w:r w:rsidRPr="00642B0A">
              <w:t>. SEG emisiju samazināšanas saistības tiek izpildītas nozarēs – enerģētika, transports, rūpnieciskie procesi, ķīmisko vielu izmantošana, lauksaimniecība, atkritumu apsaimniekošana, kurās nozaru ministrija īsteno pasākumus, kas nodrošina SEG emisiju saistību izpildi. Līdz ar to ir saprotams, ka SEG emisiju samazināšanas saistības izpilda ne tikai VARAM, bet visas nozaru ministrijas, kuru nozarēs tiek radītas SEG emisijas.</w:t>
            </w:r>
          </w:p>
          <w:p w14:paraId="150D4153" w14:textId="41DDBB7C" w:rsidR="00C61609" w:rsidRPr="00494DFF" w:rsidRDefault="00C61609" w:rsidP="00C61609">
            <w:pPr>
              <w:spacing w:before="120" w:after="120"/>
              <w:jc w:val="both"/>
              <w:rPr>
                <w:b/>
                <w:bCs/>
              </w:rPr>
            </w:pPr>
            <w:r w:rsidRPr="00642B0A">
              <w:t>Līdz ar to norādām, ka Informatīvā ziņojuma 3.nodaļas 5. rindkopa ir svītrojama.</w:t>
            </w:r>
            <w:r>
              <w:t xml:space="preserve"> </w:t>
            </w:r>
          </w:p>
        </w:tc>
        <w:tc>
          <w:tcPr>
            <w:tcW w:w="5103" w:type="dxa"/>
            <w:tcBorders>
              <w:top w:val="single" w:sz="6" w:space="0" w:color="000000"/>
              <w:left w:val="single" w:sz="6" w:space="0" w:color="000000"/>
              <w:bottom w:val="single" w:sz="6" w:space="0" w:color="000000"/>
              <w:right w:val="single" w:sz="6" w:space="0" w:color="000000"/>
            </w:tcBorders>
          </w:tcPr>
          <w:p w14:paraId="0F49C34B" w14:textId="35B1B60F" w:rsidR="00C61609" w:rsidRDefault="007F737A" w:rsidP="00C61609">
            <w:pPr>
              <w:jc w:val="center"/>
              <w:rPr>
                <w:b/>
                <w:lang w:eastAsia="x-none"/>
              </w:rPr>
            </w:pPr>
            <w:r>
              <w:rPr>
                <w:b/>
                <w:lang w:eastAsia="x-none"/>
              </w:rPr>
              <w:lastRenderedPageBreak/>
              <w:t>Ņ</w:t>
            </w:r>
            <w:r w:rsidR="00C61609">
              <w:rPr>
                <w:b/>
                <w:lang w:eastAsia="x-none"/>
              </w:rPr>
              <w:t>emts vērā</w:t>
            </w:r>
          </w:p>
          <w:p w14:paraId="1BD5CFD1" w14:textId="5D0ACDE8" w:rsidR="00C61609" w:rsidRDefault="00C61609" w:rsidP="00C61609">
            <w:pPr>
              <w:spacing w:before="120" w:after="120"/>
              <w:jc w:val="both"/>
            </w:pPr>
            <w:r w:rsidRPr="00B07612">
              <w:lastRenderedPageBreak/>
              <w:t xml:space="preserve">Ņemot vērā redakcionālo kļūdu, labota atsauce uz likuma “Par piesārņojumu” </w:t>
            </w:r>
            <w:r w:rsidR="005A2FF1">
              <w:t xml:space="preserve">2. panta </w:t>
            </w:r>
            <w:r w:rsidRPr="00B07612">
              <w:t xml:space="preserve">8.  punktu Informatīvā ziņojuma 3. nodaļas </w:t>
            </w:r>
            <w:r w:rsidR="00586C29">
              <w:t>6</w:t>
            </w:r>
            <w:r w:rsidRPr="00B07612">
              <w:t xml:space="preserve">. rindkopā. </w:t>
            </w:r>
          </w:p>
          <w:p w14:paraId="749247E9" w14:textId="77777777" w:rsidR="00C61609" w:rsidRPr="00B07612" w:rsidRDefault="00C61609" w:rsidP="00C61609">
            <w:pPr>
              <w:spacing w:before="120" w:after="120"/>
              <w:jc w:val="both"/>
            </w:pPr>
            <w:r>
              <w:t>A</w:t>
            </w:r>
            <w:r w:rsidRPr="00B07612">
              <w:t>tsaucoties uz Direktīvas 2003/87 1.</w:t>
            </w:r>
            <w:r>
              <w:t> </w:t>
            </w:r>
            <w:r w:rsidRPr="00B07612">
              <w:t xml:space="preserve">pantu ar šo Direktīvu tiek izveidota </w:t>
            </w:r>
            <w:r>
              <w:t>SEG</w:t>
            </w:r>
            <w:r w:rsidRPr="00B07612">
              <w:t xml:space="preserve"> emisijas kvotu tirdzniecība </w:t>
            </w:r>
            <w:r>
              <w:t>ES</w:t>
            </w:r>
            <w:r w:rsidRPr="00B07612">
              <w:t xml:space="preserve">, lai veicinātu </w:t>
            </w:r>
            <w:r>
              <w:t>SEG</w:t>
            </w:r>
            <w:r w:rsidRPr="00B07612">
              <w:t xml:space="preserve"> emisiju samazināšanos rentablā un ekonomiski efektīvā veidā. Saskaņā arī ar Eiropas Komisijas pausto</w:t>
            </w:r>
            <w:r w:rsidRPr="00B07612">
              <w:rPr>
                <w:rStyle w:val="FootnoteReference"/>
              </w:rPr>
              <w:footnoteReference w:id="9"/>
            </w:r>
            <w:r w:rsidRPr="00B07612">
              <w:t xml:space="preserve">, ES ETS ir stūrakmens ES politikā cīņai pret klimata pārmaiņām un ir galvenais tās instruments </w:t>
            </w:r>
            <w:r>
              <w:t>SEG</w:t>
            </w:r>
            <w:r w:rsidRPr="00B07612">
              <w:t xml:space="preserve"> emisiju rentablai samazināšanai. Jānorāda, ka Modernizācijas fonds ir nedalāma Direktīvas 2003/87 sastāvdaļa un arī ir attiecināms uz klimata pārmaiņu mazināšanu un klimata mērķu sasniegšanu. </w:t>
            </w:r>
          </w:p>
          <w:p w14:paraId="388FC5F3" w14:textId="54B58774" w:rsidR="00C61609" w:rsidRDefault="00C61609" w:rsidP="00C61609">
            <w:pPr>
              <w:spacing w:before="120" w:after="120"/>
              <w:jc w:val="both"/>
              <w:rPr>
                <w:b/>
              </w:rPr>
            </w:pPr>
            <w:r w:rsidRPr="00B07612">
              <w:t>Piekrītam, ka VARAM izstrādā politiku klimata pārmaiņu samazināšanas saistību</w:t>
            </w:r>
            <w:r>
              <w:t> – SEG</w:t>
            </w:r>
            <w:r w:rsidRPr="00B07612">
              <w:t xml:space="preserve"> emisiju samazināšana un oglekļa dioksīda piesaiste</w:t>
            </w:r>
            <w:r>
              <w:t> – </w:t>
            </w:r>
            <w:r w:rsidRPr="00B07612">
              <w:t>izpildei</w:t>
            </w:r>
            <w:r>
              <w:t>,</w:t>
            </w:r>
            <w:r w:rsidRPr="00B07612">
              <w:t xml:space="preserve"> atbilstoši konkrēto saistību izpildes termiņiem un </w:t>
            </w:r>
            <w:r w:rsidRPr="00B07612">
              <w:rPr>
                <w:u w:val="single"/>
              </w:rPr>
              <w:t>koordinē</w:t>
            </w:r>
            <w:r w:rsidRPr="00B07612">
              <w:t xml:space="preserve"> attiecīgās politikas īstenošanu, kā to nosaka arī likuma “Par piesārņojumu” 52.</w:t>
            </w:r>
            <w:r>
              <w:t> </w:t>
            </w:r>
            <w:r w:rsidRPr="00B07612">
              <w:t>panta 1.</w:t>
            </w:r>
            <w:r>
              <w:t> </w:t>
            </w:r>
            <w:r w:rsidRPr="00B07612">
              <w:t>punkts. Tā kā VARAM koordinē klimata politikas īstenošanu un saskaņā ar Ministru kabineta 2011. gada 29. marta noteikumu Nr. 233 “Vides aizsardzības un reģionālās attīstības ministrijas nolikums” 4. punktu ir atbildīgā iestāde par klimata politikas izstrādi, tad par Modernizācijas fonda, kura ietvaros var veikt investīcijas ne</w:t>
            </w:r>
            <w:r>
              <w:t xml:space="preserve"> </w:t>
            </w:r>
            <w:r w:rsidRPr="00B07612">
              <w:t xml:space="preserve">tikai enerģētikas sektorā, bet arī, </w:t>
            </w:r>
            <w:r w:rsidRPr="00B07612">
              <w:lastRenderedPageBreak/>
              <w:t xml:space="preserve">piemēram, </w:t>
            </w:r>
            <w:r>
              <w:t>transporta</w:t>
            </w:r>
            <w:r w:rsidRPr="00B07612">
              <w:t>, lauksaimniecības un atkritumu apsaimniekošanas nozarē, atbildīgo iestādi jānosaka VARAM.</w:t>
            </w:r>
          </w:p>
        </w:tc>
        <w:tc>
          <w:tcPr>
            <w:tcW w:w="2385" w:type="dxa"/>
            <w:tcBorders>
              <w:top w:val="single" w:sz="4" w:space="0" w:color="auto"/>
              <w:left w:val="single" w:sz="4" w:space="0" w:color="auto"/>
              <w:bottom w:val="single" w:sz="4" w:space="0" w:color="auto"/>
            </w:tcBorders>
          </w:tcPr>
          <w:p w14:paraId="7EA9C8F9" w14:textId="233995D6" w:rsidR="00C61609" w:rsidRDefault="00C61609" w:rsidP="006C425E">
            <w:pPr>
              <w:jc w:val="both"/>
              <w:rPr>
                <w:b/>
              </w:rPr>
            </w:pPr>
            <w:r>
              <w:rPr>
                <w:b/>
              </w:rPr>
              <w:lastRenderedPageBreak/>
              <w:t>Informatīvais ziņojums</w:t>
            </w:r>
          </w:p>
        </w:tc>
      </w:tr>
      <w:tr w:rsidR="0053526A" w:rsidRPr="00606385" w14:paraId="726D350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5A899D3A" w14:textId="698F58DA" w:rsidR="0053526A" w:rsidRDefault="00586C29" w:rsidP="0053526A">
            <w:r>
              <w:lastRenderedPageBreak/>
              <w:t>8</w:t>
            </w:r>
            <w:r w:rsidR="0053526A">
              <w:t>.</w:t>
            </w:r>
          </w:p>
        </w:tc>
        <w:tc>
          <w:tcPr>
            <w:tcW w:w="2152" w:type="dxa"/>
            <w:tcBorders>
              <w:top w:val="single" w:sz="6" w:space="0" w:color="000000"/>
              <w:left w:val="single" w:sz="6" w:space="0" w:color="000000"/>
              <w:bottom w:val="single" w:sz="6" w:space="0" w:color="000000"/>
              <w:right w:val="single" w:sz="6" w:space="0" w:color="000000"/>
            </w:tcBorders>
          </w:tcPr>
          <w:p w14:paraId="6C618DEA" w14:textId="69B925CB" w:rsidR="0053526A" w:rsidRDefault="0053526A"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29921A4" w14:textId="77777777" w:rsidR="0053526A" w:rsidRDefault="0053526A" w:rsidP="0053526A">
            <w:pPr>
              <w:pStyle w:val="ListParagraph"/>
              <w:widowControl w:val="0"/>
              <w:spacing w:after="0" w:line="240" w:lineRule="auto"/>
              <w:ind w:left="0"/>
              <w:jc w:val="center"/>
              <w:rPr>
                <w:rFonts w:ascii="Times New Roman" w:hAnsi="Times New Roman"/>
                <w:b/>
                <w:bCs/>
                <w:sz w:val="24"/>
                <w:szCs w:val="24"/>
                <w:lang w:val="lv-LV"/>
              </w:rPr>
            </w:pPr>
            <w:r w:rsidRPr="00494DFF">
              <w:rPr>
                <w:rFonts w:ascii="Times New Roman" w:hAnsi="Times New Roman"/>
                <w:b/>
                <w:bCs/>
                <w:sz w:val="24"/>
                <w:szCs w:val="24"/>
                <w:lang w:val="lv-LV"/>
              </w:rPr>
              <w:t>Ekonomikas ministrijas 02.09.2019 atzinums.</w:t>
            </w:r>
          </w:p>
          <w:p w14:paraId="27AC7C67" w14:textId="77777777" w:rsidR="0053526A" w:rsidRPr="00642B0A" w:rsidRDefault="0053526A" w:rsidP="0053526A">
            <w:pPr>
              <w:jc w:val="both"/>
            </w:pPr>
            <w:r w:rsidRPr="00642B0A">
              <w:t>Attiecībā uz Informatīvā ziņojuma 2.nodaļas pēdējo rindkopu, lūdzam to papildināt ar šādu informāciju:</w:t>
            </w:r>
          </w:p>
          <w:p w14:paraId="1F2D3D82" w14:textId="77777777" w:rsidR="0053526A" w:rsidRPr="00642B0A" w:rsidRDefault="0053526A" w:rsidP="0053526A">
            <w:pPr>
              <w:jc w:val="both"/>
            </w:pPr>
            <w:r w:rsidRPr="00642B0A">
              <w:t>1) kādi ne-ETS projekti nevarēs kvalificēties pie šāda nosacījuma?</w:t>
            </w:r>
          </w:p>
          <w:p w14:paraId="259D5FA6" w14:textId="77777777" w:rsidR="0053526A" w:rsidRPr="00642B0A" w:rsidRDefault="0053526A" w:rsidP="0053526A">
            <w:pPr>
              <w:jc w:val="both"/>
            </w:pPr>
            <w:r w:rsidRPr="00642B0A">
              <w:lastRenderedPageBreak/>
              <w:t>2) vai mazo rūpniecības uzņēmumu energoapgāde un energoefektivitāte ir ietverta?</w:t>
            </w:r>
          </w:p>
          <w:p w14:paraId="216B185B" w14:textId="77777777" w:rsidR="0053526A" w:rsidRPr="00642B0A" w:rsidRDefault="0053526A" w:rsidP="0053526A">
            <w:pPr>
              <w:jc w:val="both"/>
            </w:pPr>
            <w:r w:rsidRPr="00642B0A">
              <w:t>3)</w:t>
            </w:r>
            <w:r w:rsidRPr="00642B0A">
              <w:tab/>
              <w:t>vai mājsaimniecību energosistēmu modernizēšana un energoefektivitāte ir ietverta?</w:t>
            </w:r>
          </w:p>
          <w:p w14:paraId="2492259D" w14:textId="77777777" w:rsidR="0053526A" w:rsidRPr="00642B0A" w:rsidRDefault="0053526A" w:rsidP="0053526A">
            <w:pPr>
              <w:jc w:val="both"/>
            </w:pPr>
            <w:r w:rsidRPr="00642B0A">
              <w:t>4) ņemot vērā mājsaimniecību zemo maksātspēju, kādi pasākumi būtu un kādi nebūtu pieejami mājsaimniecībām?</w:t>
            </w:r>
          </w:p>
          <w:p w14:paraId="758E2DA9" w14:textId="77777777" w:rsidR="0053526A" w:rsidRDefault="0053526A" w:rsidP="00B902E9">
            <w:pPr>
              <w:jc w:val="center"/>
              <w:rPr>
                <w:b/>
              </w:rPr>
            </w:pPr>
          </w:p>
        </w:tc>
        <w:tc>
          <w:tcPr>
            <w:tcW w:w="5103" w:type="dxa"/>
            <w:tcBorders>
              <w:top w:val="single" w:sz="6" w:space="0" w:color="000000"/>
              <w:left w:val="single" w:sz="6" w:space="0" w:color="000000"/>
              <w:bottom w:val="single" w:sz="6" w:space="0" w:color="000000"/>
              <w:right w:val="single" w:sz="6" w:space="0" w:color="000000"/>
            </w:tcBorders>
          </w:tcPr>
          <w:p w14:paraId="1E8EFA51" w14:textId="23598230" w:rsidR="0053526A" w:rsidRPr="000721B8" w:rsidRDefault="0053526A" w:rsidP="0053526A">
            <w:pPr>
              <w:spacing w:before="120" w:after="120"/>
              <w:jc w:val="center"/>
              <w:rPr>
                <w:b/>
              </w:rPr>
            </w:pPr>
            <w:r>
              <w:rPr>
                <w:b/>
              </w:rPr>
              <w:lastRenderedPageBreak/>
              <w:t>Ņ</w:t>
            </w:r>
            <w:r w:rsidRPr="000721B8">
              <w:rPr>
                <w:b/>
              </w:rPr>
              <w:t>emts vērā</w:t>
            </w:r>
          </w:p>
          <w:p w14:paraId="6E25C812" w14:textId="77777777" w:rsidR="0053526A" w:rsidRDefault="0053526A" w:rsidP="0053526A">
            <w:pPr>
              <w:spacing w:before="120" w:after="120"/>
              <w:jc w:val="both"/>
            </w:pPr>
            <w:r w:rsidRPr="000721B8">
              <w:t>Precizēts informatīvais ziņojums svītrojot vārdu “trīs” 2. nodaļas pēdējā rindkopā.</w:t>
            </w:r>
          </w:p>
          <w:p w14:paraId="3A7941CA" w14:textId="77777777" w:rsidR="0053526A" w:rsidRPr="000721B8" w:rsidRDefault="0053526A" w:rsidP="0053526A">
            <w:pPr>
              <w:spacing w:before="120" w:after="120"/>
              <w:jc w:val="both"/>
            </w:pPr>
            <w:r w:rsidRPr="000721B8">
              <w:t>Informatīvā ziņojuma 2. sadaļā tiek norādīt</w:t>
            </w:r>
            <w:r>
              <w:t>i</w:t>
            </w:r>
            <w:r w:rsidRPr="000721B8">
              <w:t xml:space="preserve"> Latvijas problemātiskie</w:t>
            </w:r>
            <w:r>
              <w:t xml:space="preserve"> sektori</w:t>
            </w:r>
            <w:r w:rsidRPr="000721B8">
              <w:t xml:space="preserve"> SEG emisiju ziņā </w:t>
            </w:r>
            <w:r>
              <w:t>un</w:t>
            </w:r>
            <w:r w:rsidRPr="000721B8">
              <w:t xml:space="preserve"> šie būtu </w:t>
            </w:r>
            <w:r>
              <w:t>potenciālie</w:t>
            </w:r>
            <w:r w:rsidRPr="000721B8">
              <w:t xml:space="preserve"> virzieni, kur</w:t>
            </w:r>
            <w:r>
              <w:t>os</w:t>
            </w:r>
            <w:r w:rsidRPr="000721B8">
              <w:t xml:space="preserve"> vajadzētu koncentrēt Modernizācijas fonda līdzekļus. </w:t>
            </w:r>
            <w:r w:rsidRPr="000721B8">
              <w:lastRenderedPageBreak/>
              <w:t xml:space="preserve">Lūdzam ņemt vērā, ka Informatīvā ziņojuma </w:t>
            </w:r>
            <w:r w:rsidRPr="00920143">
              <w:rPr>
                <w:u w:val="single"/>
              </w:rPr>
              <w:t>uzdevums nav noteikt konkrētus pasākumus vai pat projektus</w:t>
            </w:r>
            <w:r w:rsidRPr="000721B8">
              <w:t>, kas tiks atbalstīti Modernizācijas fonda ietvaros. Saskaņā ar ministru kabineta 2019.</w:t>
            </w:r>
            <w:r>
              <w:t> </w:t>
            </w:r>
            <w:r w:rsidRPr="000721B8">
              <w:t>gada 17.</w:t>
            </w:r>
            <w:r>
              <w:t> </w:t>
            </w:r>
            <w:r w:rsidRPr="000721B8">
              <w:t>jūnija rīkojumu Nr.</w:t>
            </w:r>
            <w:r>
              <w:t> </w:t>
            </w:r>
            <w:r w:rsidRPr="000721B8">
              <w:t>381</w:t>
            </w:r>
            <w:r>
              <w:t xml:space="preserve"> </w:t>
            </w:r>
            <w:r w:rsidRPr="000721B8">
              <w:t>(prot.</w:t>
            </w:r>
            <w:r>
              <w:t> </w:t>
            </w:r>
            <w:r w:rsidRPr="000721B8">
              <w:t>Nr. 33 75. §) “Par konceptuālo ziņojumu "Par bezmaksas emisijas kvotu piešķiršanu elektroenerģijas ražotājiem Eiropas Savienības emisiju tirdzniecības sistēma</w:t>
            </w:r>
            <w:r>
              <w:t>s 2021.–2030. gada periodā"” 3. </w:t>
            </w:r>
            <w:r w:rsidRPr="000721B8">
              <w:t xml:space="preserve">punktu Informatīvā ziņojuma un protokollēmuma uzdevums ir </w:t>
            </w:r>
            <w:r w:rsidRPr="00920143">
              <w:rPr>
                <w:u w:val="single"/>
              </w:rPr>
              <w:t>noteikt Modernizācijas fonda pārvaldību un pieejamo finansējuma apjomu</w:t>
            </w:r>
            <w:r w:rsidRPr="000721B8">
              <w:t>, lai saskaņā ar D</w:t>
            </w:r>
            <w:r>
              <w:t>irektīvas 2003/87 10.d panta 4. daļu līdz 2019. </w:t>
            </w:r>
            <w:r w:rsidRPr="000721B8">
              <w:t>gada 30.</w:t>
            </w:r>
            <w:r>
              <w:t> </w:t>
            </w:r>
            <w:r w:rsidRPr="000721B8">
              <w:t xml:space="preserve">septembrim būtu iespējams paziņot Eiropas Komisijai par izmantojamajiem </w:t>
            </w:r>
            <w:r>
              <w:t xml:space="preserve">emisijas </w:t>
            </w:r>
            <w:r w:rsidRPr="000721B8">
              <w:t xml:space="preserve">kvotu apjomiem Modernizācijas fonda vajadzībām. </w:t>
            </w:r>
          </w:p>
          <w:p w14:paraId="6A7A9CB6" w14:textId="58DDC7E9" w:rsidR="0053526A" w:rsidRPr="00AA4B99" w:rsidRDefault="0053526A" w:rsidP="0053526A">
            <w:pPr>
              <w:spacing w:before="120" w:after="120"/>
              <w:jc w:val="both"/>
              <w:rPr>
                <w:b/>
              </w:rPr>
            </w:pPr>
            <w:r w:rsidRPr="000721B8">
              <w:t>Papildus jānorāda, ka sask</w:t>
            </w:r>
            <w:r>
              <w:t xml:space="preserve">aņā ar Direktīvas 2003/87 10.d </w:t>
            </w:r>
            <w:r w:rsidRPr="000721B8">
              <w:t>panta 12.</w:t>
            </w:r>
            <w:r>
              <w:t> </w:t>
            </w:r>
            <w:r w:rsidRPr="000721B8">
              <w:t>punktu Eiropas Komisija izstrādās īstenošanas regulu par detāli izstrādātiem nosacījumiem attiecībā uz Modernizācijas fonda darbību, kuras izstrāde un ieviešana plānota 2019.-2020. gadā. Detāl</w:t>
            </w:r>
            <w:r>
              <w:t>a</w:t>
            </w:r>
            <w:r w:rsidRPr="000721B8">
              <w:t xml:space="preserve"> Modernizācijas fonda noteikumu izstrāde nacionālā līmenī, t.sk. par atbalstāmajiem pasākumiem tiks uzsākti jau pēc minētās īstenošanas regulas pirmā projekta saņemšanas no Eiropas Komisijas.</w:t>
            </w:r>
          </w:p>
        </w:tc>
        <w:tc>
          <w:tcPr>
            <w:tcW w:w="2385" w:type="dxa"/>
            <w:tcBorders>
              <w:top w:val="single" w:sz="4" w:space="0" w:color="auto"/>
              <w:left w:val="single" w:sz="4" w:space="0" w:color="auto"/>
              <w:bottom w:val="single" w:sz="4" w:space="0" w:color="auto"/>
            </w:tcBorders>
          </w:tcPr>
          <w:p w14:paraId="7CDAD6BE" w14:textId="1F0A5059" w:rsidR="0053526A" w:rsidRDefault="0053526A" w:rsidP="006C425E">
            <w:pPr>
              <w:jc w:val="both"/>
              <w:rPr>
                <w:b/>
              </w:rPr>
            </w:pPr>
            <w:r>
              <w:rPr>
                <w:b/>
              </w:rPr>
              <w:lastRenderedPageBreak/>
              <w:t>Informatīvais ziņojums</w:t>
            </w:r>
          </w:p>
        </w:tc>
      </w:tr>
      <w:tr w:rsidR="00592BE6" w:rsidRPr="00606385" w14:paraId="11FB374E" w14:textId="77777777" w:rsidTr="008B684E">
        <w:tc>
          <w:tcPr>
            <w:tcW w:w="534" w:type="dxa"/>
            <w:tcBorders>
              <w:top w:val="single" w:sz="6" w:space="0" w:color="000000"/>
              <w:left w:val="single" w:sz="6" w:space="0" w:color="000000"/>
              <w:bottom w:val="single" w:sz="6" w:space="0" w:color="000000"/>
              <w:right w:val="single" w:sz="6" w:space="0" w:color="000000"/>
            </w:tcBorders>
          </w:tcPr>
          <w:p w14:paraId="4F26C2A7" w14:textId="3E8ED746" w:rsidR="00592BE6" w:rsidRDefault="00586C29" w:rsidP="00647941">
            <w:r>
              <w:t>9</w:t>
            </w:r>
            <w:r w:rsidR="00647941">
              <w:t>.</w:t>
            </w:r>
          </w:p>
        </w:tc>
        <w:tc>
          <w:tcPr>
            <w:tcW w:w="2152" w:type="dxa"/>
            <w:tcBorders>
              <w:top w:val="single" w:sz="6" w:space="0" w:color="000000"/>
              <w:left w:val="single" w:sz="6" w:space="0" w:color="000000"/>
              <w:bottom w:val="single" w:sz="6" w:space="0" w:color="000000"/>
              <w:right w:val="single" w:sz="6" w:space="0" w:color="000000"/>
            </w:tcBorders>
          </w:tcPr>
          <w:p w14:paraId="1D065317" w14:textId="3401AAD8" w:rsidR="00592BE6" w:rsidRDefault="00592BE6"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D85579E" w14:textId="77777777" w:rsidR="00592BE6" w:rsidRDefault="00592BE6" w:rsidP="00592BE6">
            <w:pPr>
              <w:pStyle w:val="ListParagraph"/>
              <w:widowControl w:val="0"/>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2F7F2FA7" w14:textId="77777777" w:rsidR="00592BE6" w:rsidRPr="00642B0A" w:rsidRDefault="00592BE6" w:rsidP="00592BE6">
            <w:pPr>
              <w:spacing w:before="120" w:after="120"/>
              <w:jc w:val="both"/>
            </w:pPr>
            <w:r w:rsidRPr="00642B0A">
              <w:rPr>
                <w:b/>
                <w:bCs/>
              </w:rPr>
              <w:t>Neatbalstām Informatīvā ziņojuma 1.rindkopu</w:t>
            </w:r>
            <w:r w:rsidRPr="00642B0A">
              <w:t xml:space="preserve">, kur ir noteikts, ka Informatīvais ziņojums ir sagatavots </w:t>
            </w:r>
            <w:r w:rsidRPr="00642B0A">
              <w:lastRenderedPageBreak/>
              <w:t>saskaņā ar Ministru kabineta 2019. gada 17. jūlija rīkojuma Nr. 381 3. punktu.</w:t>
            </w:r>
          </w:p>
          <w:p w14:paraId="3D53D8D5" w14:textId="77777777" w:rsidR="00592BE6" w:rsidRPr="00642B0A" w:rsidRDefault="00592BE6" w:rsidP="00592BE6">
            <w:pPr>
              <w:spacing w:before="120" w:after="120"/>
              <w:jc w:val="both"/>
            </w:pPr>
            <w:r w:rsidRPr="00642B0A">
              <w:t>Norādām, ka Informatīvais ziņojums un Protokollēmums ir sagatavots, pārkāpjot Ministru kabineta 2019.gada 17.jūlija rīkojuma Nr.381 “Par konceptuālo ziņojumu "Par bezmaksas emisijas kvotu piešķiršanu elektroenerģijas ražotājiem Eiropas Savienības emisiju tirdzniecības sistēmas 2021.–2030. gada periodā"” 3.punktu, jo VARAM Informatīvo ziņojuma un Protokollēmuma izstrādē neiesaistīja Ekonomikas ministriju, Satiksmes ministriju un Zemkopības ministriju, līdz ar to arī neievēroja nosacījumu par ministriju sadarbību.</w:t>
            </w:r>
          </w:p>
          <w:p w14:paraId="16AE6BB4" w14:textId="559876DE" w:rsidR="00592BE6" w:rsidRDefault="00592BE6" w:rsidP="00592BE6">
            <w:pPr>
              <w:spacing w:before="120" w:after="120"/>
              <w:jc w:val="both"/>
              <w:rPr>
                <w:b/>
              </w:rPr>
            </w:pPr>
            <w:r w:rsidRPr="00642B0A">
              <w:t>Līdz ar to norādām, ka Informatīvā ziņojuma 1.rindkopa ir attiecīgi jālabo, nosakot, ka VARAM sagatavoja Informatīvo ziņojumu vienpersoniski.</w:t>
            </w:r>
          </w:p>
        </w:tc>
        <w:tc>
          <w:tcPr>
            <w:tcW w:w="5103" w:type="dxa"/>
            <w:tcBorders>
              <w:top w:val="single" w:sz="6" w:space="0" w:color="000000"/>
              <w:left w:val="single" w:sz="6" w:space="0" w:color="000000"/>
              <w:bottom w:val="single" w:sz="6" w:space="0" w:color="000000"/>
              <w:right w:val="single" w:sz="6" w:space="0" w:color="000000"/>
            </w:tcBorders>
          </w:tcPr>
          <w:p w14:paraId="508E38F4" w14:textId="476CA22B" w:rsidR="00592BE6" w:rsidRPr="00A278BB" w:rsidRDefault="00592BE6" w:rsidP="00592BE6">
            <w:pPr>
              <w:jc w:val="center"/>
              <w:rPr>
                <w:b/>
                <w:lang w:eastAsia="x-none"/>
              </w:rPr>
            </w:pPr>
            <w:r>
              <w:rPr>
                <w:b/>
                <w:lang w:eastAsia="x-none"/>
              </w:rPr>
              <w:lastRenderedPageBreak/>
              <w:t>Ņ</w:t>
            </w:r>
            <w:r w:rsidRPr="00A278BB">
              <w:rPr>
                <w:b/>
                <w:lang w:eastAsia="x-none"/>
              </w:rPr>
              <w:t>emts</w:t>
            </w:r>
            <w:r>
              <w:rPr>
                <w:b/>
                <w:lang w:eastAsia="x-none"/>
              </w:rPr>
              <w:t xml:space="preserve"> </w:t>
            </w:r>
            <w:r w:rsidRPr="00A278BB">
              <w:rPr>
                <w:b/>
                <w:lang w:eastAsia="x-none"/>
              </w:rPr>
              <w:t>vērā</w:t>
            </w:r>
          </w:p>
          <w:p w14:paraId="7B2BCC71" w14:textId="77777777" w:rsidR="00592BE6" w:rsidRPr="00A278BB" w:rsidRDefault="00592BE6" w:rsidP="00592BE6">
            <w:pPr>
              <w:spacing w:before="120" w:after="120"/>
              <w:jc w:val="both"/>
            </w:pPr>
            <w:r w:rsidRPr="00A278BB">
              <w:t>Pr</w:t>
            </w:r>
            <w:r>
              <w:t>ecizēta informatīvā ziņojuma 1. </w:t>
            </w:r>
            <w:r w:rsidRPr="00A278BB">
              <w:t xml:space="preserve">rindkopa: “Informatīvais ziņojums ir sagatavots balstoties uz </w:t>
            </w:r>
            <w:r w:rsidRPr="00A278BB">
              <w:lastRenderedPageBreak/>
              <w:t>Ministru kabineta 2019.</w:t>
            </w:r>
            <w:r>
              <w:t> gada 17. jūlija rīkojuma Nr. </w:t>
            </w:r>
            <w:r w:rsidRPr="00A278BB">
              <w:t>381 3.</w:t>
            </w:r>
            <w:r>
              <w:t> </w:t>
            </w:r>
            <w:r w:rsidRPr="00A278BB">
              <w:t xml:space="preserve">punktu.” </w:t>
            </w:r>
          </w:p>
          <w:p w14:paraId="5A4F0927" w14:textId="77777777" w:rsidR="00592BE6" w:rsidRPr="00A278BB" w:rsidRDefault="00592BE6" w:rsidP="00592BE6">
            <w:pPr>
              <w:spacing w:before="120" w:after="120"/>
              <w:jc w:val="both"/>
            </w:pPr>
            <w:r w:rsidRPr="00A278BB">
              <w:t xml:space="preserve">Informatīvais ziņojums </w:t>
            </w:r>
            <w:r>
              <w:t>tika</w:t>
            </w:r>
            <w:r w:rsidRPr="00A278BB">
              <w:t xml:space="preserve"> izs</w:t>
            </w:r>
            <w:r>
              <w:t>ludināts 2019. </w:t>
            </w:r>
            <w:r w:rsidRPr="00A278BB">
              <w:t>gada 15.</w:t>
            </w:r>
            <w:r>
              <w:t> augustā v</w:t>
            </w:r>
            <w:r w:rsidRPr="00A278BB">
              <w:t>alsts sekretā</w:t>
            </w:r>
            <w:r>
              <w:t>ru sanāksmē un saskaņā ar 2009. gada 7. </w:t>
            </w:r>
            <w:r w:rsidRPr="00A278BB">
              <w:t>aprīļa Ministru kabineta noteikumu Nr. 300 “Ministru kabineta kārtības rullis” 88.</w:t>
            </w:r>
            <w:r>
              <w:t> </w:t>
            </w:r>
            <w:r w:rsidRPr="00A278BB">
              <w:t>punktu 10 darbadienu laikā saskaņošanā iesaistītajām institūcijām dota iespēja sniegt konstruktīvus priekšlikumus tādā veidā nodrošinot savu ieguldījumu Informatīvā ziņojuma un protokollēmuma izstrādē.</w:t>
            </w:r>
          </w:p>
          <w:p w14:paraId="3C66A3C5" w14:textId="77777777" w:rsidR="00592BE6" w:rsidRPr="00AA4B99" w:rsidRDefault="00592BE6" w:rsidP="008B684E">
            <w:pPr>
              <w:spacing w:before="120" w:after="120"/>
              <w:jc w:val="center"/>
              <w:rPr>
                <w:b/>
              </w:rPr>
            </w:pPr>
          </w:p>
        </w:tc>
        <w:tc>
          <w:tcPr>
            <w:tcW w:w="2385" w:type="dxa"/>
            <w:tcBorders>
              <w:top w:val="single" w:sz="4" w:space="0" w:color="auto"/>
              <w:left w:val="single" w:sz="4" w:space="0" w:color="auto"/>
              <w:bottom w:val="single" w:sz="4" w:space="0" w:color="auto"/>
            </w:tcBorders>
          </w:tcPr>
          <w:p w14:paraId="48A58C11" w14:textId="2D96302D" w:rsidR="00592BE6" w:rsidRDefault="00592BE6" w:rsidP="006C425E">
            <w:pPr>
              <w:jc w:val="both"/>
              <w:rPr>
                <w:b/>
              </w:rPr>
            </w:pPr>
            <w:r>
              <w:rPr>
                <w:b/>
              </w:rPr>
              <w:lastRenderedPageBreak/>
              <w:t>Informatīvais ziņojums</w:t>
            </w:r>
          </w:p>
        </w:tc>
      </w:tr>
      <w:tr w:rsidR="006C425E" w:rsidRPr="00606385" w14:paraId="50DC90DC" w14:textId="77777777" w:rsidTr="008B684E">
        <w:tc>
          <w:tcPr>
            <w:tcW w:w="534" w:type="dxa"/>
            <w:tcBorders>
              <w:top w:val="single" w:sz="6" w:space="0" w:color="000000"/>
              <w:left w:val="single" w:sz="6" w:space="0" w:color="000000"/>
              <w:bottom w:val="single" w:sz="6" w:space="0" w:color="000000"/>
              <w:right w:val="single" w:sz="6" w:space="0" w:color="000000"/>
            </w:tcBorders>
          </w:tcPr>
          <w:p w14:paraId="4840D68F" w14:textId="3D4EADB4" w:rsidR="006C425E" w:rsidRDefault="006C425E" w:rsidP="006C425E">
            <w:pPr>
              <w:pStyle w:val="naisc"/>
              <w:spacing w:before="0" w:after="0"/>
              <w:ind w:left="426"/>
              <w:jc w:val="left"/>
            </w:pPr>
            <w:r>
              <w:t>s</w:t>
            </w:r>
          </w:p>
          <w:p w14:paraId="58584FF8" w14:textId="67F1183F" w:rsidR="006C425E" w:rsidRPr="002C7097" w:rsidRDefault="00586C29" w:rsidP="006C425E">
            <w:r>
              <w:t>10</w:t>
            </w:r>
            <w:r w:rsidR="00EC1EBF">
              <w:t>.</w:t>
            </w:r>
          </w:p>
        </w:tc>
        <w:tc>
          <w:tcPr>
            <w:tcW w:w="2152" w:type="dxa"/>
            <w:tcBorders>
              <w:top w:val="single" w:sz="6" w:space="0" w:color="000000"/>
              <w:left w:val="single" w:sz="6" w:space="0" w:color="000000"/>
              <w:bottom w:val="single" w:sz="6" w:space="0" w:color="000000"/>
              <w:right w:val="single" w:sz="6" w:space="0" w:color="000000"/>
            </w:tcBorders>
          </w:tcPr>
          <w:p w14:paraId="7A7418BE" w14:textId="24560184"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4B14CA99" w14:textId="16CF2322" w:rsidR="006C425E" w:rsidRDefault="006C425E" w:rsidP="00B902E9">
            <w:pPr>
              <w:jc w:val="center"/>
              <w:rPr>
                <w:b/>
              </w:rPr>
            </w:pPr>
            <w:r>
              <w:rPr>
                <w:b/>
              </w:rPr>
              <w:t>Ekonomikas ministrijas 02.09.19 atzinums.</w:t>
            </w:r>
          </w:p>
          <w:p w14:paraId="52E62756" w14:textId="32D17E7F" w:rsidR="006C425E" w:rsidRDefault="006C425E" w:rsidP="006C425E">
            <w:pPr>
              <w:jc w:val="both"/>
              <w:rPr>
                <w:b/>
              </w:rPr>
            </w:pPr>
            <w:r w:rsidRPr="00642B0A">
              <w:rPr>
                <w:b/>
                <w:bCs/>
              </w:rPr>
              <w:t>Lūgums detalizēti, argumentēti un ar atsaucēm papildināt Informatīvā ziņojuma 5.nodaļā iekļauto informāciju</w:t>
            </w:r>
            <w:r w:rsidRPr="00642B0A">
              <w:t>, jo šobrīd tajā iekļautā informācija ir vienpusēja un tendencioza.</w:t>
            </w:r>
          </w:p>
        </w:tc>
        <w:tc>
          <w:tcPr>
            <w:tcW w:w="5103" w:type="dxa"/>
            <w:tcBorders>
              <w:top w:val="single" w:sz="6" w:space="0" w:color="000000"/>
              <w:left w:val="single" w:sz="6" w:space="0" w:color="000000"/>
              <w:bottom w:val="single" w:sz="6" w:space="0" w:color="000000"/>
              <w:right w:val="single" w:sz="6" w:space="0" w:color="000000"/>
            </w:tcBorders>
          </w:tcPr>
          <w:p w14:paraId="78EC29A1" w14:textId="77777777" w:rsidR="008B684E" w:rsidRDefault="006C425E" w:rsidP="008B684E">
            <w:pPr>
              <w:spacing w:before="120" w:after="120"/>
              <w:jc w:val="center"/>
            </w:pPr>
            <w:r w:rsidRPr="00AA4B99">
              <w:rPr>
                <w:b/>
              </w:rPr>
              <w:t>Ņemts vērā</w:t>
            </w:r>
            <w:r w:rsidRPr="00AA4B99">
              <w:t>.</w:t>
            </w:r>
          </w:p>
          <w:p w14:paraId="32542EA7" w14:textId="5CB658C7" w:rsidR="006C425E" w:rsidRPr="00AA4B99" w:rsidRDefault="006C425E" w:rsidP="006C425E">
            <w:pPr>
              <w:spacing w:before="120" w:after="120"/>
            </w:pPr>
            <w:r w:rsidRPr="00AA4B99">
              <w:t>Precizēta 5. nodaļa</w:t>
            </w:r>
          </w:p>
          <w:p w14:paraId="627FE0E3" w14:textId="77777777" w:rsidR="006C425E" w:rsidRPr="00AA4B99" w:rsidRDefault="006C425E" w:rsidP="006C425E">
            <w:pPr>
              <w:jc w:val="both"/>
              <w:rPr>
                <w:b/>
                <w:lang w:eastAsia="x-none"/>
              </w:rPr>
            </w:pPr>
          </w:p>
        </w:tc>
        <w:tc>
          <w:tcPr>
            <w:tcW w:w="2385" w:type="dxa"/>
            <w:tcBorders>
              <w:top w:val="single" w:sz="4" w:space="0" w:color="auto"/>
              <w:left w:val="single" w:sz="4" w:space="0" w:color="auto"/>
              <w:bottom w:val="single" w:sz="4" w:space="0" w:color="auto"/>
            </w:tcBorders>
          </w:tcPr>
          <w:p w14:paraId="5EE34BB7" w14:textId="558407B2" w:rsidR="006C425E" w:rsidRPr="00494DFF" w:rsidRDefault="008B684E" w:rsidP="006C425E">
            <w:pPr>
              <w:jc w:val="both"/>
              <w:rPr>
                <w:color w:val="000000" w:themeColor="text1"/>
              </w:rPr>
            </w:pPr>
            <w:r>
              <w:rPr>
                <w:b/>
              </w:rPr>
              <w:t>Informatīvais ziņojums</w:t>
            </w:r>
          </w:p>
        </w:tc>
      </w:tr>
      <w:tr w:rsidR="00EC4256" w:rsidRPr="00606385" w14:paraId="62ABA65F"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DA58B66" w14:textId="7DE8CF4F" w:rsidR="00EC4256" w:rsidRDefault="00586C29" w:rsidP="006C425E">
            <w:r>
              <w:t>11</w:t>
            </w:r>
            <w:r w:rsidR="00EC1EBF">
              <w:t>.</w:t>
            </w:r>
          </w:p>
        </w:tc>
        <w:tc>
          <w:tcPr>
            <w:tcW w:w="2152" w:type="dxa"/>
            <w:tcBorders>
              <w:top w:val="single" w:sz="6" w:space="0" w:color="000000"/>
              <w:left w:val="single" w:sz="6" w:space="0" w:color="000000"/>
              <w:bottom w:val="single" w:sz="6" w:space="0" w:color="000000"/>
              <w:right w:val="single" w:sz="6" w:space="0" w:color="000000"/>
            </w:tcBorders>
          </w:tcPr>
          <w:p w14:paraId="12E1AD36" w14:textId="44FA01D0" w:rsidR="00EC4256" w:rsidRDefault="00EC1EBF"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E1A78E1" w14:textId="77777777" w:rsidR="00EC4256" w:rsidRDefault="00EC4256" w:rsidP="00EC4256">
            <w:pPr>
              <w:spacing w:before="120" w:after="120"/>
              <w:jc w:val="center"/>
              <w:rPr>
                <w:b/>
              </w:rPr>
            </w:pPr>
            <w:r>
              <w:rPr>
                <w:b/>
              </w:rPr>
              <w:t>Ekonomikas ministrijas 02.09.19 atzinums</w:t>
            </w:r>
          </w:p>
          <w:p w14:paraId="089C3EF0" w14:textId="77777777" w:rsidR="00EC4256" w:rsidRPr="00642B0A" w:rsidRDefault="00EC4256" w:rsidP="00EC4256">
            <w:pPr>
              <w:spacing w:before="120" w:after="120"/>
              <w:jc w:val="both"/>
            </w:pPr>
            <w:r w:rsidRPr="00642B0A">
              <w:rPr>
                <w:b/>
                <w:bCs/>
              </w:rPr>
              <w:t>Lūgums iekļaut pilnīgu informāciju par EKII darbības efektivitāti</w:t>
            </w:r>
            <w:r w:rsidRPr="00642B0A">
              <w:t xml:space="preserve"> un īpaši iekļaut </w:t>
            </w:r>
            <w:r w:rsidRPr="00642B0A">
              <w:lastRenderedPageBreak/>
              <w:t>Valsts kontroles revīzijas Nr. 2.4.1-16/2016 “Vai Vides aizsardzības un reģionālās attīstības ministrijas administrētie klimata pārmaiņu samazināšanai paredzētie līdzekļi tiek plānoti un izlietoti efektīvi un atbilstoši normatīvo aktu prasībām?”</w:t>
            </w:r>
            <w:r w:rsidRPr="00642B0A">
              <w:rPr>
                <w:rStyle w:val="FootnoteReference"/>
              </w:rPr>
              <w:footnoteReference w:id="10"/>
            </w:r>
            <w:r w:rsidRPr="00642B0A">
              <w:t xml:space="preserve"> (2017.gads), lai pamatotu to, vai tiešām EKII ir efektīvs instruments valstij noteikto saistošo mērķu sasniegšanai. Valsts kontroles revīzijas ziņojumā salīdzinot EKII un Klimata pārmaiņu finanšu instrumenta (turpmāk – KPFI) īstenošanas efektivitāti, tika secināts, ka EKII efektivitātes rādītājs ir vairāk nekā 35 reizes mazāks nekā KPFI efektivitātes rādītājs.</w:t>
            </w:r>
          </w:p>
          <w:p w14:paraId="6D271F94" w14:textId="77777777" w:rsidR="00EC4256" w:rsidRPr="00642B0A" w:rsidRDefault="00EC4256" w:rsidP="00EC4256">
            <w:pPr>
              <w:spacing w:before="120" w:after="120"/>
              <w:jc w:val="both"/>
            </w:pPr>
            <w:r w:rsidRPr="00642B0A">
              <w:t>Ņemot vērā VARAM izstrādātajā konceptuālajā ziņojumā “Par bezmaksas emisijas kvotu piešķiršanu elektroenerģijas ražotājiem Eiropas Savienības emisiju tirdzniecības sistēmas 2021. - 2030. gada periodā”, kas apstiprināts Ministru kabineta 2019.gada 16.jūlija sēdē (Ministru kabineta 2019.gda 16.jūlija sēdes protokola Nr.33 75.§), iekļauto informāciju, šobrīd ir pamatotas šaubas par EKII kā efektīvu rīku valstij noteikto mērķu sasniegšanai. Ekonomikas ministrijas veiktais aprēķins uzrāda šādu SEG emisiju izmaksu efektivitāti EKII ietvaros īstenotajos projektos:</w:t>
            </w:r>
          </w:p>
          <w:p w14:paraId="10F358EB" w14:textId="77777777" w:rsidR="00EC4256" w:rsidRPr="00642B0A" w:rsidRDefault="00EC4256" w:rsidP="00EC4256">
            <w:pPr>
              <w:widowControl w:val="0"/>
              <w:numPr>
                <w:ilvl w:val="0"/>
                <w:numId w:val="31"/>
              </w:numPr>
              <w:spacing w:before="120" w:after="120"/>
              <w:ind w:left="343" w:hanging="230"/>
              <w:jc w:val="both"/>
            </w:pPr>
            <w:r w:rsidRPr="00642B0A">
              <w:lastRenderedPageBreak/>
              <w:t>“Siltumnīcefekta gāzu emisiju samazināšana valsts nozīmes aizsargājamos arhitektūras pieminekļos” – izmaksu efektivitāte 19 459,1 EUR uz tonnu CO</w:t>
            </w:r>
            <w:r w:rsidRPr="00642B0A">
              <w:rPr>
                <w:vertAlign w:val="subscript"/>
              </w:rPr>
              <w:t>2</w:t>
            </w:r>
            <w:r w:rsidRPr="00642B0A">
              <w:t xml:space="preserve"> emisiju;</w:t>
            </w:r>
          </w:p>
          <w:p w14:paraId="62A6F56D" w14:textId="77777777" w:rsidR="00EC4256" w:rsidRPr="00642B0A" w:rsidRDefault="00EC4256" w:rsidP="00EC4256">
            <w:pPr>
              <w:widowControl w:val="0"/>
              <w:numPr>
                <w:ilvl w:val="0"/>
                <w:numId w:val="31"/>
              </w:numPr>
              <w:spacing w:before="120" w:after="120"/>
              <w:ind w:left="343" w:hanging="230"/>
              <w:jc w:val="both"/>
            </w:pPr>
            <w:r w:rsidRPr="00642B0A">
              <w:t>“Siltumnīcefekta gāzu emisiju samazināšana – zema enerģijas patēriņa ēkas” – izmaksu efektivitāte 41 793,1 EUR uz tonnu CO</w:t>
            </w:r>
            <w:r w:rsidRPr="00642B0A">
              <w:rPr>
                <w:vertAlign w:val="subscript"/>
              </w:rPr>
              <w:t>2</w:t>
            </w:r>
            <w:r w:rsidRPr="00642B0A">
              <w:t xml:space="preserve"> emisiju;</w:t>
            </w:r>
          </w:p>
          <w:p w14:paraId="3A22506F" w14:textId="77777777" w:rsidR="00EC4256" w:rsidRPr="00642B0A" w:rsidRDefault="00EC4256" w:rsidP="00EC4256">
            <w:pPr>
              <w:widowControl w:val="0"/>
              <w:numPr>
                <w:ilvl w:val="0"/>
                <w:numId w:val="31"/>
              </w:numPr>
              <w:spacing w:before="120" w:after="120"/>
              <w:ind w:left="343" w:hanging="230"/>
              <w:jc w:val="both"/>
            </w:pPr>
            <w:r w:rsidRPr="00642B0A">
              <w:t>“Siltumnīcefekta gāzu emisiju samazināšana ar viedajām pilsētvides tehnoloģijām” – izmaksu efektivitāte 10 700,4 EUR uz tonnu CO</w:t>
            </w:r>
            <w:r w:rsidRPr="00642B0A">
              <w:rPr>
                <w:vertAlign w:val="subscript"/>
              </w:rPr>
              <w:t>2</w:t>
            </w:r>
            <w:r w:rsidRPr="00642B0A">
              <w:t xml:space="preserve"> emisiju.</w:t>
            </w:r>
          </w:p>
          <w:p w14:paraId="51747323" w14:textId="77777777" w:rsidR="00EC4256" w:rsidRDefault="00EC4256" w:rsidP="00EC4256">
            <w:pPr>
              <w:jc w:val="both"/>
            </w:pPr>
            <w:r w:rsidRPr="00642B0A">
              <w:t>Tāpat ir secināms, ka uz 2018.gadu EKII pieejamais finanšu līdzekļu apjoms ir apmēram 166,7 milj.EUR, bet EKII ietvaros īstenotajiem projektiem piešķirtais finansējums līdz 2018.gadam ir tikai 22,6 milj.EUR, kas rada šaubas par VARAM kapacitātes iespējām lietderīgam EKII līdzekļu izlietojumam.</w:t>
            </w:r>
          </w:p>
          <w:p w14:paraId="7B71E41F" w14:textId="77777777" w:rsidR="00EC4256" w:rsidRPr="00642B0A" w:rsidRDefault="00EC4256" w:rsidP="00EC4256">
            <w:pPr>
              <w:spacing w:before="120" w:after="120"/>
              <w:jc w:val="both"/>
            </w:pPr>
            <w:r w:rsidRPr="00642B0A">
              <w:t>Papildus ir jānorāda, ka saskaņā ar VARAM ministra J.Pūces 2019.gada 7.maija Ministru kabineta sēdē pausto viedokli</w:t>
            </w:r>
            <w:r w:rsidRPr="00642B0A">
              <w:rPr>
                <w:rStyle w:val="FootnoteReference"/>
              </w:rPr>
              <w:footnoteReference w:id="11"/>
            </w:r>
            <w:r w:rsidRPr="00642B0A">
              <w:t>, EKII līdzekļi tiks izlietoti šādiem pasākumiem kā prioritātēm – tīro transportlīdzekļu veicināšana publiskajā sektorā, ieguldījumi tehnoloģijās, stimulējot klimata tehnoloģiju ražošanu</w:t>
            </w:r>
            <w:r w:rsidRPr="00642B0A">
              <w:rPr>
                <w:rStyle w:val="FootnoteReference"/>
              </w:rPr>
              <w:footnoteReference w:id="12"/>
            </w:r>
            <w:r w:rsidRPr="00642B0A">
              <w:t xml:space="preserve">, </w:t>
            </w:r>
            <w:r w:rsidRPr="00642B0A">
              <w:lastRenderedPageBreak/>
              <w:t>vai publiskā sektora būvniecības aktivitātes</w:t>
            </w:r>
            <w:r w:rsidRPr="00642B0A">
              <w:rPr>
                <w:rStyle w:val="FootnoteReference"/>
              </w:rPr>
              <w:footnoteReference w:id="13"/>
            </w:r>
            <w:r w:rsidRPr="00642B0A">
              <w:t>, koncentrējoties uz inovācijām, kā arī tika norādīts, ka netiks atbalstīti tādi pasākumi, kā energoefektivitātes uzlabošana ēkās.</w:t>
            </w:r>
          </w:p>
          <w:p w14:paraId="5B49745E" w14:textId="77777777" w:rsidR="00EC4256" w:rsidRPr="00642B0A" w:rsidRDefault="00EC4256" w:rsidP="00EC4256">
            <w:pPr>
              <w:spacing w:before="120" w:after="120"/>
              <w:jc w:val="both"/>
            </w:pPr>
            <w:r w:rsidRPr="00642B0A">
              <w:t>Līdz ar to norādām, ka Informatīvā ziņojuma 5.nodaļa ir būtiski papildināma, kā arī ir nepieciešams šajā nodaļā svītrot uzsvaru uz EKII priekšrocībām.</w:t>
            </w:r>
          </w:p>
          <w:p w14:paraId="76BEAC55" w14:textId="75F239B3" w:rsidR="00EC4256" w:rsidRDefault="00EC4256" w:rsidP="00EC4256">
            <w:pPr>
              <w:spacing w:before="120" w:after="120"/>
              <w:jc w:val="both"/>
              <w:rPr>
                <w:b/>
              </w:rPr>
            </w:pPr>
            <w:r w:rsidRPr="00642B0A">
              <w:t>Tāpat norādām, ka periodā no 2021.gada līdz 2030.gadam saskaņā ar Informatīvajā ziņojumā iekļauto informāciju VARAM no emisijas kvotu izsolīšanas būs pieejami līdz 490 milj. EUR</w:t>
            </w:r>
            <w:r w:rsidRPr="00642B0A">
              <w:rPr>
                <w:rStyle w:val="FootnoteReference"/>
              </w:rPr>
              <w:footnoteReference w:id="14"/>
            </w:r>
            <w:r w:rsidRPr="00642B0A">
              <w:t xml:space="preserve"> (vai 365 milj.EUR bez tā emisijas kvotu apjoma, kas būtu piešķiramas bez maksas elektroenerģijas ražotājiem). Papildus šim apjomam VARAM būs pieejams arī EKII pieejamais finanšu līdzekļu apjoms, kas netiks izlietots periodā līdz 2021.gadam (šobrīd EKII atlikums ir apmēram 120 milj.EUR</w:t>
            </w:r>
            <w:r w:rsidRPr="00642B0A">
              <w:rPr>
                <w:rStyle w:val="FootnoteReference"/>
              </w:rPr>
              <w:footnoteReference w:id="15"/>
            </w:r>
            <w:r w:rsidRPr="00642B0A">
              <w:t>), kā arī KPFII līdzekļu atlikums</w:t>
            </w:r>
            <w:r w:rsidRPr="00642B0A">
              <w:rPr>
                <w:rStyle w:val="FootnoteReference"/>
              </w:rPr>
              <w:footnoteReference w:id="16"/>
            </w:r>
            <w:r w:rsidRPr="00642B0A">
              <w:t xml:space="preserve">. Tātad ir secināms, ka </w:t>
            </w:r>
            <w:r w:rsidRPr="00642B0A">
              <w:rPr>
                <w:u w:val="single"/>
              </w:rPr>
              <w:t>jau šobrīd VARAM EKII ietvaros var rēķināties ar apmēram 610 milj.EUR (vai 485 milj.EUR bez tā emisijas kvotu apjoma, kas būtu piešķiramas bez maksas elektroenerģijas ražotājiem)</w:t>
            </w:r>
            <w:r w:rsidRPr="00642B0A">
              <w:t xml:space="preserve">, kas ir </w:t>
            </w:r>
            <w:r w:rsidRPr="00642B0A">
              <w:lastRenderedPageBreak/>
              <w:t>ievērojami lielāks finansējuma apjoms, kas Latvijai ir pieejams enerģētikas mērķu sasniegšanā. Ekonomikas ministrijai enerģētikas un energoefektivitātes mērķu sasniegšanai īstenojamiem pasākumiem periodā no 2014.gada līdz 2020.gadam ES fondu ietvaros ir pieejami 377 milj.EUR</w:t>
            </w:r>
            <w:r w:rsidRPr="00642B0A">
              <w:rPr>
                <w:rStyle w:val="FootnoteReference"/>
              </w:rPr>
              <w:footnoteReference w:id="17"/>
            </w:r>
            <w:r w:rsidRPr="00642B0A">
              <w:t>, un ir paredzams, ka periodā pēc 2021.gada šis apjoms būs mazāks.</w:t>
            </w:r>
          </w:p>
        </w:tc>
        <w:tc>
          <w:tcPr>
            <w:tcW w:w="5103" w:type="dxa"/>
            <w:tcBorders>
              <w:top w:val="single" w:sz="6" w:space="0" w:color="000000"/>
              <w:left w:val="single" w:sz="6" w:space="0" w:color="000000"/>
              <w:bottom w:val="single" w:sz="6" w:space="0" w:color="000000"/>
              <w:right w:val="single" w:sz="6" w:space="0" w:color="000000"/>
            </w:tcBorders>
          </w:tcPr>
          <w:p w14:paraId="1C636DF9" w14:textId="6601451C" w:rsidR="00EC4256" w:rsidRDefault="006135C1" w:rsidP="00EC4256">
            <w:pPr>
              <w:jc w:val="center"/>
              <w:rPr>
                <w:b/>
              </w:rPr>
            </w:pPr>
            <w:r>
              <w:rPr>
                <w:b/>
              </w:rPr>
              <w:lastRenderedPageBreak/>
              <w:t>Ņ</w:t>
            </w:r>
            <w:r w:rsidR="00EC4256">
              <w:rPr>
                <w:b/>
              </w:rPr>
              <w:t>emts vērā</w:t>
            </w:r>
          </w:p>
          <w:p w14:paraId="2D7EB104" w14:textId="77777777" w:rsidR="00EC4256" w:rsidRDefault="00EC4256" w:rsidP="00EC4256">
            <w:pPr>
              <w:jc w:val="both"/>
            </w:pPr>
          </w:p>
          <w:p w14:paraId="7059ABD6" w14:textId="77777777" w:rsidR="00EC4256" w:rsidRPr="00AA4B99" w:rsidRDefault="00EC4256" w:rsidP="00EC4256">
            <w:pPr>
              <w:jc w:val="both"/>
              <w:rPr>
                <w:b/>
              </w:rPr>
            </w:pPr>
            <w:r w:rsidRPr="00AA4B99">
              <w:t>Ir iekļauta informācija saistībā ar EKII darbības efektivitāti.</w:t>
            </w:r>
          </w:p>
          <w:p w14:paraId="3B221239" w14:textId="77777777" w:rsidR="00EC4256" w:rsidRDefault="00EC4256" w:rsidP="00EC4256">
            <w:pPr>
              <w:jc w:val="both"/>
            </w:pPr>
          </w:p>
          <w:p w14:paraId="2521FAB0" w14:textId="43F292AF" w:rsidR="00EC4256" w:rsidRPr="00AA4B99" w:rsidRDefault="00EC4256" w:rsidP="00EC4256">
            <w:pPr>
              <w:jc w:val="both"/>
            </w:pPr>
            <w:r>
              <w:lastRenderedPageBreak/>
              <w:t>VARAM sniedzot atbildi</w:t>
            </w:r>
            <w:r w:rsidRPr="00AA4B99">
              <w:t xml:space="preserve"> Valsts Kontrolei </w:t>
            </w:r>
            <w:r>
              <w:t xml:space="preserve">attiecībā uz veikto revīziju </w:t>
            </w:r>
            <w:r w:rsidRPr="00AA4B99">
              <w:t>un arī</w:t>
            </w:r>
            <w:r>
              <w:t xml:space="preserve"> kā tas tika </w:t>
            </w:r>
            <w:r w:rsidRPr="00AA4B99">
              <w:t xml:space="preserve">norādīts konceptuālā ziņojuma “Par konceptuālo ziņojumu "Par bezmaksas emisijas kvotu piešķiršanu elektroenerģijas ražotājiem Eiropas Savienības emisiju tirdzniecības sistēmas 2021.–2030. gada periodā"” saskaņošanas </w:t>
            </w:r>
            <w:r>
              <w:t>laikā</w:t>
            </w:r>
            <w:r w:rsidRPr="00AA4B99">
              <w:t>, ir būtiski ņemt vērā, ka par EKII efektivitāti nevar spriest tikai pēc, piemēram, iz</w:t>
            </w:r>
            <w:r>
              <w:t>lietotā</w:t>
            </w:r>
            <w:r w:rsidRPr="00AA4B99">
              <w:t xml:space="preserve"> EKII finansējuma </w:t>
            </w:r>
            <w:r w:rsidR="00543123" w:rsidRPr="00543123">
              <w:rPr>
                <w:i/>
              </w:rPr>
              <w:t>euro</w:t>
            </w:r>
            <w:r w:rsidRPr="00AA4B99">
              <w:rPr>
                <w:i/>
              </w:rPr>
              <w:t xml:space="preserve"> </w:t>
            </w:r>
            <w:r w:rsidRPr="00AA4B99">
              <w:t>pret sasniegtajiem CO</w:t>
            </w:r>
            <w:r w:rsidRPr="00AA4B99">
              <w:rPr>
                <w:vertAlign w:val="subscript"/>
              </w:rPr>
              <w:t>2</w:t>
            </w:r>
            <w:r w:rsidRPr="00AA4B99">
              <w:t xml:space="preserve"> tiešajiem emisijas samazinājumiem, jo būtiski ņemt vērā arī netiešos SEG emisiju samazinājumus, kas iespējami dēļ projektu demonstrācijas, inovācijas un multiplikatīvā efekta. Tas ir sevišķi svarīgi, jo klimata politikas mērķu sasniegšanai nepieciešamas pakāpeniskas, visaptverošas un būtiskas izmaiņas tautsaimniecībā un iedzīvotāju dzīvesveidā un to nav iespējams panākt tikai līdzfinansējot atsevišķus projektus. Papildus jānorāda, ka EKII ieļautie konkursi var būt ar ļoti atšķirīgiem īstenošanas nosacījumiem un pat viena konkursa ietvaros esošie projekti var būt ar būtiski atšķirīgiem raksturlielumiem. EKII konkursos atbalstāmās aktivitātes, kritēriji, rezultatīvie rādītāji un citi nosacījumi ir atrunāti EKII konkursu nolikumos, kas saskaņoti un apstiprināti kā MK noteikumi. </w:t>
            </w:r>
          </w:p>
          <w:p w14:paraId="239AED95" w14:textId="77777777" w:rsidR="00EC4256" w:rsidRDefault="00EC4256" w:rsidP="00EC4256">
            <w:pPr>
              <w:jc w:val="both"/>
            </w:pPr>
          </w:p>
          <w:p w14:paraId="09993716" w14:textId="1C8CAF0A" w:rsidR="00EC4256" w:rsidRPr="00AA4B99" w:rsidRDefault="00EC4256" w:rsidP="00EC4256">
            <w:pPr>
              <w:jc w:val="both"/>
            </w:pPr>
            <w:r w:rsidRPr="00AA4B99">
              <w:t>VARAM apstiprina, ka uz 2018. gada beigām kopējie ieņ</w:t>
            </w:r>
            <w:r>
              <w:t>ēmumi no emisijas kvotu izsolēm</w:t>
            </w:r>
            <w:r w:rsidRPr="00AA4B99">
              <w:t xml:space="preserve"> bija 166,7 milj. </w:t>
            </w:r>
            <w:r w:rsidR="00543123" w:rsidRPr="00543123">
              <w:rPr>
                <w:i/>
              </w:rPr>
              <w:t>euro</w:t>
            </w:r>
            <w:r>
              <w:t>. Tomēr jāņem vērā</w:t>
            </w:r>
            <w:r w:rsidRPr="00AA4B99">
              <w:t xml:space="preserve">, ka 60,66 </w:t>
            </w:r>
            <w:r>
              <w:t xml:space="preserve">milj. </w:t>
            </w:r>
            <w:r w:rsidR="00543123" w:rsidRPr="00543123">
              <w:rPr>
                <w:i/>
              </w:rPr>
              <w:lastRenderedPageBreak/>
              <w:t>euro</w:t>
            </w:r>
            <w:r>
              <w:t xml:space="preserve"> tika gūti tikai 2018. </w:t>
            </w:r>
            <w:r w:rsidRPr="00AA4B99">
              <w:t>gada novembra vidū no emisijas kvotu realizācijas sekundārajā tirgū</w:t>
            </w:r>
            <w:r>
              <w:t>, kas bija vienreizējs darījums. Jāuzsver, ka līdz 2018. gadam finansējuma apjoms</w:t>
            </w:r>
            <w:r w:rsidRPr="00AA4B99">
              <w:t xml:space="preserve"> </w:t>
            </w:r>
            <w:r>
              <w:t xml:space="preserve">EKII ietvaros palielinājās </w:t>
            </w:r>
            <w:r w:rsidRPr="00AA4B99">
              <w:t>salīdzinoši lēni un bija jāakumulē</w:t>
            </w:r>
            <w:r>
              <w:t xml:space="preserve"> (jāuzkrāj)</w:t>
            </w:r>
            <w:r w:rsidRPr="00AA4B99">
              <w:t>, lai varētu realizēt projektu konkursus</w:t>
            </w:r>
            <w:r>
              <w:t xml:space="preserve">. Emisijas kvotas </w:t>
            </w:r>
            <w:r w:rsidRPr="00AA4B99">
              <w:t>gada vidējā cena laika periodā no 2012. gada no</w:t>
            </w:r>
            <w:r>
              <w:t>vembra līdz 2017. </w:t>
            </w:r>
            <w:r w:rsidRPr="00AA4B99">
              <w:t>gada beigām svārst</w:t>
            </w:r>
            <w:r>
              <w:t>ī</w:t>
            </w:r>
            <w:r w:rsidRPr="00AA4B99">
              <w:t xml:space="preserve">jās no 4,40 </w:t>
            </w:r>
            <w:r w:rsidR="00543123" w:rsidRPr="00543123">
              <w:rPr>
                <w:i/>
              </w:rPr>
              <w:t>euro</w:t>
            </w:r>
            <w:r w:rsidRPr="00AA4B99">
              <w:t xml:space="preserve"> līdz 7,63 </w:t>
            </w:r>
            <w:r w:rsidR="00543123" w:rsidRPr="00543123">
              <w:rPr>
                <w:i/>
              </w:rPr>
              <w:t>euro</w:t>
            </w:r>
            <w:r w:rsidRPr="00AA4B99">
              <w:t>, tādejādi ša</w:t>
            </w:r>
            <w:r>
              <w:t>jā laika periodā tika gūti</w:t>
            </w:r>
            <w:r w:rsidRPr="00AA4B99">
              <w:t xml:space="preserve"> 65,33 milj </w:t>
            </w:r>
            <w:r w:rsidR="00543123" w:rsidRPr="00543123">
              <w:rPr>
                <w:i/>
              </w:rPr>
              <w:t>euro</w:t>
            </w:r>
            <w:r w:rsidRPr="00AA4B99">
              <w:t>. 2018.</w:t>
            </w:r>
            <w:r>
              <w:t> </w:t>
            </w:r>
            <w:r w:rsidRPr="00AA4B99">
              <w:t xml:space="preserve">gadā uzsākās straujš emisijas kvotu cenu kāpums kas arī nodrošināja izsoļu ieņēmumus primārajā tirgū ~40,69 milj. </w:t>
            </w:r>
            <w:r w:rsidR="00543123" w:rsidRPr="00543123">
              <w:rPr>
                <w:i/>
              </w:rPr>
              <w:t>euro</w:t>
            </w:r>
            <w:r w:rsidRPr="00AA4B99">
              <w:t xml:space="preserve"> apmērā</w:t>
            </w:r>
            <w:r>
              <w:t>.</w:t>
            </w:r>
            <w:r w:rsidRPr="00AA4B99">
              <w:t xml:space="preserve"> Līdz ar to vien</w:t>
            </w:r>
            <w:r>
              <w:t>a gada laikā -</w:t>
            </w:r>
            <w:r w:rsidRPr="00AA4B99">
              <w:t xml:space="preserve"> 2018. gadā </w:t>
            </w:r>
            <w:r>
              <w:t xml:space="preserve">- </w:t>
            </w:r>
            <w:r w:rsidRPr="00AA4B99">
              <w:t>tika gūts 1,55 reizes vairāk ieņēmumu nekā iepriekšējos piecos gados un divos mēnešos</w:t>
            </w:r>
            <w:r>
              <w:t xml:space="preserve"> kopā</w:t>
            </w:r>
            <w:r w:rsidRPr="00AA4B99">
              <w:t>. EKII</w:t>
            </w:r>
            <w:r>
              <w:t xml:space="preserve"> ietvaros notiek 4 projektu konkursu īstenošana</w:t>
            </w:r>
            <w:r w:rsidRPr="00AA4B99">
              <w:t xml:space="preserve"> par projektu realizāciju 49,76 milj. </w:t>
            </w:r>
            <w:r w:rsidR="00543123" w:rsidRPr="00543123">
              <w:rPr>
                <w:i/>
              </w:rPr>
              <w:t>euro</w:t>
            </w:r>
            <w:r w:rsidRPr="00AA4B99">
              <w:t xml:space="preserve"> apmērā</w:t>
            </w:r>
            <w:r>
              <w:t>.</w:t>
            </w:r>
            <w:r w:rsidRPr="00AA4B99">
              <w:t xml:space="preserve"> </w:t>
            </w:r>
            <w:r>
              <w:t>Papildus tam VARAM izstrādā</w:t>
            </w:r>
            <w:r w:rsidRPr="00AA4B99">
              <w:t xml:space="preserve"> </w:t>
            </w:r>
            <w:r>
              <w:t>nākamo</w:t>
            </w:r>
            <w:r w:rsidRPr="00AA4B99">
              <w:t xml:space="preserve"> EKII projektu konkurs</w:t>
            </w:r>
            <w:r>
              <w:t>u, kura starpministriju saskaņošana plānota tuvāko mēnešu laikā.</w:t>
            </w:r>
            <w:r w:rsidRPr="00AA4B99">
              <w:t xml:space="preserve"> Ņemot vērā iepriekš minēto nav pamat</w:t>
            </w:r>
            <w:r>
              <w:t>s</w:t>
            </w:r>
            <w:r w:rsidRPr="00AA4B99">
              <w:t xml:space="preserve"> uzskatīt, ka </w:t>
            </w:r>
            <w:r>
              <w:t xml:space="preserve">būtu kapacitātes trūkums </w:t>
            </w:r>
            <w:r w:rsidRPr="00AA4B99">
              <w:t>EKII finanšu instrumenta līdzekļu apguvei un administrēšanai.</w:t>
            </w:r>
          </w:p>
          <w:p w14:paraId="55E3052F" w14:textId="77777777" w:rsidR="00EC4256" w:rsidRPr="00AA4B99" w:rsidRDefault="00EC4256" w:rsidP="00EC4256">
            <w:pPr>
              <w:spacing w:before="120" w:after="120"/>
              <w:jc w:val="both"/>
            </w:pPr>
            <w:r w:rsidRPr="00AA4B99">
              <w:t xml:space="preserve">VARAM informē, ka šobrīd norisinās darbs pie EKII darbības stratēģijas atjaunošanas, kas tiks skaņota ar ministrijām un virzīta apstiprināšanai MK. </w:t>
            </w:r>
            <w:r>
              <w:t xml:space="preserve">EKII darbības </w:t>
            </w:r>
            <w:r w:rsidRPr="00AA4B99">
              <w:t xml:space="preserve">stratēģijā būs identificēti </w:t>
            </w:r>
            <w:r>
              <w:t>prioritārie</w:t>
            </w:r>
            <w:r w:rsidRPr="00AA4B99">
              <w:t xml:space="preserve"> investīciju virzieni, turklāt </w:t>
            </w:r>
            <w:r>
              <w:t>tiek izvērtēta</w:t>
            </w:r>
            <w:r w:rsidRPr="00AA4B99">
              <w:t xml:space="preserve"> </w:t>
            </w:r>
            <w:r>
              <w:t>iespēja par</w:t>
            </w:r>
            <w:r w:rsidRPr="00AA4B99">
              <w:t xml:space="preserve"> līdzekļu izlietošanas optimizēšanu, t.sk. </w:t>
            </w:r>
            <w:r w:rsidRPr="00AA4B99">
              <w:lastRenderedPageBreak/>
              <w:t>potenciālu papildus jaunu finansēšanas mehānismu ieviešanu EKII finanšu instrumenta ietvaros.</w:t>
            </w:r>
          </w:p>
          <w:p w14:paraId="014AACC7" w14:textId="77777777" w:rsidR="00EC4256" w:rsidRPr="00AA4B99" w:rsidRDefault="00EC4256" w:rsidP="00EC4256">
            <w:pPr>
              <w:spacing w:before="120" w:after="120"/>
              <w:jc w:val="both"/>
              <w:rPr>
                <w:bCs/>
              </w:rPr>
            </w:pPr>
            <w:r w:rsidRPr="00AA4B99">
              <w:rPr>
                <w:bCs/>
              </w:rPr>
              <w:t xml:space="preserve">Vēršam Ekonomikas ministrijas uzmanību, ka nav korekti salīdzināt finansējuma apmērus vienā gadījumā (EKII) skaitot klāt esošā perioda </w:t>
            </w:r>
            <w:r>
              <w:rPr>
                <w:bCs/>
              </w:rPr>
              <w:t>neizmantotos</w:t>
            </w:r>
            <w:r w:rsidRPr="00AA4B99">
              <w:rPr>
                <w:bCs/>
              </w:rPr>
              <w:t xml:space="preserve"> ieņēmumus ar ieņēmumiem, kas tiks gūti periodā 2021</w:t>
            </w:r>
            <w:r>
              <w:rPr>
                <w:bCs/>
              </w:rPr>
              <w:t>.</w:t>
            </w:r>
            <w:r w:rsidRPr="00AA4B99">
              <w:rPr>
                <w:bCs/>
              </w:rPr>
              <w:t>-2030</w:t>
            </w:r>
            <w:r>
              <w:rPr>
                <w:bCs/>
              </w:rPr>
              <w:t>.gadā</w:t>
            </w:r>
            <w:r w:rsidRPr="00AA4B99">
              <w:rPr>
                <w:bCs/>
              </w:rPr>
              <w:t>, savukārt, otrā gadījumā (Ekonomikas ministrijai pieejamo līdzekļu apmēru) izdalot periodus atsevišķi (turklāt periodi ir īsāki). Turklāt jāņem vērā, ka nākošais ES daudzgadu budžeta ietvars ir no 2021</w:t>
            </w:r>
            <w:r>
              <w:rPr>
                <w:bCs/>
              </w:rPr>
              <w:t>.</w:t>
            </w:r>
            <w:r w:rsidRPr="00AA4B99">
              <w:rPr>
                <w:bCs/>
              </w:rPr>
              <w:t>-2027.</w:t>
            </w:r>
            <w:r>
              <w:rPr>
                <w:bCs/>
              </w:rPr>
              <w:t> </w:t>
            </w:r>
            <w:r w:rsidRPr="00AA4B99">
              <w:rPr>
                <w:bCs/>
              </w:rPr>
              <w:t>gadam, savukārt ES ETS 4.</w:t>
            </w:r>
            <w:r>
              <w:rPr>
                <w:bCs/>
              </w:rPr>
              <w:t> </w:t>
            </w:r>
            <w:r w:rsidRPr="00AA4B99">
              <w:rPr>
                <w:bCs/>
              </w:rPr>
              <w:t>periods ir no 2021</w:t>
            </w:r>
            <w:r>
              <w:rPr>
                <w:bCs/>
              </w:rPr>
              <w:t>.</w:t>
            </w:r>
            <w:r w:rsidRPr="00AA4B99">
              <w:rPr>
                <w:bCs/>
              </w:rPr>
              <w:t>-2030.</w:t>
            </w:r>
            <w:r>
              <w:rPr>
                <w:bCs/>
              </w:rPr>
              <w:t> </w:t>
            </w:r>
            <w:r w:rsidRPr="00AA4B99">
              <w:rPr>
                <w:bCs/>
              </w:rPr>
              <w:t xml:space="preserve">gadam. </w:t>
            </w:r>
          </w:p>
          <w:p w14:paraId="28D2F376" w14:textId="4EC34EB2" w:rsidR="00EC4256" w:rsidRPr="00AA4B99" w:rsidRDefault="00EC4256" w:rsidP="00EC4256">
            <w:pPr>
              <w:spacing w:before="120" w:after="120"/>
              <w:jc w:val="both"/>
              <w:rPr>
                <w:bCs/>
              </w:rPr>
            </w:pPr>
            <w:r w:rsidRPr="00AA4B99">
              <w:rPr>
                <w:bCs/>
              </w:rPr>
              <w:t>Informatīvajā ziņojumā pieejamais finansējums Modernizācijas fondam un arī EKII laika periodam 2021</w:t>
            </w:r>
            <w:r>
              <w:rPr>
                <w:bCs/>
              </w:rPr>
              <w:t>.</w:t>
            </w:r>
            <w:r w:rsidRPr="00AA4B99">
              <w:rPr>
                <w:bCs/>
              </w:rPr>
              <w:t>-2030.</w:t>
            </w:r>
            <w:r>
              <w:rPr>
                <w:bCs/>
              </w:rPr>
              <w:t> </w:t>
            </w:r>
            <w:r w:rsidRPr="00AA4B99">
              <w:rPr>
                <w:bCs/>
              </w:rPr>
              <w:t xml:space="preserve">gadam ir tikai indikatīvs un balstīts uz esošajām emisijas kvotu cenu prognozēm 25-30,5 </w:t>
            </w:r>
            <w:r w:rsidR="00543123" w:rsidRPr="00543123">
              <w:rPr>
                <w:bCs/>
                <w:i/>
              </w:rPr>
              <w:t>euro</w:t>
            </w:r>
            <w:r w:rsidRPr="00AA4B99">
              <w:rPr>
                <w:bCs/>
              </w:rPr>
              <w:t xml:space="preserve"> par vienu emisijas kvotu. Saskaņā ar informatīvā ziņojuma attēlā Nr.</w:t>
            </w:r>
            <w:r>
              <w:rPr>
                <w:bCs/>
              </w:rPr>
              <w:t> </w:t>
            </w:r>
            <w:r w:rsidRPr="00AA4B99">
              <w:rPr>
                <w:bCs/>
              </w:rPr>
              <w:t>4.</w:t>
            </w:r>
            <w:r>
              <w:rPr>
                <w:bCs/>
              </w:rPr>
              <w:t xml:space="preserve"> sniegto informāciju</w:t>
            </w:r>
            <w:r w:rsidRPr="00AA4B99">
              <w:rPr>
                <w:bCs/>
              </w:rPr>
              <w:t xml:space="preserve"> bāzes scenārijā visā periodā EKII ieņēmumi varētu būt no 401,67 līdz 490,04 milj. </w:t>
            </w:r>
            <w:r w:rsidR="00543123" w:rsidRPr="00543123">
              <w:rPr>
                <w:bCs/>
                <w:i/>
              </w:rPr>
              <w:t>euro</w:t>
            </w:r>
            <w:r w:rsidRPr="00AA4B99">
              <w:rPr>
                <w:bCs/>
              </w:rPr>
              <w:t xml:space="preserve">, taču ir jāņem vērā, ka norādītās emisijas kvotu ieņēmumu prognozes faktiski varētu arī nepiepildīties gadījumā, ja cena noslīd zemāk par 25 </w:t>
            </w:r>
            <w:r w:rsidR="00543123" w:rsidRPr="00543123">
              <w:rPr>
                <w:bCs/>
                <w:i/>
              </w:rPr>
              <w:t>euro</w:t>
            </w:r>
            <w:r w:rsidRPr="00AA4B99">
              <w:rPr>
                <w:bCs/>
              </w:rPr>
              <w:t xml:space="preserve">, kas ir iespējams brīvā tirgus apstākļos. Ja modelē ieņēmumu apjomus ņemot vērā potenciālās </w:t>
            </w:r>
            <w:r>
              <w:rPr>
                <w:bCs/>
              </w:rPr>
              <w:t>emisijas kvotu</w:t>
            </w:r>
            <w:r w:rsidRPr="00AA4B99">
              <w:rPr>
                <w:bCs/>
              </w:rPr>
              <w:t xml:space="preserve"> cenu prognozes laika rindā un </w:t>
            </w:r>
            <w:r w:rsidRPr="00AA4B99">
              <w:rPr>
                <w:bCs/>
              </w:rPr>
              <w:lastRenderedPageBreak/>
              <w:t>ikgadējo tirgus stabilitātes ietekmi uz emisijas kvotu izsolēm (kā tas ir darīts veidojot grafiku informatīvā ziņojuma attēlā Nr.</w:t>
            </w:r>
            <w:r>
              <w:rPr>
                <w:bCs/>
              </w:rPr>
              <w:t> </w:t>
            </w:r>
            <w:r w:rsidRPr="00AA4B99">
              <w:rPr>
                <w:bCs/>
              </w:rPr>
              <w:t xml:space="preserve">5), tad kopējie EKII ieņēmumi laika periodam varētu būt ~470 </w:t>
            </w:r>
            <w:r w:rsidR="00543123" w:rsidRPr="00543123">
              <w:rPr>
                <w:bCs/>
                <w:i/>
              </w:rPr>
              <w:t>euro</w:t>
            </w:r>
            <w:r>
              <w:rPr>
                <w:bCs/>
              </w:rPr>
              <w:t>.</w:t>
            </w:r>
            <w:r w:rsidRPr="00AA4B99">
              <w:rPr>
                <w:bCs/>
              </w:rPr>
              <w:t xml:space="preserve"> </w:t>
            </w:r>
            <w:r>
              <w:rPr>
                <w:bCs/>
              </w:rPr>
              <w:t>T</w:t>
            </w:r>
            <w:r w:rsidRPr="00AA4B99">
              <w:rPr>
                <w:bCs/>
              </w:rPr>
              <w:t>aču jāņem vērā, ka tā ir summa nākotnes cenu vērtībā (</w:t>
            </w:r>
            <w:r w:rsidRPr="00AA4B99">
              <w:rPr>
                <w:bCs/>
                <w:i/>
              </w:rPr>
              <w:t>future value</w:t>
            </w:r>
            <w:r w:rsidRPr="00AA4B99">
              <w:rPr>
                <w:bCs/>
              </w:rPr>
              <w:t>), diskontējot šos ieņēmumus un rēķinot pašreizējo neto vērtību (</w:t>
            </w:r>
            <w:r w:rsidRPr="00AA4B99">
              <w:rPr>
                <w:bCs/>
                <w:i/>
              </w:rPr>
              <w:t>net present value</w:t>
            </w:r>
            <w:r w:rsidRPr="00AA4B99">
              <w:rPr>
                <w:bCs/>
              </w:rPr>
              <w:t xml:space="preserve"> - NPV) EKII ieņēmumiem tā būtu ievērojami zemāk, piemēram, pie reālās finanšu diskonta likmes 4%, laika periodā no 2021</w:t>
            </w:r>
            <w:r>
              <w:rPr>
                <w:bCs/>
              </w:rPr>
              <w:t>.</w:t>
            </w:r>
            <w:r w:rsidRPr="00AA4B99">
              <w:rPr>
                <w:bCs/>
              </w:rPr>
              <w:t>-2030.</w:t>
            </w:r>
            <w:r>
              <w:rPr>
                <w:bCs/>
              </w:rPr>
              <w:t> </w:t>
            </w:r>
            <w:r w:rsidRPr="00AA4B99">
              <w:rPr>
                <w:bCs/>
              </w:rPr>
              <w:t xml:space="preserve">gadam, NPV būs tikai 372 milj. </w:t>
            </w:r>
            <w:r w:rsidR="00543123" w:rsidRPr="00543123">
              <w:rPr>
                <w:bCs/>
                <w:i/>
              </w:rPr>
              <w:t>euro</w:t>
            </w:r>
            <w:r w:rsidRPr="00AA4B99">
              <w:rPr>
                <w:bCs/>
              </w:rPr>
              <w:t>.</w:t>
            </w:r>
          </w:p>
          <w:p w14:paraId="0BE6302B" w14:textId="57E20E49" w:rsidR="00EC4256" w:rsidRPr="00A47347" w:rsidRDefault="00EC4256" w:rsidP="00EC4256">
            <w:pPr>
              <w:spacing w:before="120" w:after="120"/>
              <w:jc w:val="both"/>
              <w:rPr>
                <w:b/>
                <w:bCs/>
              </w:rPr>
            </w:pPr>
            <w:r w:rsidRPr="00AA4B99">
              <w:rPr>
                <w:bCs/>
              </w:rPr>
              <w:t>Vēlamies norādīt, ka uz Informatīvā ziņojuma izstrādes brīdi ES fondiem nav iespējams precīzi nosaukt finansējuma apmēru un atbalstāmās nozares, kā arī atbalsta nosacījumus periodam pēc 2020.</w:t>
            </w:r>
            <w:r>
              <w:rPr>
                <w:bCs/>
              </w:rPr>
              <w:t> </w:t>
            </w:r>
            <w:r w:rsidRPr="00AA4B99">
              <w:rPr>
                <w:bCs/>
              </w:rPr>
              <w:t>gada, jo diskusijas par ES daudzgadu budžeta ietvaru 2021</w:t>
            </w:r>
            <w:r>
              <w:rPr>
                <w:bCs/>
              </w:rPr>
              <w:t>.</w:t>
            </w:r>
            <w:r w:rsidRPr="00AA4B99">
              <w:rPr>
                <w:bCs/>
              </w:rPr>
              <w:t>-2027.gadam nav noslēgušās. Ņemot vērā, ka Kohēzijas fonda un ERAF specifiskā mērķa: ““Zaļāka Eiropa ar zemu oglekļa saturu, veicinot tīras un godīgas enerģijas pāreju, videi draudzīgas un zilas investīcijas, aprites ekonomiku, pielāgošanos klimatam un risku novēršanu un pārvaldību (“PO2” mērķis) pirmie divi apakšmērķi ir energoefektivitātes un atjaunojamo energoresursu veicināšana</w:t>
            </w:r>
            <w:r w:rsidRPr="00AA4B99">
              <w:rPr>
                <w:rStyle w:val="FootnoteReference"/>
                <w:bCs/>
              </w:rPr>
              <w:footnoteReference w:id="18"/>
            </w:r>
            <w:r w:rsidRPr="00AA4B99">
              <w:rPr>
                <w:bCs/>
              </w:rPr>
              <w:t>, tad pastāv iespēja, ka finansējums nākošajā daudzgadu budžeta ietvarā energoefektivitātes un atjaunojamo energoresursu pasākumiem varētu būt pat lielāks nekā iepriekšējā periodā. Ja Daudzgadu budžeta ietvarā 2021</w:t>
            </w:r>
            <w:r>
              <w:rPr>
                <w:bCs/>
              </w:rPr>
              <w:t>.</w:t>
            </w:r>
            <w:r w:rsidRPr="00AA4B99">
              <w:rPr>
                <w:bCs/>
              </w:rPr>
              <w:t>-2027.</w:t>
            </w:r>
            <w:r>
              <w:rPr>
                <w:bCs/>
              </w:rPr>
              <w:t> </w:t>
            </w:r>
            <w:r w:rsidRPr="00AA4B99">
              <w:rPr>
                <w:bCs/>
              </w:rPr>
              <w:t xml:space="preserve">gadam Latvijai Kohēzijas </w:t>
            </w:r>
            <w:r w:rsidRPr="00AA4B99">
              <w:rPr>
                <w:bCs/>
              </w:rPr>
              <w:lastRenderedPageBreak/>
              <w:t xml:space="preserve">fondam, ERAF un ESF kopā tiks piešķirts 4,789 miljardi </w:t>
            </w:r>
            <w:r w:rsidR="00543123" w:rsidRPr="00543123">
              <w:rPr>
                <w:bCs/>
                <w:i/>
              </w:rPr>
              <w:t>euro</w:t>
            </w:r>
            <w:r w:rsidRPr="00AA4B99">
              <w:rPr>
                <w:bCs/>
              </w:rPr>
              <w:t xml:space="preserve"> un 30%</w:t>
            </w:r>
            <w:r w:rsidRPr="00AA4B99">
              <w:rPr>
                <w:rStyle w:val="FootnoteReference"/>
                <w:bCs/>
              </w:rPr>
              <w:footnoteReference w:id="19"/>
            </w:r>
            <w:r w:rsidRPr="00AA4B99">
              <w:rPr>
                <w:bCs/>
              </w:rPr>
              <w:t xml:space="preserve"> tiktu novirzīti PO2 mērķim, tad naudas izteiksmē PO2 mērķim būtu ~1,44 miljardi </w:t>
            </w:r>
            <w:r w:rsidR="00543123" w:rsidRPr="00543123">
              <w:rPr>
                <w:bCs/>
                <w:i/>
              </w:rPr>
              <w:t>euro</w:t>
            </w:r>
            <w:r w:rsidRPr="00AA4B99">
              <w:rPr>
                <w:bCs/>
              </w:rPr>
              <w:t xml:space="preserve">. Pieņemot, ka tikai 28,5% (proporcionāli kā 2 no 7 apakšmērķiem) no PO2 mērķim potenciāli pieejamā finansējuma tiktu novirzīti tikai energoefektivitātei un atjaunojamo energoresursu veicināšanai, tad tie būtu 410 milj. </w:t>
            </w:r>
            <w:r w:rsidR="00543123" w:rsidRPr="00543123">
              <w:rPr>
                <w:bCs/>
                <w:i/>
              </w:rPr>
              <w:t>euro</w:t>
            </w:r>
            <w:r w:rsidRPr="00AA4B99">
              <w:rPr>
                <w:bCs/>
              </w:rPr>
              <w:t>. (un tas būtu tikai plānošanas periodam no 2021</w:t>
            </w:r>
            <w:r>
              <w:rPr>
                <w:bCs/>
              </w:rPr>
              <w:t>.</w:t>
            </w:r>
            <w:r w:rsidRPr="00AA4B99">
              <w:rPr>
                <w:bCs/>
              </w:rPr>
              <w:t>-2027.</w:t>
            </w:r>
            <w:r>
              <w:rPr>
                <w:bCs/>
              </w:rPr>
              <w:t> </w:t>
            </w:r>
            <w:r w:rsidRPr="00AA4B99">
              <w:rPr>
                <w:bCs/>
              </w:rPr>
              <w:t>gadam, neņemot vērā arī pieejamo finansējumu, kāds tas pēc 2027. gada.)</w:t>
            </w:r>
          </w:p>
        </w:tc>
        <w:tc>
          <w:tcPr>
            <w:tcW w:w="2385" w:type="dxa"/>
            <w:tcBorders>
              <w:top w:val="single" w:sz="4" w:space="0" w:color="auto"/>
              <w:left w:val="single" w:sz="4" w:space="0" w:color="auto"/>
              <w:bottom w:val="single" w:sz="4" w:space="0" w:color="auto"/>
            </w:tcBorders>
          </w:tcPr>
          <w:p w14:paraId="18D29BB1" w14:textId="46246CAB" w:rsidR="00EC4256" w:rsidRDefault="00EC1EBF" w:rsidP="006C425E">
            <w:pPr>
              <w:jc w:val="both"/>
              <w:rPr>
                <w:b/>
              </w:rPr>
            </w:pPr>
            <w:r>
              <w:rPr>
                <w:b/>
              </w:rPr>
              <w:lastRenderedPageBreak/>
              <w:t>Informatīvais ziņojums</w:t>
            </w:r>
          </w:p>
        </w:tc>
      </w:tr>
      <w:tr w:rsidR="006C425E" w:rsidRPr="00606385" w14:paraId="11C04FC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71EE812A" w14:textId="51B08C35" w:rsidR="006C425E" w:rsidRDefault="00586C29" w:rsidP="006C425E">
            <w:r>
              <w:lastRenderedPageBreak/>
              <w:t>12</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65DE12CE" w14:textId="57A0A298"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EF3328D" w14:textId="77777777" w:rsidR="006C425E" w:rsidRDefault="006C425E" w:rsidP="00A47347">
            <w:pPr>
              <w:spacing w:before="120" w:after="120"/>
              <w:jc w:val="center"/>
              <w:rPr>
                <w:b/>
              </w:rPr>
            </w:pPr>
            <w:r>
              <w:rPr>
                <w:b/>
              </w:rPr>
              <w:t>Ekonomikas ministrijas 02.09.19 atzinums</w:t>
            </w:r>
          </w:p>
          <w:p w14:paraId="13844E11" w14:textId="3C6765DB" w:rsidR="006C425E" w:rsidRDefault="006C425E" w:rsidP="006C425E">
            <w:pPr>
              <w:spacing w:before="120" w:after="120"/>
              <w:jc w:val="both"/>
              <w:rPr>
                <w:b/>
              </w:rPr>
            </w:pPr>
            <w:r w:rsidRPr="00642B0A">
              <w:rPr>
                <w:b/>
                <w:bCs/>
              </w:rPr>
              <w:t>Lūgums papildināt ziņojumu ar nodaļu “MF priekšrocības un EKII trūkumi”</w:t>
            </w:r>
            <w:r w:rsidRPr="00642B0A">
              <w:t>, vai šo analīzi veikt 5.nodaļā mainot tās nosaukumu.</w:t>
            </w:r>
          </w:p>
        </w:tc>
        <w:tc>
          <w:tcPr>
            <w:tcW w:w="5103" w:type="dxa"/>
            <w:tcBorders>
              <w:top w:val="single" w:sz="6" w:space="0" w:color="000000"/>
              <w:left w:val="single" w:sz="6" w:space="0" w:color="000000"/>
              <w:bottom w:val="single" w:sz="6" w:space="0" w:color="000000"/>
              <w:right w:val="single" w:sz="6" w:space="0" w:color="000000"/>
            </w:tcBorders>
          </w:tcPr>
          <w:p w14:paraId="3B881E84" w14:textId="77777777" w:rsidR="00A47347" w:rsidRPr="00A47347" w:rsidRDefault="006C425E" w:rsidP="00A47347">
            <w:pPr>
              <w:spacing w:before="120" w:after="120"/>
              <w:jc w:val="center"/>
              <w:rPr>
                <w:b/>
                <w:bCs/>
              </w:rPr>
            </w:pPr>
            <w:r w:rsidRPr="00A47347">
              <w:rPr>
                <w:b/>
                <w:bCs/>
              </w:rPr>
              <w:t>Ņemts vērā.</w:t>
            </w:r>
          </w:p>
          <w:p w14:paraId="55B3A4DC" w14:textId="6D4FF8A3" w:rsidR="006C425E" w:rsidRPr="00F56355" w:rsidRDefault="006C425E" w:rsidP="006C425E">
            <w:pPr>
              <w:spacing w:before="120" w:after="120"/>
              <w:jc w:val="both"/>
              <w:rPr>
                <w:b/>
                <w:color w:val="FF0000"/>
              </w:rPr>
            </w:pPr>
            <w:r w:rsidRPr="00DC4790">
              <w:rPr>
                <w:bCs/>
              </w:rPr>
              <w:t>Precizēta 5. nodaļa, t.sk. mainot tās nosaukumu uz “</w:t>
            </w:r>
            <w:r w:rsidRPr="00DC4790">
              <w:t>Apsvērumi lēmuma pieņemšanai attiecībā uz finansējuma pārvirzīšanas iespēju no EKII uz Modernizācijas fondu</w:t>
            </w:r>
            <w:r w:rsidRPr="00DC4790">
              <w:rPr>
                <w:bCs/>
              </w:rPr>
              <w:t>”.</w:t>
            </w:r>
          </w:p>
        </w:tc>
        <w:tc>
          <w:tcPr>
            <w:tcW w:w="2385" w:type="dxa"/>
            <w:tcBorders>
              <w:top w:val="single" w:sz="4" w:space="0" w:color="auto"/>
              <w:left w:val="single" w:sz="4" w:space="0" w:color="auto"/>
              <w:bottom w:val="single" w:sz="4" w:space="0" w:color="auto"/>
            </w:tcBorders>
          </w:tcPr>
          <w:p w14:paraId="67C87F16" w14:textId="21FDC36F" w:rsidR="006C425E" w:rsidRPr="00494DFF" w:rsidRDefault="008B684E" w:rsidP="006C425E">
            <w:pPr>
              <w:jc w:val="both"/>
              <w:rPr>
                <w:color w:val="000000" w:themeColor="text1"/>
              </w:rPr>
            </w:pPr>
            <w:r>
              <w:rPr>
                <w:b/>
              </w:rPr>
              <w:t>Informatīvais ziņojums</w:t>
            </w:r>
          </w:p>
        </w:tc>
      </w:tr>
      <w:tr w:rsidR="006C425E" w:rsidRPr="00606385" w14:paraId="65C1DEA7"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87D9AAD" w14:textId="4D5A171A" w:rsidR="006C425E" w:rsidRDefault="00586C29" w:rsidP="006C425E">
            <w:r>
              <w:t>13</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45A3C041" w14:textId="6DDAAF0F"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76317DAA" w14:textId="77777777" w:rsidR="006C425E" w:rsidRDefault="006C425E" w:rsidP="00A47347">
            <w:pPr>
              <w:spacing w:before="120" w:after="120"/>
              <w:jc w:val="center"/>
              <w:rPr>
                <w:b/>
              </w:rPr>
            </w:pPr>
            <w:r>
              <w:rPr>
                <w:b/>
              </w:rPr>
              <w:t>Ekonomikas ministrijas 02.09.19 atzinums</w:t>
            </w:r>
          </w:p>
          <w:p w14:paraId="36135C8C" w14:textId="5B2AA644" w:rsidR="006C425E" w:rsidRDefault="006C425E" w:rsidP="006C425E">
            <w:pPr>
              <w:spacing w:before="120" w:after="120"/>
              <w:jc w:val="both"/>
              <w:rPr>
                <w:b/>
              </w:rPr>
            </w:pPr>
            <w:r w:rsidRPr="00642B0A">
              <w:rPr>
                <w:b/>
                <w:bCs/>
              </w:rPr>
              <w:t>Lūgums papildināt 5.nodaļas 3.rindkopu</w:t>
            </w:r>
            <w:r w:rsidRPr="00642B0A">
              <w:t xml:space="preserve"> ar informāciju, uz kā pamata tika izdarīti secinājumi par MF trūkumiem. Norādām, ka Informatīvā ziņojumā nav sniegta informācija, kas liecinātu, ka MF līdzekļi būs pieejami novēloti, ka tā izveide sarežģīs naudas plūsmas struktūru utt.</w:t>
            </w:r>
          </w:p>
        </w:tc>
        <w:tc>
          <w:tcPr>
            <w:tcW w:w="5103" w:type="dxa"/>
            <w:tcBorders>
              <w:top w:val="single" w:sz="6" w:space="0" w:color="000000"/>
              <w:left w:val="single" w:sz="6" w:space="0" w:color="000000"/>
              <w:bottom w:val="single" w:sz="6" w:space="0" w:color="000000"/>
              <w:right w:val="single" w:sz="6" w:space="0" w:color="000000"/>
            </w:tcBorders>
          </w:tcPr>
          <w:p w14:paraId="6B18B360" w14:textId="77777777" w:rsidR="00A47347" w:rsidRPr="00A47347" w:rsidRDefault="006C425E" w:rsidP="00A47347">
            <w:pPr>
              <w:spacing w:before="120" w:after="120"/>
              <w:jc w:val="center"/>
              <w:rPr>
                <w:b/>
                <w:bCs/>
              </w:rPr>
            </w:pPr>
            <w:r w:rsidRPr="00A47347">
              <w:rPr>
                <w:b/>
                <w:bCs/>
              </w:rPr>
              <w:t>Ņemts vērā.</w:t>
            </w:r>
          </w:p>
          <w:p w14:paraId="047173C9" w14:textId="2DA65B51" w:rsidR="006C425E" w:rsidRDefault="006C425E" w:rsidP="006C425E">
            <w:pPr>
              <w:spacing w:before="120" w:after="120"/>
              <w:jc w:val="both"/>
              <w:rPr>
                <w:bCs/>
              </w:rPr>
            </w:pPr>
            <w:r w:rsidRPr="00DC4790">
              <w:rPr>
                <w:bCs/>
              </w:rPr>
              <w:t xml:space="preserve">Precizēta 5. nodaļa. </w:t>
            </w:r>
          </w:p>
          <w:p w14:paraId="1FD24605" w14:textId="309A6576" w:rsidR="006C425E" w:rsidRPr="00DC4790" w:rsidRDefault="006C425E" w:rsidP="00EC1EBF">
            <w:pPr>
              <w:spacing w:before="120" w:after="120"/>
              <w:jc w:val="both"/>
              <w:rPr>
                <w:b/>
              </w:rPr>
            </w:pPr>
            <w:r w:rsidRPr="00DC4790">
              <w:rPr>
                <w:bCs/>
              </w:rPr>
              <w:t xml:space="preserve">Informācija par identificētajiem riskiem </w:t>
            </w:r>
            <w:r>
              <w:rPr>
                <w:bCs/>
              </w:rPr>
              <w:t>un potenciālajiem trūkumiem</w:t>
            </w:r>
            <w:r w:rsidRPr="00DC4790">
              <w:rPr>
                <w:bCs/>
              </w:rPr>
              <w:t xml:space="preserve"> attiecībā uz Modernizācijas fondu ir izdarīti balstoties uz Direktīvas 2003/87</w:t>
            </w:r>
            <w:r w:rsidR="00EC1EBF">
              <w:rPr>
                <w:bCs/>
              </w:rPr>
              <w:t xml:space="preserve"> 1</w:t>
            </w:r>
            <w:r w:rsidRPr="00DC4790">
              <w:rPr>
                <w:bCs/>
              </w:rPr>
              <w:t>0.d pantā iekļauto informāciju, Konceptuālo papīru par ieviešanas regulu attiecībā uz Modernizācijas fondu</w:t>
            </w:r>
            <w:r>
              <w:rPr>
                <w:bCs/>
              </w:rPr>
              <w:t xml:space="preserve"> </w:t>
            </w:r>
            <w:r w:rsidRPr="00DC4790">
              <w:rPr>
                <w:bCs/>
              </w:rPr>
              <w:t>(kas tika izplatīta klimata pārmaiņu ko</w:t>
            </w:r>
            <w:r w:rsidR="00A47347">
              <w:rPr>
                <w:bCs/>
              </w:rPr>
              <w:t>mitejas 3. darba grupā jūnija vi</w:t>
            </w:r>
            <w:r w:rsidRPr="00DC4790">
              <w:rPr>
                <w:bCs/>
              </w:rPr>
              <w:t xml:space="preserve">dū) un arī balstoties uz pieejamo </w:t>
            </w:r>
            <w:r w:rsidRPr="00DC4790">
              <w:rPr>
                <w:bCs/>
              </w:rPr>
              <w:lastRenderedPageBreak/>
              <w:t xml:space="preserve">informāciju, kas iekļauta </w:t>
            </w:r>
            <w:r w:rsidR="00A47347">
              <w:t>2019. </w:t>
            </w:r>
            <w:r w:rsidRPr="00DC4790">
              <w:t>gada 28.</w:t>
            </w:r>
            <w:r w:rsidR="00A47347">
              <w:t> </w:t>
            </w:r>
            <w:r w:rsidRPr="00DC4790">
              <w:t>augustā Eiropas Komisijā apstiprinātās regulas priekšlikuma (C(2019) 6182 final) ar ko groza Regulu (ES) Nr. 1031/2010 nolūkā kvotu izsolīšanu pieskaņot ES ETS 2021.-2030.</w:t>
            </w:r>
            <w:r w:rsidR="00A47347">
              <w:t> </w:t>
            </w:r>
            <w:r w:rsidRPr="00DC4790">
              <w:t>gada noteikumiem un kvotu klasificēšanai par finanšu instrumentiem saskaņā ar Eiropas Parlamenta un Padomes Direktīvu 2014/65/ES.</w:t>
            </w:r>
          </w:p>
        </w:tc>
        <w:tc>
          <w:tcPr>
            <w:tcW w:w="2385" w:type="dxa"/>
            <w:tcBorders>
              <w:top w:val="single" w:sz="4" w:space="0" w:color="auto"/>
              <w:left w:val="single" w:sz="4" w:space="0" w:color="auto"/>
              <w:bottom w:val="single" w:sz="4" w:space="0" w:color="auto"/>
            </w:tcBorders>
          </w:tcPr>
          <w:p w14:paraId="60D4FB84" w14:textId="33D23310" w:rsidR="006C425E" w:rsidRPr="00494DFF" w:rsidRDefault="008B684E" w:rsidP="006C425E">
            <w:pPr>
              <w:jc w:val="both"/>
              <w:rPr>
                <w:color w:val="000000" w:themeColor="text1"/>
              </w:rPr>
            </w:pPr>
            <w:r>
              <w:rPr>
                <w:b/>
              </w:rPr>
              <w:lastRenderedPageBreak/>
              <w:t>Informatīvais ziņojums</w:t>
            </w:r>
          </w:p>
        </w:tc>
      </w:tr>
      <w:tr w:rsidR="006C425E" w:rsidRPr="00606385" w14:paraId="7BB38EC2" w14:textId="77777777" w:rsidTr="008B684E">
        <w:tc>
          <w:tcPr>
            <w:tcW w:w="534" w:type="dxa"/>
            <w:tcBorders>
              <w:top w:val="single" w:sz="6" w:space="0" w:color="000000"/>
              <w:left w:val="single" w:sz="6" w:space="0" w:color="000000"/>
              <w:bottom w:val="single" w:sz="6" w:space="0" w:color="000000"/>
              <w:right w:val="single" w:sz="6" w:space="0" w:color="000000"/>
            </w:tcBorders>
          </w:tcPr>
          <w:p w14:paraId="17DCBC04" w14:textId="2B26C6F3" w:rsidR="006C425E" w:rsidRDefault="00586C29" w:rsidP="006C425E">
            <w:r>
              <w:t>14</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0A25B03C" w14:textId="074677F9"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9A8BB1B" w14:textId="77777777" w:rsidR="006C425E" w:rsidRDefault="006C425E" w:rsidP="00A47347">
            <w:pPr>
              <w:spacing w:before="120" w:after="120"/>
              <w:jc w:val="center"/>
              <w:rPr>
                <w:b/>
              </w:rPr>
            </w:pPr>
            <w:r>
              <w:rPr>
                <w:b/>
              </w:rPr>
              <w:t>Ekonomikas ministrijas 02.09.19 atzinums</w:t>
            </w:r>
          </w:p>
          <w:p w14:paraId="62E6ABE9" w14:textId="6D255215" w:rsidR="006C425E" w:rsidRDefault="006C425E" w:rsidP="008B684E">
            <w:pPr>
              <w:spacing w:before="120" w:after="120"/>
              <w:jc w:val="both"/>
              <w:rPr>
                <w:b/>
              </w:rPr>
            </w:pPr>
            <w:r w:rsidRPr="00642B0A">
              <w:t>Tāpat lūgums iekļaut korektu 17. zemsvītras piezīmi, jo tā Informatīvajā ziņojumā ir tukša.</w:t>
            </w:r>
          </w:p>
        </w:tc>
        <w:tc>
          <w:tcPr>
            <w:tcW w:w="5103" w:type="dxa"/>
            <w:tcBorders>
              <w:top w:val="single" w:sz="6" w:space="0" w:color="000000"/>
              <w:left w:val="single" w:sz="6" w:space="0" w:color="000000"/>
              <w:bottom w:val="single" w:sz="6" w:space="0" w:color="000000"/>
              <w:right w:val="single" w:sz="6" w:space="0" w:color="000000"/>
            </w:tcBorders>
          </w:tcPr>
          <w:p w14:paraId="3CF32305" w14:textId="77777777" w:rsidR="006C425E" w:rsidRPr="00DC4790" w:rsidRDefault="006C425E" w:rsidP="008B684E">
            <w:pPr>
              <w:spacing w:before="120" w:after="120"/>
              <w:jc w:val="center"/>
              <w:rPr>
                <w:b/>
              </w:rPr>
            </w:pPr>
            <w:r w:rsidRPr="00DC4790">
              <w:rPr>
                <w:b/>
              </w:rPr>
              <w:t>Ņemts vērā</w:t>
            </w:r>
          </w:p>
          <w:p w14:paraId="465DF9BD" w14:textId="77777777" w:rsidR="006C425E" w:rsidRPr="00F56355" w:rsidRDefault="006C425E" w:rsidP="006C425E">
            <w:pPr>
              <w:jc w:val="both"/>
              <w:rPr>
                <w:b/>
                <w:color w:val="FF0000"/>
              </w:rPr>
            </w:pPr>
          </w:p>
        </w:tc>
        <w:tc>
          <w:tcPr>
            <w:tcW w:w="2385" w:type="dxa"/>
            <w:tcBorders>
              <w:top w:val="single" w:sz="4" w:space="0" w:color="auto"/>
              <w:left w:val="single" w:sz="4" w:space="0" w:color="auto"/>
              <w:bottom w:val="single" w:sz="4" w:space="0" w:color="auto"/>
            </w:tcBorders>
          </w:tcPr>
          <w:p w14:paraId="1E429750" w14:textId="09CDB62B" w:rsidR="006C425E" w:rsidRPr="00494DFF" w:rsidRDefault="008B684E" w:rsidP="006C425E">
            <w:pPr>
              <w:jc w:val="both"/>
              <w:rPr>
                <w:color w:val="000000" w:themeColor="text1"/>
              </w:rPr>
            </w:pPr>
            <w:r>
              <w:rPr>
                <w:b/>
              </w:rPr>
              <w:t>Informatīvais ziņojums</w:t>
            </w:r>
          </w:p>
        </w:tc>
      </w:tr>
      <w:tr w:rsidR="007F737A" w:rsidRPr="00606385" w14:paraId="64F18172" w14:textId="77777777" w:rsidTr="008B684E">
        <w:tc>
          <w:tcPr>
            <w:tcW w:w="534" w:type="dxa"/>
            <w:tcBorders>
              <w:top w:val="single" w:sz="6" w:space="0" w:color="000000"/>
              <w:left w:val="single" w:sz="6" w:space="0" w:color="000000"/>
              <w:bottom w:val="single" w:sz="6" w:space="0" w:color="000000"/>
              <w:right w:val="single" w:sz="6" w:space="0" w:color="000000"/>
            </w:tcBorders>
          </w:tcPr>
          <w:p w14:paraId="19597B7B" w14:textId="07604205" w:rsidR="007F737A" w:rsidRDefault="00586C29" w:rsidP="006C425E">
            <w:r>
              <w:t>15</w:t>
            </w:r>
            <w:r w:rsidR="00096D0F">
              <w:t>.</w:t>
            </w:r>
          </w:p>
        </w:tc>
        <w:tc>
          <w:tcPr>
            <w:tcW w:w="2152" w:type="dxa"/>
            <w:tcBorders>
              <w:top w:val="single" w:sz="6" w:space="0" w:color="000000"/>
              <w:left w:val="single" w:sz="6" w:space="0" w:color="000000"/>
              <w:bottom w:val="single" w:sz="6" w:space="0" w:color="000000"/>
              <w:right w:val="single" w:sz="6" w:space="0" w:color="000000"/>
            </w:tcBorders>
          </w:tcPr>
          <w:p w14:paraId="18E2EE76" w14:textId="1E7C41F7" w:rsidR="007F737A" w:rsidRDefault="007F737A"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FFFE462" w14:textId="77777777" w:rsidR="007F737A" w:rsidRDefault="007F737A" w:rsidP="007F737A">
            <w:pPr>
              <w:spacing w:before="120" w:after="120"/>
              <w:jc w:val="center"/>
              <w:rPr>
                <w:b/>
              </w:rPr>
            </w:pPr>
            <w:r>
              <w:rPr>
                <w:b/>
              </w:rPr>
              <w:t>Ekonomikas ministrijas 02.09.19 atzinums</w:t>
            </w:r>
          </w:p>
          <w:p w14:paraId="54E2D100" w14:textId="36E941A5" w:rsidR="007F737A" w:rsidRPr="007F737A" w:rsidRDefault="007F737A" w:rsidP="007F737A">
            <w:pPr>
              <w:pStyle w:val="ListParagraph"/>
              <w:widowControl w:val="0"/>
              <w:spacing w:after="0" w:line="240" w:lineRule="auto"/>
              <w:ind w:left="0"/>
              <w:jc w:val="both"/>
              <w:rPr>
                <w:rFonts w:ascii="Times New Roman" w:hAnsi="Times New Roman"/>
                <w:b/>
                <w:sz w:val="24"/>
                <w:szCs w:val="24"/>
                <w:lang w:val="lv-LV"/>
              </w:rPr>
            </w:pPr>
            <w:r w:rsidRPr="007F737A">
              <w:rPr>
                <w:rFonts w:ascii="Times New Roman" w:hAnsi="Times New Roman"/>
                <w:sz w:val="24"/>
                <w:szCs w:val="24"/>
              </w:rPr>
              <w:t>Papildus lūdzam ņemt vērā labojumus un komentārus, kas ir veikti Informatīvā ziņojuma tekstā (pievienots atzinuma pielikumā).</w:t>
            </w:r>
          </w:p>
        </w:tc>
        <w:tc>
          <w:tcPr>
            <w:tcW w:w="5103" w:type="dxa"/>
            <w:tcBorders>
              <w:top w:val="single" w:sz="6" w:space="0" w:color="000000"/>
              <w:left w:val="single" w:sz="6" w:space="0" w:color="000000"/>
              <w:bottom w:val="single" w:sz="6" w:space="0" w:color="000000"/>
              <w:right w:val="single" w:sz="6" w:space="0" w:color="000000"/>
            </w:tcBorders>
          </w:tcPr>
          <w:p w14:paraId="574E8824" w14:textId="7AA18701" w:rsidR="007F737A" w:rsidRDefault="007F737A" w:rsidP="007F737A">
            <w:pPr>
              <w:spacing w:before="120" w:after="120"/>
              <w:jc w:val="center"/>
            </w:pPr>
            <w:r>
              <w:rPr>
                <w:b/>
              </w:rPr>
              <w:t>Ņ</w:t>
            </w:r>
            <w:r w:rsidRPr="00AA1B8E">
              <w:rPr>
                <w:b/>
              </w:rPr>
              <w:t>emts vērā</w:t>
            </w:r>
          </w:p>
          <w:p w14:paraId="1C78C651" w14:textId="7AC9A45E" w:rsidR="007F737A" w:rsidRDefault="007F737A" w:rsidP="007F737A">
            <w:pPr>
              <w:spacing w:before="120" w:after="120"/>
              <w:jc w:val="both"/>
              <w:rPr>
                <w:b/>
              </w:rPr>
            </w:pPr>
            <w:r w:rsidRPr="00AA1B8E">
              <w:t>Neskatoties uz to, ka komentāri nebija iekļauti atzinuma formā, veikti redakcionāli labojumi un labot</w:t>
            </w:r>
            <w:r>
              <w:t>a Informatīvā ziņojuma 5.nodaļā</w:t>
            </w:r>
            <w:r w:rsidRPr="00AA1B8E">
              <w:t>.</w:t>
            </w:r>
          </w:p>
        </w:tc>
        <w:tc>
          <w:tcPr>
            <w:tcW w:w="2385" w:type="dxa"/>
            <w:tcBorders>
              <w:top w:val="single" w:sz="4" w:space="0" w:color="auto"/>
              <w:left w:val="single" w:sz="4" w:space="0" w:color="auto"/>
              <w:bottom w:val="single" w:sz="4" w:space="0" w:color="auto"/>
            </w:tcBorders>
          </w:tcPr>
          <w:p w14:paraId="605CD8AE" w14:textId="1FFB5AA7" w:rsidR="007F737A" w:rsidRDefault="007F737A" w:rsidP="006C425E">
            <w:pPr>
              <w:jc w:val="both"/>
              <w:rPr>
                <w:b/>
              </w:rPr>
            </w:pPr>
            <w:r>
              <w:rPr>
                <w:b/>
              </w:rPr>
              <w:t>Informatīvais ziņojums</w:t>
            </w:r>
          </w:p>
        </w:tc>
      </w:tr>
      <w:tr w:rsidR="0053526A" w:rsidRPr="00606385" w14:paraId="4F60678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003696E" w14:textId="3DF31983" w:rsidR="0053526A" w:rsidRDefault="00586C29" w:rsidP="006C425E">
            <w:r>
              <w:t>16</w:t>
            </w:r>
            <w:r w:rsidR="00096D0F">
              <w:t>.</w:t>
            </w:r>
          </w:p>
        </w:tc>
        <w:tc>
          <w:tcPr>
            <w:tcW w:w="2152" w:type="dxa"/>
            <w:tcBorders>
              <w:top w:val="single" w:sz="6" w:space="0" w:color="000000"/>
              <w:left w:val="single" w:sz="6" w:space="0" w:color="000000"/>
              <w:bottom w:val="single" w:sz="6" w:space="0" w:color="000000"/>
              <w:right w:val="single" w:sz="6" w:space="0" w:color="000000"/>
            </w:tcBorders>
          </w:tcPr>
          <w:p w14:paraId="0DF06839" w14:textId="237B09FD" w:rsidR="0053526A" w:rsidRDefault="0053526A"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40715FFE" w14:textId="77777777" w:rsidR="0053526A" w:rsidRDefault="0053526A" w:rsidP="0053526A">
            <w:pPr>
              <w:pStyle w:val="ListParagraph"/>
              <w:widowControl w:val="0"/>
              <w:spacing w:after="0" w:line="240" w:lineRule="auto"/>
              <w:ind w:left="0"/>
              <w:jc w:val="center"/>
              <w:rPr>
                <w:rFonts w:ascii="Times New Roman" w:hAnsi="Times New Roman"/>
                <w:b/>
                <w:sz w:val="24"/>
                <w:szCs w:val="24"/>
                <w:lang w:val="lv-LV"/>
              </w:rPr>
            </w:pPr>
            <w:r>
              <w:rPr>
                <w:rFonts w:ascii="Times New Roman" w:hAnsi="Times New Roman"/>
                <w:b/>
                <w:sz w:val="24"/>
                <w:szCs w:val="24"/>
                <w:lang w:val="lv-LV"/>
              </w:rPr>
              <w:t xml:space="preserve">Latvijas Lielo pilsētu asociācijas </w:t>
            </w:r>
            <w:r w:rsidRPr="00C92FDD">
              <w:rPr>
                <w:rFonts w:ascii="Times New Roman" w:hAnsi="Times New Roman"/>
                <w:b/>
                <w:sz w:val="24"/>
                <w:szCs w:val="24"/>
                <w:lang w:val="lv-LV"/>
              </w:rPr>
              <w:t>02.09.2019</w:t>
            </w:r>
            <w:r>
              <w:rPr>
                <w:rFonts w:ascii="Times New Roman" w:hAnsi="Times New Roman"/>
                <w:b/>
                <w:sz w:val="24"/>
                <w:szCs w:val="24"/>
                <w:lang w:val="lv-LV"/>
              </w:rPr>
              <w:t xml:space="preserve"> atzinums</w:t>
            </w:r>
          </w:p>
          <w:p w14:paraId="5ADAFC37" w14:textId="587C6FF5" w:rsidR="0053526A" w:rsidRDefault="0053526A" w:rsidP="0053526A">
            <w:pPr>
              <w:spacing w:before="120" w:after="120"/>
              <w:jc w:val="both"/>
              <w:rPr>
                <w:b/>
              </w:rPr>
            </w:pPr>
            <w:r>
              <w:rPr>
                <w:color w:val="000000"/>
              </w:rPr>
              <w:t xml:space="preserve">Informatīvajā ziņojumā norādīts, ka Modernizācijas fonda finansējumu ir plānots izlietot ne-ETS SEG emisiju mazinošu pasākumu ieviešanai, tādējādi nodrošinot ne-ETS darbību SEG emisiju mērķa 2030. gadam izpildi (4.lpp.). Ņemot vērā Modernizācijas fonda plānoto finansējuma apjomu un 2007.-2013. un 2014.-2020. gada Eiropas Savienības fondu </w:t>
            </w:r>
            <w:r>
              <w:rPr>
                <w:color w:val="000000"/>
              </w:rPr>
              <w:lastRenderedPageBreak/>
              <w:t xml:space="preserve">plānošanas periodā pieejamā finansējuma apjomu SEG emisiju mazināšanai, </w:t>
            </w:r>
            <w:r>
              <w:rPr>
                <w:b/>
                <w:bCs/>
                <w:color w:val="000000"/>
              </w:rPr>
              <w:t>lūdzam skaidrot, kādus pasākumus Vides aizsardzības un reģionālās attīstības ministrija plāno ieviest, lai ar Modernizācijas fondā pieejamo salīdzinoši nelielo finansējuma apjomu nodrošinātu ne-ETS darbību SEG emisiju mērķa 2030. gadam izpildi.</w:t>
            </w:r>
          </w:p>
        </w:tc>
        <w:tc>
          <w:tcPr>
            <w:tcW w:w="5103" w:type="dxa"/>
            <w:tcBorders>
              <w:top w:val="single" w:sz="6" w:space="0" w:color="000000"/>
              <w:left w:val="single" w:sz="6" w:space="0" w:color="000000"/>
              <w:bottom w:val="single" w:sz="6" w:space="0" w:color="000000"/>
              <w:right w:val="single" w:sz="6" w:space="0" w:color="000000"/>
            </w:tcBorders>
          </w:tcPr>
          <w:p w14:paraId="79C6C5F2" w14:textId="5EEBD0F4" w:rsidR="0053526A" w:rsidRPr="00316B64" w:rsidRDefault="0053526A" w:rsidP="0053526A">
            <w:pPr>
              <w:spacing w:before="120" w:after="120"/>
              <w:jc w:val="center"/>
              <w:rPr>
                <w:b/>
              </w:rPr>
            </w:pPr>
            <w:r>
              <w:rPr>
                <w:b/>
              </w:rPr>
              <w:lastRenderedPageBreak/>
              <w:t>Ņ</w:t>
            </w:r>
            <w:r w:rsidRPr="00316B64">
              <w:rPr>
                <w:b/>
              </w:rPr>
              <w:t>emts vērā.</w:t>
            </w:r>
          </w:p>
          <w:p w14:paraId="69CF289C" w14:textId="77777777" w:rsidR="0053526A" w:rsidRDefault="0053526A" w:rsidP="0053526A">
            <w:pPr>
              <w:spacing w:before="120" w:after="120"/>
              <w:jc w:val="both"/>
            </w:pPr>
            <w:r w:rsidRPr="000721B8">
              <w:t>Precizēts informatīvais ziņojums svītrojot vārdu “trīs” 2. nodaļas pēdējā rindkopā.</w:t>
            </w:r>
          </w:p>
          <w:p w14:paraId="59A4BEF0" w14:textId="77777777" w:rsidR="0053526A" w:rsidRPr="000721B8" w:rsidRDefault="0053526A" w:rsidP="0053526A">
            <w:pPr>
              <w:spacing w:before="120" w:after="120"/>
              <w:jc w:val="both"/>
            </w:pPr>
            <w:r w:rsidRPr="000721B8">
              <w:t xml:space="preserve">Informatīvā ziņojuma uzdevums nav noteikt konkrētus pasākumus vai pat projektus, kas tiks atbalstīti Modernizācijas fonda ietvaros. Saskaņā ar </w:t>
            </w:r>
            <w:r>
              <w:t>M</w:t>
            </w:r>
            <w:r w:rsidRPr="000721B8">
              <w:t>inistru kabineta 2019.</w:t>
            </w:r>
            <w:r>
              <w:t> </w:t>
            </w:r>
            <w:r w:rsidRPr="000721B8">
              <w:t>gada 17.</w:t>
            </w:r>
            <w:r>
              <w:t> </w:t>
            </w:r>
            <w:r w:rsidRPr="000721B8">
              <w:t>jūnija rīkojumu Nr.</w:t>
            </w:r>
            <w:r>
              <w:t> </w:t>
            </w:r>
            <w:r w:rsidRPr="000721B8">
              <w:t>381</w:t>
            </w:r>
            <w:r>
              <w:t xml:space="preserve"> </w:t>
            </w:r>
            <w:r w:rsidRPr="000721B8">
              <w:t>(prot.</w:t>
            </w:r>
            <w:r>
              <w:t> </w:t>
            </w:r>
            <w:r w:rsidRPr="000721B8">
              <w:t xml:space="preserve">Nr. 33 75. §) “Par konceptuālo ziņojumu "Par bezmaksas emisijas kvotu piešķiršanu elektroenerģijas ražotājiem Eiropas </w:t>
            </w:r>
            <w:r w:rsidRPr="000721B8">
              <w:lastRenderedPageBreak/>
              <w:t>Savienības emisiju tir</w:t>
            </w:r>
            <w:r>
              <w:t>dzniecības sistēmas 2021.–2030. </w:t>
            </w:r>
            <w:r w:rsidRPr="000721B8">
              <w:t>gada periodā"” 3.</w:t>
            </w:r>
            <w:r>
              <w:t> </w:t>
            </w:r>
            <w:r w:rsidRPr="000721B8">
              <w:t xml:space="preserve">punktu Informatīvā ziņojuma un </w:t>
            </w:r>
            <w:r>
              <w:t xml:space="preserve">MK sēdes </w:t>
            </w:r>
            <w:r w:rsidRPr="000721B8">
              <w:t>protokollēmuma uzdevums ir noteikt Modernizācijas fonda pārvaldību un pieejamo finansējuma apjomu, lai saskaņā ar Direktīvas 2003/87 10.d panta 4.</w:t>
            </w:r>
            <w:r>
              <w:t> daļu līdz 2019. </w:t>
            </w:r>
            <w:r w:rsidRPr="000721B8">
              <w:t>gada 30.</w:t>
            </w:r>
            <w:r>
              <w:t> </w:t>
            </w:r>
            <w:r w:rsidRPr="000721B8">
              <w:t xml:space="preserve">septembrim būtu iespējams paziņot Eiropas Komisijai par izmantojamajiem kvotu apjomiem Modernizācijas fonda vajadzībām. </w:t>
            </w:r>
          </w:p>
          <w:p w14:paraId="1E0ABBF3" w14:textId="203DD7EE" w:rsidR="0053526A" w:rsidRPr="00DC4790" w:rsidRDefault="0053526A" w:rsidP="0053526A">
            <w:pPr>
              <w:spacing w:before="120" w:after="120"/>
              <w:jc w:val="both"/>
              <w:rPr>
                <w:b/>
              </w:rPr>
            </w:pPr>
            <w:r w:rsidRPr="000721B8">
              <w:t>Papildus jānorāda, ka saskaņā ar Direktīvas 2003/87 10.d panta 12.</w:t>
            </w:r>
            <w:r>
              <w:t> </w:t>
            </w:r>
            <w:r w:rsidRPr="000721B8">
              <w:t>punktu Eiropas Komisija izstrādās īstenošanas regulu par detāli izstrādātiem nosacījumiem attiecībā uz Modernizācijas fonda darbību, kuras izstrāde un ieviešana plānota 2019.-2020. gadā. Detālu Modernizācijas fonda noteikumu izstrāde nacionālā līmenī, t.sk. par atbalstāmajiem pasākumiem tiks uzsākti jau pēc minētās īstenošanas regulas pirmā projekta saņemšanas no Eiropas Komisijas.</w:t>
            </w:r>
          </w:p>
        </w:tc>
        <w:tc>
          <w:tcPr>
            <w:tcW w:w="2385" w:type="dxa"/>
            <w:tcBorders>
              <w:top w:val="single" w:sz="4" w:space="0" w:color="auto"/>
              <w:left w:val="single" w:sz="4" w:space="0" w:color="auto"/>
              <w:bottom w:val="single" w:sz="4" w:space="0" w:color="auto"/>
            </w:tcBorders>
          </w:tcPr>
          <w:p w14:paraId="1CD91752" w14:textId="7DB8A93E" w:rsidR="0053526A" w:rsidRDefault="0053526A" w:rsidP="006C425E">
            <w:pPr>
              <w:jc w:val="both"/>
              <w:rPr>
                <w:b/>
              </w:rPr>
            </w:pPr>
            <w:r>
              <w:rPr>
                <w:b/>
              </w:rPr>
              <w:lastRenderedPageBreak/>
              <w:t>Informatīvais ziņojums</w:t>
            </w:r>
          </w:p>
        </w:tc>
      </w:tr>
      <w:tr w:rsidR="003A3ED3" w:rsidRPr="00606385" w14:paraId="55A665AC" w14:textId="77777777" w:rsidTr="008B684E">
        <w:tc>
          <w:tcPr>
            <w:tcW w:w="534" w:type="dxa"/>
            <w:tcBorders>
              <w:top w:val="single" w:sz="6" w:space="0" w:color="000000"/>
              <w:left w:val="single" w:sz="6" w:space="0" w:color="000000"/>
              <w:bottom w:val="single" w:sz="6" w:space="0" w:color="000000"/>
              <w:right w:val="single" w:sz="6" w:space="0" w:color="000000"/>
            </w:tcBorders>
          </w:tcPr>
          <w:p w14:paraId="0A8B111B" w14:textId="07B0EA32" w:rsidR="003A3ED3" w:rsidRDefault="00586C29" w:rsidP="006C425E">
            <w:r>
              <w:t>17</w:t>
            </w:r>
            <w:r w:rsidR="00096D0F">
              <w:t>.</w:t>
            </w:r>
          </w:p>
        </w:tc>
        <w:tc>
          <w:tcPr>
            <w:tcW w:w="2152" w:type="dxa"/>
            <w:tcBorders>
              <w:top w:val="single" w:sz="6" w:space="0" w:color="000000"/>
              <w:left w:val="single" w:sz="6" w:space="0" w:color="000000"/>
              <w:bottom w:val="single" w:sz="6" w:space="0" w:color="000000"/>
              <w:right w:val="single" w:sz="6" w:space="0" w:color="000000"/>
            </w:tcBorders>
          </w:tcPr>
          <w:p w14:paraId="141C0217" w14:textId="24DE2F6F" w:rsidR="003A3ED3" w:rsidRDefault="003A3ED3"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23037AF3" w14:textId="77777777" w:rsidR="003A3ED3" w:rsidRDefault="003A3ED3" w:rsidP="003A3ED3">
            <w:pPr>
              <w:pStyle w:val="ListParagraph"/>
              <w:widowControl w:val="0"/>
              <w:spacing w:after="0" w:line="240" w:lineRule="auto"/>
              <w:ind w:left="0"/>
              <w:jc w:val="center"/>
              <w:rPr>
                <w:rFonts w:ascii="Times New Roman" w:hAnsi="Times New Roman"/>
                <w:b/>
                <w:sz w:val="24"/>
                <w:szCs w:val="24"/>
                <w:lang w:val="lv-LV"/>
              </w:rPr>
            </w:pPr>
            <w:r>
              <w:rPr>
                <w:rFonts w:ascii="Times New Roman" w:hAnsi="Times New Roman"/>
                <w:b/>
                <w:sz w:val="24"/>
                <w:szCs w:val="24"/>
                <w:lang w:val="lv-LV"/>
              </w:rPr>
              <w:t xml:space="preserve">Latvijas Lielo pilsētu asociācijas </w:t>
            </w:r>
            <w:r w:rsidRPr="00C92FDD">
              <w:rPr>
                <w:rFonts w:ascii="Times New Roman" w:hAnsi="Times New Roman"/>
                <w:b/>
                <w:sz w:val="24"/>
                <w:szCs w:val="24"/>
                <w:lang w:val="lv-LV"/>
              </w:rPr>
              <w:t>02.09.2019</w:t>
            </w:r>
            <w:r>
              <w:rPr>
                <w:rFonts w:ascii="Times New Roman" w:hAnsi="Times New Roman"/>
                <w:b/>
                <w:sz w:val="24"/>
                <w:szCs w:val="24"/>
                <w:lang w:val="lv-LV"/>
              </w:rPr>
              <w:t xml:space="preserve"> atzinums</w:t>
            </w:r>
          </w:p>
          <w:p w14:paraId="1188F890" w14:textId="57908DA6" w:rsidR="003A3ED3" w:rsidRDefault="003A3ED3" w:rsidP="003A3ED3">
            <w:pPr>
              <w:pStyle w:val="ListParagraph"/>
              <w:widowControl w:val="0"/>
              <w:spacing w:after="0" w:line="240" w:lineRule="auto"/>
              <w:ind w:left="0"/>
              <w:jc w:val="both"/>
              <w:rPr>
                <w:rFonts w:ascii="Times New Roman" w:hAnsi="Times New Roman"/>
                <w:b/>
                <w:sz w:val="24"/>
                <w:szCs w:val="24"/>
                <w:lang w:val="lv-LV"/>
              </w:rPr>
            </w:pPr>
            <w:r>
              <w:rPr>
                <w:rFonts w:ascii="Times New Roman" w:hAnsi="Times New Roman"/>
                <w:color w:val="000000"/>
                <w:sz w:val="24"/>
                <w:szCs w:val="24"/>
                <w:lang w:val="lv-LV"/>
              </w:rPr>
              <w:t xml:space="preserve">Informatīvā ziņojuma 2. nodaļā (3.-4.lpp.) ir norādīts, ka lielākie ne-ETS SEG emisiju avoti ir transporta sektors (29 %), lauksaimniecības sektors (25 %) un cita ne-ETS enerģētika (16 %), un Modernizācijas fonda līdzekļi būtu jākoncentrē uz investīcijām ne-ETS sektora attiecīgajos problemātiskajos sektoros. Atbalstām investīciju veikšanu ne-ETS SEG emisiju samazināšanā transporta sektorā un citā ne-ETS enerģētikā, taču norādām, ka </w:t>
            </w:r>
            <w:r>
              <w:rPr>
                <w:rFonts w:ascii="Times New Roman" w:hAnsi="Times New Roman"/>
                <w:b/>
                <w:bCs/>
                <w:color w:val="000000"/>
                <w:sz w:val="24"/>
                <w:szCs w:val="24"/>
                <w:lang w:val="lv-LV"/>
              </w:rPr>
              <w:lastRenderedPageBreak/>
              <w:t>Modernizācijas fonda finansējuma ieguldīšana lauksaimniecības sektora radīto ne-ETS SEG emisiju mazināšanā nav atbalstāma</w:t>
            </w:r>
            <w:r>
              <w:rPr>
                <w:rFonts w:ascii="Times New Roman" w:hAnsi="Times New Roman"/>
                <w:color w:val="000000"/>
                <w:sz w:val="24"/>
                <w:szCs w:val="24"/>
                <w:lang w:val="lv-LV"/>
              </w:rPr>
              <w:t xml:space="preserve">, ņemot vērā sektoram novirzīto ikgadējo subsīdiju apjomu un Zemkopība ministrijas atbildībā esošo Eiropas Savienības fondu atbalsta programmu lauksaimniecībai apjomu. Tā vietā </w:t>
            </w:r>
            <w:r>
              <w:rPr>
                <w:rFonts w:ascii="Times New Roman" w:hAnsi="Times New Roman"/>
                <w:b/>
                <w:bCs/>
                <w:color w:val="000000"/>
                <w:sz w:val="24"/>
                <w:szCs w:val="24"/>
                <w:lang w:val="lv-LV"/>
              </w:rPr>
              <w:t>Eiropas Savienības fondu atbalsta programmu lauksaimniecībai ietvaros pieejamā finansējuma sadalē būtu nepieciešams ieviest tādus kritērijus, kas vērsti uz lauksaimniecības sektora radīto ne-ETS SEG emisiju samazināšanu.</w:t>
            </w:r>
          </w:p>
        </w:tc>
        <w:tc>
          <w:tcPr>
            <w:tcW w:w="5103" w:type="dxa"/>
            <w:tcBorders>
              <w:top w:val="single" w:sz="6" w:space="0" w:color="000000"/>
              <w:left w:val="single" w:sz="6" w:space="0" w:color="000000"/>
              <w:bottom w:val="single" w:sz="6" w:space="0" w:color="000000"/>
              <w:right w:val="single" w:sz="6" w:space="0" w:color="000000"/>
            </w:tcBorders>
          </w:tcPr>
          <w:p w14:paraId="7E557806" w14:textId="42F03274" w:rsidR="003A3ED3" w:rsidRDefault="003A3ED3" w:rsidP="003A3ED3">
            <w:pPr>
              <w:jc w:val="center"/>
              <w:rPr>
                <w:b/>
                <w:lang w:eastAsia="x-none"/>
              </w:rPr>
            </w:pPr>
            <w:r>
              <w:rPr>
                <w:b/>
                <w:lang w:eastAsia="x-none"/>
              </w:rPr>
              <w:lastRenderedPageBreak/>
              <w:t>Ņ</w:t>
            </w:r>
            <w:r w:rsidRPr="00494DFF">
              <w:rPr>
                <w:b/>
                <w:lang w:eastAsia="x-none"/>
              </w:rPr>
              <w:t>em</w:t>
            </w:r>
            <w:r>
              <w:rPr>
                <w:b/>
                <w:lang w:eastAsia="x-none"/>
              </w:rPr>
              <w:t>t</w:t>
            </w:r>
            <w:r w:rsidRPr="00494DFF">
              <w:rPr>
                <w:b/>
                <w:lang w:eastAsia="x-none"/>
              </w:rPr>
              <w:t>s vērā</w:t>
            </w:r>
          </w:p>
          <w:p w14:paraId="2FEA7FCF" w14:textId="77777777" w:rsidR="003A3ED3" w:rsidRDefault="003A3ED3" w:rsidP="003A3ED3">
            <w:pPr>
              <w:spacing w:before="120" w:after="120"/>
              <w:jc w:val="both"/>
            </w:pPr>
            <w:r w:rsidRPr="000721B8">
              <w:t>Precizēts informatīvais ziņojums svītrojot vārdu “trīs” 2. nodaļas pēdējā rindkopā.</w:t>
            </w:r>
          </w:p>
          <w:p w14:paraId="5235E4F7" w14:textId="77777777" w:rsidR="003A3ED3" w:rsidRDefault="003A3ED3" w:rsidP="003A3ED3">
            <w:pPr>
              <w:jc w:val="both"/>
            </w:pPr>
            <w:r>
              <w:t xml:space="preserve">Lūdzam ņemt vērā, ka </w:t>
            </w:r>
            <w:r w:rsidRPr="000721B8">
              <w:t>šī Informatīvā ziņojuma uzdevums nav noteikt konkrētus pasākumus vai pat projektus, kas tiks atbalstīti Modernizācijas fonda ietvaros.</w:t>
            </w:r>
            <w:r>
              <w:t xml:space="preserve"> Tajā pat laikā Direktīvas 2003/87 10 d</w:t>
            </w:r>
            <w:r w:rsidRPr="00B07612">
              <w:t xml:space="preserve"> </w:t>
            </w:r>
            <w:r>
              <w:t xml:space="preserve"> </w:t>
            </w:r>
            <w:r w:rsidRPr="00B07612">
              <w:t>pan</w:t>
            </w:r>
            <w:r>
              <w:t>ta</w:t>
            </w:r>
            <w:r w:rsidRPr="00B07612">
              <w:t xml:space="preserve"> 2.</w:t>
            </w:r>
            <w:r>
              <w:t> </w:t>
            </w:r>
            <w:r w:rsidRPr="00B07612">
              <w:t>punktā</w:t>
            </w:r>
            <w:r>
              <w:t xml:space="preserve"> ir</w:t>
            </w:r>
            <w:r w:rsidRPr="00B07612">
              <w:t xml:space="preserve"> </w:t>
            </w:r>
            <w:r>
              <w:t>uzskaitīts</w:t>
            </w:r>
            <w:r w:rsidRPr="00B07612">
              <w:t xml:space="preserve"> plašs loks ar prioritārajām investīcijām, t.sk. investīcijām energoefektivitātē transporta, ēku, lauksaimniecības un atkritumu apsaimniekošanas jomās.</w:t>
            </w:r>
          </w:p>
          <w:p w14:paraId="789DBD7B" w14:textId="46071B7F" w:rsidR="003A3ED3" w:rsidRDefault="003A3ED3" w:rsidP="003A3ED3">
            <w:pPr>
              <w:spacing w:before="120" w:after="120"/>
              <w:jc w:val="both"/>
              <w:rPr>
                <w:bCs/>
                <w:color w:val="000000" w:themeColor="text1"/>
              </w:rPr>
            </w:pPr>
            <w:r w:rsidRPr="001D3DA4">
              <w:rPr>
                <w:rFonts w:eastAsia="Calibri"/>
              </w:rPr>
              <w:lastRenderedPageBreak/>
              <w:t>Vēršam uzmanību, ka</w:t>
            </w:r>
            <w:r>
              <w:rPr>
                <w:rFonts w:eastAsia="Calibri"/>
              </w:rPr>
              <w:t xml:space="preserve"> </w:t>
            </w:r>
            <w:r w:rsidRPr="00494DFF">
              <w:rPr>
                <w:bCs/>
                <w:color w:val="000000" w:themeColor="text1"/>
              </w:rPr>
              <w:t>tiek plānots nodrošināt demarkāciju starp citiem finanšu instrumentiem</w:t>
            </w:r>
            <w:r w:rsidR="00A85729">
              <w:rPr>
                <w:bCs/>
                <w:color w:val="000000" w:themeColor="text1"/>
              </w:rPr>
              <w:t xml:space="preserve"> un fondiem</w:t>
            </w:r>
            <w:r>
              <w:rPr>
                <w:bCs/>
                <w:color w:val="000000" w:themeColor="text1"/>
              </w:rPr>
              <w:t xml:space="preserve"> novēršot pieejamā finansējuma dublēšanos</w:t>
            </w:r>
            <w:r w:rsidR="00A85729">
              <w:rPr>
                <w:bCs/>
                <w:color w:val="000000" w:themeColor="text1"/>
              </w:rPr>
              <w:t>, t.sk</w:t>
            </w:r>
            <w:r w:rsidRPr="00494DFF">
              <w:rPr>
                <w:bCs/>
                <w:color w:val="000000" w:themeColor="text1"/>
              </w:rPr>
              <w:t>.</w:t>
            </w:r>
            <w:r w:rsidR="00A85729">
              <w:rPr>
                <w:bCs/>
                <w:color w:val="000000" w:themeColor="text1"/>
              </w:rPr>
              <w:t xml:space="preserve"> arī ar ES lauku attīstības politikai pieejamo finansējumu. </w:t>
            </w:r>
          </w:p>
          <w:p w14:paraId="4EB4555F" w14:textId="77777777" w:rsidR="003A3ED3" w:rsidRDefault="003A3ED3" w:rsidP="0053526A">
            <w:pPr>
              <w:spacing w:before="120" w:after="120"/>
              <w:jc w:val="center"/>
              <w:rPr>
                <w:b/>
              </w:rPr>
            </w:pPr>
          </w:p>
        </w:tc>
        <w:tc>
          <w:tcPr>
            <w:tcW w:w="2385" w:type="dxa"/>
            <w:tcBorders>
              <w:top w:val="single" w:sz="4" w:space="0" w:color="auto"/>
              <w:left w:val="single" w:sz="4" w:space="0" w:color="auto"/>
              <w:bottom w:val="single" w:sz="4" w:space="0" w:color="auto"/>
            </w:tcBorders>
          </w:tcPr>
          <w:p w14:paraId="773C0C07" w14:textId="7ACE760F" w:rsidR="003A3ED3" w:rsidRDefault="003A3ED3" w:rsidP="006C425E">
            <w:pPr>
              <w:jc w:val="both"/>
              <w:rPr>
                <w:b/>
              </w:rPr>
            </w:pPr>
            <w:r>
              <w:rPr>
                <w:b/>
              </w:rPr>
              <w:lastRenderedPageBreak/>
              <w:t>Informatīvais ziņojums</w:t>
            </w:r>
          </w:p>
        </w:tc>
      </w:tr>
    </w:tbl>
    <w:p w14:paraId="4F9A7F60" w14:textId="77AFE458" w:rsidR="00D45E44" w:rsidRPr="00606385" w:rsidRDefault="00D45E44" w:rsidP="00D45E44"/>
    <w:p w14:paraId="70EF3C77" w14:textId="77777777" w:rsidR="00D45E44" w:rsidRPr="00606385" w:rsidRDefault="00D45E44" w:rsidP="00D45E44">
      <w:r w:rsidRPr="00606385">
        <w:t xml:space="preserve">Atbildīgā amatpersona: </w:t>
      </w:r>
    </w:p>
    <w:p w14:paraId="0CE98814" w14:textId="321C73BF" w:rsidR="00807AA6" w:rsidRPr="001A16FD" w:rsidRDefault="001A16FD" w:rsidP="00D45E44">
      <w:pPr>
        <w:rPr>
          <w:sz w:val="20"/>
          <w:szCs w:val="20"/>
        </w:rPr>
      </w:pPr>
      <w:r w:rsidRPr="001A16FD">
        <w:rPr>
          <w:sz w:val="20"/>
          <w:szCs w:val="20"/>
        </w:rPr>
        <w:t>G.Zustenieks;</w:t>
      </w:r>
      <w:r w:rsidR="00551B1F" w:rsidRPr="001A16FD">
        <w:rPr>
          <w:sz w:val="20"/>
          <w:szCs w:val="20"/>
        </w:rPr>
        <w:t xml:space="preserve"> </w:t>
      </w:r>
      <w:r w:rsidRPr="001A16FD">
        <w:rPr>
          <w:sz w:val="20"/>
          <w:szCs w:val="20"/>
        </w:rPr>
        <w:t>67026489</w:t>
      </w:r>
    </w:p>
    <w:p w14:paraId="47318044" w14:textId="7616206F" w:rsidR="00551B1F" w:rsidRPr="001A16FD" w:rsidRDefault="007E0F73" w:rsidP="00D45E44">
      <w:pPr>
        <w:rPr>
          <w:sz w:val="20"/>
          <w:szCs w:val="20"/>
        </w:rPr>
      </w:pPr>
      <w:hyperlink r:id="rId8" w:history="1">
        <w:r w:rsidR="00551B1F" w:rsidRPr="001A16FD">
          <w:rPr>
            <w:rStyle w:val="Hyperlink"/>
            <w:sz w:val="20"/>
            <w:szCs w:val="20"/>
          </w:rPr>
          <w:t>gusts.zustenieks@varam.gov.lv</w:t>
        </w:r>
      </w:hyperlink>
      <w:r w:rsidR="00551B1F" w:rsidRPr="001A16FD">
        <w:rPr>
          <w:sz w:val="20"/>
          <w:szCs w:val="20"/>
        </w:rPr>
        <w:t xml:space="preserve"> </w:t>
      </w:r>
    </w:p>
    <w:sectPr w:rsidR="00551B1F" w:rsidRPr="001A16FD" w:rsidSect="001D6E1B">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3A543" w14:textId="77777777" w:rsidR="005B3A9A" w:rsidRDefault="005B3A9A" w:rsidP="00D45E44">
      <w:r>
        <w:separator/>
      </w:r>
    </w:p>
  </w:endnote>
  <w:endnote w:type="continuationSeparator" w:id="0">
    <w:p w14:paraId="304B24F2" w14:textId="77777777" w:rsidR="005B3A9A" w:rsidRDefault="005B3A9A"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37A5" w14:textId="5D576818" w:rsidR="00E54AA9" w:rsidRPr="00F13E2F" w:rsidRDefault="00E54AA9">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sidR="007E0F73">
      <w:rPr>
        <w:noProof/>
        <w:sz w:val="20"/>
        <w:szCs w:val="20"/>
      </w:rPr>
      <w:t>VARAMIzz_ModF_220120</w:t>
    </w:r>
    <w:r w:rsidRPr="00446AE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2CE" w14:textId="7D41383B" w:rsidR="00E54AA9" w:rsidRPr="00B67DFF" w:rsidRDefault="00E54AA9">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7E0F73">
      <w:rPr>
        <w:noProof/>
        <w:sz w:val="20"/>
        <w:szCs w:val="20"/>
      </w:rPr>
      <w:t>VARAMIzz_ModF_220120</w:t>
    </w:r>
    <w:r w:rsidRPr="00B67DF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5B3E" w14:textId="77777777" w:rsidR="005B3A9A" w:rsidRDefault="005B3A9A" w:rsidP="00D45E44">
      <w:r>
        <w:separator/>
      </w:r>
    </w:p>
  </w:footnote>
  <w:footnote w:type="continuationSeparator" w:id="0">
    <w:p w14:paraId="2ABBF382" w14:textId="77777777" w:rsidR="005B3A9A" w:rsidRDefault="005B3A9A" w:rsidP="00D45E44">
      <w:r>
        <w:continuationSeparator/>
      </w:r>
    </w:p>
  </w:footnote>
  <w:footnote w:id="1">
    <w:p w14:paraId="33D7B659" w14:textId="61F4C2D6" w:rsidR="00ED18D4" w:rsidRPr="00267B23" w:rsidRDefault="00ED18D4">
      <w:pPr>
        <w:pStyle w:val="FootnoteText"/>
        <w:rPr>
          <w:lang w:val="lv-LV"/>
        </w:rPr>
      </w:pPr>
      <w:r>
        <w:rPr>
          <w:rStyle w:val="FootnoteReference"/>
        </w:rPr>
        <w:footnoteRef/>
      </w:r>
      <w:r>
        <w:t xml:space="preserve"> </w:t>
      </w:r>
      <w:r w:rsidRPr="00267B23">
        <w:rPr>
          <w:rFonts w:ascii="Times New Roman" w:hAnsi="Times New Roman"/>
        </w:rPr>
        <w:t xml:space="preserve">Attīstības finanšu institūcija (domāts </w:t>
      </w:r>
      <w:r>
        <w:rPr>
          <w:rFonts w:ascii="Times New Roman" w:hAnsi="Times New Roman"/>
        </w:rPr>
        <w:t xml:space="preserve">- </w:t>
      </w:r>
      <w:r w:rsidRPr="00267B23">
        <w:rPr>
          <w:rFonts w:ascii="Times New Roman" w:hAnsi="Times New Roman"/>
        </w:rPr>
        <w:t>Altum)</w:t>
      </w:r>
    </w:p>
  </w:footnote>
  <w:footnote w:id="2">
    <w:p w14:paraId="5175206F" w14:textId="77777777" w:rsidR="00E54AA9" w:rsidRDefault="00E54AA9" w:rsidP="004650F6">
      <w:pPr>
        <w:pStyle w:val="FootnoteText"/>
        <w:jc w:val="both"/>
      </w:pPr>
      <w:r>
        <w:rPr>
          <w:rStyle w:val="FootnoteReference"/>
        </w:rPr>
        <w:footnoteRef/>
      </w:r>
      <w:r>
        <w:t xml:space="preserve"> I</w:t>
      </w:r>
      <w:r w:rsidRPr="00BE2E03">
        <w:rPr>
          <w:rFonts w:ascii="Times New Roman" w:hAnsi="Times New Roman"/>
        </w:rPr>
        <w:t xml:space="preserve">nformatīvais ziņojums “Par Modernizācijas fonda ieviešanu” un </w:t>
      </w:r>
      <w:r>
        <w:rPr>
          <w:rFonts w:ascii="Times New Roman" w:hAnsi="Times New Roman"/>
        </w:rPr>
        <w:t>tam pievienotais protokollēmuma</w:t>
      </w:r>
      <w:r w:rsidRPr="00CB334D">
        <w:rPr>
          <w:rFonts w:ascii="Times New Roman" w:hAnsi="Times New Roman"/>
        </w:rPr>
        <w:t xml:space="preserve"> projekts pirmo reizi </w:t>
      </w:r>
      <w:r w:rsidRPr="00203BE9">
        <w:rPr>
          <w:rFonts w:ascii="Times New Roman" w:hAnsi="Times New Roman"/>
        </w:rPr>
        <w:t xml:space="preserve">tika iesniegts Valsts kancelejā 2019. gada 20. septembrī </w:t>
      </w:r>
      <w:r>
        <w:rPr>
          <w:rFonts w:ascii="Times New Roman" w:hAnsi="Times New Roman"/>
        </w:rPr>
        <w:t xml:space="preserve">un </w:t>
      </w:r>
      <w:r w:rsidRPr="00BE2E03">
        <w:rPr>
          <w:rFonts w:ascii="Times New Roman" w:hAnsi="Times New Roman"/>
        </w:rPr>
        <w:t xml:space="preserve"> sākotnēji </w:t>
      </w:r>
      <w:r>
        <w:rPr>
          <w:rFonts w:ascii="Times New Roman" w:hAnsi="Times New Roman"/>
        </w:rPr>
        <w:t>bija</w:t>
      </w:r>
      <w:r w:rsidRPr="00BE2E03">
        <w:rPr>
          <w:rFonts w:ascii="Times New Roman" w:hAnsi="Times New Roman"/>
        </w:rPr>
        <w:t xml:space="preserve"> iekļauti 2019. gada 8.oktobra Ministru kabineta sēdes darba kārtībā, tomēr šo dokumentu izskatīšana tika atlikta.</w:t>
      </w:r>
    </w:p>
  </w:footnote>
  <w:footnote w:id="3">
    <w:p w14:paraId="05A5D22A" w14:textId="77777777" w:rsidR="00E54AA9" w:rsidRPr="00BC2ED8" w:rsidRDefault="00E54AA9" w:rsidP="003E5969">
      <w:pPr>
        <w:pStyle w:val="FootnoteText"/>
        <w:spacing w:after="0" w:line="240" w:lineRule="auto"/>
        <w:jc w:val="both"/>
        <w:rPr>
          <w:rFonts w:ascii="Times New Roman" w:hAnsi="Times New Roman"/>
          <w:lang w:val="lv-LV"/>
        </w:rPr>
      </w:pPr>
      <w:r w:rsidRPr="00BC2ED8">
        <w:rPr>
          <w:rStyle w:val="FootnoteReference"/>
          <w:rFonts w:ascii="Times New Roman" w:hAnsi="Times New Roman"/>
          <w:lang w:val="lv-LV"/>
        </w:rPr>
        <w:footnoteRef/>
      </w:r>
      <w:r w:rsidRPr="00BC2ED8">
        <w:rPr>
          <w:rFonts w:ascii="Times New Roman" w:hAnsi="Times New Roman"/>
          <w:lang w:val="lv-LV"/>
        </w:rPr>
        <w:t xml:space="preserve"> Eiropas Parlamenta un Padomes 2003.gada 13.oktobra direktīva Nr.2003/87/EK, ar kuru nosaka sistēmu siltumnīcas efektu izraisošo gāzu emisijas kvotu tirdzniecībai M9  Savienībā un groza Padomes Direktīvu 96/61/EK</w:t>
      </w:r>
    </w:p>
  </w:footnote>
  <w:footnote w:id="4">
    <w:p w14:paraId="457C3D6B" w14:textId="77777777" w:rsidR="00E54AA9" w:rsidRPr="00BC2ED8" w:rsidRDefault="00E54AA9" w:rsidP="003E5969">
      <w:pPr>
        <w:pStyle w:val="FootnoteText"/>
        <w:spacing w:after="0" w:line="240" w:lineRule="auto"/>
        <w:jc w:val="both"/>
        <w:rPr>
          <w:rFonts w:ascii="Times New Roman" w:hAnsi="Times New Roman"/>
          <w:lang w:val="lv-LV"/>
        </w:rPr>
      </w:pPr>
      <w:r w:rsidRPr="00BC2ED8">
        <w:rPr>
          <w:rStyle w:val="FootnoteReference"/>
          <w:rFonts w:ascii="Times New Roman" w:hAnsi="Times New Roman"/>
          <w:lang w:val="lv-LV"/>
        </w:rPr>
        <w:footnoteRef/>
      </w:r>
      <w:r w:rsidRPr="00BC2ED8">
        <w:rPr>
          <w:rFonts w:ascii="Times New Roman" w:hAnsi="Times New Roman"/>
          <w:lang w:val="lv-LV"/>
        </w:rPr>
        <w:t xml:space="preserve"> Eiropas Parlamenta un Padomes 2018.gada 14.marta direktīva Nr.2018/410, ar ko groza Direktīvu 2003/87/EK, lai sekmētu emisiju izmaksefektīvu samazināšanu un investīcijas mazoglekļa risinājumos, un Lēmumu (ES) 2015/1814</w:t>
      </w:r>
    </w:p>
  </w:footnote>
  <w:footnote w:id="5">
    <w:p w14:paraId="36A03EE2" w14:textId="77777777" w:rsidR="00E54AA9" w:rsidRPr="00B21E01" w:rsidRDefault="00E54AA9" w:rsidP="009A4EB6">
      <w:pPr>
        <w:pStyle w:val="FootnoteText"/>
        <w:spacing w:after="0" w:line="240" w:lineRule="auto"/>
        <w:rPr>
          <w:rFonts w:ascii="Times New Roman" w:hAnsi="Times New Roman"/>
          <w:lang w:val="lv-LV"/>
        </w:rPr>
      </w:pPr>
      <w:r w:rsidRPr="00B21E01">
        <w:rPr>
          <w:rStyle w:val="FootnoteReference"/>
          <w:rFonts w:ascii="Times New Roman" w:hAnsi="Times New Roman"/>
        </w:rPr>
        <w:footnoteRef/>
      </w:r>
      <w:r w:rsidRPr="00B21E01">
        <w:rPr>
          <w:rFonts w:ascii="Times New Roman" w:hAnsi="Times New Roman"/>
          <w:lang w:val="lv-LV"/>
        </w:rPr>
        <w:t xml:space="preserve"> </w:t>
      </w:r>
      <w:hyperlink r:id="rId1" w:history="1">
        <w:r w:rsidRPr="00B21E01">
          <w:rPr>
            <w:rStyle w:val="Hyperlink"/>
            <w:rFonts w:ascii="Times New Roman" w:hAnsi="Times New Roman"/>
            <w:lang w:val="lv-LV"/>
          </w:rPr>
          <w:t>http://data.consilium.europa.eu/doc/document/ST-169-2014-INIT/lv/pdf</w:t>
        </w:r>
      </w:hyperlink>
    </w:p>
  </w:footnote>
  <w:footnote w:id="6">
    <w:p w14:paraId="52D5FC79" w14:textId="77777777" w:rsidR="00E54AA9" w:rsidRPr="00586C29" w:rsidRDefault="00E54AA9" w:rsidP="00586C29">
      <w:pPr>
        <w:pStyle w:val="FootnoteText"/>
        <w:rPr>
          <w:lang w:val="lv-LV"/>
        </w:rPr>
      </w:pPr>
    </w:p>
  </w:footnote>
  <w:footnote w:id="7">
    <w:p w14:paraId="01312541" w14:textId="77777777" w:rsidR="00E54AA9" w:rsidRPr="00AC0697" w:rsidRDefault="00E54AA9" w:rsidP="009A4EB6">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2" w:history="1">
        <w:r w:rsidRPr="00AC0697">
          <w:rPr>
            <w:rStyle w:val="Hyperlink"/>
            <w:rFonts w:ascii="Times New Roman" w:hAnsi="Times New Roman"/>
            <w:lang w:val="lv-LV"/>
          </w:rPr>
          <w:t>https://www.pkc.gov.lv/sites/default/files/inline-files/Latvija_2030_7.pdf</w:t>
        </w:r>
      </w:hyperlink>
    </w:p>
  </w:footnote>
  <w:footnote w:id="8">
    <w:p w14:paraId="7896879E" w14:textId="77777777" w:rsidR="00E54AA9" w:rsidRPr="00AC0697" w:rsidRDefault="00E54AA9" w:rsidP="00C61609">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Likuma “Par piesārņojumu” 52.panta pirmā daļa</w:t>
      </w:r>
    </w:p>
  </w:footnote>
  <w:footnote w:id="9">
    <w:p w14:paraId="130F8031" w14:textId="77777777" w:rsidR="00E54AA9" w:rsidRPr="002B429B" w:rsidRDefault="00E54AA9" w:rsidP="00C61609">
      <w:pPr>
        <w:pStyle w:val="FootnoteText"/>
        <w:rPr>
          <w:lang w:val="lv-LV"/>
        </w:rPr>
      </w:pPr>
      <w:r>
        <w:rPr>
          <w:rStyle w:val="FootnoteReference"/>
        </w:rPr>
        <w:footnoteRef/>
      </w:r>
      <w:r w:rsidRPr="001A7925">
        <w:rPr>
          <w:lang w:val="lv-LV"/>
        </w:rPr>
        <w:t xml:space="preserve"> </w:t>
      </w:r>
      <w:hyperlink r:id="rId3" w:history="1">
        <w:r w:rsidRPr="001A7925">
          <w:rPr>
            <w:rStyle w:val="Hyperlink"/>
            <w:lang w:val="lv-LV"/>
          </w:rPr>
          <w:t>https://ec.europa.eu/clima/policies/ets_en</w:t>
        </w:r>
      </w:hyperlink>
    </w:p>
  </w:footnote>
  <w:footnote w:id="10">
    <w:p w14:paraId="6949859C" w14:textId="77777777" w:rsidR="00E54AA9" w:rsidRPr="004D14D4" w:rsidRDefault="00E54AA9" w:rsidP="00EC4256">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4" w:history="1">
        <w:r w:rsidRPr="00AC0697">
          <w:rPr>
            <w:rStyle w:val="Hyperlink"/>
            <w:rFonts w:ascii="Times New Roman" w:hAnsi="Times New Roman"/>
            <w:lang w:val="lv-LV"/>
          </w:rPr>
          <w:t>http://www.lrvk.gov.lv/revizija/vai-vides-aizsardzibas-un-regionalas-attistibas-ministrijas-administretie-klimata-parmainu-samazinasanai-paredzetie-lidzekli-tiek-planoti-un-izlietoti-efektivi-un-atbilstosi-normativo-aktu-prasibam/</w:t>
        </w:r>
      </w:hyperlink>
    </w:p>
  </w:footnote>
  <w:footnote w:id="11">
    <w:p w14:paraId="4497AF07" w14:textId="77777777" w:rsidR="00E54AA9" w:rsidRPr="00E017DF" w:rsidRDefault="00E54AA9"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w:t>
      </w:r>
      <w:hyperlink r:id="rId5" w:history="1">
        <w:r w:rsidRPr="00E017DF">
          <w:rPr>
            <w:rStyle w:val="Hyperlink"/>
            <w:rFonts w:ascii="Times New Roman" w:hAnsi="Times New Roman"/>
            <w:lang w:val="lv-LV"/>
          </w:rPr>
          <w:t>https://www.youtube.com/watch?v=ufVR1JV4Or0</w:t>
        </w:r>
      </w:hyperlink>
    </w:p>
  </w:footnote>
  <w:footnote w:id="12">
    <w:p w14:paraId="0A2274F7" w14:textId="77777777" w:rsidR="00E54AA9" w:rsidRPr="00E017DF" w:rsidRDefault="00E54AA9" w:rsidP="00EC4256">
      <w:pPr>
        <w:pStyle w:val="FootnoteText"/>
        <w:spacing w:after="0" w:line="240" w:lineRule="auto"/>
        <w:jc w:val="both"/>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rPr>
        <w:t xml:space="preserve"> </w:t>
      </w:r>
      <w:r w:rsidRPr="00E017DF">
        <w:rPr>
          <w:rFonts w:ascii="Times New Roman" w:hAnsi="Times New Roman"/>
          <w:lang w:val="lv-LV"/>
        </w:rPr>
        <w:t>Tehnoloģiju ražošana rada jaunas SEG emisijas nevis samazina esošo SEG emisiju apjomu</w:t>
      </w:r>
    </w:p>
  </w:footnote>
  <w:footnote w:id="13">
    <w:p w14:paraId="66EDDDE7" w14:textId="77777777" w:rsidR="00E54AA9" w:rsidRPr="00E017DF" w:rsidRDefault="00E54AA9" w:rsidP="00EC4256">
      <w:pPr>
        <w:pStyle w:val="FootnoteText"/>
        <w:spacing w:after="0" w:line="240" w:lineRule="auto"/>
        <w:jc w:val="both"/>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Būvniecības sektors un būvmateriālu ražošanas sektors ir lielākie SEG emisiju avoti rūpniecības nozarē, un būvniecības pastiprināta attīstība veicinās jaunu SEG emisiju radīšanu nevis samazinās esošo SEG emisiju apjomu</w:t>
      </w:r>
    </w:p>
  </w:footnote>
  <w:footnote w:id="14">
    <w:p w14:paraId="4E66CD45" w14:textId="77777777" w:rsidR="00E54AA9" w:rsidRPr="00E017DF" w:rsidRDefault="00E54AA9"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pie emisijas kvotu cenas 30,5</w:t>
      </w:r>
      <w:r w:rsidRPr="00E017DF">
        <w:rPr>
          <w:rFonts w:ascii="Times New Roman" w:hAnsi="Times New Roman"/>
          <w:iCs/>
          <w:lang w:val="lv-LV"/>
        </w:rPr>
        <w:t xml:space="preserve"> EUR </w:t>
      </w:r>
      <w:r w:rsidRPr="00E017DF">
        <w:rPr>
          <w:rFonts w:ascii="Times New Roman" w:hAnsi="Times New Roman"/>
          <w:lang w:val="lv-LV"/>
        </w:rPr>
        <w:t>Saskaņā ar ekspertu vidējām prognozēm ES ETS 4. periodā (publicēts 10.04.2019.; http://carbon-pulse.com/72837/)</w:t>
      </w:r>
    </w:p>
  </w:footnote>
  <w:footnote w:id="15">
    <w:p w14:paraId="58DDAE8D" w14:textId="77777777" w:rsidR="00E54AA9" w:rsidRPr="00E017DF" w:rsidRDefault="00E54AA9"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w:t>
      </w:r>
      <w:hyperlink r:id="rId6" w:history="1">
        <w:r w:rsidRPr="00E017DF">
          <w:rPr>
            <w:rStyle w:val="Hyperlink"/>
            <w:rFonts w:ascii="Times New Roman" w:hAnsi="Times New Roman"/>
            <w:lang w:val="lv-LV"/>
          </w:rPr>
          <w:t>http://tap.mk.gov.lv/doc/2019_07/VARAMKonc_180619_bezmaksas_kv.1194.docx</w:t>
        </w:r>
      </w:hyperlink>
      <w:r w:rsidRPr="00E017DF">
        <w:rPr>
          <w:rFonts w:ascii="Times New Roman" w:hAnsi="Times New Roman"/>
          <w:lang w:val="lv-LV"/>
        </w:rPr>
        <w:t xml:space="preserve"> </w:t>
      </w:r>
    </w:p>
  </w:footnote>
  <w:footnote w:id="16">
    <w:p w14:paraId="4B7E32EF" w14:textId="77777777" w:rsidR="00E54AA9" w:rsidRPr="006E43FC" w:rsidRDefault="00E54AA9" w:rsidP="00EC4256">
      <w:pPr>
        <w:pStyle w:val="FootnoteText"/>
        <w:spacing w:after="0" w:line="240" w:lineRule="auto"/>
        <w:rPr>
          <w:rFonts w:ascii="Times New Roman" w:hAnsi="Times New Roman"/>
          <w:lang w:val="lv-LV"/>
        </w:rPr>
      </w:pPr>
      <w:r w:rsidRPr="006E43FC">
        <w:rPr>
          <w:rStyle w:val="FootnoteReference"/>
          <w:rFonts w:ascii="Times New Roman" w:hAnsi="Times New Roman"/>
        </w:rPr>
        <w:footnoteRef/>
      </w:r>
      <w:r w:rsidRPr="006E43FC">
        <w:rPr>
          <w:rFonts w:ascii="Times New Roman" w:hAnsi="Times New Roman"/>
        </w:rPr>
        <w:t xml:space="preserve"> </w:t>
      </w:r>
      <w:r w:rsidRPr="006E43FC">
        <w:rPr>
          <w:rFonts w:ascii="Times New Roman" w:hAnsi="Times New Roman"/>
          <w:lang w:val="lv-LV"/>
        </w:rPr>
        <w:t>Likuma “Par Latvijas Republikas dalību Kioto protokola elastīgajos mehānismos” 8.panta trešā daļa</w:t>
      </w:r>
    </w:p>
  </w:footnote>
  <w:footnote w:id="17">
    <w:p w14:paraId="4374E140" w14:textId="77777777" w:rsidR="00E54AA9" w:rsidRPr="006E43FC" w:rsidRDefault="00E54AA9" w:rsidP="00EC4256">
      <w:pPr>
        <w:pStyle w:val="FootnoteText"/>
        <w:spacing w:after="0" w:line="240" w:lineRule="auto"/>
        <w:rPr>
          <w:rFonts w:ascii="Times New Roman" w:hAnsi="Times New Roman"/>
          <w:lang w:val="lv-LV"/>
        </w:rPr>
      </w:pPr>
      <w:r w:rsidRPr="006E43FC">
        <w:rPr>
          <w:rStyle w:val="FootnoteReference"/>
          <w:rFonts w:ascii="Times New Roman" w:hAnsi="Times New Roman"/>
        </w:rPr>
        <w:footnoteRef/>
      </w:r>
      <w:r w:rsidRPr="006E43FC">
        <w:rPr>
          <w:rFonts w:ascii="Times New Roman" w:hAnsi="Times New Roman"/>
          <w:lang w:val="lv-LV"/>
        </w:rPr>
        <w:t xml:space="preserve"> </w:t>
      </w:r>
      <w:hyperlink r:id="rId7" w:history="1">
        <w:r w:rsidRPr="006E43FC">
          <w:rPr>
            <w:rStyle w:val="Hyperlink"/>
            <w:rFonts w:ascii="Times New Roman" w:hAnsi="Times New Roman"/>
            <w:lang w:val="lv-LV"/>
          </w:rPr>
          <w:t>https://www.em.gov.lv/resources/web/esfondi/2019.03.04.%20ES%20fondi%20LV%20macins.jpg</w:t>
        </w:r>
      </w:hyperlink>
    </w:p>
  </w:footnote>
  <w:footnote w:id="18">
    <w:p w14:paraId="10416BF0" w14:textId="77777777" w:rsidR="00E54AA9" w:rsidRPr="00911572" w:rsidRDefault="00E54AA9" w:rsidP="00EC4256">
      <w:pPr>
        <w:pStyle w:val="FootnoteText"/>
        <w:spacing w:after="0" w:line="240" w:lineRule="auto"/>
        <w:rPr>
          <w:lang w:val="lv-LV"/>
        </w:rPr>
      </w:pPr>
      <w:r>
        <w:rPr>
          <w:rStyle w:val="FootnoteReference"/>
        </w:rPr>
        <w:footnoteRef/>
      </w:r>
      <w:r>
        <w:t xml:space="preserve"> </w:t>
      </w:r>
      <w:hyperlink r:id="rId8" w:history="1">
        <w:r>
          <w:rPr>
            <w:rStyle w:val="Hyperlink"/>
          </w:rPr>
          <w:t>https://eur-lex.europa.eu/legal-content/EN/TXT/?uri=COM%3A2018%3A372%3AFIN</w:t>
        </w:r>
      </w:hyperlink>
      <w:r>
        <w:t xml:space="preserve"> (2.pants)</w:t>
      </w:r>
    </w:p>
  </w:footnote>
  <w:footnote w:id="19">
    <w:p w14:paraId="38D691D5" w14:textId="77777777" w:rsidR="00E54AA9" w:rsidRPr="00911572" w:rsidRDefault="00E54AA9" w:rsidP="00EC4256">
      <w:pPr>
        <w:pStyle w:val="FootnoteText"/>
        <w:rPr>
          <w:lang w:val="lv-LV"/>
        </w:rPr>
      </w:pPr>
      <w:r>
        <w:rPr>
          <w:rStyle w:val="FootnoteReference"/>
        </w:rPr>
        <w:footnoteRef/>
      </w:r>
      <w:r>
        <w:t xml:space="preserve"> </w:t>
      </w:r>
      <w:hyperlink r:id="rId9" w:history="1">
        <w:r>
          <w:rPr>
            <w:rStyle w:val="Hyperlink"/>
          </w:rPr>
          <w:t>https://www.esfondi.lv/upload/Prezentacijas/lv_updated-launch-event-v7-05april19.pdf</w:t>
        </w:r>
      </w:hyperlink>
      <w:r>
        <w:t xml:space="preserve"> (11. slaids)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69F" w14:textId="77777777" w:rsidR="00E54AA9" w:rsidRDefault="00E54AA9"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E54AA9" w:rsidRDefault="00E54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56A5" w14:textId="17B2C2BA" w:rsidR="00E54AA9" w:rsidRDefault="00E54AA9"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F73">
      <w:rPr>
        <w:rStyle w:val="PageNumber"/>
        <w:noProof/>
      </w:rPr>
      <w:t>16</w:t>
    </w:r>
    <w:r>
      <w:rPr>
        <w:rStyle w:val="PageNumber"/>
      </w:rPr>
      <w:fldChar w:fldCharType="end"/>
    </w:r>
  </w:p>
  <w:p w14:paraId="6FB7C138" w14:textId="77777777" w:rsidR="00E54AA9" w:rsidRDefault="00E54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0"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484D29"/>
    <w:multiLevelType w:val="hybridMultilevel"/>
    <w:tmpl w:val="6444F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FF2496"/>
    <w:multiLevelType w:val="hybridMultilevel"/>
    <w:tmpl w:val="701C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0"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2"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3"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10"/>
  </w:num>
  <w:num w:numId="4">
    <w:abstractNumId w:val="23"/>
  </w:num>
  <w:num w:numId="5">
    <w:abstractNumId w:val="2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5"/>
  </w:num>
  <w:num w:numId="11">
    <w:abstractNumId w:val="22"/>
  </w:num>
  <w:num w:numId="12">
    <w:abstractNumId w:val="28"/>
  </w:num>
  <w:num w:numId="13">
    <w:abstractNumId w:val="16"/>
  </w:num>
  <w:num w:numId="14">
    <w:abstractNumId w:val="3"/>
  </w:num>
  <w:num w:numId="15">
    <w:abstractNumId w:val="8"/>
  </w:num>
  <w:num w:numId="16">
    <w:abstractNumId w:val="14"/>
  </w:num>
  <w:num w:numId="17">
    <w:abstractNumId w:val="0"/>
  </w:num>
  <w:num w:numId="18">
    <w:abstractNumId w:val="29"/>
  </w:num>
  <w:num w:numId="19">
    <w:abstractNumId w:val="25"/>
  </w:num>
  <w:num w:numId="20">
    <w:abstractNumId w:val="13"/>
  </w:num>
  <w:num w:numId="21">
    <w:abstractNumId w:val="30"/>
  </w:num>
  <w:num w:numId="22">
    <w:abstractNumId w:val="20"/>
  </w:num>
  <w:num w:numId="23">
    <w:abstractNumId w:val="4"/>
  </w:num>
  <w:num w:numId="24">
    <w:abstractNumId w:val="26"/>
  </w:num>
  <w:num w:numId="25">
    <w:abstractNumId w:val="17"/>
  </w:num>
  <w:num w:numId="26">
    <w:abstractNumId w:val="11"/>
  </w:num>
  <w:num w:numId="27">
    <w:abstractNumId w:val="2"/>
  </w:num>
  <w:num w:numId="28">
    <w:abstractNumId w:val="9"/>
  </w:num>
  <w:num w:numId="29">
    <w:abstractNumId w:val="19"/>
  </w:num>
  <w:num w:numId="30">
    <w:abstractNumId w:val="27"/>
  </w:num>
  <w:num w:numId="31">
    <w:abstractNumId w:val="1"/>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4"/>
    <w:rsid w:val="000004F0"/>
    <w:rsid w:val="00006269"/>
    <w:rsid w:val="000107BB"/>
    <w:rsid w:val="000109D5"/>
    <w:rsid w:val="000112C1"/>
    <w:rsid w:val="0001283C"/>
    <w:rsid w:val="00014269"/>
    <w:rsid w:val="00015891"/>
    <w:rsid w:val="000167EE"/>
    <w:rsid w:val="00020F84"/>
    <w:rsid w:val="00020F90"/>
    <w:rsid w:val="00023BEE"/>
    <w:rsid w:val="0002724B"/>
    <w:rsid w:val="00027269"/>
    <w:rsid w:val="00027EE6"/>
    <w:rsid w:val="00041ADA"/>
    <w:rsid w:val="000421BC"/>
    <w:rsid w:val="00044DC8"/>
    <w:rsid w:val="000517FA"/>
    <w:rsid w:val="0006239B"/>
    <w:rsid w:val="00064ECF"/>
    <w:rsid w:val="000674A9"/>
    <w:rsid w:val="000721B8"/>
    <w:rsid w:val="00072820"/>
    <w:rsid w:val="000733D2"/>
    <w:rsid w:val="000771AD"/>
    <w:rsid w:val="0008039F"/>
    <w:rsid w:val="00085592"/>
    <w:rsid w:val="00095C44"/>
    <w:rsid w:val="000967CD"/>
    <w:rsid w:val="00096D0F"/>
    <w:rsid w:val="000A08DF"/>
    <w:rsid w:val="000A168E"/>
    <w:rsid w:val="000A238D"/>
    <w:rsid w:val="000A2A2D"/>
    <w:rsid w:val="000A3332"/>
    <w:rsid w:val="000A3669"/>
    <w:rsid w:val="000A6574"/>
    <w:rsid w:val="000A6D0D"/>
    <w:rsid w:val="000B038D"/>
    <w:rsid w:val="000B484F"/>
    <w:rsid w:val="000B67BF"/>
    <w:rsid w:val="000B7FDA"/>
    <w:rsid w:val="000C770E"/>
    <w:rsid w:val="000D31C9"/>
    <w:rsid w:val="000D681B"/>
    <w:rsid w:val="000E2436"/>
    <w:rsid w:val="000E3959"/>
    <w:rsid w:val="000E4BD5"/>
    <w:rsid w:val="000E5A2F"/>
    <w:rsid w:val="000E66EC"/>
    <w:rsid w:val="000E6AD1"/>
    <w:rsid w:val="000F297D"/>
    <w:rsid w:val="000F3C46"/>
    <w:rsid w:val="000F525A"/>
    <w:rsid w:val="000F5917"/>
    <w:rsid w:val="00101E6D"/>
    <w:rsid w:val="00101F95"/>
    <w:rsid w:val="00116C08"/>
    <w:rsid w:val="00125EBB"/>
    <w:rsid w:val="0012669E"/>
    <w:rsid w:val="00132389"/>
    <w:rsid w:val="0014391F"/>
    <w:rsid w:val="0015078D"/>
    <w:rsid w:val="00150B19"/>
    <w:rsid w:val="00163906"/>
    <w:rsid w:val="00165F47"/>
    <w:rsid w:val="00171F5C"/>
    <w:rsid w:val="00173E96"/>
    <w:rsid w:val="0017647A"/>
    <w:rsid w:val="001767FB"/>
    <w:rsid w:val="001774AB"/>
    <w:rsid w:val="00181AFD"/>
    <w:rsid w:val="001911F9"/>
    <w:rsid w:val="00191C11"/>
    <w:rsid w:val="001952D0"/>
    <w:rsid w:val="001A144B"/>
    <w:rsid w:val="001A16FD"/>
    <w:rsid w:val="001A265A"/>
    <w:rsid w:val="001B6C54"/>
    <w:rsid w:val="001C6111"/>
    <w:rsid w:val="001D3DA4"/>
    <w:rsid w:val="001D6E1B"/>
    <w:rsid w:val="001D71DF"/>
    <w:rsid w:val="001D76DF"/>
    <w:rsid w:val="001E755A"/>
    <w:rsid w:val="001F5A6E"/>
    <w:rsid w:val="00201E76"/>
    <w:rsid w:val="00201E88"/>
    <w:rsid w:val="002120BD"/>
    <w:rsid w:val="002159C3"/>
    <w:rsid w:val="00217B95"/>
    <w:rsid w:val="00223E2B"/>
    <w:rsid w:val="002401D2"/>
    <w:rsid w:val="002444C2"/>
    <w:rsid w:val="002470C5"/>
    <w:rsid w:val="002472AA"/>
    <w:rsid w:val="00256C82"/>
    <w:rsid w:val="0026658A"/>
    <w:rsid w:val="00267B23"/>
    <w:rsid w:val="00271D74"/>
    <w:rsid w:val="0028355B"/>
    <w:rsid w:val="00285BA7"/>
    <w:rsid w:val="002A362D"/>
    <w:rsid w:val="002A47AF"/>
    <w:rsid w:val="002B04C5"/>
    <w:rsid w:val="002B0A7F"/>
    <w:rsid w:val="002B236C"/>
    <w:rsid w:val="002B4E02"/>
    <w:rsid w:val="002C7097"/>
    <w:rsid w:val="002D261F"/>
    <w:rsid w:val="002D67D0"/>
    <w:rsid w:val="002D7310"/>
    <w:rsid w:val="002E04CA"/>
    <w:rsid w:val="002E2BCD"/>
    <w:rsid w:val="002E2C9B"/>
    <w:rsid w:val="002E4396"/>
    <w:rsid w:val="002F1086"/>
    <w:rsid w:val="002F64F0"/>
    <w:rsid w:val="002F790E"/>
    <w:rsid w:val="00301564"/>
    <w:rsid w:val="00305EE8"/>
    <w:rsid w:val="00313F1C"/>
    <w:rsid w:val="00316B64"/>
    <w:rsid w:val="00316EAB"/>
    <w:rsid w:val="0032311D"/>
    <w:rsid w:val="00331011"/>
    <w:rsid w:val="00334FCB"/>
    <w:rsid w:val="00335C7B"/>
    <w:rsid w:val="00350777"/>
    <w:rsid w:val="0035090F"/>
    <w:rsid w:val="00351B86"/>
    <w:rsid w:val="00355827"/>
    <w:rsid w:val="00365B11"/>
    <w:rsid w:val="003720E6"/>
    <w:rsid w:val="003723EF"/>
    <w:rsid w:val="00377E42"/>
    <w:rsid w:val="00380C25"/>
    <w:rsid w:val="00384111"/>
    <w:rsid w:val="00387347"/>
    <w:rsid w:val="0038741D"/>
    <w:rsid w:val="00392BD8"/>
    <w:rsid w:val="003942BF"/>
    <w:rsid w:val="003A0A1F"/>
    <w:rsid w:val="003A1AE3"/>
    <w:rsid w:val="003A3ED3"/>
    <w:rsid w:val="003B2751"/>
    <w:rsid w:val="003B42FA"/>
    <w:rsid w:val="003B6862"/>
    <w:rsid w:val="003D07E3"/>
    <w:rsid w:val="003D33ED"/>
    <w:rsid w:val="003D680C"/>
    <w:rsid w:val="003E546C"/>
    <w:rsid w:val="003E5969"/>
    <w:rsid w:val="003F1F5F"/>
    <w:rsid w:val="003F7694"/>
    <w:rsid w:val="003F7BE2"/>
    <w:rsid w:val="00400729"/>
    <w:rsid w:val="00406246"/>
    <w:rsid w:val="004113EB"/>
    <w:rsid w:val="00413124"/>
    <w:rsid w:val="00414448"/>
    <w:rsid w:val="00414543"/>
    <w:rsid w:val="00443417"/>
    <w:rsid w:val="00453BE4"/>
    <w:rsid w:val="00453C17"/>
    <w:rsid w:val="004614F2"/>
    <w:rsid w:val="00464E07"/>
    <w:rsid w:val="004650F6"/>
    <w:rsid w:val="00471885"/>
    <w:rsid w:val="0047540F"/>
    <w:rsid w:val="004768D4"/>
    <w:rsid w:val="004837A4"/>
    <w:rsid w:val="004874AA"/>
    <w:rsid w:val="00494DFF"/>
    <w:rsid w:val="00497E4D"/>
    <w:rsid w:val="004A4F47"/>
    <w:rsid w:val="004A72C2"/>
    <w:rsid w:val="004B14CA"/>
    <w:rsid w:val="004B2243"/>
    <w:rsid w:val="004B245B"/>
    <w:rsid w:val="004B64A0"/>
    <w:rsid w:val="004C10B6"/>
    <w:rsid w:val="004C31D5"/>
    <w:rsid w:val="004D3F43"/>
    <w:rsid w:val="004D426B"/>
    <w:rsid w:val="004D786D"/>
    <w:rsid w:val="004E620E"/>
    <w:rsid w:val="00516B41"/>
    <w:rsid w:val="005229F6"/>
    <w:rsid w:val="00523668"/>
    <w:rsid w:val="0052601D"/>
    <w:rsid w:val="00531C73"/>
    <w:rsid w:val="0053526A"/>
    <w:rsid w:val="00536FF8"/>
    <w:rsid w:val="005419E6"/>
    <w:rsid w:val="00543123"/>
    <w:rsid w:val="0054479C"/>
    <w:rsid w:val="00545763"/>
    <w:rsid w:val="0055161F"/>
    <w:rsid w:val="00551B1F"/>
    <w:rsid w:val="00554B2A"/>
    <w:rsid w:val="00561A7E"/>
    <w:rsid w:val="00562121"/>
    <w:rsid w:val="00562D42"/>
    <w:rsid w:val="00563C9C"/>
    <w:rsid w:val="00563F9C"/>
    <w:rsid w:val="005656FB"/>
    <w:rsid w:val="005663A3"/>
    <w:rsid w:val="005831EE"/>
    <w:rsid w:val="00586C29"/>
    <w:rsid w:val="00586C2C"/>
    <w:rsid w:val="00592BE6"/>
    <w:rsid w:val="00597B9C"/>
    <w:rsid w:val="005A2FF1"/>
    <w:rsid w:val="005A5DE5"/>
    <w:rsid w:val="005A6746"/>
    <w:rsid w:val="005B14DC"/>
    <w:rsid w:val="005B2D08"/>
    <w:rsid w:val="005B331C"/>
    <w:rsid w:val="005B3A9A"/>
    <w:rsid w:val="005C2B1C"/>
    <w:rsid w:val="005D0565"/>
    <w:rsid w:val="005D46FF"/>
    <w:rsid w:val="005D68A6"/>
    <w:rsid w:val="005D7CC1"/>
    <w:rsid w:val="005E2E1F"/>
    <w:rsid w:val="005F182C"/>
    <w:rsid w:val="005F2108"/>
    <w:rsid w:val="006001E1"/>
    <w:rsid w:val="006027EC"/>
    <w:rsid w:val="00604979"/>
    <w:rsid w:val="00605FE4"/>
    <w:rsid w:val="00606385"/>
    <w:rsid w:val="006135C1"/>
    <w:rsid w:val="00617232"/>
    <w:rsid w:val="00622590"/>
    <w:rsid w:val="006247BD"/>
    <w:rsid w:val="00636FDD"/>
    <w:rsid w:val="00646C64"/>
    <w:rsid w:val="00646D6E"/>
    <w:rsid w:val="00647941"/>
    <w:rsid w:val="00647CAA"/>
    <w:rsid w:val="0065080F"/>
    <w:rsid w:val="00672E77"/>
    <w:rsid w:val="006763BA"/>
    <w:rsid w:val="006838F2"/>
    <w:rsid w:val="006859DE"/>
    <w:rsid w:val="00686650"/>
    <w:rsid w:val="006954E6"/>
    <w:rsid w:val="00697976"/>
    <w:rsid w:val="006A3483"/>
    <w:rsid w:val="006A601C"/>
    <w:rsid w:val="006B556D"/>
    <w:rsid w:val="006C095D"/>
    <w:rsid w:val="006C425E"/>
    <w:rsid w:val="006D1A73"/>
    <w:rsid w:val="006D25F3"/>
    <w:rsid w:val="006D500A"/>
    <w:rsid w:val="006F0F44"/>
    <w:rsid w:val="006F2DB0"/>
    <w:rsid w:val="006F5B54"/>
    <w:rsid w:val="00705CE2"/>
    <w:rsid w:val="00706469"/>
    <w:rsid w:val="007174E8"/>
    <w:rsid w:val="0073226B"/>
    <w:rsid w:val="00737CA4"/>
    <w:rsid w:val="00741670"/>
    <w:rsid w:val="00744285"/>
    <w:rsid w:val="007469F0"/>
    <w:rsid w:val="00752991"/>
    <w:rsid w:val="00767692"/>
    <w:rsid w:val="007827FA"/>
    <w:rsid w:val="007838FC"/>
    <w:rsid w:val="00785181"/>
    <w:rsid w:val="00792DB4"/>
    <w:rsid w:val="00794F96"/>
    <w:rsid w:val="007A454F"/>
    <w:rsid w:val="007A6A00"/>
    <w:rsid w:val="007B189F"/>
    <w:rsid w:val="007B4B1D"/>
    <w:rsid w:val="007B7544"/>
    <w:rsid w:val="007C0664"/>
    <w:rsid w:val="007C1FC5"/>
    <w:rsid w:val="007C4792"/>
    <w:rsid w:val="007C69C3"/>
    <w:rsid w:val="007E0F73"/>
    <w:rsid w:val="007E25A9"/>
    <w:rsid w:val="007E5D0C"/>
    <w:rsid w:val="007E67CB"/>
    <w:rsid w:val="007F1468"/>
    <w:rsid w:val="007F3A30"/>
    <w:rsid w:val="007F6690"/>
    <w:rsid w:val="007F737A"/>
    <w:rsid w:val="008059BE"/>
    <w:rsid w:val="00807312"/>
    <w:rsid w:val="00807AA6"/>
    <w:rsid w:val="008110F3"/>
    <w:rsid w:val="00813550"/>
    <w:rsid w:val="0081414D"/>
    <w:rsid w:val="0082691D"/>
    <w:rsid w:val="008302F6"/>
    <w:rsid w:val="008403DB"/>
    <w:rsid w:val="008469C8"/>
    <w:rsid w:val="00851D27"/>
    <w:rsid w:val="00852A0C"/>
    <w:rsid w:val="00867C3F"/>
    <w:rsid w:val="00872523"/>
    <w:rsid w:val="00883AE3"/>
    <w:rsid w:val="00885786"/>
    <w:rsid w:val="00885E7C"/>
    <w:rsid w:val="00886941"/>
    <w:rsid w:val="00890848"/>
    <w:rsid w:val="00891DEE"/>
    <w:rsid w:val="00893D37"/>
    <w:rsid w:val="00897040"/>
    <w:rsid w:val="008A14A0"/>
    <w:rsid w:val="008A6BCC"/>
    <w:rsid w:val="008B2891"/>
    <w:rsid w:val="008B3884"/>
    <w:rsid w:val="008B5445"/>
    <w:rsid w:val="008B6016"/>
    <w:rsid w:val="008B684E"/>
    <w:rsid w:val="008C5407"/>
    <w:rsid w:val="008C62B8"/>
    <w:rsid w:val="008D2958"/>
    <w:rsid w:val="008D45CE"/>
    <w:rsid w:val="008E0924"/>
    <w:rsid w:val="008E0A14"/>
    <w:rsid w:val="008E0DD6"/>
    <w:rsid w:val="008E1F4F"/>
    <w:rsid w:val="008E23C3"/>
    <w:rsid w:val="008E3398"/>
    <w:rsid w:val="008E5D51"/>
    <w:rsid w:val="008E73A6"/>
    <w:rsid w:val="008F22AA"/>
    <w:rsid w:val="008F282E"/>
    <w:rsid w:val="009023FA"/>
    <w:rsid w:val="00903B22"/>
    <w:rsid w:val="00907261"/>
    <w:rsid w:val="009127D5"/>
    <w:rsid w:val="009178E1"/>
    <w:rsid w:val="00920143"/>
    <w:rsid w:val="009244C2"/>
    <w:rsid w:val="009248DD"/>
    <w:rsid w:val="0092777F"/>
    <w:rsid w:val="00930A01"/>
    <w:rsid w:val="00932B76"/>
    <w:rsid w:val="00933040"/>
    <w:rsid w:val="00941F38"/>
    <w:rsid w:val="00946E7A"/>
    <w:rsid w:val="009501BB"/>
    <w:rsid w:val="00950F3B"/>
    <w:rsid w:val="00966566"/>
    <w:rsid w:val="009668CD"/>
    <w:rsid w:val="0097289F"/>
    <w:rsid w:val="009741C5"/>
    <w:rsid w:val="009831C7"/>
    <w:rsid w:val="009866F3"/>
    <w:rsid w:val="009869F4"/>
    <w:rsid w:val="00993C93"/>
    <w:rsid w:val="009959BD"/>
    <w:rsid w:val="00995F5D"/>
    <w:rsid w:val="009A1CB0"/>
    <w:rsid w:val="009A4DCD"/>
    <w:rsid w:val="009A4EB6"/>
    <w:rsid w:val="009A6A17"/>
    <w:rsid w:val="009A7F77"/>
    <w:rsid w:val="009B5CB0"/>
    <w:rsid w:val="009B7AA9"/>
    <w:rsid w:val="009C144C"/>
    <w:rsid w:val="009C7A15"/>
    <w:rsid w:val="009E0EF4"/>
    <w:rsid w:val="009E1E38"/>
    <w:rsid w:val="009E2F61"/>
    <w:rsid w:val="009E7516"/>
    <w:rsid w:val="009F291F"/>
    <w:rsid w:val="009F5C16"/>
    <w:rsid w:val="00A0001C"/>
    <w:rsid w:val="00A04995"/>
    <w:rsid w:val="00A05748"/>
    <w:rsid w:val="00A11015"/>
    <w:rsid w:val="00A11167"/>
    <w:rsid w:val="00A134CB"/>
    <w:rsid w:val="00A138C3"/>
    <w:rsid w:val="00A15CA1"/>
    <w:rsid w:val="00A17E6E"/>
    <w:rsid w:val="00A23695"/>
    <w:rsid w:val="00A278BB"/>
    <w:rsid w:val="00A30AE7"/>
    <w:rsid w:val="00A33116"/>
    <w:rsid w:val="00A35912"/>
    <w:rsid w:val="00A35D6A"/>
    <w:rsid w:val="00A456E4"/>
    <w:rsid w:val="00A47347"/>
    <w:rsid w:val="00A516F2"/>
    <w:rsid w:val="00A52339"/>
    <w:rsid w:val="00A55894"/>
    <w:rsid w:val="00A55B4A"/>
    <w:rsid w:val="00A62A90"/>
    <w:rsid w:val="00A66230"/>
    <w:rsid w:val="00A743F6"/>
    <w:rsid w:val="00A7572E"/>
    <w:rsid w:val="00A779C6"/>
    <w:rsid w:val="00A85729"/>
    <w:rsid w:val="00A862B6"/>
    <w:rsid w:val="00A86A18"/>
    <w:rsid w:val="00A93178"/>
    <w:rsid w:val="00A94945"/>
    <w:rsid w:val="00A96F98"/>
    <w:rsid w:val="00AA1B8E"/>
    <w:rsid w:val="00AA3C17"/>
    <w:rsid w:val="00AA4B99"/>
    <w:rsid w:val="00AB7615"/>
    <w:rsid w:val="00AC78B0"/>
    <w:rsid w:val="00AD112B"/>
    <w:rsid w:val="00AD1156"/>
    <w:rsid w:val="00AD2D2F"/>
    <w:rsid w:val="00AE1041"/>
    <w:rsid w:val="00AE3366"/>
    <w:rsid w:val="00AE6305"/>
    <w:rsid w:val="00AE6DC0"/>
    <w:rsid w:val="00AF502B"/>
    <w:rsid w:val="00AF578B"/>
    <w:rsid w:val="00B013EF"/>
    <w:rsid w:val="00B07612"/>
    <w:rsid w:val="00B15F3A"/>
    <w:rsid w:val="00B167E2"/>
    <w:rsid w:val="00B1699E"/>
    <w:rsid w:val="00B25E11"/>
    <w:rsid w:val="00B315D1"/>
    <w:rsid w:val="00B40FFE"/>
    <w:rsid w:val="00B43708"/>
    <w:rsid w:val="00B44A55"/>
    <w:rsid w:val="00B452DE"/>
    <w:rsid w:val="00B45645"/>
    <w:rsid w:val="00B50587"/>
    <w:rsid w:val="00B51D54"/>
    <w:rsid w:val="00B54FED"/>
    <w:rsid w:val="00B613DC"/>
    <w:rsid w:val="00B62718"/>
    <w:rsid w:val="00B63775"/>
    <w:rsid w:val="00B679EE"/>
    <w:rsid w:val="00B734BB"/>
    <w:rsid w:val="00B73772"/>
    <w:rsid w:val="00B75A38"/>
    <w:rsid w:val="00B804CB"/>
    <w:rsid w:val="00B80E4A"/>
    <w:rsid w:val="00B84333"/>
    <w:rsid w:val="00B84E16"/>
    <w:rsid w:val="00B902E9"/>
    <w:rsid w:val="00B91861"/>
    <w:rsid w:val="00B925F8"/>
    <w:rsid w:val="00B935C8"/>
    <w:rsid w:val="00B94F24"/>
    <w:rsid w:val="00BA0B2F"/>
    <w:rsid w:val="00BA3D81"/>
    <w:rsid w:val="00BB164E"/>
    <w:rsid w:val="00BB6956"/>
    <w:rsid w:val="00BC61A4"/>
    <w:rsid w:val="00BD104D"/>
    <w:rsid w:val="00BD3679"/>
    <w:rsid w:val="00BE1F5F"/>
    <w:rsid w:val="00BE5785"/>
    <w:rsid w:val="00BF2744"/>
    <w:rsid w:val="00BF451C"/>
    <w:rsid w:val="00BF7D5B"/>
    <w:rsid w:val="00C028B1"/>
    <w:rsid w:val="00C06E57"/>
    <w:rsid w:val="00C06FCA"/>
    <w:rsid w:val="00C10F74"/>
    <w:rsid w:val="00C12271"/>
    <w:rsid w:val="00C15047"/>
    <w:rsid w:val="00C2260D"/>
    <w:rsid w:val="00C310E9"/>
    <w:rsid w:val="00C41CAB"/>
    <w:rsid w:val="00C61609"/>
    <w:rsid w:val="00C6589D"/>
    <w:rsid w:val="00C65A2D"/>
    <w:rsid w:val="00C74DE9"/>
    <w:rsid w:val="00C80617"/>
    <w:rsid w:val="00C80928"/>
    <w:rsid w:val="00C8316C"/>
    <w:rsid w:val="00C83854"/>
    <w:rsid w:val="00C921BE"/>
    <w:rsid w:val="00C92FDD"/>
    <w:rsid w:val="00C9451C"/>
    <w:rsid w:val="00C95F40"/>
    <w:rsid w:val="00C97FF7"/>
    <w:rsid w:val="00CA374B"/>
    <w:rsid w:val="00CB52FD"/>
    <w:rsid w:val="00CB7825"/>
    <w:rsid w:val="00CC0004"/>
    <w:rsid w:val="00CC60EF"/>
    <w:rsid w:val="00CD00EF"/>
    <w:rsid w:val="00CD4F46"/>
    <w:rsid w:val="00CD5136"/>
    <w:rsid w:val="00CE0CAE"/>
    <w:rsid w:val="00CE25DC"/>
    <w:rsid w:val="00CE34FB"/>
    <w:rsid w:val="00CE583A"/>
    <w:rsid w:val="00CF39C4"/>
    <w:rsid w:val="00CF7822"/>
    <w:rsid w:val="00D14824"/>
    <w:rsid w:val="00D21D3E"/>
    <w:rsid w:val="00D268E6"/>
    <w:rsid w:val="00D41EC6"/>
    <w:rsid w:val="00D42445"/>
    <w:rsid w:val="00D44646"/>
    <w:rsid w:val="00D45E44"/>
    <w:rsid w:val="00D50C40"/>
    <w:rsid w:val="00D57314"/>
    <w:rsid w:val="00D63915"/>
    <w:rsid w:val="00D732CD"/>
    <w:rsid w:val="00D81FF1"/>
    <w:rsid w:val="00D8512D"/>
    <w:rsid w:val="00D8729E"/>
    <w:rsid w:val="00D9068E"/>
    <w:rsid w:val="00D923EA"/>
    <w:rsid w:val="00D94399"/>
    <w:rsid w:val="00D9578C"/>
    <w:rsid w:val="00DA15F1"/>
    <w:rsid w:val="00DA79D7"/>
    <w:rsid w:val="00DB1795"/>
    <w:rsid w:val="00DB2526"/>
    <w:rsid w:val="00DB41FE"/>
    <w:rsid w:val="00DB6274"/>
    <w:rsid w:val="00DB7F10"/>
    <w:rsid w:val="00DC0E2D"/>
    <w:rsid w:val="00DC4790"/>
    <w:rsid w:val="00DD11E2"/>
    <w:rsid w:val="00DF5A2A"/>
    <w:rsid w:val="00E0101C"/>
    <w:rsid w:val="00E010B5"/>
    <w:rsid w:val="00E0237F"/>
    <w:rsid w:val="00E064F6"/>
    <w:rsid w:val="00E20161"/>
    <w:rsid w:val="00E22124"/>
    <w:rsid w:val="00E3037A"/>
    <w:rsid w:val="00E32F64"/>
    <w:rsid w:val="00E365E8"/>
    <w:rsid w:val="00E37BF6"/>
    <w:rsid w:val="00E415A1"/>
    <w:rsid w:val="00E43584"/>
    <w:rsid w:val="00E4677E"/>
    <w:rsid w:val="00E46A82"/>
    <w:rsid w:val="00E4702F"/>
    <w:rsid w:val="00E54AA9"/>
    <w:rsid w:val="00E564DD"/>
    <w:rsid w:val="00E60BC7"/>
    <w:rsid w:val="00E63267"/>
    <w:rsid w:val="00E66955"/>
    <w:rsid w:val="00E66F18"/>
    <w:rsid w:val="00E73FE8"/>
    <w:rsid w:val="00E76D27"/>
    <w:rsid w:val="00E80C3A"/>
    <w:rsid w:val="00E90B24"/>
    <w:rsid w:val="00E967A0"/>
    <w:rsid w:val="00EB1145"/>
    <w:rsid w:val="00EB48E9"/>
    <w:rsid w:val="00EB5BD2"/>
    <w:rsid w:val="00EC0006"/>
    <w:rsid w:val="00EC1EBF"/>
    <w:rsid w:val="00EC2BDF"/>
    <w:rsid w:val="00EC4256"/>
    <w:rsid w:val="00EC7EF4"/>
    <w:rsid w:val="00ED007B"/>
    <w:rsid w:val="00ED18D4"/>
    <w:rsid w:val="00ED1B73"/>
    <w:rsid w:val="00ED3D55"/>
    <w:rsid w:val="00ED5973"/>
    <w:rsid w:val="00ED66B2"/>
    <w:rsid w:val="00EE34A9"/>
    <w:rsid w:val="00EE3ACF"/>
    <w:rsid w:val="00EF1E6C"/>
    <w:rsid w:val="00EF2722"/>
    <w:rsid w:val="00EF58C4"/>
    <w:rsid w:val="00EF5DC0"/>
    <w:rsid w:val="00EF77AC"/>
    <w:rsid w:val="00F003A4"/>
    <w:rsid w:val="00F029A2"/>
    <w:rsid w:val="00F02E89"/>
    <w:rsid w:val="00F02F63"/>
    <w:rsid w:val="00F0717C"/>
    <w:rsid w:val="00F13B55"/>
    <w:rsid w:val="00F2462D"/>
    <w:rsid w:val="00F246E2"/>
    <w:rsid w:val="00F2504A"/>
    <w:rsid w:val="00F30E90"/>
    <w:rsid w:val="00F30F11"/>
    <w:rsid w:val="00F32933"/>
    <w:rsid w:val="00F33005"/>
    <w:rsid w:val="00F353CF"/>
    <w:rsid w:val="00F40130"/>
    <w:rsid w:val="00F4051F"/>
    <w:rsid w:val="00F40CCC"/>
    <w:rsid w:val="00F4180B"/>
    <w:rsid w:val="00F4688D"/>
    <w:rsid w:val="00F503EE"/>
    <w:rsid w:val="00F505A8"/>
    <w:rsid w:val="00F554F3"/>
    <w:rsid w:val="00F63EAC"/>
    <w:rsid w:val="00F7019E"/>
    <w:rsid w:val="00F70C25"/>
    <w:rsid w:val="00F826BF"/>
    <w:rsid w:val="00FA0B02"/>
    <w:rsid w:val="00FA41E6"/>
    <w:rsid w:val="00FA7A14"/>
    <w:rsid w:val="00FB27AF"/>
    <w:rsid w:val="00FB3182"/>
    <w:rsid w:val="00FB39A7"/>
    <w:rsid w:val="00FB3E75"/>
    <w:rsid w:val="00FC48D8"/>
    <w:rsid w:val="00FD2653"/>
    <w:rsid w:val="00FD30E4"/>
    <w:rsid w:val="00FD4DE3"/>
    <w:rsid w:val="00FD7131"/>
    <w:rsid w:val="00FE513C"/>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 w:type="paragraph" w:styleId="Title">
    <w:name w:val="Title"/>
    <w:basedOn w:val="Normal"/>
    <w:link w:val="TitleChar"/>
    <w:qFormat/>
    <w:rsid w:val="004650F6"/>
    <w:pPr>
      <w:jc w:val="center"/>
    </w:pPr>
    <w:rPr>
      <w:sz w:val="28"/>
      <w:szCs w:val="20"/>
      <w:lang w:eastAsia="en-US"/>
    </w:rPr>
  </w:style>
  <w:style w:type="character" w:customStyle="1" w:styleId="TitleChar">
    <w:name w:val="Title Char"/>
    <w:basedOn w:val="DefaultParagraphFont"/>
    <w:link w:val="Title"/>
    <w:rsid w:val="004650F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286351365">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s.zusteniek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OM%3A2018%3A372%3AFIN" TargetMode="External"/><Relationship Id="rId3" Type="http://schemas.openxmlformats.org/officeDocument/2006/relationships/hyperlink" Target="https://ec.europa.eu/clima/policies/ets_en" TargetMode="External"/><Relationship Id="rId7" Type="http://schemas.openxmlformats.org/officeDocument/2006/relationships/hyperlink" Target="https://www.em.gov.lv/resources/web/esfondi/2019.03.04.%20ES%20fondi%20LV%20macins.jpg" TargetMode="External"/><Relationship Id="rId2" Type="http://schemas.openxmlformats.org/officeDocument/2006/relationships/hyperlink" Target="https://www.pkc.gov.lv/sites/default/files/inline-files/Latvija_2030_7.pdf" TargetMode="External"/><Relationship Id="rId1" Type="http://schemas.openxmlformats.org/officeDocument/2006/relationships/hyperlink" Target="http://data.consilium.europa.eu/doc/document/ST-169-2014-INIT/lv/pdf" TargetMode="External"/><Relationship Id="rId6" Type="http://schemas.openxmlformats.org/officeDocument/2006/relationships/hyperlink" Target="http://tap.mk.gov.lv/doc/2019_07/VARAMKonc_180619_bezmaksas_kv.1194.docx" TargetMode="External"/><Relationship Id="rId5" Type="http://schemas.openxmlformats.org/officeDocument/2006/relationships/hyperlink" Target="https://www.youtube.com/watch?v=ufVR1JV4Or0" TargetMode="External"/><Relationship Id="rId4" Type="http://schemas.openxmlformats.org/officeDocument/2006/relationships/hyperlink" Target="http://www.lrvk.gov.lv/revizija/vai-vides-aizsardzibas-un-regionalas-attistibas-ministrijas-administretie-klimata-parmainu-samazinasanai-paredzetie-lidzekli-tiek-planoti-un-izlietoti-efektivi-un-atbilstosi-normativo-aktu-prasibam/" TargetMode="External"/><Relationship Id="rId9" Type="http://schemas.openxmlformats.org/officeDocument/2006/relationships/hyperlink" Target="https://www.esfondi.lv/upload/Prezentacijas/lv_updated-launch-event-v7-05april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9A4-67C6-425A-A671-C8AC247C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27</Pages>
  <Words>32708</Words>
  <Characters>18644</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51250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Gusts Zustenieks</dc:creator>
  <cp:keywords/>
  <dc:description/>
  <cp:lastModifiedBy>Raimonds Kašs</cp:lastModifiedBy>
  <cp:revision>55</cp:revision>
  <cp:lastPrinted>2019-04-29T11:44:00Z</cp:lastPrinted>
  <dcterms:created xsi:type="dcterms:W3CDTF">2019-09-20T08:55:00Z</dcterms:created>
  <dcterms:modified xsi:type="dcterms:W3CDTF">2020-01-22T13:33:00Z</dcterms:modified>
  <cp:category>Vides politika</cp:category>
</cp:coreProperties>
</file>