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FEB2" w14:textId="0D5766B9" w:rsidR="00CC031B" w:rsidRPr="00F9606E" w:rsidRDefault="00CC031B" w:rsidP="00CC03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n-626535"/>
      <w:bookmarkStart w:id="1" w:name="626535"/>
      <w:bookmarkEnd w:id="0"/>
      <w:bookmarkEnd w:id="1"/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rīkojuma </w:t>
      </w:r>
      <w:r w:rsidRPr="00F9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projekta </w:t>
      </w:r>
      <w:r w:rsidR="00F9606E" w:rsidRPr="00F9606E">
        <w:rPr>
          <w:rFonts w:ascii="Times New Roman" w:hAnsi="Times New Roman"/>
          <w:b/>
          <w:sz w:val="28"/>
          <w:szCs w:val="28"/>
        </w:rPr>
        <w:t>"</w:t>
      </w:r>
      <w:r w:rsidR="00095DAA" w:rsidRPr="00F9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finanšu līdzekļu piešķiršanu no valsts budžeta programmas "Līdzekļi neparedzētiem gadījumiem"</w:t>
      </w:r>
      <w:r w:rsidR="00F9606E" w:rsidRPr="00F9606E">
        <w:rPr>
          <w:rFonts w:ascii="Times New Roman" w:hAnsi="Times New Roman"/>
          <w:b/>
          <w:sz w:val="28"/>
          <w:szCs w:val="28"/>
        </w:rPr>
        <w:t>"</w:t>
      </w:r>
      <w:r w:rsidRPr="00F9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sākotnējās ietekmes novērtējuma ziņojums</w:t>
      </w:r>
      <w:r w:rsidR="00C261EC" w:rsidRPr="00F9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F9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(anotācija)</w:t>
      </w:r>
    </w:p>
    <w:p w14:paraId="06F7FEB3" w14:textId="77777777" w:rsidR="00C261EC" w:rsidRPr="00C261EC" w:rsidRDefault="00C261EC" w:rsidP="00C261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4"/>
        <w:gridCol w:w="5901"/>
      </w:tblGrid>
      <w:tr w:rsidR="00C261EC" w:rsidRPr="00C261EC" w14:paraId="06F7FEB5" w14:textId="77777777" w:rsidTr="00C261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B4" w14:textId="77777777" w:rsidR="00C261EC" w:rsidRPr="00C261EC" w:rsidRDefault="00C261EC" w:rsidP="00C261EC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C261EC" w:rsidRPr="00C261EC" w14:paraId="06F7FEB8" w14:textId="77777777" w:rsidTr="00696C08">
        <w:trPr>
          <w:tblCellSpacing w:w="15" w:type="dxa"/>
        </w:trPr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B6" w14:textId="77777777" w:rsidR="00C261EC" w:rsidRPr="00F9606E" w:rsidRDefault="00C261EC" w:rsidP="00C26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3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B7" w14:textId="64D04729" w:rsidR="00A35F09" w:rsidRPr="00F9606E" w:rsidRDefault="00125FDB" w:rsidP="0009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2009.</w:t>
            </w:r>
            <w:r w:rsid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 instrukcijas Nr.</w:t>
            </w:r>
            <w:r w:rsid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19 </w:t>
            </w:r>
            <w:r w:rsidR="00F9606E" w:rsidRPr="00F9606E">
              <w:rPr>
                <w:rFonts w:ascii="Times New Roman" w:hAnsi="Times New Roman"/>
                <w:sz w:val="24"/>
                <w:szCs w:val="24"/>
              </w:rPr>
              <w:t>"</w:t>
            </w:r>
            <w:r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akta projekta sākotnējās ietekmes izvērtēšanas kārtība</w:t>
            </w:r>
            <w:r w:rsidR="00F9606E" w:rsidRPr="00F9606E">
              <w:rPr>
                <w:rFonts w:ascii="Times New Roman" w:hAnsi="Times New Roman"/>
                <w:sz w:val="24"/>
                <w:szCs w:val="24"/>
              </w:rPr>
              <w:t>"</w:t>
            </w:r>
            <w:r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5.</w:t>
            </w:r>
            <w:r w:rsidRPr="00F960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anotācijas kopsavilkums nav aizpildāms</w:t>
            </w:r>
          </w:p>
        </w:tc>
      </w:tr>
    </w:tbl>
    <w:p w14:paraId="06F7FEB9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2410"/>
        <w:gridCol w:w="6030"/>
      </w:tblGrid>
      <w:tr w:rsidR="00CC031B" w:rsidRPr="00C261EC" w14:paraId="06F7FEBB" w14:textId="77777777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BA" w14:textId="77777777" w:rsidR="00CC031B" w:rsidRPr="00C261EC" w:rsidRDefault="00CC031B" w:rsidP="00CC031B">
            <w:pPr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C031B" w:rsidRPr="00C261EC" w14:paraId="06F7FEBF" w14:textId="77777777" w:rsidTr="006468FA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BC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BD" w14:textId="77777777"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BE" w14:textId="239FA2BA" w:rsidR="00CC031B" w:rsidRPr="00F9606E" w:rsidRDefault="00095DAA" w:rsidP="00551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"Par finanšu līdzekļu piešķiršanu no valsts budžeta programmas "Līdzekļi neparedzētiem gadījumiem"" (turpmāk – rīkojuma projekts) izstrādāts saskaņā ar</w:t>
            </w:r>
            <w:r w:rsidR="00F2260D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Latvijas Republikas Satversmi</w:t>
            </w:r>
            <w:r w:rsidR="0055126F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likuma </w:t>
            </w:r>
            <w:r w:rsidR="00F9606E" w:rsidRPr="00F9606E">
              <w:rPr>
                <w:rFonts w:ascii="Times New Roman" w:hAnsi="Times New Roman"/>
                <w:sz w:val="24"/>
                <w:szCs w:val="24"/>
              </w:rPr>
              <w:t>"</w:t>
            </w:r>
            <w:r w:rsidR="0055126F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 pašvaldībām</w:t>
            </w:r>
            <w:r w:rsidR="00F9606E" w:rsidRPr="00F9606E">
              <w:rPr>
                <w:rFonts w:ascii="Times New Roman" w:hAnsi="Times New Roman"/>
                <w:sz w:val="24"/>
                <w:szCs w:val="24"/>
              </w:rPr>
              <w:t>"</w:t>
            </w:r>
            <w:r w:rsidR="00696C08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91.</w:t>
            </w:r>
            <w:r w:rsidR="00F9606E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96C08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panta pirmās </w:t>
            </w:r>
            <w:r w:rsidR="0055126F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daļa</w:t>
            </w:r>
            <w:r w:rsidR="00514027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5126F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  <w:r w:rsidR="00F9606E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5126F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punktu</w:t>
            </w:r>
            <w:r w:rsidR="00F2260D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r w:rsidR="0055126F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domes atlaišanas likumu</w:t>
            </w:r>
            <w:r w:rsidR="00F2260D" w:rsidRPr="00F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2260D"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84C2F"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Līdzekļi tiek pieprasīti, pamatojoties uz Ministru kabineta 2018. gada 17. jūlija noteikum</w:t>
            </w:r>
            <w:r w:rsidR="00F9606E"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F84C2F"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421 "Kārtība, kādā veic gadskārtējā valsts budžeta likumā noteiktās apropriācijas izmaiņas" 41.</w:t>
            </w:r>
            <w:r w:rsidR="00F9606E"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84C2F" w:rsidRPr="00F96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</w:t>
            </w:r>
          </w:p>
        </w:tc>
      </w:tr>
      <w:tr w:rsidR="00CC031B" w:rsidRPr="00C261EC" w14:paraId="06F7FEC9" w14:textId="77777777" w:rsidTr="006468FA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C0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C1" w14:textId="77777777"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7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C2" w14:textId="53A228EC" w:rsidR="006171DA" w:rsidRPr="006468FA" w:rsidRDefault="006171DA" w:rsidP="00A131B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2020.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gada 13. februārī Saeima galīgajā lasījumā</w:t>
            </w:r>
            <w:proofErr w:type="gramStart"/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kā steidzamu pieņēma Rīgas domes atlaišanas likumu</w:t>
            </w:r>
            <w:proofErr w:type="gramEnd"/>
            <w:r w:rsidR="00F17DEA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Rīgas domes atlaišanas likums </w:t>
            </w:r>
            <w:r w:rsidR="006434B4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paredz atlaist Rīgas domi un iecelt pagaidu administrāciju, kā arī nosaka, ka Rīgas domes vēlēšanas notiek pirmajā sestdienā, kas iestājas pēc diviem mēnešiem pēc šā likuma spēkā stāšanās. </w:t>
            </w:r>
            <w:r w:rsidR="00F17DEA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Rīgas domes atlaišanas likums </w:t>
            </w:r>
            <w:r w:rsidR="006434B4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stā</w:t>
            </w:r>
            <w:r w:rsidR="00F17DEA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sies</w:t>
            </w:r>
            <w:r w:rsidR="006434B4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spēkā nākamajā dienā pēc tā izsludināšanas.</w:t>
            </w:r>
          </w:p>
          <w:p w14:paraId="06F7FEC3" w14:textId="3A68F867" w:rsidR="006171DA" w:rsidRPr="006468FA" w:rsidRDefault="006171DA" w:rsidP="00A131B8">
            <w:pPr>
              <w:ind w:firstLine="413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Plānots, ka Centrālā vēlēšanu komisija (CVK) Rīgas domes vēlēšanas izsludinās 2020. gada 25. februārī, uzreiz pēc </w:t>
            </w:r>
            <w:r w:rsidR="00BC5141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Rīgas domes atlaišanas likuma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spēkā stāšanās dienas, par vēlēšanu dienu nosakot sestdienu, 2020.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gada 25.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aprīli. Centrālajai vēlēšanu komisijai tās kompetencē esošo pienākumu veikšanai Rīgas domes ārkārtas vēlēšanu sagatavošanai un nodrošināšanai nepieciešams finansējums </w:t>
            </w:r>
            <w:r w:rsidR="00A131B8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571 582 </w:t>
            </w:r>
            <w:proofErr w:type="spellStart"/>
            <w:r w:rsidR="00A131B8" w:rsidRPr="006468F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euro</w:t>
            </w:r>
            <w:proofErr w:type="spellEnd"/>
            <w:r w:rsidR="00A131B8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apmērā 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vēlēšanu administrēšanas e-pakalpojuma izstrādei un nodrošināšanai, vēlēšanu materiālu sagatavošanai un iegādei, vēlētāju informēšanas pasākumiem, atlīdzībai un citiem organizatoriskiem pasākumiem. </w:t>
            </w:r>
          </w:p>
          <w:p w14:paraId="06F7FEC4" w14:textId="1451B5A8" w:rsidR="0024596A" w:rsidRPr="006468FA" w:rsidRDefault="0024596A" w:rsidP="0024596A">
            <w:pPr>
              <w:ind w:firstLine="413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Saskaņā ar Rīgas domes atlaišanas likuma 5.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panta otrās daļas 6.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punkt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un Vēlētāju reģistra likuma 13.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panta pirm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daļ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Pilsonības un migrācijas lietu pārvalde (turpmāk – PMLP) nodrošina pasta paziņojumu sagatavošan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un nosūtīšan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proofErr w:type="gramStart"/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9606E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End"/>
            <w:r w:rsidR="00F9606E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vēlētājiem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06F7FEC5" w14:textId="72EE848C" w:rsidR="0024596A" w:rsidRPr="006468FA" w:rsidRDefault="0024596A" w:rsidP="0024596A">
            <w:pPr>
              <w:ind w:firstLine="413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Saskaņā ar Rīgas domes atlaišanas likuma 5.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panta otrās daļas 9.punkt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un Vēlētāju reģistra likuma 16.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panta pirm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daļ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PMLP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pamatojoties uz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vēlētāju reģistrā esošo informāciju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sagatavo vēlēšanu iecirkņu vēlētāju sarakstus un nodrošina to pieejamību Centrālajai vēlēšanu komisijai.</w:t>
            </w:r>
          </w:p>
          <w:p w14:paraId="06F7FEC6" w14:textId="2DBA147E" w:rsidR="0024596A" w:rsidRPr="006468FA" w:rsidRDefault="0024596A" w:rsidP="00B817D9">
            <w:pPr>
              <w:ind w:firstLine="413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Rīgas domes atlaišanas likuma sākotnējās ietekmes novērtējuma ziņojumā (anotācijā) norādīts, ka ir </w:t>
            </w:r>
            <w:r w:rsidR="00F960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svarīgi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pēc iespējas ātrāk noorganizēt vēlēšanas, lai </w:t>
            </w:r>
            <w:r w:rsidR="00283A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tiktu 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ievēlēt</w:t>
            </w:r>
            <w:r w:rsidR="00283A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 dome,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kas pilntiesīgi varētu pieņemt lēmumus un darboties Rīgas pilsētas un visa</w:t>
            </w:r>
            <w:r w:rsidR="00A60AD9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 valsts iedzīvotāju interesē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s. Pagaidu administrācija ir pēc iespējas īslaicīgs risinājums, lai šī Saeimas ieceltā koleģiālā institūcija nodrošinātu domes darba nepārtrauktību un pašvaldības domes ekskluzīvā kompetencē esoš</w:t>
            </w:r>
            <w:r w:rsidR="00283A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lēmumu pieņemšan</w:t>
            </w:r>
            <w:r w:rsidR="00283A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06F7FEC7" w14:textId="22D6AEEC" w:rsidR="00B817D9" w:rsidRPr="006468FA" w:rsidRDefault="0024596A" w:rsidP="00A131B8">
            <w:pPr>
              <w:ind w:firstLine="413"/>
              <w:contextualSpacing/>
              <w:jc w:val="both"/>
              <w:rPr>
                <w:color w:val="000000"/>
                <w:spacing w:val="-2"/>
              </w:rPr>
            </w:pP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Tādēļ nepieciešams noteikt izņēmumu no vispārējās vēlēšanu organizēšanas nosacījumiem, kas noteikti Vēlētāju reģistra likumā, Republikas pilsētas domes un novada domes vēlēšanu likumā</w:t>
            </w:r>
            <w:r w:rsidR="00283A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un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Politisko organizāciju (partiju) finansēšanas likumā.</w:t>
            </w:r>
          </w:p>
          <w:p w14:paraId="06F7FEC8" w14:textId="35228A7A" w:rsidR="009C3511" w:rsidRPr="006468FA" w:rsidRDefault="0024596A" w:rsidP="00A131B8">
            <w:pPr>
              <w:ind w:firstLine="413"/>
              <w:contextualSpacing/>
              <w:jc w:val="both"/>
              <w:rPr>
                <w:spacing w:val="-2"/>
              </w:rPr>
            </w:pP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Rīgas domes atlaišanas lik</w:t>
            </w:r>
            <w:r w:rsidR="00A60AD9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uma anotācijā arī norādīts, ka 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Pilsonības un migrācijas lietu pārvalde ir sniegusi informāciju, ka vēlēšanu paziņojumu sagatavošanai (drukāšana</w:t>
            </w:r>
            <w:r w:rsidR="00283A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šķirošana</w:t>
            </w:r>
            <w:r w:rsidR="00283A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pēc pasta indeksiem un nodošana</w:t>
            </w:r>
            <w:r w:rsidR="00283A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pasta pakalpoj</w:t>
            </w:r>
            <w:r w:rsidR="00A60AD9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umu sniedzējam) nepieciešami 50 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612 </w:t>
            </w:r>
            <w:proofErr w:type="spellStart"/>
            <w:r w:rsidRPr="006468F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euro</w:t>
            </w:r>
            <w:proofErr w:type="spellEnd"/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vēlēšanu paziņojumu nosūtīšanai uz vēlētāju deklarētās dzīvesvietas </w:t>
            </w:r>
            <w:r w:rsidR="00A60AD9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adresi Latvijā</w:t>
            </w:r>
            <w:r w:rsidR="00283A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</w:t>
            </w:r>
            <w:proofErr w:type="gramStart"/>
            <w:r w:rsidR="00283A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60AD9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End"/>
            <w:r w:rsidR="00A60AD9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135 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200 </w:t>
            </w:r>
            <w:proofErr w:type="spellStart"/>
            <w:r w:rsidRPr="006468F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euro</w:t>
            </w:r>
            <w:proofErr w:type="spellEnd"/>
            <w:r w:rsidR="004340F0" w:rsidRPr="004340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vēlētāju sarakstu drukāšanai un piegādei</w:t>
            </w:r>
            <w:r w:rsidR="00283A2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3630</w:t>
            </w:r>
            <w:r w:rsidR="004340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proofErr w:type="spellStart"/>
            <w:r w:rsidRPr="006468F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euro</w:t>
            </w:r>
            <w:proofErr w:type="spellEnd"/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kopā </w:t>
            </w:r>
            <w:r w:rsidR="004340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</w:t>
            </w:r>
            <w:r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189 442 </w:t>
            </w:r>
            <w:proofErr w:type="spellStart"/>
            <w:r w:rsidRPr="006468F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euro</w:t>
            </w:r>
            <w:proofErr w:type="spellEnd"/>
            <w:r w:rsidR="00A60AD9" w:rsidRPr="006468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CC031B" w:rsidRPr="00C261EC" w14:paraId="06F7FECD" w14:textId="77777777" w:rsidTr="006468FA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CA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CB" w14:textId="77777777"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CC" w14:textId="77777777" w:rsidR="00CC031B" w:rsidRPr="00C261EC" w:rsidRDefault="00095DAA" w:rsidP="00CC0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attiecināms, jo rīkojuma projekta tiesiskais regulējums nav attiecināms ne uz vienu sabiedrības mērķgrupu, kā arī neietekmē citas sabiedrības grupas</w:t>
            </w:r>
          </w:p>
        </w:tc>
      </w:tr>
      <w:tr w:rsidR="0078259F" w:rsidRPr="00C261EC" w14:paraId="06F7FED1" w14:textId="77777777" w:rsidTr="006468FA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ECE" w14:textId="77777777" w:rsidR="0078259F" w:rsidRPr="00C261EC" w:rsidRDefault="0078259F" w:rsidP="0078259F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ECF" w14:textId="77777777" w:rsidR="0078259F" w:rsidRPr="00C261EC" w:rsidRDefault="0078259F" w:rsidP="007825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ED0" w14:textId="09272AFD" w:rsidR="0078259F" w:rsidRPr="00095DAA" w:rsidRDefault="0078259F" w:rsidP="00782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6F7FED2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261EC" w:rsidRPr="00C261EC" w14:paraId="06F7FED4" w14:textId="77777777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D3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261EC" w:rsidRPr="00C261EC" w14:paraId="06F7FED6" w14:textId="77777777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ED5" w14:textId="77777777"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6F7FED7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890"/>
        <w:gridCol w:w="976"/>
        <w:gridCol w:w="805"/>
        <w:gridCol w:w="1257"/>
        <w:gridCol w:w="805"/>
        <w:gridCol w:w="1257"/>
        <w:gridCol w:w="1437"/>
      </w:tblGrid>
      <w:tr w:rsidR="00CC031B" w:rsidRPr="009C0657" w14:paraId="06F7FED9" w14:textId="77777777" w:rsidTr="00CC031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D8" w14:textId="77777777" w:rsidR="00CC031B" w:rsidRPr="009C0657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C031B" w:rsidRPr="004340F0" w14:paraId="06F7FEDD" w14:textId="77777777" w:rsidTr="004D5EA4">
        <w:trPr>
          <w:tblCellSpacing w:w="15" w:type="dxa"/>
        </w:trPr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DA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Rādītāji</w:t>
            </w:r>
          </w:p>
        </w:tc>
        <w:tc>
          <w:tcPr>
            <w:tcW w:w="10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DB" w14:textId="77777777" w:rsidR="00CC031B" w:rsidRPr="004340F0" w:rsidRDefault="00CC031B" w:rsidP="00DC0B5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DC0B5D" w:rsidRPr="004340F0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30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DC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Turpmākie trīs gadi (</w:t>
            </w:r>
            <w:proofErr w:type="spellStart"/>
            <w:r w:rsidRPr="004340F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4D5EA4" w:rsidRPr="004340F0" w14:paraId="06F7FEE3" w14:textId="77777777" w:rsidTr="00E10A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DE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DF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0" w14:textId="77777777" w:rsidR="00CC031B" w:rsidRPr="004340F0" w:rsidRDefault="00CC031B" w:rsidP="00DC0B5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095DAA" w:rsidRPr="004340F0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DC0B5D" w:rsidRPr="004340F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1" w14:textId="77777777" w:rsidR="00CC031B" w:rsidRPr="004340F0" w:rsidRDefault="00CC031B" w:rsidP="00DC0B5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202</w:t>
            </w:r>
            <w:r w:rsidR="00DC0B5D" w:rsidRPr="004340F0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2" w14:textId="77777777" w:rsidR="00CC031B" w:rsidRPr="004340F0" w:rsidRDefault="00CC031B" w:rsidP="00DC0B5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202</w:t>
            </w:r>
            <w:r w:rsidR="00DC0B5D" w:rsidRPr="004340F0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</w:tr>
      <w:tr w:rsidR="009C0657" w:rsidRPr="004340F0" w14:paraId="06F7FEEC" w14:textId="77777777" w:rsidTr="00E10A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4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5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saskaņā ar valsts budžetu kārtējam gadam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6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7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8" w14:textId="6E275ACD" w:rsidR="00CC031B" w:rsidRPr="004340F0" w:rsidRDefault="00CC031B" w:rsidP="00125FD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 xml:space="preserve">izmaiņas, salīdzinot ar vidēja termiņa budžeta ietvaru </w:t>
            </w:r>
            <w:r w:rsidR="00125FDB" w:rsidRPr="004340F0">
              <w:rPr>
                <w:rFonts w:ascii="Times New Roman" w:eastAsia="Times New Roman" w:hAnsi="Times New Roman" w:cs="Times New Roman"/>
                <w:lang w:eastAsia="lv-LV"/>
              </w:rPr>
              <w:t>2021.</w:t>
            </w:r>
            <w:r w:rsidR="004340F0" w:rsidRPr="004340F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gadam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9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A" w14:textId="2454C731" w:rsidR="00CC031B" w:rsidRPr="004340F0" w:rsidRDefault="00CC031B" w:rsidP="00125FD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 xml:space="preserve">izmaiņas, salīdzinot ar vidēja termiņa budžeta ietvaru </w:t>
            </w:r>
            <w:r w:rsidR="00125FDB" w:rsidRPr="004340F0">
              <w:rPr>
                <w:rFonts w:ascii="Times New Roman" w:eastAsia="Times New Roman" w:hAnsi="Times New Roman" w:cs="Times New Roman"/>
                <w:lang w:eastAsia="lv-LV"/>
              </w:rPr>
              <w:t>2022.</w:t>
            </w:r>
            <w:r w:rsidR="004340F0" w:rsidRPr="004340F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gadam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B" w14:textId="021DAC3A" w:rsidR="00CC031B" w:rsidRPr="004340F0" w:rsidRDefault="00CC031B" w:rsidP="00125FD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 xml:space="preserve">izmaiņas, salīdzinot ar vidēja termiņa budžeta ietvaru </w:t>
            </w:r>
            <w:r w:rsidR="00125FDB" w:rsidRPr="004340F0">
              <w:rPr>
                <w:rFonts w:ascii="Times New Roman" w:eastAsia="Times New Roman" w:hAnsi="Times New Roman" w:cs="Times New Roman"/>
                <w:lang w:eastAsia="lv-LV"/>
              </w:rPr>
              <w:t>2022.</w:t>
            </w:r>
            <w:r w:rsidR="004340F0" w:rsidRPr="004340F0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gadam</w:t>
            </w:r>
          </w:p>
        </w:tc>
      </w:tr>
      <w:tr w:rsidR="009C0657" w:rsidRPr="004340F0" w14:paraId="06F7FEF5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D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E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EF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F0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F1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F2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F3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EF4" w14:textId="77777777" w:rsidR="00CC031B" w:rsidRPr="004340F0" w:rsidRDefault="00CC031B" w:rsidP="00CC031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340F0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</w:tr>
      <w:tr w:rsidR="00E10AB6" w:rsidRPr="009C0657" w14:paraId="06F7FEFE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F6" w14:textId="77777777" w:rsidR="00E10AB6" w:rsidRPr="009C0657" w:rsidRDefault="00E10AB6" w:rsidP="00E10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EF7" w14:textId="77777777" w:rsidR="00E10AB6" w:rsidRPr="004340F0" w:rsidRDefault="00E10AB6" w:rsidP="00E10AB6">
            <w:pPr>
              <w:jc w:val="right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EF8" w14:textId="77777777" w:rsidR="00E10AB6" w:rsidRPr="004340F0" w:rsidRDefault="00E10AB6" w:rsidP="00E10AB6">
            <w:pPr>
              <w:jc w:val="right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EF9" w14:textId="77777777" w:rsidR="00E10AB6" w:rsidRPr="004340F0" w:rsidRDefault="00E10AB6" w:rsidP="00E10AB6">
            <w:pPr>
              <w:jc w:val="right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EFA" w14:textId="77777777" w:rsidR="00E10AB6" w:rsidRPr="004340F0" w:rsidRDefault="00E10AB6" w:rsidP="00E10AB6">
            <w:pPr>
              <w:jc w:val="right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EFB" w14:textId="77777777" w:rsidR="00E10AB6" w:rsidRPr="004340F0" w:rsidRDefault="00E10AB6" w:rsidP="00E10AB6">
            <w:pPr>
              <w:jc w:val="right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FC" w14:textId="77777777" w:rsidR="00E10AB6" w:rsidRPr="004340F0" w:rsidRDefault="00E10AB6" w:rsidP="00E10AB6">
            <w:pPr>
              <w:jc w:val="right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FD" w14:textId="77777777" w:rsidR="00E10AB6" w:rsidRPr="004340F0" w:rsidRDefault="00E10AB6" w:rsidP="00E10AB6">
            <w:pPr>
              <w:jc w:val="right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E10AB6" w:rsidRPr="009C0657" w14:paraId="06F7FF12" w14:textId="77777777" w:rsidTr="00696C08">
        <w:trPr>
          <w:trHeight w:val="2092"/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EFF" w14:textId="77777777" w:rsidR="00E10AB6" w:rsidRPr="009C0657" w:rsidRDefault="00E10AB6" w:rsidP="00E10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00" w14:textId="77777777" w:rsidR="00D40214" w:rsidRPr="004340F0" w:rsidRDefault="00E10AB6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  <w:p w14:paraId="06F7FF0B" w14:textId="77777777" w:rsidR="00E10AB6" w:rsidRPr="004340F0" w:rsidRDefault="00E10AB6" w:rsidP="00434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0C" w14:textId="77777777" w:rsidR="00E10AB6" w:rsidRPr="004340F0" w:rsidRDefault="00E10AB6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0D" w14:textId="77777777" w:rsidR="00E10AB6" w:rsidRPr="004340F0" w:rsidRDefault="00E10AB6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0E" w14:textId="77777777" w:rsidR="00E10AB6" w:rsidRPr="004340F0" w:rsidRDefault="00E10AB6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0F" w14:textId="77777777" w:rsidR="00E10AB6" w:rsidRPr="004340F0" w:rsidRDefault="00E10AB6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0" w14:textId="77777777" w:rsidR="00E10AB6" w:rsidRPr="004340F0" w:rsidRDefault="00E10AB6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1" w14:textId="77777777" w:rsidR="00E10AB6" w:rsidRPr="004340F0" w:rsidRDefault="00E10AB6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1B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3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4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5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6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7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8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9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A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24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C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D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E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1F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20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21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22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23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B14C18" w:rsidRPr="009C0657" w14:paraId="06F7FF2D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25" w14:textId="77777777" w:rsidR="00B14C18" w:rsidRPr="00790B43" w:rsidRDefault="00B14C18" w:rsidP="00B1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26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27" w14:textId="033D13CC" w:rsidR="00B14C18" w:rsidRPr="004340F0" w:rsidRDefault="007550E4" w:rsidP="004340F0">
            <w:pPr>
              <w:ind w:left="-36" w:right="-99"/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761 024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28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29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2A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2B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2C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B14C18" w:rsidRPr="009C0657" w14:paraId="06F7FF36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2E" w14:textId="77777777" w:rsidR="00B14C18" w:rsidRPr="00790B43" w:rsidRDefault="00B14C18" w:rsidP="00B1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2F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30" w14:textId="77777777" w:rsidR="00B14C18" w:rsidRPr="004340F0" w:rsidRDefault="007550E4" w:rsidP="004340F0">
            <w:pPr>
              <w:ind w:left="-36" w:right="-99"/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761 024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31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32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FF33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34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35" w14:textId="77777777" w:rsidR="00B14C18" w:rsidRPr="004340F0" w:rsidRDefault="00B14C18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3F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37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38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39" w14:textId="77777777" w:rsidR="009F2ADA" w:rsidRPr="004340F0" w:rsidRDefault="009F2ADA" w:rsidP="004340F0">
            <w:pPr>
              <w:ind w:left="-36" w:right="-99"/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3A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3B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3C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3D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3E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48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0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1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2" w14:textId="77777777" w:rsidR="009F2ADA" w:rsidRPr="004340F0" w:rsidRDefault="009F2ADA" w:rsidP="004340F0">
            <w:pPr>
              <w:ind w:left="-36" w:right="-99"/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3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4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5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6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7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51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9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A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B" w14:textId="28292B1D" w:rsidR="009F2ADA" w:rsidRPr="004340F0" w:rsidRDefault="004340F0" w:rsidP="004340F0">
            <w:pPr>
              <w:ind w:left="-36" w:right="-9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40F0">
              <w:rPr>
                <w:rFonts w:ascii="Times New Roman" w:hAnsi="Times New Roman" w:cs="Times New Roman"/>
              </w:rPr>
              <w:t>–</w:t>
            </w:r>
            <w:r w:rsidR="007550E4" w:rsidRPr="004340F0">
              <w:rPr>
                <w:rFonts w:ascii="Times New Roman" w:hAnsi="Times New Roman" w:cs="Times New Roman"/>
              </w:rPr>
              <w:t>761 024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C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D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E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4F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0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5A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2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3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4" w14:textId="7F5F66FA" w:rsidR="009F2ADA" w:rsidRPr="004340F0" w:rsidRDefault="004340F0" w:rsidP="004340F0">
            <w:pPr>
              <w:ind w:left="-36" w:right="-9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40F0">
              <w:rPr>
                <w:rFonts w:ascii="Times New Roman" w:hAnsi="Times New Roman" w:cs="Times New Roman"/>
              </w:rPr>
              <w:t>–</w:t>
            </w:r>
            <w:r w:rsidR="007550E4" w:rsidRPr="004340F0">
              <w:rPr>
                <w:rFonts w:ascii="Times New Roman" w:hAnsi="Times New Roman" w:cs="Times New Roman"/>
              </w:rPr>
              <w:t>761 024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5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6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7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8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9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63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B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C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D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E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5F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0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1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2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6C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4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5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6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7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8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9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A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B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75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D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E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6F" w14:textId="77777777" w:rsidR="009F2ADA" w:rsidRPr="004340F0" w:rsidRDefault="003A2C92" w:rsidP="004340F0">
            <w:pPr>
              <w:ind w:left="-36" w:right="-99"/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+</w:t>
            </w:r>
            <w:r w:rsidR="007550E4" w:rsidRPr="004340F0">
              <w:rPr>
                <w:rFonts w:ascii="Times New Roman" w:hAnsi="Times New Roman" w:cs="Times New Roman"/>
              </w:rPr>
              <w:t>761 024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0" w14:textId="77777777" w:rsidR="009F2ADA" w:rsidRPr="004340F0" w:rsidRDefault="009038E5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1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2" w14:textId="77777777" w:rsidR="009F2ADA" w:rsidRPr="004340F0" w:rsidRDefault="009038E5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3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4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7E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6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7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8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9" w14:textId="77777777" w:rsidR="009F2ADA" w:rsidRPr="004340F0" w:rsidRDefault="009038E5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A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B" w14:textId="77777777" w:rsidR="009F2ADA" w:rsidRPr="004340F0" w:rsidRDefault="009038E5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C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D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87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7F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0" w14:textId="77777777" w:rsidR="009F2ADA" w:rsidRPr="004340F0" w:rsidRDefault="009F2ADA" w:rsidP="004340F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1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2" w14:textId="77777777" w:rsidR="009F2ADA" w:rsidRPr="004340F0" w:rsidRDefault="009F2ADA" w:rsidP="004340F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3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4" w14:textId="77777777" w:rsidR="009F2ADA" w:rsidRPr="004340F0" w:rsidRDefault="009F2ADA" w:rsidP="004340F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5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6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90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8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9" w14:textId="77777777" w:rsidR="009F2ADA" w:rsidRPr="004340F0" w:rsidRDefault="009F2ADA" w:rsidP="004340F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A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B" w14:textId="77777777" w:rsidR="009F2ADA" w:rsidRPr="004340F0" w:rsidRDefault="009F2ADA" w:rsidP="004340F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C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D" w14:textId="77777777" w:rsidR="009F2ADA" w:rsidRPr="004340F0" w:rsidRDefault="009F2ADA" w:rsidP="004340F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E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8F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99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91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92" w14:textId="77777777" w:rsidR="009F2ADA" w:rsidRPr="004340F0" w:rsidRDefault="009F2ADA" w:rsidP="004340F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93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94" w14:textId="77777777" w:rsidR="009F2ADA" w:rsidRPr="004340F0" w:rsidRDefault="009F2ADA" w:rsidP="004340F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95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96" w14:textId="77777777" w:rsidR="009F2ADA" w:rsidRPr="004340F0" w:rsidRDefault="009F2ADA" w:rsidP="004340F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97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98" w14:textId="77777777" w:rsidR="009F2ADA" w:rsidRPr="004340F0" w:rsidRDefault="009F2ADA" w:rsidP="004340F0">
            <w:pPr>
              <w:jc w:val="center"/>
              <w:rPr>
                <w:rFonts w:ascii="Times New Roman" w:hAnsi="Times New Roman" w:cs="Times New Roman"/>
              </w:rPr>
            </w:pPr>
            <w:r w:rsidRPr="004340F0">
              <w:rPr>
                <w:rFonts w:ascii="Times New Roman" w:hAnsi="Times New Roman" w:cs="Times New Roman"/>
              </w:rPr>
              <w:t>0</w:t>
            </w:r>
          </w:p>
        </w:tc>
      </w:tr>
      <w:tr w:rsidR="009C0657" w:rsidRPr="009C0657" w14:paraId="06F7FFB0" w14:textId="77777777" w:rsidTr="004D5EA4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9A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105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F9B" w14:textId="2FBF0959" w:rsidR="007550E4" w:rsidRDefault="002E7B0A" w:rsidP="00F222F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</w:t>
            </w:r>
            <w:r w:rsidR="004340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Rīgas </w:t>
            </w:r>
            <w:r w:rsidR="00511D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omes ārkārtas vēlēšanas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550E4" w:rsidRPr="00755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</w:t>
            </w:r>
            <w:r w:rsidR="00755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ts rīkojuma projekts</w:t>
            </w:r>
            <w:r w:rsidR="007550E4" w:rsidRPr="00755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paredz Finanšu ministrijai no valsts budžeta programmas 02.00.00 </w:t>
            </w:r>
            <w:r w:rsidR="004340F0">
              <w:rPr>
                <w:rFonts w:ascii="Times New Roman" w:hAnsi="Times New Roman"/>
                <w:sz w:val="28"/>
                <w:szCs w:val="28"/>
              </w:rPr>
              <w:t>"</w:t>
            </w:r>
            <w:r w:rsidR="007550E4" w:rsidRPr="00755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Līdzekļi neparedzētiem gadījumiem</w:t>
            </w:r>
            <w:r w:rsidR="004340F0">
              <w:rPr>
                <w:rFonts w:ascii="Times New Roman" w:hAnsi="Times New Roman"/>
                <w:sz w:val="28"/>
                <w:szCs w:val="28"/>
              </w:rPr>
              <w:t>"</w:t>
            </w:r>
            <w:r w:rsidR="007550E4" w:rsidRPr="00755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piešķirt</w:t>
            </w:r>
            <w:r w:rsidR="0075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54731" w:rsidRPr="0075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finansējumu</w:t>
            </w:r>
            <w:r w:rsidR="004340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</w:t>
            </w:r>
            <w:r w:rsidR="00754731" w:rsidRPr="0075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40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nepārsniedz</w:t>
            </w:r>
            <w:r w:rsidR="003E10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54731" w:rsidRPr="0075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761 024 </w:t>
            </w:r>
            <w:proofErr w:type="spellStart"/>
            <w:r w:rsidR="00754731" w:rsidRPr="00A13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754731" w:rsidRPr="0075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tai skaitā:</w:t>
            </w:r>
          </w:p>
          <w:p w14:paraId="06F7FF9E" w14:textId="1C3F50AC" w:rsidR="002E7B0A" w:rsidRDefault="00754731" w:rsidP="00F222F6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Centrālajai vēlēšanu komisijai </w:t>
            </w:r>
            <w:r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D3FD2" w:rsidRPr="0075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finansējumu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</w:t>
            </w:r>
            <w:r w:rsidR="002D3FD2" w:rsidRPr="0075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nepārsniedz </w:t>
            </w:r>
            <w:r w:rsidRPr="00A1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571</w:t>
            </w:r>
            <w:r w:rsidR="002D3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A1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582</w:t>
            </w:r>
            <w:r w:rsidR="002D3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proofErr w:type="spellStart"/>
            <w:r w:rsidRPr="00A13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2D3F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. 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</w:t>
            </w:r>
            <w:r w:rsidR="002E7B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Centrālās vēlēšanu komisijas 20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2E7B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E7B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r w:rsidR="00F22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2E7B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februāra </w:t>
            </w:r>
            <w:r w:rsidR="002E7B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pieprasījumu par papildu līdzekļu piešķiršanu 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582</w:t>
            </w:r>
            <w:r w:rsidR="00F032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2E7B0A" w:rsidRPr="002E7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2E7B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Valsts kanceleja iesniedz detalizētu aprēķinu </w:t>
            </w:r>
            <w:r w:rsidR="00CD09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(sk.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09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pielikumu)</w:t>
            </w:r>
            <w:r w:rsidR="002E7B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6F7FF9F" w14:textId="25206CB9" w:rsidR="0010079B" w:rsidRPr="00D324B2" w:rsidRDefault="002D3FD2" w:rsidP="002D3FD2">
            <w:pPr>
              <w:pStyle w:val="ListParagraph"/>
              <w:tabs>
                <w:tab w:val="left" w:pos="289"/>
              </w:tabs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 v</w:t>
            </w:r>
            <w:r w:rsidR="006171DA" w:rsidRPr="00D324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ēlēšanu materiālu iegāde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6171DA" w:rsidRPr="00D324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17 802 </w:t>
            </w:r>
            <w:proofErr w:type="spellStart"/>
            <w:r w:rsidR="006171DA" w:rsidRPr="00D324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6171DA" w:rsidRPr="002161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6F7FFA0" w14:textId="23A48C86" w:rsidR="009C0657" w:rsidRDefault="00CD0927" w:rsidP="002D3FD2">
            <w:pPr>
              <w:tabs>
                <w:tab w:val="left" w:pos="289"/>
              </w:tabs>
              <w:ind w:left="28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D324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ēlēšanu e-pakalpojuma izmaksas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499 402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D0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</w:t>
            </w:r>
            <w:r w:rsidR="00F03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o</w:t>
            </w:r>
            <w:proofErr w:type="spellEnd"/>
            <w:r w:rsidR="006171DA" w:rsidRPr="002161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6F7FFA1" w14:textId="41898990" w:rsidR="006171DA" w:rsidRDefault="00982CD4" w:rsidP="002D3FD2">
            <w:pPr>
              <w:tabs>
                <w:tab w:val="left" w:pos="289"/>
              </w:tabs>
              <w:ind w:left="28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ēlētāju informēšanas nodrošināšana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6171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19 200 </w:t>
            </w:r>
            <w:proofErr w:type="spellStart"/>
            <w:r w:rsidRPr="0098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</w:t>
            </w:r>
            <w:r w:rsidR="00F03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o</w:t>
            </w:r>
            <w:proofErr w:type="spellEnd"/>
            <w:r w:rsidR="006171DA" w:rsidRPr="002161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6F7FFA2" w14:textId="4C06BB99" w:rsidR="00D324B2" w:rsidRPr="002D3FD2" w:rsidRDefault="006171DA" w:rsidP="002D3FD2">
            <w:pPr>
              <w:tabs>
                <w:tab w:val="left" w:pos="289"/>
              </w:tabs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2D3FD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D324B2" w:rsidRPr="002D3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2D3FD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D324B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rganizatoriskie pasākumi</w:t>
            </w:r>
            <w:r w:rsidR="002D3FD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D324B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35 178 </w:t>
            </w:r>
            <w:proofErr w:type="spellStart"/>
            <w:r w:rsidR="00D324B2" w:rsidRPr="002D3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D324B2" w:rsidRPr="002D3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,</w:t>
            </w:r>
            <w:r w:rsidR="002D3FD2" w:rsidRPr="002D3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D324B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</w:t>
            </w:r>
            <w:r w:rsidR="002D3FD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324B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sk. atlīdzība</w:t>
            </w:r>
            <w:r w:rsidR="002D3FD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D324B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28</w:t>
            </w:r>
            <w:r w:rsidR="002D3FD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324B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678</w:t>
            </w:r>
            <w:r w:rsidR="002D3FD2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D324B2" w:rsidRPr="002D3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6F7FFA4" w14:textId="50A59796" w:rsidR="00345E18" w:rsidRPr="002D3FD2" w:rsidRDefault="00754731" w:rsidP="00345E18">
            <w:pPr>
              <w:ind w:lef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D3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Iekšlietu ministrijai (Pilsonības un migrācijas lietu pārvaldei) – 189</w:t>
            </w:r>
            <w:r w:rsidR="002D3FD2" w:rsidRPr="002D3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2D3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442</w:t>
            </w:r>
            <w:r w:rsidR="002D3FD2" w:rsidRPr="002D3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proofErr w:type="spellStart"/>
            <w:r w:rsidRPr="002D3F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345E18" w:rsidRPr="002D3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345E18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(EKK 2000 </w:t>
            </w:r>
            <w:r w:rsidR="002D3FD2" w:rsidRPr="002D3FD2">
              <w:rPr>
                <w:rFonts w:ascii="Times New Roman" w:hAnsi="Times New Roman"/>
                <w:sz w:val="24"/>
                <w:szCs w:val="24"/>
              </w:rPr>
              <w:t>"</w:t>
            </w:r>
            <w:r w:rsidR="00345E18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  <w:r w:rsidR="002D3FD2" w:rsidRPr="002D3FD2">
              <w:rPr>
                <w:rFonts w:ascii="Times New Roman" w:hAnsi="Times New Roman"/>
                <w:sz w:val="24"/>
                <w:szCs w:val="24"/>
              </w:rPr>
              <w:t>"</w:t>
            </w:r>
            <w:r w:rsidR="00345E18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tai skaitā:</w:t>
            </w:r>
          </w:p>
          <w:p w14:paraId="2BFBCE3B" w14:textId="6480151C" w:rsidR="0039434B" w:rsidRDefault="0039434B" w:rsidP="0039434B">
            <w:pPr>
              <w:ind w:left="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 v</w:t>
            </w:r>
            <w:r w:rsidR="00345E18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ēlēšanu paziņojumu sagatavošanai (drukāšana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345E18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šķirošana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345E18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pasta indeksiem un nodošana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345E18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pasta pakalpojumu sniedzējam)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345E18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45E18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345E18" w:rsidRPr="002D3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345E18" w:rsidRP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(EKK</w:t>
            </w:r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2239 </w:t>
            </w:r>
            <w:r w:rsidR="002D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0606A" w:rsidRPr="006060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neklasificētie pakalpojumi</w:t>
            </w:r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Finansējums nepieciešams, lai nodrošinātu aptuveni 422 500 vēlēšanu paziņojumu sagatavošanu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6F7FFA7" w14:textId="41386808" w:rsidR="0060606A" w:rsidRPr="0039434B" w:rsidRDefault="0060606A" w:rsidP="0039434B">
            <w:pPr>
              <w:ind w:left="2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34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  <w:p w14:paraId="06F7FFA8" w14:textId="77777777" w:rsidR="00345E18" w:rsidRPr="00A131B8" w:rsidRDefault="0060606A" w:rsidP="0039434B">
            <w:pPr>
              <w:pStyle w:val="List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60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422 500 gab. x 0,</w:t>
            </w:r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099 </w:t>
            </w:r>
            <w:proofErr w:type="spellStart"/>
            <w:r w:rsidR="00345E18" w:rsidRPr="00A13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(bez PVN) (viena paziņojuma sagatavošanas izmaksas) = 41 828 </w:t>
            </w:r>
            <w:proofErr w:type="spellStart"/>
            <w:r w:rsidR="00345E18" w:rsidRPr="00A13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(bez PVN) x 21% PVN = 50 612 </w:t>
            </w:r>
            <w:proofErr w:type="spellStart"/>
            <w:r w:rsidR="00345E18" w:rsidRPr="00A13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PVN);</w:t>
            </w:r>
          </w:p>
          <w:p w14:paraId="640C97C8" w14:textId="77777777" w:rsidR="0039434B" w:rsidRPr="0039434B" w:rsidRDefault="0039434B" w:rsidP="0039434B">
            <w:pPr>
              <w:ind w:left="5"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2DCFF2B2" w14:textId="1DF7FCA8" w:rsidR="0039434B" w:rsidRDefault="0039434B" w:rsidP="0039434B">
            <w:pPr>
              <w:ind w:left="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 v</w:t>
            </w:r>
            <w:r w:rsidR="00345E18" w:rsidRPr="0039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ēlēšanu paziņojumu nosūtīšanai uz vēlētāju deklarētās dzīvesvietas adresi Latvijā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345E18" w:rsidRPr="0039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45E18" w:rsidRPr="0039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345E18" w:rsidRPr="00394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345E18" w:rsidRPr="0039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(EKK 2210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345E18" w:rsidRPr="0039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Izdevumi par sakaru pakalpojumiem)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 nepieciešams, lai nodrošinātu aptuveni 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vēlēšanu paziņojumu nosūtīšanu vēlētājiem uz deklarētās dzīvesvietas adresi Latvijā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izmantojot pasta pakalpojumus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6F7FFAB" w14:textId="33B12472" w:rsidR="009C2F6A" w:rsidRPr="0039434B" w:rsidRDefault="00345E18" w:rsidP="0039434B">
            <w:pPr>
              <w:ind w:left="5"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34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  <w:p w14:paraId="06F7FFAC" w14:textId="77777777" w:rsidR="00345E18" w:rsidRPr="00A131B8" w:rsidRDefault="009C2F6A" w:rsidP="0039434B">
            <w:pPr>
              <w:pStyle w:val="List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2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422 500 gab. x 0,</w:t>
            </w:r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32 </w:t>
            </w:r>
            <w:proofErr w:type="spellStart"/>
            <w:r w:rsidR="00345E18" w:rsidRPr="0001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(bez PVN) (viena paziņojuma nosūtīšanas izmaksas) = 135 200 </w:t>
            </w:r>
            <w:proofErr w:type="spellStart"/>
            <w:r w:rsidR="00345E18" w:rsidRPr="00A13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345E18"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(PVN netiek piemērots);</w:t>
            </w:r>
          </w:p>
          <w:p w14:paraId="06F7FFAD" w14:textId="77777777" w:rsidR="00345E18" w:rsidRPr="0039434B" w:rsidRDefault="00345E18" w:rsidP="00345E18">
            <w:pPr>
              <w:ind w:left="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34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  <w:p w14:paraId="06F7FFAE" w14:textId="20B6C032" w:rsidR="009C2F6A" w:rsidRDefault="0039434B" w:rsidP="0039434B">
            <w:pPr>
              <w:ind w:left="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 v</w:t>
            </w:r>
            <w:r w:rsidR="00345E18" w:rsidRPr="0039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ēlētāju sarakstu drukāšanai un piegādei 3 630 </w:t>
            </w:r>
            <w:proofErr w:type="spellStart"/>
            <w:r w:rsidR="00345E18" w:rsidRPr="00394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345E18" w:rsidRPr="0039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(EKK 2239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345E18" w:rsidRPr="0039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C2F6A" w:rsidRPr="0039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neklasificētie pakalpojumi</w:t>
            </w:r>
            <w:r w:rsidR="00345E18" w:rsidRPr="0039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BC28E88" w14:textId="77777777" w:rsidR="0039434B" w:rsidRPr="0039434B" w:rsidRDefault="0039434B" w:rsidP="0039434B">
            <w:pPr>
              <w:ind w:left="6" w:firstLine="4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06F7FFAF" w14:textId="77777777" w:rsidR="00982CD4" w:rsidRPr="00A131B8" w:rsidRDefault="00345E18" w:rsidP="00A131B8">
            <w:pPr>
              <w:pStyle w:val="ListParagraph"/>
              <w:ind w:left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3 000 </w:t>
            </w:r>
            <w:proofErr w:type="spellStart"/>
            <w:r w:rsidRPr="00A13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131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21 % PVN = 3630 </w:t>
            </w:r>
            <w:proofErr w:type="spellStart"/>
            <w:r w:rsidRPr="00A13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C2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</w:tr>
      <w:tr w:rsidR="009C0657" w:rsidRPr="009C0657" w14:paraId="06F7FFB3" w14:textId="77777777" w:rsidTr="004D5EA4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B1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FB2" w14:textId="77777777" w:rsidR="009C0657" w:rsidRPr="009C0657" w:rsidRDefault="009C0657" w:rsidP="009C0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0657" w:rsidRPr="009C0657" w14:paraId="06F7FFB6" w14:textId="77777777" w:rsidTr="006F0CBA">
        <w:trPr>
          <w:trHeight w:val="20"/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B4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FB5" w14:textId="77777777" w:rsidR="009C0657" w:rsidRPr="009C0657" w:rsidRDefault="009C0657" w:rsidP="009C0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0657" w:rsidRPr="009C0657" w14:paraId="06F7FFB9" w14:textId="77777777" w:rsidTr="004D5EA4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B7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10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B8" w14:textId="77777777" w:rsidR="009C0657" w:rsidRPr="009C0657" w:rsidRDefault="00E51157" w:rsidP="009C0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9C0657" w:rsidRPr="00C261EC" w14:paraId="06F7FFBE" w14:textId="77777777" w:rsidTr="006468FA">
        <w:trPr>
          <w:trHeight w:val="1792"/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BA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410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BB" w14:textId="77777777" w:rsidR="009C0657" w:rsidRDefault="00931C59" w:rsidP="00EC4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1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Izdevumus sedz no valsts budžeta programm</w:t>
            </w:r>
            <w:r w:rsidR="005324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02.00.00 "Līdzekļi neparedzētiem gadīju</w:t>
            </w:r>
            <w:r w:rsidRPr="00931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miem"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6F7FFBD" w14:textId="26276507" w:rsidR="00345E18" w:rsidRPr="00AB7F18" w:rsidRDefault="003E1082" w:rsidP="00EC4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0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Centrālajai vēlēšanu komisijai pieprasījumu par vēlēšanu e-pakalpojuma drošības prasību nodrošināšanai nepieciešamo finansējumu 114 473 </w:t>
            </w:r>
            <w:proofErr w:type="spellStart"/>
            <w:r w:rsidRPr="00394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E10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iesniegt Finanšu ministrijā pēc tam, kad Informācijas tehnoloģiju drošības incidentu novēršanas institūcija (CERT.LV) būs izvērtējusi vēlēšanu e-pakalpojuma atbilstību drošības prasībām un standartiem</w:t>
            </w:r>
          </w:p>
        </w:tc>
      </w:tr>
    </w:tbl>
    <w:p w14:paraId="06F7FFBF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C031B" w:rsidRPr="008D409E" w14:paraId="06F7FFC1" w14:textId="77777777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FC0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125FDB" w:rsidRPr="008D409E" w14:paraId="06F7FFC3" w14:textId="77777777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7FFC2" w14:textId="77777777" w:rsidR="00125FDB" w:rsidRPr="008D409E" w:rsidRDefault="00125FD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6F7FFC4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261EC" w:rsidRPr="00C261EC" w14:paraId="06F7FFC6" w14:textId="77777777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FC5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261EC" w:rsidRPr="00C261EC" w14:paraId="06F7FFC8" w14:textId="77777777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C7" w14:textId="77777777"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6F7FFC9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261EC" w:rsidRPr="00C261EC" w14:paraId="06F7FFCB" w14:textId="77777777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FCA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261EC" w:rsidRPr="00C261EC" w14:paraId="06F7FFCD" w14:textId="77777777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CC" w14:textId="77777777"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6F7FFCE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051"/>
        <w:gridCol w:w="5389"/>
      </w:tblGrid>
      <w:tr w:rsidR="00CC031B" w:rsidRPr="008D409E" w14:paraId="06F7FFD0" w14:textId="77777777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FFCF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C031B" w:rsidRPr="008D409E" w14:paraId="06F7FFD4" w14:textId="77777777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D1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D2" w14:textId="77777777"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D3" w14:textId="4DA47F3D" w:rsidR="00CC031B" w:rsidRPr="008D409E" w:rsidRDefault="009F2ADA" w:rsidP="00C37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3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izpildi nodrošinās </w:t>
            </w:r>
            <w:r w:rsidR="00C375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Centrālā vēlēšanu komisija</w:t>
            </w:r>
            <w:r w:rsidR="00AF2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Pilsonības un migrācijas lietu pārvalde</w:t>
            </w:r>
          </w:p>
        </w:tc>
      </w:tr>
      <w:tr w:rsidR="00CC031B" w:rsidRPr="008D409E" w14:paraId="06F7FFD9" w14:textId="77777777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D5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D6" w14:textId="77777777" w:rsidR="00080B9B" w:rsidRDefault="00CC031B" w:rsidP="0008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06F7FFD7" w14:textId="77777777" w:rsidR="00CC031B" w:rsidRPr="008D409E" w:rsidRDefault="00CC031B" w:rsidP="0008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D8" w14:textId="77777777" w:rsidR="00E21EBE" w:rsidRPr="008D409E" w:rsidRDefault="00125FDB" w:rsidP="009A3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CC031B" w:rsidRPr="00C261EC" w14:paraId="06F7FFDD" w14:textId="77777777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DA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DB" w14:textId="77777777"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FFDC" w14:textId="77777777" w:rsidR="00CC031B" w:rsidRPr="008D409E" w:rsidRDefault="008D409E" w:rsidP="00125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6F7FFDE" w14:textId="77777777" w:rsidR="00CC031B" w:rsidRPr="00ED5DA5" w:rsidRDefault="00CC031B">
      <w:pPr>
        <w:rPr>
          <w:rFonts w:ascii="Times New Roman" w:hAnsi="Times New Roman" w:cs="Times New Roman"/>
          <w:sz w:val="18"/>
          <w:szCs w:val="18"/>
        </w:rPr>
      </w:pPr>
    </w:p>
    <w:p w14:paraId="7AD3F64D" w14:textId="4E679CD5" w:rsidR="00816D89" w:rsidRPr="00ED5DA5" w:rsidRDefault="00816D89" w:rsidP="00CC031B">
      <w:pPr>
        <w:pStyle w:val="BodyText"/>
        <w:jc w:val="both"/>
        <w:rPr>
          <w:sz w:val="18"/>
          <w:szCs w:val="18"/>
        </w:rPr>
      </w:pPr>
    </w:p>
    <w:p w14:paraId="77F881B3" w14:textId="77777777" w:rsidR="00983C04" w:rsidRPr="00ED5DA5" w:rsidRDefault="00983C04" w:rsidP="00CC031B">
      <w:pPr>
        <w:pStyle w:val="BodyText"/>
        <w:jc w:val="both"/>
        <w:rPr>
          <w:sz w:val="18"/>
          <w:szCs w:val="18"/>
        </w:rPr>
      </w:pPr>
    </w:p>
    <w:p w14:paraId="6FC993ED" w14:textId="77777777" w:rsidR="00983C04" w:rsidRPr="00983C04" w:rsidRDefault="00983C04" w:rsidP="00983C0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83C04">
        <w:rPr>
          <w:sz w:val="28"/>
          <w:szCs w:val="28"/>
        </w:rPr>
        <w:t>Ministru prezidents</w:t>
      </w:r>
      <w:r w:rsidRPr="00983C04">
        <w:rPr>
          <w:sz w:val="28"/>
          <w:szCs w:val="28"/>
        </w:rPr>
        <w:tab/>
        <w:t xml:space="preserve">A. K. Kariņš </w:t>
      </w:r>
    </w:p>
    <w:p w14:paraId="233CDA71" w14:textId="77777777" w:rsidR="00983C04" w:rsidRPr="00ED5DA5" w:rsidRDefault="00983C04" w:rsidP="00983C04">
      <w:pPr>
        <w:tabs>
          <w:tab w:val="left" w:pos="6480"/>
          <w:tab w:val="left" w:pos="6840"/>
        </w:tabs>
        <w:ind w:firstLine="709"/>
        <w:rPr>
          <w:rFonts w:ascii="Times New Roman" w:hAnsi="Times New Roman" w:cs="Times New Roman"/>
        </w:rPr>
      </w:pPr>
    </w:p>
    <w:p w14:paraId="7094F7E4" w14:textId="77777777" w:rsidR="00983C04" w:rsidRPr="00ED5DA5" w:rsidRDefault="00983C04" w:rsidP="00983C04">
      <w:pPr>
        <w:tabs>
          <w:tab w:val="left" w:pos="6480"/>
          <w:tab w:val="left" w:pos="6840"/>
        </w:tabs>
        <w:ind w:firstLine="709"/>
        <w:rPr>
          <w:rFonts w:ascii="Times New Roman" w:hAnsi="Times New Roman" w:cs="Times New Roman"/>
        </w:rPr>
      </w:pPr>
    </w:p>
    <w:p w14:paraId="1DF6D3AD" w14:textId="77777777" w:rsidR="00983C04" w:rsidRPr="00983C04" w:rsidRDefault="00983C04" w:rsidP="00983C04">
      <w:pPr>
        <w:tabs>
          <w:tab w:val="left" w:pos="6480"/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04">
        <w:rPr>
          <w:rFonts w:ascii="Times New Roman" w:hAnsi="Times New Roman" w:cs="Times New Roman"/>
          <w:sz w:val="28"/>
          <w:szCs w:val="28"/>
        </w:rPr>
        <w:t>Vizē:</w:t>
      </w:r>
    </w:p>
    <w:p w14:paraId="2123526A" w14:textId="77777777" w:rsidR="00983C04" w:rsidRPr="00983C04" w:rsidRDefault="00983C04" w:rsidP="00983C04">
      <w:pPr>
        <w:tabs>
          <w:tab w:val="left" w:pos="6521"/>
        </w:tabs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04">
        <w:rPr>
          <w:rFonts w:ascii="Times New Roman" w:hAnsi="Times New Roman" w:cs="Times New Roman"/>
          <w:sz w:val="28"/>
          <w:szCs w:val="28"/>
        </w:rPr>
        <w:t xml:space="preserve">Valsts kancelejas direktors </w:t>
      </w:r>
      <w:r w:rsidRPr="00983C04">
        <w:rPr>
          <w:rFonts w:ascii="Times New Roman" w:hAnsi="Times New Roman" w:cs="Times New Roman"/>
          <w:szCs w:val="28"/>
          <w:u w:val="single"/>
        </w:rPr>
        <w:tab/>
      </w:r>
      <w:r w:rsidRPr="00983C04">
        <w:rPr>
          <w:rFonts w:ascii="Times New Roman" w:hAnsi="Times New Roman" w:cs="Times New Roman"/>
          <w:szCs w:val="28"/>
        </w:rPr>
        <w:t xml:space="preserve"> </w:t>
      </w:r>
      <w:r w:rsidRPr="00983C04">
        <w:rPr>
          <w:rFonts w:ascii="Times New Roman" w:hAnsi="Times New Roman" w:cs="Times New Roman"/>
          <w:sz w:val="28"/>
          <w:szCs w:val="28"/>
        </w:rPr>
        <w:t>J. </w:t>
      </w:r>
      <w:proofErr w:type="spellStart"/>
      <w:r w:rsidRPr="00983C04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14:paraId="48C6C9F0" w14:textId="0D3DDE0C" w:rsidR="00983C04" w:rsidRDefault="00983C04" w:rsidP="00CC031B">
      <w:pPr>
        <w:pStyle w:val="BodyText"/>
        <w:jc w:val="left"/>
        <w:rPr>
          <w:sz w:val="20"/>
          <w:szCs w:val="20"/>
        </w:rPr>
      </w:pPr>
    </w:p>
    <w:p w14:paraId="197C2E61" w14:textId="77777777" w:rsidR="00983C04" w:rsidRDefault="00983C04" w:rsidP="00CC031B">
      <w:pPr>
        <w:pStyle w:val="BodyText"/>
        <w:jc w:val="left"/>
        <w:rPr>
          <w:sz w:val="20"/>
          <w:szCs w:val="20"/>
        </w:rPr>
      </w:pPr>
    </w:p>
    <w:p w14:paraId="06F7FFFE" w14:textId="77777777" w:rsidR="005F4329" w:rsidRDefault="005F4329" w:rsidP="00CC031B">
      <w:pPr>
        <w:pStyle w:val="BodyText"/>
        <w:jc w:val="left"/>
        <w:rPr>
          <w:sz w:val="20"/>
          <w:szCs w:val="20"/>
        </w:rPr>
      </w:pPr>
    </w:p>
    <w:p w14:paraId="06F7FFFF" w14:textId="75336A56" w:rsidR="00CC031B" w:rsidRPr="004365CC" w:rsidRDefault="00E51157" w:rsidP="00CC031B">
      <w:pPr>
        <w:pStyle w:val="BodyText"/>
        <w:jc w:val="left"/>
        <w:rPr>
          <w:sz w:val="20"/>
          <w:szCs w:val="20"/>
        </w:rPr>
      </w:pPr>
      <w:proofErr w:type="spellStart"/>
      <w:r w:rsidRPr="004365CC">
        <w:rPr>
          <w:sz w:val="20"/>
          <w:szCs w:val="20"/>
        </w:rPr>
        <w:t>Sedliņa</w:t>
      </w:r>
      <w:proofErr w:type="spellEnd"/>
      <w:r w:rsidRPr="004365CC">
        <w:rPr>
          <w:sz w:val="20"/>
          <w:szCs w:val="20"/>
        </w:rPr>
        <w:t xml:space="preserve"> 67082848</w:t>
      </w:r>
    </w:p>
    <w:p w14:paraId="06F80000" w14:textId="77777777" w:rsidR="00CC031B" w:rsidRPr="00016B2C" w:rsidRDefault="00016B2C" w:rsidP="00C261EC">
      <w:pPr>
        <w:pStyle w:val="BodyText"/>
        <w:jc w:val="left"/>
        <w:rPr>
          <w:rStyle w:val="Hyperlink"/>
          <w:sz w:val="20"/>
          <w:szCs w:val="20"/>
          <w:u w:val="none"/>
        </w:rPr>
      </w:pPr>
      <w:hyperlink r:id="rId8" w:history="1">
        <w:r w:rsidR="00E51157" w:rsidRPr="00016B2C">
          <w:rPr>
            <w:rStyle w:val="Hyperlink"/>
            <w:color w:val="auto"/>
            <w:sz w:val="20"/>
            <w:szCs w:val="20"/>
            <w:u w:val="none"/>
          </w:rPr>
          <w:t>ilze.sedlina@mk.gov.lv</w:t>
        </w:r>
      </w:hyperlink>
    </w:p>
    <w:p w14:paraId="06F80002" w14:textId="6BE0AF32" w:rsidR="004A1C3F" w:rsidRPr="000C7097" w:rsidRDefault="004A1C3F" w:rsidP="004A1C3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C7097">
        <w:rPr>
          <w:rFonts w:ascii="Times New Roman" w:hAnsi="Times New Roman" w:cs="Times New Roman"/>
          <w:sz w:val="20"/>
          <w:szCs w:val="20"/>
        </w:rPr>
        <w:t>Vildava</w:t>
      </w:r>
      <w:proofErr w:type="spellEnd"/>
      <w:r w:rsidRPr="000C7097">
        <w:rPr>
          <w:rFonts w:ascii="Times New Roman" w:hAnsi="Times New Roman" w:cs="Times New Roman"/>
          <w:sz w:val="20"/>
          <w:szCs w:val="20"/>
        </w:rPr>
        <w:t xml:space="preserve"> 67219466</w:t>
      </w:r>
    </w:p>
    <w:p w14:paraId="06F80003" w14:textId="77777777" w:rsidR="004A1C3F" w:rsidRPr="00016B2C" w:rsidRDefault="00016B2C" w:rsidP="004A1C3F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4A1C3F" w:rsidRPr="00016B2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jana.vildava@pmlp.gov.lv</w:t>
        </w:r>
      </w:hyperlink>
      <w:r w:rsidR="004A1C3F" w:rsidRPr="00016B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F80005" w14:textId="1C045D40" w:rsidR="004A1C3F" w:rsidRDefault="004A1C3F" w:rsidP="004A1C3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Brīvniece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67219453 </w:t>
      </w:r>
    </w:p>
    <w:p w14:paraId="06F80006" w14:textId="77777777" w:rsidR="004A1C3F" w:rsidRPr="00016B2C" w:rsidRDefault="00016B2C" w:rsidP="004A1C3F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4A1C3F" w:rsidRPr="00016B2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ramona.brivniece@pmlp.gov.lv</w:t>
        </w:r>
      </w:hyperlink>
    </w:p>
    <w:p w14:paraId="507C4FF3" w14:textId="77777777" w:rsidR="00983C04" w:rsidRDefault="00983C04" w:rsidP="00C261EC">
      <w:pPr>
        <w:pStyle w:val="BodyText"/>
        <w:jc w:val="left"/>
        <w:rPr>
          <w:sz w:val="20"/>
          <w:szCs w:val="20"/>
        </w:rPr>
      </w:pPr>
    </w:p>
    <w:p w14:paraId="06F80008" w14:textId="0ED53CD6" w:rsidR="001C29A8" w:rsidRPr="00983C04" w:rsidRDefault="00983C04" w:rsidP="00C261EC">
      <w:pPr>
        <w:pStyle w:val="BodyText"/>
        <w:jc w:val="left"/>
        <w:rPr>
          <w:sz w:val="20"/>
          <w:szCs w:val="20"/>
        </w:rPr>
      </w:pPr>
      <w:r w:rsidRPr="00983C04">
        <w:rPr>
          <w:sz w:val="20"/>
          <w:szCs w:val="20"/>
        </w:rPr>
        <w:t>12</w:t>
      </w:r>
      <w:r w:rsidR="0039434B">
        <w:rPr>
          <w:sz w:val="20"/>
          <w:szCs w:val="20"/>
        </w:rPr>
        <w:t>64</w:t>
      </w:r>
      <w:bookmarkStart w:id="2" w:name="_GoBack"/>
      <w:bookmarkEnd w:id="2"/>
    </w:p>
    <w:sectPr w:rsidR="001C29A8" w:rsidRPr="00983C04" w:rsidSect="00ED5DA5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000B" w14:textId="77777777" w:rsidR="00B27C04" w:rsidRDefault="00B27C04" w:rsidP="007D349E">
      <w:r>
        <w:separator/>
      </w:r>
    </w:p>
  </w:endnote>
  <w:endnote w:type="continuationSeparator" w:id="0">
    <w:p w14:paraId="06F8000C" w14:textId="77777777" w:rsidR="00B27C04" w:rsidRDefault="00B27C04" w:rsidP="007D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000D" w14:textId="54899F72" w:rsidR="007D349E" w:rsidRPr="00983C04" w:rsidRDefault="00983C04" w:rsidP="00983C04">
    <w:pPr>
      <w:pStyle w:val="Footer"/>
    </w:pPr>
    <w:r w:rsidRPr="00983C04">
      <w:rPr>
        <w:rFonts w:ascii="Times New Roman" w:hAnsi="Times New Roman" w:cs="Times New Roman"/>
        <w:sz w:val="20"/>
        <w:szCs w:val="20"/>
      </w:rPr>
      <w:t>VKAnot_200220_RDvēlēsanas20200220131748</w:t>
    </w:r>
    <w:r>
      <w:rPr>
        <w:rFonts w:ascii="Times New Roman" w:hAnsi="Times New Roman" w:cs="Times New Roman"/>
        <w:sz w:val="20"/>
        <w:szCs w:val="20"/>
      </w:rPr>
      <w:t xml:space="preserve"> (2494)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9194" w14:textId="4DC21776" w:rsidR="00983C04" w:rsidRDefault="00983C04">
    <w:pPr>
      <w:pStyle w:val="Footer"/>
    </w:pPr>
    <w:r w:rsidRPr="00983C04">
      <w:rPr>
        <w:rFonts w:ascii="Times New Roman" w:hAnsi="Times New Roman" w:cs="Times New Roman"/>
        <w:sz w:val="20"/>
        <w:szCs w:val="20"/>
      </w:rPr>
      <w:t>VKAnot_200220_RDvēlēsanas20200220131748</w:t>
    </w:r>
    <w:r>
      <w:rPr>
        <w:rFonts w:ascii="Times New Roman" w:hAnsi="Times New Roman" w:cs="Times New Roman"/>
        <w:sz w:val="20"/>
        <w:szCs w:val="20"/>
      </w:rPr>
      <w:t xml:space="preserve"> (2494)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0009" w14:textId="77777777" w:rsidR="00B27C04" w:rsidRDefault="00B27C04" w:rsidP="007D349E">
      <w:r>
        <w:separator/>
      </w:r>
    </w:p>
  </w:footnote>
  <w:footnote w:type="continuationSeparator" w:id="0">
    <w:p w14:paraId="06F8000A" w14:textId="77777777" w:rsidR="00B27C04" w:rsidRDefault="00B27C04" w:rsidP="007D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50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35F44E" w14:textId="340379C0" w:rsidR="00983C04" w:rsidRPr="00983C04" w:rsidRDefault="00983C0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3C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3C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3C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6B2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83C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F3F9CE6" w14:textId="77777777" w:rsidR="00983C04" w:rsidRPr="00983C04" w:rsidRDefault="00983C0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055"/>
    <w:multiLevelType w:val="hybridMultilevel"/>
    <w:tmpl w:val="57D6230C"/>
    <w:lvl w:ilvl="0" w:tplc="085052DC">
      <w:start w:val="60"/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" w15:restartNumberingAfterBreak="0">
    <w:nsid w:val="08682CFD"/>
    <w:multiLevelType w:val="hybridMultilevel"/>
    <w:tmpl w:val="247AB26A"/>
    <w:lvl w:ilvl="0" w:tplc="2018921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7135757"/>
    <w:multiLevelType w:val="hybridMultilevel"/>
    <w:tmpl w:val="E278924A"/>
    <w:lvl w:ilvl="0" w:tplc="0426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2365177D"/>
    <w:multiLevelType w:val="hybridMultilevel"/>
    <w:tmpl w:val="A21822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1D1A"/>
    <w:multiLevelType w:val="hybridMultilevel"/>
    <w:tmpl w:val="F9EA2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6280"/>
    <w:multiLevelType w:val="hybridMultilevel"/>
    <w:tmpl w:val="BE8A4928"/>
    <w:lvl w:ilvl="0" w:tplc="9F6092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6266B"/>
    <w:multiLevelType w:val="hybridMultilevel"/>
    <w:tmpl w:val="3DF2CC0E"/>
    <w:lvl w:ilvl="0" w:tplc="0426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3B364A1"/>
    <w:multiLevelType w:val="hybridMultilevel"/>
    <w:tmpl w:val="85569A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94261"/>
    <w:multiLevelType w:val="hybridMultilevel"/>
    <w:tmpl w:val="BE2ADEAA"/>
    <w:lvl w:ilvl="0" w:tplc="042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470C548E"/>
    <w:multiLevelType w:val="hybridMultilevel"/>
    <w:tmpl w:val="3DEE1CC4"/>
    <w:lvl w:ilvl="0" w:tplc="F44CB4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1195C"/>
    <w:multiLevelType w:val="hybridMultilevel"/>
    <w:tmpl w:val="1B2A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12223"/>
    <w:multiLevelType w:val="hybridMultilevel"/>
    <w:tmpl w:val="B1B885EA"/>
    <w:lvl w:ilvl="0" w:tplc="BEC4F49C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6" w:hanging="360"/>
      </w:pPr>
    </w:lvl>
    <w:lvl w:ilvl="2" w:tplc="0426001B" w:tentative="1">
      <w:start w:val="1"/>
      <w:numFmt w:val="lowerRoman"/>
      <w:lvlText w:val="%3."/>
      <w:lvlJc w:val="right"/>
      <w:pPr>
        <w:ind w:left="1806" w:hanging="180"/>
      </w:pPr>
    </w:lvl>
    <w:lvl w:ilvl="3" w:tplc="0426000F" w:tentative="1">
      <w:start w:val="1"/>
      <w:numFmt w:val="decimal"/>
      <w:lvlText w:val="%4."/>
      <w:lvlJc w:val="left"/>
      <w:pPr>
        <w:ind w:left="2526" w:hanging="360"/>
      </w:pPr>
    </w:lvl>
    <w:lvl w:ilvl="4" w:tplc="04260019" w:tentative="1">
      <w:start w:val="1"/>
      <w:numFmt w:val="lowerLetter"/>
      <w:lvlText w:val="%5."/>
      <w:lvlJc w:val="left"/>
      <w:pPr>
        <w:ind w:left="3246" w:hanging="360"/>
      </w:pPr>
    </w:lvl>
    <w:lvl w:ilvl="5" w:tplc="0426001B" w:tentative="1">
      <w:start w:val="1"/>
      <w:numFmt w:val="lowerRoman"/>
      <w:lvlText w:val="%6."/>
      <w:lvlJc w:val="right"/>
      <w:pPr>
        <w:ind w:left="3966" w:hanging="180"/>
      </w:pPr>
    </w:lvl>
    <w:lvl w:ilvl="6" w:tplc="0426000F" w:tentative="1">
      <w:start w:val="1"/>
      <w:numFmt w:val="decimal"/>
      <w:lvlText w:val="%7."/>
      <w:lvlJc w:val="left"/>
      <w:pPr>
        <w:ind w:left="4686" w:hanging="360"/>
      </w:pPr>
    </w:lvl>
    <w:lvl w:ilvl="7" w:tplc="04260019" w:tentative="1">
      <w:start w:val="1"/>
      <w:numFmt w:val="lowerLetter"/>
      <w:lvlText w:val="%8."/>
      <w:lvlJc w:val="left"/>
      <w:pPr>
        <w:ind w:left="5406" w:hanging="360"/>
      </w:pPr>
    </w:lvl>
    <w:lvl w:ilvl="8" w:tplc="0426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1B"/>
    <w:rsid w:val="00014403"/>
    <w:rsid w:val="00015C8C"/>
    <w:rsid w:val="00016B2C"/>
    <w:rsid w:val="000203B2"/>
    <w:rsid w:val="00040E02"/>
    <w:rsid w:val="0004222F"/>
    <w:rsid w:val="00043C03"/>
    <w:rsid w:val="00057447"/>
    <w:rsid w:val="0005774E"/>
    <w:rsid w:val="00080B9B"/>
    <w:rsid w:val="00085985"/>
    <w:rsid w:val="000933B1"/>
    <w:rsid w:val="00094ABC"/>
    <w:rsid w:val="00095DAA"/>
    <w:rsid w:val="000B6803"/>
    <w:rsid w:val="000D791F"/>
    <w:rsid w:val="000E002F"/>
    <w:rsid w:val="000E69BE"/>
    <w:rsid w:val="0010079B"/>
    <w:rsid w:val="00114FF2"/>
    <w:rsid w:val="00125FDB"/>
    <w:rsid w:val="00135D2E"/>
    <w:rsid w:val="001456F8"/>
    <w:rsid w:val="00155AF4"/>
    <w:rsid w:val="00161F69"/>
    <w:rsid w:val="00173ADE"/>
    <w:rsid w:val="00196015"/>
    <w:rsid w:val="001B387F"/>
    <w:rsid w:val="001C0E32"/>
    <w:rsid w:val="001C29A8"/>
    <w:rsid w:val="001C35C8"/>
    <w:rsid w:val="001C55A7"/>
    <w:rsid w:val="001D55E6"/>
    <w:rsid w:val="001F7693"/>
    <w:rsid w:val="0021614F"/>
    <w:rsid w:val="0024596A"/>
    <w:rsid w:val="002513FA"/>
    <w:rsid w:val="00266B0C"/>
    <w:rsid w:val="00272F71"/>
    <w:rsid w:val="00283A2E"/>
    <w:rsid w:val="002857C1"/>
    <w:rsid w:val="002A0267"/>
    <w:rsid w:val="002A4060"/>
    <w:rsid w:val="002D3FD2"/>
    <w:rsid w:val="002E7B0A"/>
    <w:rsid w:val="002F60AF"/>
    <w:rsid w:val="0030123A"/>
    <w:rsid w:val="003228D1"/>
    <w:rsid w:val="0032335F"/>
    <w:rsid w:val="003406C2"/>
    <w:rsid w:val="00345E18"/>
    <w:rsid w:val="00370856"/>
    <w:rsid w:val="00373019"/>
    <w:rsid w:val="00393B72"/>
    <w:rsid w:val="0039434B"/>
    <w:rsid w:val="003A2C92"/>
    <w:rsid w:val="003B20DA"/>
    <w:rsid w:val="003D2A7E"/>
    <w:rsid w:val="003E1082"/>
    <w:rsid w:val="003F06E8"/>
    <w:rsid w:val="004001C4"/>
    <w:rsid w:val="004079F4"/>
    <w:rsid w:val="004173FC"/>
    <w:rsid w:val="004259BC"/>
    <w:rsid w:val="004340F0"/>
    <w:rsid w:val="004365CC"/>
    <w:rsid w:val="00444C6C"/>
    <w:rsid w:val="004463A1"/>
    <w:rsid w:val="00454AE7"/>
    <w:rsid w:val="00477AD2"/>
    <w:rsid w:val="004A1C3F"/>
    <w:rsid w:val="004C1599"/>
    <w:rsid w:val="004C203A"/>
    <w:rsid w:val="004D5EA4"/>
    <w:rsid w:val="004E4192"/>
    <w:rsid w:val="0050476D"/>
    <w:rsid w:val="00511D0B"/>
    <w:rsid w:val="00514027"/>
    <w:rsid w:val="005324BF"/>
    <w:rsid w:val="00533BE5"/>
    <w:rsid w:val="00541B42"/>
    <w:rsid w:val="0055126F"/>
    <w:rsid w:val="00564FCF"/>
    <w:rsid w:val="00585CFB"/>
    <w:rsid w:val="005B6265"/>
    <w:rsid w:val="005C10D0"/>
    <w:rsid w:val="005C4B65"/>
    <w:rsid w:val="005F1EC6"/>
    <w:rsid w:val="005F4329"/>
    <w:rsid w:val="0060606A"/>
    <w:rsid w:val="006171DA"/>
    <w:rsid w:val="00636B1E"/>
    <w:rsid w:val="006434B4"/>
    <w:rsid w:val="006468FA"/>
    <w:rsid w:val="00696C08"/>
    <w:rsid w:val="006D43ED"/>
    <w:rsid w:val="006E608A"/>
    <w:rsid w:val="006F0CBA"/>
    <w:rsid w:val="007170E4"/>
    <w:rsid w:val="00737E8A"/>
    <w:rsid w:val="00754731"/>
    <w:rsid w:val="007550E4"/>
    <w:rsid w:val="007618BA"/>
    <w:rsid w:val="0078259F"/>
    <w:rsid w:val="00785E56"/>
    <w:rsid w:val="00786B87"/>
    <w:rsid w:val="00790B43"/>
    <w:rsid w:val="007D349E"/>
    <w:rsid w:val="007E0EA0"/>
    <w:rsid w:val="007F3076"/>
    <w:rsid w:val="007F5CC6"/>
    <w:rsid w:val="007F75CB"/>
    <w:rsid w:val="00810595"/>
    <w:rsid w:val="00815CEB"/>
    <w:rsid w:val="00816D89"/>
    <w:rsid w:val="00816D9E"/>
    <w:rsid w:val="008222AC"/>
    <w:rsid w:val="00845776"/>
    <w:rsid w:val="0085450D"/>
    <w:rsid w:val="008561CA"/>
    <w:rsid w:val="00862A52"/>
    <w:rsid w:val="00867C41"/>
    <w:rsid w:val="00877C18"/>
    <w:rsid w:val="00886C06"/>
    <w:rsid w:val="008A0878"/>
    <w:rsid w:val="008B15BC"/>
    <w:rsid w:val="008D409E"/>
    <w:rsid w:val="009038E5"/>
    <w:rsid w:val="009049AE"/>
    <w:rsid w:val="00905A85"/>
    <w:rsid w:val="009132D3"/>
    <w:rsid w:val="00920679"/>
    <w:rsid w:val="00931C59"/>
    <w:rsid w:val="00937FC5"/>
    <w:rsid w:val="00952329"/>
    <w:rsid w:val="00955D9D"/>
    <w:rsid w:val="009579ED"/>
    <w:rsid w:val="0097609D"/>
    <w:rsid w:val="00982CD4"/>
    <w:rsid w:val="00983C04"/>
    <w:rsid w:val="00985398"/>
    <w:rsid w:val="00997335"/>
    <w:rsid w:val="009A3065"/>
    <w:rsid w:val="009A67E5"/>
    <w:rsid w:val="009C0657"/>
    <w:rsid w:val="009C2F6A"/>
    <w:rsid w:val="009C3511"/>
    <w:rsid w:val="009E3940"/>
    <w:rsid w:val="009E525E"/>
    <w:rsid w:val="009F2ADA"/>
    <w:rsid w:val="00A12393"/>
    <w:rsid w:val="00A131B8"/>
    <w:rsid w:val="00A33D33"/>
    <w:rsid w:val="00A35221"/>
    <w:rsid w:val="00A35F09"/>
    <w:rsid w:val="00A4732E"/>
    <w:rsid w:val="00A57930"/>
    <w:rsid w:val="00A60AD9"/>
    <w:rsid w:val="00A67E56"/>
    <w:rsid w:val="00A75BEC"/>
    <w:rsid w:val="00A77D9B"/>
    <w:rsid w:val="00A80DEE"/>
    <w:rsid w:val="00A87CC8"/>
    <w:rsid w:val="00A91E9A"/>
    <w:rsid w:val="00A9390B"/>
    <w:rsid w:val="00AB21B4"/>
    <w:rsid w:val="00AB7F18"/>
    <w:rsid w:val="00AD34FF"/>
    <w:rsid w:val="00AE5B89"/>
    <w:rsid w:val="00AE5C99"/>
    <w:rsid w:val="00AF247D"/>
    <w:rsid w:val="00AF5657"/>
    <w:rsid w:val="00AF797C"/>
    <w:rsid w:val="00B114DA"/>
    <w:rsid w:val="00B14BC0"/>
    <w:rsid w:val="00B14C18"/>
    <w:rsid w:val="00B211E9"/>
    <w:rsid w:val="00B22632"/>
    <w:rsid w:val="00B23AB2"/>
    <w:rsid w:val="00B24CA1"/>
    <w:rsid w:val="00B27C04"/>
    <w:rsid w:val="00B3132F"/>
    <w:rsid w:val="00B37B03"/>
    <w:rsid w:val="00B54596"/>
    <w:rsid w:val="00B56D6A"/>
    <w:rsid w:val="00B61FEB"/>
    <w:rsid w:val="00B65585"/>
    <w:rsid w:val="00B6769B"/>
    <w:rsid w:val="00B817D9"/>
    <w:rsid w:val="00B8560A"/>
    <w:rsid w:val="00BA2E02"/>
    <w:rsid w:val="00BC5141"/>
    <w:rsid w:val="00BD2F2C"/>
    <w:rsid w:val="00BF381A"/>
    <w:rsid w:val="00BF52A3"/>
    <w:rsid w:val="00BF5E40"/>
    <w:rsid w:val="00C17FCA"/>
    <w:rsid w:val="00C261EC"/>
    <w:rsid w:val="00C30425"/>
    <w:rsid w:val="00C37130"/>
    <w:rsid w:val="00C3754C"/>
    <w:rsid w:val="00C44C3D"/>
    <w:rsid w:val="00C45577"/>
    <w:rsid w:val="00C7432E"/>
    <w:rsid w:val="00C84A2F"/>
    <w:rsid w:val="00C907E9"/>
    <w:rsid w:val="00C90A9E"/>
    <w:rsid w:val="00CA1DBE"/>
    <w:rsid w:val="00CA3833"/>
    <w:rsid w:val="00CB3284"/>
    <w:rsid w:val="00CB4E86"/>
    <w:rsid w:val="00CC031B"/>
    <w:rsid w:val="00CC093B"/>
    <w:rsid w:val="00CC1009"/>
    <w:rsid w:val="00CD0927"/>
    <w:rsid w:val="00CD4A40"/>
    <w:rsid w:val="00D01339"/>
    <w:rsid w:val="00D162DF"/>
    <w:rsid w:val="00D16766"/>
    <w:rsid w:val="00D324B2"/>
    <w:rsid w:val="00D3459B"/>
    <w:rsid w:val="00D3618E"/>
    <w:rsid w:val="00D363CA"/>
    <w:rsid w:val="00D378D6"/>
    <w:rsid w:val="00D40214"/>
    <w:rsid w:val="00D564EB"/>
    <w:rsid w:val="00D6357E"/>
    <w:rsid w:val="00D80014"/>
    <w:rsid w:val="00D8087F"/>
    <w:rsid w:val="00D85DDD"/>
    <w:rsid w:val="00D9203D"/>
    <w:rsid w:val="00D9498E"/>
    <w:rsid w:val="00D95F67"/>
    <w:rsid w:val="00D970C2"/>
    <w:rsid w:val="00DA3672"/>
    <w:rsid w:val="00DB7C3B"/>
    <w:rsid w:val="00DC0B5D"/>
    <w:rsid w:val="00DD513D"/>
    <w:rsid w:val="00DD5D61"/>
    <w:rsid w:val="00DE10CB"/>
    <w:rsid w:val="00DE32DB"/>
    <w:rsid w:val="00DE7150"/>
    <w:rsid w:val="00E073AA"/>
    <w:rsid w:val="00E07BD1"/>
    <w:rsid w:val="00E10AB6"/>
    <w:rsid w:val="00E154E2"/>
    <w:rsid w:val="00E21EBE"/>
    <w:rsid w:val="00E220E7"/>
    <w:rsid w:val="00E26B0E"/>
    <w:rsid w:val="00E26D76"/>
    <w:rsid w:val="00E44D9F"/>
    <w:rsid w:val="00E51157"/>
    <w:rsid w:val="00E73E11"/>
    <w:rsid w:val="00E854FF"/>
    <w:rsid w:val="00EB3204"/>
    <w:rsid w:val="00EC0844"/>
    <w:rsid w:val="00EC30B4"/>
    <w:rsid w:val="00EC4F1B"/>
    <w:rsid w:val="00ED5DA5"/>
    <w:rsid w:val="00ED7B4A"/>
    <w:rsid w:val="00EF6720"/>
    <w:rsid w:val="00F02551"/>
    <w:rsid w:val="00F03282"/>
    <w:rsid w:val="00F17DEA"/>
    <w:rsid w:val="00F222F6"/>
    <w:rsid w:val="00F2260D"/>
    <w:rsid w:val="00F31B71"/>
    <w:rsid w:val="00F4279D"/>
    <w:rsid w:val="00F442D6"/>
    <w:rsid w:val="00F52705"/>
    <w:rsid w:val="00F558E1"/>
    <w:rsid w:val="00F73F84"/>
    <w:rsid w:val="00F75F1D"/>
    <w:rsid w:val="00F81EA7"/>
    <w:rsid w:val="00F84C2F"/>
    <w:rsid w:val="00F93EFF"/>
    <w:rsid w:val="00F9606E"/>
    <w:rsid w:val="00FB2CC4"/>
    <w:rsid w:val="00FB4E1D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F7FEB2"/>
  <w15:docId w15:val="{DDC0B147-17EF-4CC5-AE0F-471E7AC5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A7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31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C031B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rsid w:val="00C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4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9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D34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9E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BC"/>
    <w:rPr>
      <w:rFonts w:ascii="Segoe UI" w:hAnsi="Segoe UI" w:cs="Segoe UI"/>
      <w:sz w:val="18"/>
      <w:szCs w:val="18"/>
      <w:lang w:val="lv-LV"/>
    </w:rPr>
  </w:style>
  <w:style w:type="character" w:styleId="Strong">
    <w:name w:val="Strong"/>
    <w:basedOn w:val="DefaultParagraphFont"/>
    <w:uiPriority w:val="22"/>
    <w:qFormat/>
    <w:rsid w:val="00BF5E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9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7E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E9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F22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nhideWhenUsed/>
    <w:rsid w:val="004A1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4A1C3F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customStyle="1" w:styleId="naisf">
    <w:name w:val="naisf"/>
    <w:basedOn w:val="Normal"/>
    <w:rsid w:val="00983C04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42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1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edlina@mk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mona.brivniece@pml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vildava@pml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C90A-B860-48C0-82BB-5494C4C0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5998</Words>
  <Characters>3419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Finanšu Ministrija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sākotnējās ietekmes novērtējuma ziņojums (anotācija)</dc:subject>
  <dc:creator>Kristaps Vīksne (BD)</dc:creator>
  <cp:keywords/>
  <dc:description/>
  <cp:lastModifiedBy>Emilija Spundzane</cp:lastModifiedBy>
  <cp:revision>4</cp:revision>
  <cp:lastPrinted>2020-02-24T10:36:00Z</cp:lastPrinted>
  <dcterms:created xsi:type="dcterms:W3CDTF">2020-02-24T10:17:00Z</dcterms:created>
  <dcterms:modified xsi:type="dcterms:W3CDTF">2020-02-24T10:38:00Z</dcterms:modified>
</cp:coreProperties>
</file>