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DF31F" w14:textId="3F0F2250"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278C605E" w14:textId="77777777" w:rsidR="001507E7" w:rsidRDefault="001507E7" w:rsidP="000B54FA">
            <w:pPr>
              <w:ind w:firstLine="311"/>
              <w:jc w:val="both"/>
              <w:rPr>
                <w:bCs/>
              </w:rPr>
            </w:pPr>
            <w:r w:rsidRPr="007E06B4">
              <w:t xml:space="preserve">Krīzes vadības padomes 2020.gada 25.februāra sēdes protokollēmuma (prot.Nr.1 1.§) </w:t>
            </w:r>
            <w:r w:rsidR="007E06B4" w:rsidRPr="007E06B4">
              <w:t xml:space="preserve"> 4.punkts nosaka, ka, lai </w:t>
            </w:r>
            <w:r w:rsidR="007E06B4" w:rsidRPr="007E06B4">
              <w:rPr>
                <w:bCs/>
              </w:rPr>
              <w:t>nodrošinātu nepieciešamo veselības aprūpi pacientiem, ņemot vērā koronavīrusa klīnisko ainu un izraisītās smagās pneimonijas, atbalstīt papildus finanšu līdzekļu piešķiršanu Veselības ministrijai un Finanšu ministrijai sadarbībā ar Veselības ministriju rast finansējuma avotu</w:t>
            </w:r>
            <w:r w:rsidR="00C56F75">
              <w:rPr>
                <w:bCs/>
              </w:rPr>
              <w:t xml:space="preserve"> un</w:t>
            </w:r>
            <w:r w:rsidR="007E06B4" w:rsidRPr="007E06B4">
              <w:rPr>
                <w:bCs/>
              </w:rPr>
              <w:t xml:space="preserve"> </w:t>
            </w:r>
            <w:r w:rsidRPr="007E06B4">
              <w:t xml:space="preserve">2.punkts nosaka, ka </w:t>
            </w:r>
            <w:r w:rsidRPr="007E06B4">
              <w:rPr>
                <w:bCs/>
              </w:rPr>
              <w:t>jāatbalsta papildus finanšu līdzekļu piešķiršanu Veselības ministrijai Valsts materiālo rezervju atjaunošanai, pamatojoties uz Neatliekamās medicīniskās palīdzības dienesta sniegto izvērtējamu. Finanšu ministrijai sadarbībā ar Veselības ministriju rast finansējuma avotu valsts materiālo rezervju atjaunošanai.</w:t>
            </w:r>
          </w:p>
          <w:p w14:paraId="03C4D5A0" w14:textId="7A7C0EED" w:rsidR="00842113" w:rsidRPr="00842113" w:rsidRDefault="00116F95"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8E61BF">
              <w:rPr>
                <w:rFonts w:ascii="Times New Roman" w:hAnsi="Times New Roman" w:cs="Times New Roman"/>
                <w:sz w:val="24"/>
                <w:szCs w:val="24"/>
              </w:rPr>
              <w:t>Ministru kabineta rīkojumu Nr.103 “Par ārkārtējās situācijas izsludināšanu” (prot.Nr.11 1.§)</w:t>
            </w:r>
            <w:r w:rsidRPr="008E61BF">
              <w:rPr>
                <w:sz w:val="24"/>
                <w:szCs w:val="24"/>
              </w:rPr>
              <w:t xml:space="preserve">  </w:t>
            </w:r>
            <w:r w:rsidR="00015508" w:rsidRPr="008E61BF">
              <w:rPr>
                <w:rFonts w:ascii="Times New Roman" w:hAnsi="Times New Roman" w:cs="Times New Roman"/>
                <w:sz w:val="24"/>
                <w:szCs w:val="24"/>
              </w:rPr>
              <w:t xml:space="preserve">4.14.punkts nosaka, ka </w:t>
            </w:r>
            <w:r w:rsidR="00015508" w:rsidRPr="008E61BF">
              <w:rPr>
                <w:rFonts w:ascii="Times New Roman" w:eastAsia="Times New Roman" w:hAnsi="Times New Roman" w:cs="Times New Roman"/>
                <w:sz w:val="24"/>
                <w:szCs w:val="24"/>
                <w:shd w:val="clear" w:color="auto" w:fill="FFFFFF"/>
                <w:lang w:eastAsia="lv-LV"/>
              </w:rPr>
              <w:t>atļaut valsts kapitālsabiedrībām, Neatliekamās medicīniskās palīdzības dienestam, Nodrošinājuma valsts aģentūrai, Valsts policijai, Valsts ugunsdzēsības un glābšanas dienestam, Valsts robežsardzei, Iekšlietu ministrijas Informācijas centram, Valsts ieņēmumu dienestam, Ārlietu ministrijai un Aizsardzības ministrijas resoram nepiemērot </w:t>
            </w:r>
            <w:hyperlink r:id="rId8" w:tgtFrame="_blank" w:history="1">
              <w:r w:rsidR="00015508" w:rsidRPr="00FF4712">
                <w:rPr>
                  <w:rFonts w:ascii="Times New Roman" w:eastAsia="Times New Roman" w:hAnsi="Times New Roman" w:cs="Times New Roman"/>
                  <w:sz w:val="24"/>
                  <w:szCs w:val="24"/>
                  <w:shd w:val="clear" w:color="auto" w:fill="FFFFFF"/>
                  <w:lang w:eastAsia="lv-LV"/>
                </w:rPr>
                <w:t>Publisko iepirkumu likumu</w:t>
              </w:r>
            </w:hyperlink>
            <w:r w:rsidR="00015508" w:rsidRPr="00FF4712">
              <w:rPr>
                <w:rFonts w:ascii="Times New Roman" w:eastAsia="Times New Roman" w:hAnsi="Times New Roman" w:cs="Times New Roman"/>
                <w:sz w:val="24"/>
                <w:szCs w:val="24"/>
                <w:shd w:val="clear" w:color="auto" w:fill="FFFFFF"/>
                <w:lang w:eastAsia="lv-LV"/>
              </w:rPr>
              <w:t> </w:t>
            </w:r>
            <w:r w:rsidR="00015508" w:rsidRPr="008E61BF">
              <w:rPr>
                <w:rFonts w:ascii="Times New Roman" w:eastAsia="Times New Roman" w:hAnsi="Times New Roman" w:cs="Times New Roman"/>
                <w:sz w:val="24"/>
                <w:szCs w:val="24"/>
                <w:shd w:val="clear" w:color="auto" w:fill="FFFFFF"/>
                <w:lang w:eastAsia="lv-LV"/>
              </w:rPr>
              <w:t xml:space="preserve">iegādēm (precēm un pakalpojumiem), kas nepieciešamas Covid-19 uzliesmojuma izplatības ierobežošanai, ārstniecībai un šo pasākumu organizēšanai. Ministrijām veikt uzskaiti par minēto iegāžu apmaksai nepieciešamajiem papildu finanšu līdzekļiem un pieprasīt tos no valsts budžeta programmas </w:t>
            </w:r>
            <w:r w:rsidR="0091192F">
              <w:rPr>
                <w:rFonts w:ascii="Times New Roman" w:eastAsia="Times New Roman" w:hAnsi="Times New Roman" w:cs="Times New Roman"/>
                <w:sz w:val="24"/>
                <w:szCs w:val="24"/>
                <w:shd w:val="clear" w:color="auto" w:fill="FFFFFF"/>
                <w:lang w:eastAsia="lv-LV"/>
              </w:rPr>
              <w:t>“</w:t>
            </w:r>
            <w:r w:rsidR="00015508" w:rsidRPr="008E61BF">
              <w:rPr>
                <w:rFonts w:ascii="Times New Roman" w:eastAsia="Times New Roman" w:hAnsi="Times New Roman" w:cs="Times New Roman"/>
                <w:sz w:val="24"/>
                <w:szCs w:val="24"/>
                <w:shd w:val="clear" w:color="auto" w:fill="FFFFFF"/>
                <w:lang w:eastAsia="lv-LV"/>
              </w:rPr>
              <w:t>Līdzekļi neparedzētiem gadījumiem</w:t>
            </w:r>
            <w:r w:rsidR="0091192F">
              <w:rPr>
                <w:rFonts w:ascii="Times New Roman" w:eastAsia="Times New Roman" w:hAnsi="Times New Roman" w:cs="Times New Roman"/>
                <w:sz w:val="24"/>
                <w:szCs w:val="24"/>
                <w:shd w:val="clear" w:color="auto" w:fill="FFFFFF"/>
                <w:lang w:eastAsia="lv-LV"/>
              </w:rPr>
              <w:t>”.</w:t>
            </w:r>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6BAF98E9" w14:textId="4AF93FCA" w:rsidR="00B31BDD" w:rsidRDefault="00DC09E9" w:rsidP="0080508B">
            <w:pPr>
              <w:ind w:firstLine="311"/>
              <w:jc w:val="both"/>
            </w:pPr>
            <w:r>
              <w:rPr>
                <w:kern w:val="2"/>
                <w:lang w:eastAsia="ar-SA"/>
              </w:rPr>
              <w:t>Pamatojoties uz 2020.gada 30.janvāra Pasaules Veselības organizācijas ģenerāldirektora paziņojumu, ka koronavīruss “Covid-19” uzliesmojums ir uzskatāms par starptautiskas nozīmes ārkārtas sabiedrības veselības apdraudējumu</w:t>
            </w:r>
            <w:r>
              <w:t xml:space="preserve"> </w:t>
            </w:r>
            <w:r w:rsidR="003142B7" w:rsidRPr="003142B7">
              <w:t xml:space="preserve">un Eiropas Slimību profilakses centra ieteikumiem par koronavīrusa </w:t>
            </w:r>
            <w:r w:rsidR="00230841">
              <w:t>“Covid-19”</w:t>
            </w:r>
            <w:r w:rsidR="00230841">
              <w:rPr>
                <w:i/>
              </w:rPr>
              <w:t xml:space="preserve"> </w:t>
            </w:r>
            <w:r w:rsidR="003142B7" w:rsidRPr="003142B7">
              <w:rPr>
                <w:i/>
              </w:rPr>
              <w:t xml:space="preserve"> </w:t>
            </w:r>
            <w:r w:rsidR="003142B7" w:rsidRPr="003142B7">
              <w:t>izraisīto saslimšanas gadījumu uzraudzību</w:t>
            </w:r>
            <w:r w:rsidR="00851D8B">
              <w:t xml:space="preserve">, ņemot </w:t>
            </w:r>
            <w:r w:rsidR="003142B7" w:rsidRPr="003142B7">
              <w:t xml:space="preserve">vērā noteiktos pasākumus </w:t>
            </w:r>
            <w:r w:rsidR="00230841">
              <w:t>koronavīrusa “Covid-19”</w:t>
            </w:r>
            <w:r w:rsidR="003142B7" w:rsidRPr="003142B7">
              <w:rPr>
                <w:i/>
              </w:rPr>
              <w:t xml:space="preserve"> </w:t>
            </w:r>
            <w:r w:rsidR="003142B7" w:rsidRPr="003142B7">
              <w:t>izplatības ierobežošanai, kā arī pamatojoties uz šī gada 25. februār</w:t>
            </w:r>
            <w:r w:rsidR="00B31BDD">
              <w:t xml:space="preserve">a Krīzes vadības padomes sēdes protokollēmuma 4. punktu un </w:t>
            </w:r>
            <w:r w:rsidR="00B31BDD" w:rsidRPr="008E61BF">
              <w:t>Ministru kabineta rīkojum</w:t>
            </w:r>
            <w:r w:rsidR="00B31BDD">
              <w:t>a</w:t>
            </w:r>
            <w:r w:rsidR="00B31BDD" w:rsidRPr="008E61BF">
              <w:t xml:space="preserve"> Nr.103 “Par ārkārtējās situācijas izsludināšanu”  4.14.punkt</w:t>
            </w:r>
            <w:r w:rsidR="00B31BDD">
              <w:t>u</w:t>
            </w:r>
            <w:r w:rsidR="00B07343">
              <w:t xml:space="preserve"> </w:t>
            </w:r>
            <w:r w:rsidR="008D372B">
              <w:t xml:space="preserve">ir nepieciešams </w:t>
            </w:r>
            <w:r w:rsidR="008C563B">
              <w:t xml:space="preserve">iegādāties </w:t>
            </w:r>
            <w:r w:rsidR="008D372B">
              <w:t>individuālo</w:t>
            </w:r>
            <w:r w:rsidR="008C563B">
              <w:t>s</w:t>
            </w:r>
            <w:r w:rsidR="008D372B">
              <w:t xml:space="preserve"> aizsardzības līdzekļu</w:t>
            </w:r>
            <w:r w:rsidR="008C563B">
              <w:t>s</w:t>
            </w:r>
            <w:r w:rsidR="0080508B">
              <w:t>.</w:t>
            </w:r>
          </w:p>
          <w:p w14:paraId="5F936681" w14:textId="43DF673F" w:rsidR="003142B7" w:rsidRPr="003142B7" w:rsidRDefault="008C563B" w:rsidP="00564C6B">
            <w:pPr>
              <w:ind w:firstLine="311"/>
              <w:jc w:val="both"/>
            </w:pPr>
            <w:r>
              <w:t>1.</w:t>
            </w:r>
            <w:r w:rsidR="003142B7" w:rsidRPr="003142B7">
              <w:t>Neatliekamā medicīniskā palīdzības dienesta (turpmāk-NMP</w:t>
            </w:r>
            <w:r w:rsidR="004C1FE7">
              <w:t>D</w:t>
            </w:r>
            <w:r w:rsidR="003142B7" w:rsidRPr="003142B7">
              <w:t>) Ārkārtas vadības grupas sanāksmē izvērtēto situāciju par NM</w:t>
            </w:r>
            <w:r w:rsidR="007B7A0E">
              <w:t>PD</w:t>
            </w:r>
            <w:r w:rsidR="003142B7" w:rsidRPr="003142B7">
              <w:t xml:space="preserve"> brigāžu nodrošinājumu ar individuālajiem aizsardzības līdzekļiem (turpmāk-</w:t>
            </w:r>
            <w:r w:rsidR="003142B7" w:rsidRPr="003142B7">
              <w:lastRenderedPageBreak/>
              <w:t>IAL), tika uzsākta to iegāde arī no tirgotājiem, ar kuriem NMP</w:t>
            </w:r>
            <w:r w:rsidR="007B7A0E">
              <w:t>D</w:t>
            </w:r>
            <w:r w:rsidR="003142B7" w:rsidRPr="003142B7">
              <w:t xml:space="preserve"> nav sadarbības līgumu. Pieejamo IAL apjoms Latvijas tirgū izsīka praktiski dažu dienu laikā, savukārt tie komersanti, kuru rīcībā IAL krājumi vēl ir, tos tirgo par nesamērīgi augstām cenām, nepiekrīt preces rezervācijai un negaida priekšapmaksas rēķina apmaksu ilgāk kā vienu darba dienu. Tā kā nepieciešamajos daudzumos IAL nav vairs nevienam komersantam, ar kuru NMP</w:t>
            </w:r>
            <w:r w:rsidR="001A2778">
              <w:t>D</w:t>
            </w:r>
            <w:r w:rsidR="003142B7" w:rsidRPr="003142B7">
              <w:t xml:space="preserve"> ir sadarbība, tie </w:t>
            </w:r>
            <w:r w:rsidR="001A2778">
              <w:t>jāiepērk</w:t>
            </w:r>
            <w:r w:rsidR="003142B7" w:rsidRPr="003142B7">
              <w:t xml:space="preserve"> dažādos apjomos un no vairākiem uzņēmumiem – no jebkura komersanta, kurš tos vispār var piedāvāt. </w:t>
            </w:r>
            <w:r w:rsidR="00050143">
              <w:t>Līdz ar to, tika veikti nepieciešamā finansējuma aprēķini vienreizējiem individuālajiem aizsardzības līdzekļiem</w:t>
            </w:r>
            <w:r w:rsidR="00ED5F8C">
              <w:t xml:space="preserve"> </w:t>
            </w:r>
            <w:r w:rsidR="00F67B4B" w:rsidRPr="00F67B4B">
              <w:rPr>
                <w:b/>
                <w:bCs/>
              </w:rPr>
              <w:t xml:space="preserve">130  663 </w:t>
            </w:r>
            <w:r w:rsidR="00F67B4B" w:rsidRPr="00F67B4B">
              <w:rPr>
                <w:b/>
                <w:bCs/>
                <w:i/>
                <w:iCs/>
              </w:rPr>
              <w:t>euro</w:t>
            </w:r>
            <w:r w:rsidR="00F67B4B">
              <w:t xml:space="preserve"> apmērā.</w:t>
            </w:r>
          </w:p>
          <w:p w14:paraId="3012617D" w14:textId="6FB0E77D" w:rsidR="00CF262B" w:rsidRDefault="003142B7" w:rsidP="0014584E">
            <w:pPr>
              <w:ind w:firstLine="311"/>
              <w:jc w:val="both"/>
            </w:pPr>
            <w:r w:rsidRPr="003142B7">
              <w:t>Ņemot vērā, ka dezinfekcijas līdzekļi ir vienīgais veids, kā var ierobežot vīrusa izplatību no kontaminētām virsmām, rokām, medicīniskā aprīkojuma u.c. un tirgū to iegāde arī kļūst apgrūtināta, NMP</w:t>
            </w:r>
            <w:r w:rsidR="00AB35AD">
              <w:t>D ir</w:t>
            </w:r>
            <w:r w:rsidRPr="003142B7">
              <w:t xml:space="preserve"> </w:t>
            </w:r>
            <w:r w:rsidR="00AB35AD">
              <w:t>jāveic</w:t>
            </w:r>
            <w:r w:rsidRPr="003142B7">
              <w:t xml:space="preserve"> iegādi arī dezinfekcijas līdzekļiem</w:t>
            </w:r>
            <w:r w:rsidR="008168AC">
              <w:t xml:space="preserve">. Līdz ar to, tika veikti </w:t>
            </w:r>
            <w:r w:rsidR="00CB19C9">
              <w:t xml:space="preserve">nepieciešamā finansējuma aprēķini dezinfekcijas līdzekļiem </w:t>
            </w:r>
            <w:r w:rsidR="00CB19C9" w:rsidRPr="00CB19C9">
              <w:rPr>
                <w:b/>
                <w:bCs/>
              </w:rPr>
              <w:t xml:space="preserve">6 266 </w:t>
            </w:r>
            <w:r w:rsidR="00CB19C9" w:rsidRPr="00CB19C9">
              <w:rPr>
                <w:b/>
                <w:bCs/>
                <w:i/>
                <w:iCs/>
              </w:rPr>
              <w:t>euro</w:t>
            </w:r>
            <w:r w:rsidR="00CB19C9">
              <w:t xml:space="preserve"> apmērā.</w:t>
            </w:r>
            <w:r w:rsidR="00AB35AD">
              <w:t xml:space="preserve"> </w:t>
            </w:r>
          </w:p>
          <w:p w14:paraId="397E47E7" w14:textId="4F2E7A2E" w:rsidR="00E465CE" w:rsidRDefault="00D903DA" w:rsidP="00DC4012">
            <w:pPr>
              <w:pStyle w:val="NormalWeb"/>
              <w:shd w:val="clear" w:color="auto" w:fill="FFFFFF"/>
              <w:spacing w:before="0" w:beforeAutospacing="0" w:after="0" w:afterAutospacing="0"/>
              <w:jc w:val="both"/>
            </w:pPr>
            <w:r>
              <w:t xml:space="preserve">   </w:t>
            </w:r>
            <w:r w:rsidR="0014584E">
              <w:t xml:space="preserve">  </w:t>
            </w:r>
            <w:r w:rsidR="009115E9">
              <w:t>Lai</w:t>
            </w:r>
            <w:r w:rsidR="00E465CE">
              <w:t xml:space="preserve"> </w:t>
            </w:r>
            <w:r w:rsidR="00CF262B">
              <w:t>v</w:t>
            </w:r>
            <w:r w:rsidR="00B15FDD">
              <w:t>arētu</w:t>
            </w:r>
            <w:r w:rsidR="00E465CE">
              <w:t xml:space="preserve"> nodrošināt</w:t>
            </w:r>
            <w:r w:rsidR="00B15FDD">
              <w:t xml:space="preserve"> </w:t>
            </w:r>
            <w:r w:rsidR="00DC4012" w:rsidRPr="003142B7">
              <w:t>NM</w:t>
            </w:r>
            <w:r w:rsidR="00DC4012">
              <w:t>PD</w:t>
            </w:r>
            <w:r w:rsidR="00DC4012" w:rsidRPr="003142B7">
              <w:t xml:space="preserve"> brigā</w:t>
            </w:r>
            <w:r w:rsidR="00E465CE">
              <w:t>des</w:t>
            </w:r>
            <w:r w:rsidR="00DC4012" w:rsidRPr="003142B7">
              <w:t xml:space="preserve"> ar individuālajiem aizsardzības līdzekļiem </w:t>
            </w:r>
            <w:r w:rsidR="00E465CE">
              <w:t>un dezinfekcijas līdzekļiem, kas nepieciešami saistībā ar koronavīrusa “Covid-19” uzliesmojumu ir nepieciešams pieņemt rīkojuma projektu.</w:t>
            </w:r>
          </w:p>
          <w:p w14:paraId="4D18ABD9" w14:textId="45121B7D" w:rsidR="009B7770" w:rsidRDefault="009B7770" w:rsidP="00DC4012">
            <w:pPr>
              <w:pStyle w:val="NormalWeb"/>
              <w:shd w:val="clear" w:color="auto" w:fill="FFFFFF"/>
              <w:spacing w:before="0" w:beforeAutospacing="0" w:after="0" w:afterAutospacing="0"/>
              <w:jc w:val="both"/>
            </w:pPr>
            <w:r>
              <w:t xml:space="preserve">   </w:t>
            </w:r>
            <w:r w:rsidR="0014584E">
              <w:t xml:space="preserve"> </w:t>
            </w:r>
            <w:r>
              <w:t xml:space="preserve">Kopā, lai NMPD varētu veikt individuālo aizsardzības līdzekļu iegādi un dezinfekcijas </w:t>
            </w:r>
            <w:r w:rsidR="006043EA">
              <w:t xml:space="preserve">līdzekļu iegādi ir nepieciešams finansējums </w:t>
            </w:r>
            <w:r w:rsidR="006043EA" w:rsidRPr="006043EA">
              <w:rPr>
                <w:b/>
                <w:bCs/>
              </w:rPr>
              <w:t xml:space="preserve">136 929 </w:t>
            </w:r>
            <w:r w:rsidR="006043EA" w:rsidRPr="006043EA">
              <w:rPr>
                <w:b/>
                <w:bCs/>
                <w:i/>
                <w:iCs/>
              </w:rPr>
              <w:t>euro</w:t>
            </w:r>
            <w:r w:rsidR="006043EA">
              <w:t xml:space="preserve"> apmērā.</w:t>
            </w:r>
          </w:p>
          <w:p w14:paraId="11CC32CB" w14:textId="77777777" w:rsidR="009B7770" w:rsidRDefault="009B7770" w:rsidP="00DC4012">
            <w:pPr>
              <w:pStyle w:val="NormalWeb"/>
              <w:shd w:val="clear" w:color="auto" w:fill="FFFFFF"/>
              <w:spacing w:before="0" w:beforeAutospacing="0" w:after="0" w:afterAutospacing="0"/>
              <w:jc w:val="both"/>
            </w:pPr>
          </w:p>
          <w:p w14:paraId="44F06DC0" w14:textId="71728A24" w:rsidR="009B7770" w:rsidRPr="009F0F22" w:rsidRDefault="009B7770" w:rsidP="009B7770">
            <w:pPr>
              <w:jc w:val="both"/>
            </w:pPr>
            <w:r>
              <w:t xml:space="preserve">   </w:t>
            </w:r>
            <w:r w:rsidR="002834FB">
              <w:t>2.</w:t>
            </w:r>
            <w:r w:rsidRPr="009F0F22">
              <w:t xml:space="preserve">Pamatojoties uz pieejamo informāciju un apkopotiem statistikas datiem par </w:t>
            </w:r>
            <w:r w:rsidR="00FE71B1">
              <w:t>koronavīrusa “</w:t>
            </w:r>
            <w:r w:rsidRPr="009F0F22">
              <w:t>C</w:t>
            </w:r>
            <w:r w:rsidR="00FE71B1">
              <w:t>ovid</w:t>
            </w:r>
            <w:r w:rsidRPr="009F0F22">
              <w:t>-19</w:t>
            </w:r>
            <w:r w:rsidR="00FE71B1">
              <w:t>”</w:t>
            </w:r>
            <w:r w:rsidRPr="009F0F22">
              <w:t xml:space="preserve"> saslimšanas gadījumiem pasaules valstīs, NMP</w:t>
            </w:r>
            <w:r>
              <w:t>D</w:t>
            </w:r>
            <w:r w:rsidRPr="009F0F22">
              <w:t xml:space="preserve"> speciālisti sadarbībā ar Slimību profilakses un kontroles centra speciālistiem izstrādājuši  vairākus iespējamos situācijas scenārijus Latvijai.  Veicot iespējamo saslimšanas gadījumu aprēķinu par pamatu ņemti sekojoši pieņēmumi:</w:t>
            </w:r>
          </w:p>
          <w:p w14:paraId="56AF494C" w14:textId="77777777" w:rsidR="009B7770" w:rsidRPr="009F0F22" w:rsidRDefault="009B7770" w:rsidP="009B7770">
            <w:pPr>
              <w:jc w:val="both"/>
              <w:rPr>
                <w:u w:val="single"/>
              </w:rPr>
            </w:pPr>
            <w:r w:rsidRPr="009F0F22">
              <w:rPr>
                <w:u w:val="single"/>
              </w:rPr>
              <w:t>Saslimstības līmenis Ķīnā un Itālijā</w:t>
            </w:r>
          </w:p>
          <w:p w14:paraId="1D9BCDB1" w14:textId="77777777" w:rsidR="009B7770" w:rsidRPr="009F0F22" w:rsidRDefault="009B7770" w:rsidP="009B7770">
            <w:pPr>
              <w:pStyle w:val="NoSpacing"/>
              <w:jc w:val="both"/>
              <w:rPr>
                <w:rFonts w:ascii="Times New Roman" w:hAnsi="Times New Roman" w:cs="Times New Roman"/>
                <w:sz w:val="24"/>
                <w:szCs w:val="24"/>
              </w:rPr>
            </w:pPr>
            <w:r w:rsidRPr="009F0F22">
              <w:rPr>
                <w:rFonts w:ascii="Times New Roman" w:hAnsi="Times New Roman" w:cs="Times New Roman"/>
                <w:sz w:val="24"/>
                <w:szCs w:val="24"/>
              </w:rPr>
              <w:t>Ķīna – 0.05% no visas populācijas</w:t>
            </w:r>
          </w:p>
          <w:p w14:paraId="03BE2BC5" w14:textId="1BB59C44" w:rsidR="009B7770" w:rsidRPr="009F0F22" w:rsidRDefault="009B7770" w:rsidP="00750D89">
            <w:pPr>
              <w:pStyle w:val="NoSpacing"/>
              <w:jc w:val="both"/>
              <w:rPr>
                <w:rFonts w:ascii="Times New Roman" w:hAnsi="Times New Roman" w:cs="Times New Roman"/>
                <w:sz w:val="24"/>
                <w:szCs w:val="24"/>
              </w:rPr>
            </w:pPr>
            <w:r w:rsidRPr="009F0F22">
              <w:rPr>
                <w:rFonts w:ascii="Times New Roman" w:hAnsi="Times New Roman" w:cs="Times New Roman"/>
                <w:sz w:val="24"/>
                <w:szCs w:val="24"/>
              </w:rPr>
              <w:t>Itālija – 0.02% no visas populācijas</w:t>
            </w:r>
          </w:p>
          <w:p w14:paraId="31A1DE56" w14:textId="77777777" w:rsidR="009B7770" w:rsidRPr="009F0F22" w:rsidRDefault="009B7770" w:rsidP="009B7770">
            <w:pPr>
              <w:jc w:val="both"/>
              <w:rPr>
                <w:u w:val="single"/>
              </w:rPr>
            </w:pPr>
            <w:r w:rsidRPr="009F0F22">
              <w:rPr>
                <w:u w:val="single"/>
              </w:rPr>
              <w:t xml:space="preserve">Hospitalizācijas un slimības klīniskās norises līmenis/smagums </w:t>
            </w:r>
          </w:p>
          <w:p w14:paraId="29DB64CE" w14:textId="77777777" w:rsidR="009B7770" w:rsidRPr="009F0F22" w:rsidRDefault="009B7770" w:rsidP="009B7770">
            <w:pPr>
              <w:pStyle w:val="NoSpacing"/>
              <w:jc w:val="both"/>
              <w:rPr>
                <w:rFonts w:ascii="Times New Roman" w:hAnsi="Times New Roman" w:cs="Times New Roman"/>
                <w:sz w:val="24"/>
                <w:szCs w:val="24"/>
              </w:rPr>
            </w:pPr>
            <w:r w:rsidRPr="009F0F22">
              <w:rPr>
                <w:rFonts w:ascii="Times New Roman" w:hAnsi="Times New Roman" w:cs="Times New Roman"/>
                <w:sz w:val="24"/>
                <w:szCs w:val="24"/>
              </w:rPr>
              <w:t xml:space="preserve">Ķīna – 15% no saslimušajiem (5% - ļoti smaga klīniskā norise) </w:t>
            </w:r>
          </w:p>
          <w:p w14:paraId="12FA1B22" w14:textId="70835D34" w:rsidR="00750D89" w:rsidRDefault="009B7770" w:rsidP="009B7770">
            <w:pPr>
              <w:pStyle w:val="NoSpacing"/>
              <w:jc w:val="both"/>
              <w:rPr>
                <w:rFonts w:ascii="Times New Roman" w:hAnsi="Times New Roman" w:cs="Times New Roman"/>
                <w:sz w:val="24"/>
                <w:szCs w:val="24"/>
              </w:rPr>
            </w:pPr>
            <w:r w:rsidRPr="009F0F22">
              <w:rPr>
                <w:rFonts w:ascii="Times New Roman" w:hAnsi="Times New Roman" w:cs="Times New Roman"/>
                <w:sz w:val="24"/>
                <w:szCs w:val="24"/>
              </w:rPr>
              <w:t>Itālija – 70% no saslimušajiem (25% – ļoti smaga klīniskā norise; 75% – vidēj</w:t>
            </w:r>
            <w:r w:rsidR="00824A17">
              <w:rPr>
                <w:rFonts w:ascii="Times New Roman" w:hAnsi="Times New Roman" w:cs="Times New Roman"/>
                <w:sz w:val="24"/>
                <w:szCs w:val="24"/>
              </w:rPr>
              <w:t>i</w:t>
            </w:r>
            <w:r w:rsidRPr="009F0F22">
              <w:rPr>
                <w:rFonts w:ascii="Times New Roman" w:hAnsi="Times New Roman" w:cs="Times New Roman"/>
                <w:sz w:val="24"/>
                <w:szCs w:val="24"/>
              </w:rPr>
              <w:t xml:space="preserve"> smaga klīniskā norise)</w:t>
            </w:r>
            <w:r w:rsidR="00824A17">
              <w:rPr>
                <w:rFonts w:ascii="Times New Roman" w:hAnsi="Times New Roman" w:cs="Times New Roman"/>
                <w:sz w:val="24"/>
                <w:szCs w:val="24"/>
              </w:rPr>
              <w:t>.</w:t>
            </w:r>
          </w:p>
          <w:p w14:paraId="2261C454" w14:textId="649C39C5" w:rsidR="00750D89" w:rsidRDefault="00750D89" w:rsidP="009B7770">
            <w:pPr>
              <w:pStyle w:val="NoSpacing"/>
              <w:jc w:val="both"/>
              <w:rPr>
                <w:rFonts w:ascii="Times New Roman" w:hAnsi="Times New Roman" w:cs="Times New Roman"/>
                <w:sz w:val="24"/>
                <w:szCs w:val="24"/>
              </w:rPr>
            </w:pPr>
            <w:r>
              <w:rPr>
                <w:rFonts w:ascii="Times New Roman" w:hAnsi="Times New Roman" w:cs="Times New Roman"/>
                <w:sz w:val="24"/>
                <w:szCs w:val="24"/>
              </w:rPr>
              <w:t>Savukārt saslimstības līmenis Latvijā tiek prognozēts 0,</w:t>
            </w:r>
            <w:r w:rsidR="00AA55ED">
              <w:rPr>
                <w:rFonts w:ascii="Times New Roman" w:hAnsi="Times New Roman" w:cs="Times New Roman"/>
                <w:sz w:val="24"/>
                <w:szCs w:val="24"/>
              </w:rPr>
              <w:t>2</w:t>
            </w:r>
            <w:r>
              <w:rPr>
                <w:rFonts w:ascii="Times New Roman" w:hAnsi="Times New Roman" w:cs="Times New Roman"/>
                <w:sz w:val="24"/>
                <w:szCs w:val="24"/>
              </w:rPr>
              <w:t>5% no visas populācijas, skat., tabulu Nr.1.</w:t>
            </w:r>
          </w:p>
          <w:p w14:paraId="4C1851B6" w14:textId="679F630F" w:rsidR="00750D89" w:rsidRPr="00E31F13" w:rsidRDefault="00750D89" w:rsidP="00750D89">
            <w:pPr>
              <w:pStyle w:val="NoSpacing"/>
              <w:jc w:val="right"/>
              <w:rPr>
                <w:rFonts w:ascii="Times New Roman" w:hAnsi="Times New Roman" w:cs="Times New Roman"/>
                <w:i/>
                <w:iCs/>
              </w:rPr>
            </w:pPr>
            <w:r w:rsidRPr="00E31F13">
              <w:rPr>
                <w:rFonts w:ascii="Times New Roman" w:hAnsi="Times New Roman" w:cs="Times New Roman"/>
                <w:i/>
                <w:iCs/>
              </w:rPr>
              <w:t>Tabula Nr.1</w:t>
            </w:r>
          </w:p>
          <w:tbl>
            <w:tblPr>
              <w:tblStyle w:val="TableGrid"/>
              <w:tblW w:w="7109" w:type="dxa"/>
              <w:tblLayout w:type="fixed"/>
              <w:tblLook w:val="04A0" w:firstRow="1" w:lastRow="0" w:firstColumn="1" w:lastColumn="0" w:noHBand="0" w:noVBand="1"/>
            </w:tblPr>
            <w:tblGrid>
              <w:gridCol w:w="1297"/>
              <w:gridCol w:w="1275"/>
              <w:gridCol w:w="1560"/>
              <w:gridCol w:w="1276"/>
              <w:gridCol w:w="1701"/>
            </w:tblGrid>
            <w:tr w:rsidR="00CC4FDB" w:rsidRPr="009F0F22" w14:paraId="1FE3052A" w14:textId="77777777" w:rsidTr="00E31F13">
              <w:tc>
                <w:tcPr>
                  <w:tcW w:w="1297" w:type="dxa"/>
                  <w:shd w:val="clear" w:color="auto" w:fill="FBE4D5" w:themeFill="accent2" w:themeFillTint="33"/>
                </w:tcPr>
                <w:p w14:paraId="5126D891" w14:textId="1AA31BF6" w:rsidR="00CC4FDB" w:rsidRPr="00E31F13" w:rsidRDefault="00CC4FDB" w:rsidP="00CC4FDB">
                  <w:pPr>
                    <w:jc w:val="center"/>
                    <w:rPr>
                      <w:color w:val="000000" w:themeColor="text1"/>
                      <w:sz w:val="16"/>
                      <w:szCs w:val="16"/>
                    </w:rPr>
                  </w:pPr>
                  <w:r w:rsidRPr="00E31F13">
                    <w:rPr>
                      <w:color w:val="000000" w:themeColor="text1"/>
                      <w:sz w:val="16"/>
                      <w:szCs w:val="16"/>
                    </w:rPr>
                    <w:t>Saslimstības līmenis %</w:t>
                  </w:r>
                </w:p>
              </w:tc>
              <w:tc>
                <w:tcPr>
                  <w:tcW w:w="1275" w:type="dxa"/>
                  <w:shd w:val="clear" w:color="auto" w:fill="FBE4D5" w:themeFill="accent2" w:themeFillTint="33"/>
                </w:tcPr>
                <w:p w14:paraId="5A4F22FE" w14:textId="77777777" w:rsidR="00CC4FDB" w:rsidRPr="00E31F13" w:rsidRDefault="00CC4FDB" w:rsidP="00CC4FDB">
                  <w:pPr>
                    <w:jc w:val="center"/>
                    <w:rPr>
                      <w:color w:val="000000" w:themeColor="text1"/>
                      <w:sz w:val="16"/>
                      <w:szCs w:val="16"/>
                    </w:rPr>
                  </w:pPr>
                  <w:r w:rsidRPr="00E31F13">
                    <w:rPr>
                      <w:color w:val="000000" w:themeColor="text1"/>
                      <w:sz w:val="16"/>
                      <w:szCs w:val="16"/>
                    </w:rPr>
                    <w:t>Kopējais saslimušo skaits</w:t>
                  </w:r>
                </w:p>
              </w:tc>
              <w:tc>
                <w:tcPr>
                  <w:tcW w:w="1560" w:type="dxa"/>
                  <w:shd w:val="clear" w:color="auto" w:fill="FBE4D5" w:themeFill="accent2" w:themeFillTint="33"/>
                </w:tcPr>
                <w:p w14:paraId="28FE4ED4" w14:textId="77777777" w:rsidR="00CC4FDB" w:rsidRPr="00E31F13" w:rsidRDefault="00CC4FDB" w:rsidP="00CC4FDB">
                  <w:pPr>
                    <w:jc w:val="center"/>
                    <w:rPr>
                      <w:color w:val="F7CAAC" w:themeColor="accent2" w:themeTint="66"/>
                      <w:sz w:val="16"/>
                      <w:szCs w:val="16"/>
                    </w:rPr>
                  </w:pPr>
                  <w:r w:rsidRPr="00E31F13">
                    <w:rPr>
                      <w:color w:val="000000" w:themeColor="text1"/>
                      <w:sz w:val="16"/>
                      <w:szCs w:val="16"/>
                    </w:rPr>
                    <w:t>Hospitalizētie pacienti</w:t>
                  </w:r>
                </w:p>
              </w:tc>
              <w:tc>
                <w:tcPr>
                  <w:tcW w:w="1276" w:type="dxa"/>
                  <w:shd w:val="clear" w:color="auto" w:fill="FBE4D5" w:themeFill="accent2" w:themeFillTint="33"/>
                </w:tcPr>
                <w:p w14:paraId="3F22EBB7" w14:textId="77777777" w:rsidR="00CC4FDB" w:rsidRPr="00E31F13" w:rsidRDefault="00CC4FDB" w:rsidP="00CC4FDB">
                  <w:pPr>
                    <w:jc w:val="center"/>
                    <w:rPr>
                      <w:sz w:val="16"/>
                      <w:szCs w:val="16"/>
                    </w:rPr>
                  </w:pPr>
                  <w:r w:rsidRPr="00E31F13">
                    <w:rPr>
                      <w:sz w:val="16"/>
                      <w:szCs w:val="16"/>
                    </w:rPr>
                    <w:t>No hospitalizētajiem pacientiem (ar vieglu vai vidēji smagu norisi)</w:t>
                  </w:r>
                </w:p>
              </w:tc>
              <w:tc>
                <w:tcPr>
                  <w:tcW w:w="1701" w:type="dxa"/>
                  <w:shd w:val="clear" w:color="auto" w:fill="FBE4D5" w:themeFill="accent2" w:themeFillTint="33"/>
                </w:tcPr>
                <w:p w14:paraId="39B99702" w14:textId="77777777" w:rsidR="00CC4FDB" w:rsidRPr="00E31F13" w:rsidRDefault="00CC4FDB" w:rsidP="00CC4FDB">
                  <w:pPr>
                    <w:jc w:val="center"/>
                    <w:rPr>
                      <w:sz w:val="16"/>
                      <w:szCs w:val="16"/>
                    </w:rPr>
                  </w:pPr>
                  <w:r w:rsidRPr="00E31F13">
                    <w:rPr>
                      <w:sz w:val="16"/>
                      <w:szCs w:val="16"/>
                    </w:rPr>
                    <w:t>No hospitalizētajiem pacientiem (ar smagu slimības norisi)</w:t>
                  </w:r>
                </w:p>
              </w:tc>
            </w:tr>
            <w:tr w:rsidR="00CC4FDB" w:rsidRPr="009F0F22" w14:paraId="2A7D06D2" w14:textId="77777777" w:rsidTr="00E31F13">
              <w:tc>
                <w:tcPr>
                  <w:tcW w:w="1297" w:type="dxa"/>
                </w:tcPr>
                <w:p w14:paraId="6349E323" w14:textId="77777777" w:rsidR="00CC4FDB" w:rsidRPr="00CC4FDB" w:rsidRDefault="00CC4FDB" w:rsidP="00CC4FDB">
                  <w:pPr>
                    <w:jc w:val="center"/>
                    <w:rPr>
                      <w:sz w:val="16"/>
                      <w:szCs w:val="16"/>
                    </w:rPr>
                  </w:pPr>
                  <w:r w:rsidRPr="00CC4FDB">
                    <w:rPr>
                      <w:sz w:val="16"/>
                      <w:szCs w:val="16"/>
                    </w:rPr>
                    <w:t>1%</w:t>
                  </w:r>
                </w:p>
              </w:tc>
              <w:tc>
                <w:tcPr>
                  <w:tcW w:w="1275" w:type="dxa"/>
                </w:tcPr>
                <w:p w14:paraId="249BAF7A" w14:textId="77777777" w:rsidR="00CC4FDB" w:rsidRPr="00CC4FDB" w:rsidRDefault="00CC4FDB" w:rsidP="00CC4FDB">
                  <w:pPr>
                    <w:jc w:val="center"/>
                    <w:rPr>
                      <w:sz w:val="16"/>
                      <w:szCs w:val="16"/>
                    </w:rPr>
                  </w:pPr>
                  <w:r w:rsidRPr="00CC4FDB">
                    <w:rPr>
                      <w:sz w:val="16"/>
                      <w:szCs w:val="16"/>
                    </w:rPr>
                    <w:t>18924</w:t>
                  </w:r>
                </w:p>
              </w:tc>
              <w:tc>
                <w:tcPr>
                  <w:tcW w:w="1560" w:type="dxa"/>
                </w:tcPr>
                <w:p w14:paraId="03A7952B" w14:textId="77777777" w:rsidR="00CC4FDB" w:rsidRPr="00CC4FDB" w:rsidRDefault="00CC4FDB" w:rsidP="00CC4FDB">
                  <w:pPr>
                    <w:jc w:val="center"/>
                    <w:rPr>
                      <w:sz w:val="16"/>
                      <w:szCs w:val="16"/>
                    </w:rPr>
                  </w:pPr>
                  <w:r w:rsidRPr="00CC4FDB">
                    <w:rPr>
                      <w:sz w:val="16"/>
                      <w:szCs w:val="16"/>
                    </w:rPr>
                    <w:t>13247</w:t>
                  </w:r>
                </w:p>
              </w:tc>
              <w:tc>
                <w:tcPr>
                  <w:tcW w:w="1276" w:type="dxa"/>
                </w:tcPr>
                <w:p w14:paraId="4F124ECA" w14:textId="77777777" w:rsidR="00CC4FDB" w:rsidRPr="00CC4FDB" w:rsidRDefault="00CC4FDB" w:rsidP="00CC4FDB">
                  <w:pPr>
                    <w:jc w:val="center"/>
                    <w:rPr>
                      <w:sz w:val="16"/>
                      <w:szCs w:val="16"/>
                    </w:rPr>
                  </w:pPr>
                  <w:r w:rsidRPr="00CC4FDB">
                    <w:rPr>
                      <w:sz w:val="16"/>
                      <w:szCs w:val="16"/>
                    </w:rPr>
                    <w:t>9935</w:t>
                  </w:r>
                </w:p>
              </w:tc>
              <w:tc>
                <w:tcPr>
                  <w:tcW w:w="1701" w:type="dxa"/>
                </w:tcPr>
                <w:p w14:paraId="0C656FC1" w14:textId="77777777" w:rsidR="00CC4FDB" w:rsidRPr="00CC4FDB" w:rsidRDefault="00CC4FDB" w:rsidP="00CC4FDB">
                  <w:pPr>
                    <w:jc w:val="center"/>
                    <w:rPr>
                      <w:sz w:val="16"/>
                      <w:szCs w:val="16"/>
                    </w:rPr>
                  </w:pPr>
                  <w:r w:rsidRPr="00CC4FDB">
                    <w:rPr>
                      <w:sz w:val="16"/>
                      <w:szCs w:val="16"/>
                    </w:rPr>
                    <w:t>3312</w:t>
                  </w:r>
                </w:p>
              </w:tc>
            </w:tr>
            <w:tr w:rsidR="00CC4FDB" w:rsidRPr="000B5A24" w14:paraId="037712B3" w14:textId="77777777" w:rsidTr="00AA55ED">
              <w:tc>
                <w:tcPr>
                  <w:tcW w:w="1297" w:type="dxa"/>
                  <w:shd w:val="clear" w:color="auto" w:fill="auto"/>
                </w:tcPr>
                <w:p w14:paraId="197B799D" w14:textId="77777777" w:rsidR="00CC4FDB" w:rsidRPr="00AA55ED" w:rsidRDefault="00CC4FDB" w:rsidP="00CC4FDB">
                  <w:pPr>
                    <w:jc w:val="center"/>
                    <w:rPr>
                      <w:sz w:val="16"/>
                      <w:szCs w:val="16"/>
                    </w:rPr>
                  </w:pPr>
                  <w:r w:rsidRPr="00AA55ED">
                    <w:rPr>
                      <w:sz w:val="16"/>
                      <w:szCs w:val="16"/>
                    </w:rPr>
                    <w:t>0.5%</w:t>
                  </w:r>
                </w:p>
              </w:tc>
              <w:tc>
                <w:tcPr>
                  <w:tcW w:w="1275" w:type="dxa"/>
                  <w:shd w:val="clear" w:color="auto" w:fill="auto"/>
                </w:tcPr>
                <w:p w14:paraId="30F52EEA" w14:textId="77777777" w:rsidR="00CC4FDB" w:rsidRPr="00AA55ED" w:rsidRDefault="00CC4FDB" w:rsidP="00CC4FDB">
                  <w:pPr>
                    <w:jc w:val="center"/>
                    <w:rPr>
                      <w:sz w:val="16"/>
                      <w:szCs w:val="16"/>
                    </w:rPr>
                  </w:pPr>
                  <w:r w:rsidRPr="00AA55ED">
                    <w:rPr>
                      <w:sz w:val="16"/>
                      <w:szCs w:val="16"/>
                    </w:rPr>
                    <w:t>9462</w:t>
                  </w:r>
                </w:p>
              </w:tc>
              <w:tc>
                <w:tcPr>
                  <w:tcW w:w="1560" w:type="dxa"/>
                  <w:shd w:val="clear" w:color="auto" w:fill="auto"/>
                </w:tcPr>
                <w:p w14:paraId="4915874C" w14:textId="77777777" w:rsidR="00CC4FDB" w:rsidRPr="00AA55ED" w:rsidRDefault="00CC4FDB" w:rsidP="00CC4FDB">
                  <w:pPr>
                    <w:jc w:val="center"/>
                    <w:rPr>
                      <w:sz w:val="16"/>
                      <w:szCs w:val="16"/>
                    </w:rPr>
                  </w:pPr>
                  <w:r w:rsidRPr="00AA55ED">
                    <w:rPr>
                      <w:sz w:val="16"/>
                      <w:szCs w:val="16"/>
                    </w:rPr>
                    <w:t>6623</w:t>
                  </w:r>
                </w:p>
              </w:tc>
              <w:tc>
                <w:tcPr>
                  <w:tcW w:w="1276" w:type="dxa"/>
                  <w:shd w:val="clear" w:color="auto" w:fill="auto"/>
                </w:tcPr>
                <w:p w14:paraId="59F4429A" w14:textId="77777777" w:rsidR="00CC4FDB" w:rsidRPr="00AA55ED" w:rsidRDefault="00CC4FDB" w:rsidP="00CC4FDB">
                  <w:pPr>
                    <w:jc w:val="center"/>
                    <w:rPr>
                      <w:sz w:val="16"/>
                      <w:szCs w:val="16"/>
                    </w:rPr>
                  </w:pPr>
                  <w:r w:rsidRPr="00AA55ED">
                    <w:rPr>
                      <w:sz w:val="16"/>
                      <w:szCs w:val="16"/>
                    </w:rPr>
                    <w:t>4967</w:t>
                  </w:r>
                </w:p>
              </w:tc>
              <w:tc>
                <w:tcPr>
                  <w:tcW w:w="1701" w:type="dxa"/>
                  <w:shd w:val="clear" w:color="auto" w:fill="auto"/>
                </w:tcPr>
                <w:p w14:paraId="0AABFF8A" w14:textId="77777777" w:rsidR="00CC4FDB" w:rsidRPr="00AA55ED" w:rsidRDefault="00CC4FDB" w:rsidP="00CC4FDB">
                  <w:pPr>
                    <w:jc w:val="center"/>
                    <w:rPr>
                      <w:sz w:val="16"/>
                      <w:szCs w:val="16"/>
                    </w:rPr>
                  </w:pPr>
                  <w:r w:rsidRPr="00AA55ED">
                    <w:rPr>
                      <w:sz w:val="16"/>
                      <w:szCs w:val="16"/>
                    </w:rPr>
                    <w:t>1656</w:t>
                  </w:r>
                </w:p>
              </w:tc>
            </w:tr>
            <w:tr w:rsidR="00AA55ED" w:rsidRPr="00CF7BD8" w14:paraId="04C84B10" w14:textId="77777777" w:rsidTr="00E31F13">
              <w:tc>
                <w:tcPr>
                  <w:tcW w:w="1297" w:type="dxa"/>
                </w:tcPr>
                <w:p w14:paraId="06EF1A31" w14:textId="7FC30434" w:rsidR="00AA55ED" w:rsidRPr="00AA55ED" w:rsidRDefault="00AA55ED" w:rsidP="00CC4FDB">
                  <w:pPr>
                    <w:jc w:val="center"/>
                    <w:rPr>
                      <w:b/>
                      <w:bCs/>
                      <w:sz w:val="16"/>
                      <w:szCs w:val="16"/>
                    </w:rPr>
                  </w:pPr>
                  <w:r w:rsidRPr="00AA55ED">
                    <w:rPr>
                      <w:b/>
                      <w:bCs/>
                      <w:sz w:val="16"/>
                      <w:szCs w:val="16"/>
                    </w:rPr>
                    <w:t xml:space="preserve">0,25% </w:t>
                  </w:r>
                </w:p>
              </w:tc>
              <w:tc>
                <w:tcPr>
                  <w:tcW w:w="1275" w:type="dxa"/>
                </w:tcPr>
                <w:p w14:paraId="1DCC79E8" w14:textId="5FB07CAB" w:rsidR="00AA55ED" w:rsidRPr="00AA55ED" w:rsidRDefault="00AA55ED" w:rsidP="00CC4FDB">
                  <w:pPr>
                    <w:jc w:val="center"/>
                    <w:rPr>
                      <w:b/>
                      <w:bCs/>
                      <w:sz w:val="16"/>
                      <w:szCs w:val="16"/>
                    </w:rPr>
                  </w:pPr>
                  <w:r w:rsidRPr="00AA55ED">
                    <w:rPr>
                      <w:b/>
                      <w:bCs/>
                      <w:sz w:val="16"/>
                      <w:szCs w:val="16"/>
                    </w:rPr>
                    <w:t>47 31</w:t>
                  </w:r>
                </w:p>
              </w:tc>
              <w:tc>
                <w:tcPr>
                  <w:tcW w:w="1560" w:type="dxa"/>
                </w:tcPr>
                <w:p w14:paraId="486D8449" w14:textId="10A07052" w:rsidR="00AA55ED" w:rsidRPr="00AA55ED" w:rsidRDefault="00AA55ED" w:rsidP="00CC4FDB">
                  <w:pPr>
                    <w:jc w:val="center"/>
                    <w:rPr>
                      <w:b/>
                      <w:bCs/>
                      <w:sz w:val="16"/>
                      <w:szCs w:val="16"/>
                    </w:rPr>
                  </w:pPr>
                  <w:r w:rsidRPr="00AA55ED">
                    <w:rPr>
                      <w:b/>
                      <w:bCs/>
                      <w:sz w:val="16"/>
                      <w:szCs w:val="16"/>
                    </w:rPr>
                    <w:t>3314</w:t>
                  </w:r>
                </w:p>
              </w:tc>
              <w:tc>
                <w:tcPr>
                  <w:tcW w:w="1276" w:type="dxa"/>
                </w:tcPr>
                <w:p w14:paraId="2C78B78B" w14:textId="4719DAA9" w:rsidR="00AA55ED" w:rsidRPr="00AA55ED" w:rsidRDefault="00AA55ED" w:rsidP="00CC4FDB">
                  <w:pPr>
                    <w:jc w:val="center"/>
                    <w:rPr>
                      <w:b/>
                      <w:bCs/>
                      <w:sz w:val="16"/>
                      <w:szCs w:val="16"/>
                    </w:rPr>
                  </w:pPr>
                  <w:r w:rsidRPr="00AA55ED">
                    <w:rPr>
                      <w:b/>
                      <w:bCs/>
                      <w:sz w:val="16"/>
                      <w:szCs w:val="16"/>
                    </w:rPr>
                    <w:t xml:space="preserve">2484 </w:t>
                  </w:r>
                </w:p>
              </w:tc>
              <w:tc>
                <w:tcPr>
                  <w:tcW w:w="1701" w:type="dxa"/>
                </w:tcPr>
                <w:p w14:paraId="2E260CDD" w14:textId="5CBFE3AE" w:rsidR="00AA55ED" w:rsidRPr="00AA55ED" w:rsidRDefault="00AA55ED" w:rsidP="00CC4FDB">
                  <w:pPr>
                    <w:jc w:val="center"/>
                    <w:rPr>
                      <w:b/>
                      <w:bCs/>
                      <w:sz w:val="16"/>
                      <w:szCs w:val="16"/>
                    </w:rPr>
                  </w:pPr>
                  <w:r w:rsidRPr="00AA55ED">
                    <w:rPr>
                      <w:b/>
                      <w:bCs/>
                      <w:sz w:val="16"/>
                      <w:szCs w:val="16"/>
                    </w:rPr>
                    <w:t>828</w:t>
                  </w:r>
                </w:p>
              </w:tc>
            </w:tr>
            <w:tr w:rsidR="00CC4FDB" w:rsidRPr="00CF7BD8" w14:paraId="4E7D3863" w14:textId="77777777" w:rsidTr="00E31F13">
              <w:tc>
                <w:tcPr>
                  <w:tcW w:w="1297" w:type="dxa"/>
                </w:tcPr>
                <w:p w14:paraId="0A150E09" w14:textId="77777777" w:rsidR="00CC4FDB" w:rsidRPr="00CC4FDB" w:rsidRDefault="00CC4FDB" w:rsidP="00CC4FDB">
                  <w:pPr>
                    <w:jc w:val="center"/>
                    <w:rPr>
                      <w:sz w:val="16"/>
                      <w:szCs w:val="16"/>
                    </w:rPr>
                  </w:pPr>
                  <w:r w:rsidRPr="00CC4FDB">
                    <w:rPr>
                      <w:sz w:val="16"/>
                      <w:szCs w:val="16"/>
                    </w:rPr>
                    <w:t>0.05%</w:t>
                  </w:r>
                </w:p>
              </w:tc>
              <w:tc>
                <w:tcPr>
                  <w:tcW w:w="1275" w:type="dxa"/>
                </w:tcPr>
                <w:p w14:paraId="64C81ACD" w14:textId="77777777" w:rsidR="00CC4FDB" w:rsidRPr="00CC4FDB" w:rsidRDefault="00CC4FDB" w:rsidP="00CC4FDB">
                  <w:pPr>
                    <w:jc w:val="center"/>
                    <w:rPr>
                      <w:sz w:val="16"/>
                      <w:szCs w:val="16"/>
                    </w:rPr>
                  </w:pPr>
                  <w:r w:rsidRPr="00CC4FDB">
                    <w:rPr>
                      <w:sz w:val="16"/>
                      <w:szCs w:val="16"/>
                    </w:rPr>
                    <w:t>946</w:t>
                  </w:r>
                </w:p>
              </w:tc>
              <w:tc>
                <w:tcPr>
                  <w:tcW w:w="1560" w:type="dxa"/>
                </w:tcPr>
                <w:p w14:paraId="6BB918C4" w14:textId="77777777" w:rsidR="00CC4FDB" w:rsidRPr="00CC4FDB" w:rsidRDefault="00CC4FDB" w:rsidP="00CC4FDB">
                  <w:pPr>
                    <w:jc w:val="center"/>
                    <w:rPr>
                      <w:sz w:val="16"/>
                      <w:szCs w:val="16"/>
                    </w:rPr>
                  </w:pPr>
                  <w:r w:rsidRPr="00CC4FDB">
                    <w:rPr>
                      <w:sz w:val="16"/>
                      <w:szCs w:val="16"/>
                    </w:rPr>
                    <w:t>662</w:t>
                  </w:r>
                </w:p>
              </w:tc>
              <w:tc>
                <w:tcPr>
                  <w:tcW w:w="1276" w:type="dxa"/>
                </w:tcPr>
                <w:p w14:paraId="36F7FF6E" w14:textId="77777777" w:rsidR="00CC4FDB" w:rsidRPr="00CC4FDB" w:rsidRDefault="00CC4FDB" w:rsidP="00CC4FDB">
                  <w:pPr>
                    <w:jc w:val="center"/>
                    <w:rPr>
                      <w:sz w:val="16"/>
                      <w:szCs w:val="16"/>
                    </w:rPr>
                  </w:pPr>
                  <w:r w:rsidRPr="00CC4FDB">
                    <w:rPr>
                      <w:sz w:val="16"/>
                      <w:szCs w:val="16"/>
                    </w:rPr>
                    <w:t>496</w:t>
                  </w:r>
                </w:p>
              </w:tc>
              <w:tc>
                <w:tcPr>
                  <w:tcW w:w="1701" w:type="dxa"/>
                </w:tcPr>
                <w:p w14:paraId="630EEBE9" w14:textId="77777777" w:rsidR="00CC4FDB" w:rsidRPr="00CC4FDB" w:rsidRDefault="00CC4FDB" w:rsidP="00CC4FDB">
                  <w:pPr>
                    <w:jc w:val="center"/>
                    <w:rPr>
                      <w:sz w:val="16"/>
                      <w:szCs w:val="16"/>
                    </w:rPr>
                  </w:pPr>
                  <w:r w:rsidRPr="00CC4FDB">
                    <w:rPr>
                      <w:sz w:val="16"/>
                      <w:szCs w:val="16"/>
                    </w:rPr>
                    <w:t>166</w:t>
                  </w:r>
                </w:p>
              </w:tc>
            </w:tr>
            <w:tr w:rsidR="00CC4FDB" w:rsidRPr="009F0F22" w14:paraId="54301457" w14:textId="77777777" w:rsidTr="00E31F13">
              <w:tc>
                <w:tcPr>
                  <w:tcW w:w="1297" w:type="dxa"/>
                </w:tcPr>
                <w:p w14:paraId="34E919A3" w14:textId="77777777" w:rsidR="00CC4FDB" w:rsidRPr="00CC4FDB" w:rsidRDefault="00CC4FDB" w:rsidP="00CC4FDB">
                  <w:pPr>
                    <w:jc w:val="center"/>
                    <w:rPr>
                      <w:sz w:val="16"/>
                      <w:szCs w:val="16"/>
                    </w:rPr>
                  </w:pPr>
                  <w:r w:rsidRPr="00CC4FDB">
                    <w:rPr>
                      <w:sz w:val="16"/>
                      <w:szCs w:val="16"/>
                    </w:rPr>
                    <w:t>0.02%</w:t>
                  </w:r>
                </w:p>
              </w:tc>
              <w:tc>
                <w:tcPr>
                  <w:tcW w:w="1275" w:type="dxa"/>
                </w:tcPr>
                <w:p w14:paraId="6D895CBA" w14:textId="77777777" w:rsidR="00CC4FDB" w:rsidRPr="00CC4FDB" w:rsidRDefault="00CC4FDB" w:rsidP="00CC4FDB">
                  <w:pPr>
                    <w:jc w:val="center"/>
                    <w:rPr>
                      <w:sz w:val="16"/>
                      <w:szCs w:val="16"/>
                    </w:rPr>
                  </w:pPr>
                  <w:r w:rsidRPr="00CC4FDB">
                    <w:rPr>
                      <w:sz w:val="16"/>
                      <w:szCs w:val="16"/>
                    </w:rPr>
                    <w:t>378</w:t>
                  </w:r>
                </w:p>
              </w:tc>
              <w:tc>
                <w:tcPr>
                  <w:tcW w:w="1560" w:type="dxa"/>
                </w:tcPr>
                <w:p w14:paraId="49B73598" w14:textId="77777777" w:rsidR="00CC4FDB" w:rsidRPr="00CC4FDB" w:rsidRDefault="00CC4FDB" w:rsidP="00CC4FDB">
                  <w:pPr>
                    <w:jc w:val="center"/>
                    <w:rPr>
                      <w:sz w:val="16"/>
                      <w:szCs w:val="16"/>
                    </w:rPr>
                  </w:pPr>
                  <w:r w:rsidRPr="00CC4FDB">
                    <w:rPr>
                      <w:sz w:val="16"/>
                      <w:szCs w:val="16"/>
                    </w:rPr>
                    <w:t>265</w:t>
                  </w:r>
                </w:p>
              </w:tc>
              <w:tc>
                <w:tcPr>
                  <w:tcW w:w="1276" w:type="dxa"/>
                </w:tcPr>
                <w:p w14:paraId="148FE2F6" w14:textId="77777777" w:rsidR="00CC4FDB" w:rsidRPr="00CC4FDB" w:rsidRDefault="00CC4FDB" w:rsidP="00CC4FDB">
                  <w:pPr>
                    <w:jc w:val="center"/>
                    <w:rPr>
                      <w:sz w:val="16"/>
                      <w:szCs w:val="16"/>
                    </w:rPr>
                  </w:pPr>
                  <w:r w:rsidRPr="00CC4FDB">
                    <w:rPr>
                      <w:sz w:val="16"/>
                      <w:szCs w:val="16"/>
                    </w:rPr>
                    <w:t>199</w:t>
                  </w:r>
                </w:p>
              </w:tc>
              <w:tc>
                <w:tcPr>
                  <w:tcW w:w="1701" w:type="dxa"/>
                </w:tcPr>
                <w:p w14:paraId="6F02A991" w14:textId="77777777" w:rsidR="00CC4FDB" w:rsidRPr="00CC4FDB" w:rsidRDefault="00CC4FDB" w:rsidP="00CC4FDB">
                  <w:pPr>
                    <w:jc w:val="center"/>
                    <w:rPr>
                      <w:sz w:val="16"/>
                      <w:szCs w:val="16"/>
                    </w:rPr>
                  </w:pPr>
                  <w:r w:rsidRPr="00CC4FDB">
                    <w:rPr>
                      <w:sz w:val="16"/>
                      <w:szCs w:val="16"/>
                    </w:rPr>
                    <w:t>66</w:t>
                  </w:r>
                </w:p>
              </w:tc>
            </w:tr>
          </w:tbl>
          <w:p w14:paraId="1FF7A784" w14:textId="77777777" w:rsidR="00CC4FDB" w:rsidRDefault="00CC4FDB" w:rsidP="009B7770">
            <w:pPr>
              <w:pStyle w:val="NoSpacing"/>
              <w:jc w:val="both"/>
              <w:rPr>
                <w:rFonts w:ascii="Times New Roman" w:hAnsi="Times New Roman" w:cs="Times New Roman"/>
                <w:sz w:val="24"/>
                <w:szCs w:val="24"/>
              </w:rPr>
            </w:pPr>
          </w:p>
          <w:p w14:paraId="4795AD97" w14:textId="4F8BB41E" w:rsidR="00284852" w:rsidRDefault="00E31F13" w:rsidP="009B77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00B927DC">
              <w:rPr>
                <w:rFonts w:ascii="Times New Roman" w:hAnsi="Times New Roman" w:cs="Times New Roman"/>
                <w:sz w:val="24"/>
                <w:szCs w:val="24"/>
              </w:rPr>
              <w:t xml:space="preserve">tika veikti nepieciešamā finansējuma aprēķini </w:t>
            </w:r>
            <w:r w:rsidR="00284852">
              <w:rPr>
                <w:rFonts w:ascii="Times New Roman" w:hAnsi="Times New Roman" w:cs="Times New Roman"/>
                <w:sz w:val="24"/>
                <w:szCs w:val="24"/>
              </w:rPr>
              <w:t xml:space="preserve"> </w:t>
            </w:r>
            <w:r w:rsidR="00B927DC">
              <w:rPr>
                <w:rFonts w:ascii="Times New Roman" w:hAnsi="Times New Roman" w:cs="Times New Roman"/>
                <w:sz w:val="24"/>
                <w:szCs w:val="24"/>
              </w:rPr>
              <w:t xml:space="preserve">IAL </w:t>
            </w:r>
            <w:r w:rsidR="0043377F">
              <w:rPr>
                <w:rFonts w:ascii="Times New Roman" w:hAnsi="Times New Roman" w:cs="Times New Roman"/>
                <w:b/>
                <w:bCs/>
                <w:sz w:val="24"/>
                <w:szCs w:val="24"/>
              </w:rPr>
              <w:t>9</w:t>
            </w:r>
            <w:r w:rsidR="002A217A">
              <w:rPr>
                <w:rFonts w:ascii="Times New Roman" w:hAnsi="Times New Roman" w:cs="Times New Roman"/>
                <w:b/>
                <w:bCs/>
                <w:sz w:val="24"/>
                <w:szCs w:val="24"/>
              </w:rPr>
              <w:t> </w:t>
            </w:r>
            <w:r w:rsidR="0043377F">
              <w:rPr>
                <w:rFonts w:ascii="Times New Roman" w:hAnsi="Times New Roman" w:cs="Times New Roman"/>
                <w:b/>
                <w:bCs/>
                <w:sz w:val="24"/>
                <w:szCs w:val="24"/>
              </w:rPr>
              <w:t>13</w:t>
            </w:r>
            <w:r w:rsidR="002A217A">
              <w:rPr>
                <w:rFonts w:ascii="Times New Roman" w:hAnsi="Times New Roman" w:cs="Times New Roman"/>
                <w:b/>
                <w:bCs/>
                <w:sz w:val="24"/>
                <w:szCs w:val="24"/>
              </w:rPr>
              <w:t>4 547</w:t>
            </w:r>
            <w:r w:rsidR="00B927DC" w:rsidRPr="00B927DC">
              <w:rPr>
                <w:rFonts w:ascii="Times New Roman" w:hAnsi="Times New Roman" w:cs="Times New Roman"/>
                <w:b/>
                <w:bCs/>
                <w:sz w:val="24"/>
                <w:szCs w:val="24"/>
              </w:rPr>
              <w:t xml:space="preserve"> </w:t>
            </w:r>
            <w:r w:rsidR="00B927DC" w:rsidRPr="00B927DC">
              <w:rPr>
                <w:rFonts w:ascii="Times New Roman" w:hAnsi="Times New Roman" w:cs="Times New Roman"/>
                <w:b/>
                <w:bCs/>
                <w:i/>
                <w:iCs/>
                <w:sz w:val="24"/>
                <w:szCs w:val="24"/>
              </w:rPr>
              <w:t>euro</w:t>
            </w:r>
            <w:r w:rsidR="00B927DC">
              <w:rPr>
                <w:rFonts w:ascii="Times New Roman" w:hAnsi="Times New Roman" w:cs="Times New Roman"/>
                <w:sz w:val="24"/>
                <w:szCs w:val="24"/>
              </w:rPr>
              <w:t xml:space="preserve"> apmērā</w:t>
            </w:r>
            <w:r w:rsidR="00CF7143">
              <w:rPr>
                <w:rFonts w:ascii="Times New Roman" w:hAnsi="Times New Roman" w:cs="Times New Roman"/>
                <w:sz w:val="24"/>
                <w:szCs w:val="24"/>
              </w:rPr>
              <w:t xml:space="preserve"> nepieciešams NMPD brigāžu personālam, </w:t>
            </w:r>
            <w:r w:rsidR="00463B4E" w:rsidRPr="00463B4E">
              <w:rPr>
                <w:rFonts w:ascii="Times New Roman" w:hAnsi="Times New Roman" w:cs="Times New Roman"/>
                <w:sz w:val="24"/>
                <w:szCs w:val="24"/>
              </w:rPr>
              <w:t>V un IV līmeņa stacionārajām ārstniecības iestāžu</w:t>
            </w:r>
            <w:r w:rsidR="00CF7143">
              <w:rPr>
                <w:rFonts w:ascii="Times New Roman" w:hAnsi="Times New Roman" w:cs="Times New Roman"/>
                <w:sz w:val="24"/>
                <w:szCs w:val="24"/>
              </w:rPr>
              <w:t>, ģimenes ārstu praksēm</w:t>
            </w:r>
            <w:r w:rsidR="006A4BF8">
              <w:rPr>
                <w:rFonts w:ascii="Times New Roman" w:hAnsi="Times New Roman" w:cs="Times New Roman"/>
                <w:sz w:val="24"/>
                <w:szCs w:val="24"/>
              </w:rPr>
              <w:t xml:space="preserve">. Šis papildus finansējums ir pie scenārija, ja saslimstības </w:t>
            </w:r>
            <w:r w:rsidR="006A4BF8">
              <w:rPr>
                <w:rFonts w:ascii="Times New Roman" w:hAnsi="Times New Roman" w:cs="Times New Roman"/>
                <w:sz w:val="24"/>
                <w:szCs w:val="24"/>
              </w:rPr>
              <w:lastRenderedPageBreak/>
              <w:t>līmenis populācijā sasniedz 0,25%. Finansējums no līdzekļiem neparedzētiem gadījumiem tiks pieprasīts atbilstoši esošajam saslimstības līmenim, noslēgtajiem līgumiem un faktiskajiem izdevumiem.</w:t>
            </w:r>
          </w:p>
          <w:p w14:paraId="38ABCA7D" w14:textId="3183E318" w:rsidR="00824A17" w:rsidRDefault="00824A17" w:rsidP="009B7770">
            <w:pPr>
              <w:pStyle w:val="NoSpacing"/>
              <w:jc w:val="both"/>
              <w:rPr>
                <w:rFonts w:ascii="Times New Roman" w:hAnsi="Times New Roman" w:cs="Times New Roman"/>
                <w:sz w:val="24"/>
                <w:szCs w:val="24"/>
              </w:rPr>
            </w:pPr>
          </w:p>
          <w:p w14:paraId="2BABE6B6" w14:textId="13DBB8D3" w:rsidR="00824A17" w:rsidRDefault="00087E40" w:rsidP="009B7770">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8E61BF">
              <w:rPr>
                <w:rFonts w:ascii="Times New Roman" w:hAnsi="Times New Roman" w:cs="Times New Roman"/>
                <w:sz w:val="24"/>
                <w:szCs w:val="24"/>
              </w:rPr>
              <w:t xml:space="preserve"> </w:t>
            </w:r>
            <w:r>
              <w:rPr>
                <w:rFonts w:ascii="Times New Roman" w:hAnsi="Times New Roman" w:cs="Times New Roman"/>
                <w:sz w:val="24"/>
                <w:szCs w:val="24"/>
              </w:rPr>
              <w:t xml:space="preserve">Pamatojoties uz </w:t>
            </w:r>
            <w:r w:rsidRPr="008E61BF">
              <w:rPr>
                <w:rFonts w:ascii="Times New Roman" w:hAnsi="Times New Roman" w:cs="Times New Roman"/>
                <w:sz w:val="24"/>
                <w:szCs w:val="24"/>
              </w:rPr>
              <w:t>Ministru kabineta rīkojumu Nr.103 “Par ārkārtējās situācijas izsludināšanu” (prot.Nr.11 1.§)</w:t>
            </w:r>
            <w:r w:rsidRPr="008E61BF">
              <w:rPr>
                <w:sz w:val="24"/>
                <w:szCs w:val="24"/>
              </w:rPr>
              <w:t xml:space="preserve">  </w:t>
            </w:r>
            <w:r w:rsidRPr="008E61BF">
              <w:rPr>
                <w:rFonts w:ascii="Times New Roman" w:hAnsi="Times New Roman" w:cs="Times New Roman"/>
                <w:sz w:val="24"/>
                <w:szCs w:val="24"/>
              </w:rPr>
              <w:t>4.14.punkt</w:t>
            </w:r>
            <w:r>
              <w:rPr>
                <w:rFonts w:ascii="Times New Roman" w:hAnsi="Times New Roman" w:cs="Times New Roman"/>
                <w:sz w:val="24"/>
                <w:szCs w:val="24"/>
              </w:rPr>
              <w:t xml:space="preserve">u </w:t>
            </w:r>
            <w:r w:rsidRPr="008E61BF">
              <w:rPr>
                <w:rFonts w:ascii="Times New Roman" w:hAnsi="Times New Roman" w:cs="Times New Roman"/>
                <w:sz w:val="24"/>
                <w:szCs w:val="24"/>
              </w:rPr>
              <w:t xml:space="preserve"> </w:t>
            </w:r>
            <w:r>
              <w:rPr>
                <w:rFonts w:ascii="Times New Roman" w:hAnsi="Times New Roman" w:cs="Times New Roman"/>
                <w:sz w:val="24"/>
                <w:szCs w:val="24"/>
              </w:rPr>
              <w:t xml:space="preserve">tika veikti aprēķini </w:t>
            </w:r>
          </w:p>
          <w:p w14:paraId="3ABBC3A9" w14:textId="289CDC4E" w:rsidR="00087E40" w:rsidRDefault="00087E40" w:rsidP="009B7770">
            <w:pPr>
              <w:pStyle w:val="NoSpacing"/>
              <w:jc w:val="both"/>
              <w:rPr>
                <w:rFonts w:ascii="Times New Roman" w:hAnsi="Times New Roman" w:cs="Times New Roman"/>
                <w:sz w:val="24"/>
                <w:szCs w:val="24"/>
              </w:rPr>
            </w:pPr>
            <w:r>
              <w:rPr>
                <w:rFonts w:ascii="Times New Roman" w:hAnsi="Times New Roman" w:cs="Times New Roman"/>
                <w:sz w:val="24"/>
                <w:szCs w:val="24"/>
              </w:rPr>
              <w:t>v</w:t>
            </w:r>
            <w:r w:rsidRPr="00087E40">
              <w:rPr>
                <w:rFonts w:ascii="Times New Roman" w:hAnsi="Times New Roman" w:cs="Times New Roman"/>
                <w:sz w:val="24"/>
                <w:szCs w:val="24"/>
              </w:rPr>
              <w:t>ienreizējo individuālo aizsardzības līdzekļu nodrošināšanai Iekšlietu ministrijai Valsts policijas vajadzībām, Valsts ugunsdzēsības un glābšanas dienesta vajadzībām, Iekšlietu ministrijas Informācijas centra vajadzībām, Pilsonības un migrācijas lietu pārvaldes vajadzībām, Iekšlietu ministrijas poliklīnikas vajadzībām (aprēķini, euro)</w:t>
            </w:r>
            <w:r w:rsidR="008E09D7">
              <w:rPr>
                <w:rFonts w:ascii="Times New Roman" w:hAnsi="Times New Roman" w:cs="Times New Roman"/>
                <w:sz w:val="24"/>
                <w:szCs w:val="24"/>
              </w:rPr>
              <w:t xml:space="preserve">. Kopā iepriekšminētajam pasākumam nepieciešamais finansējums </w:t>
            </w:r>
            <w:r w:rsidR="008E09D7" w:rsidRPr="008E09D7">
              <w:rPr>
                <w:rFonts w:ascii="Times New Roman" w:hAnsi="Times New Roman" w:cs="Times New Roman"/>
                <w:b/>
                <w:bCs/>
                <w:sz w:val="24"/>
                <w:szCs w:val="24"/>
              </w:rPr>
              <w:t xml:space="preserve">474 025 </w:t>
            </w:r>
            <w:r w:rsidR="008E09D7" w:rsidRPr="008E09D7">
              <w:rPr>
                <w:rFonts w:ascii="Times New Roman" w:hAnsi="Times New Roman" w:cs="Times New Roman"/>
                <w:b/>
                <w:bCs/>
                <w:i/>
                <w:iCs/>
                <w:sz w:val="24"/>
                <w:szCs w:val="24"/>
              </w:rPr>
              <w:t>euro</w:t>
            </w:r>
            <w:r w:rsidR="008E09D7">
              <w:rPr>
                <w:rFonts w:ascii="Times New Roman" w:hAnsi="Times New Roman" w:cs="Times New Roman"/>
                <w:sz w:val="24"/>
                <w:szCs w:val="24"/>
              </w:rPr>
              <w:t>.</w:t>
            </w:r>
          </w:p>
          <w:p w14:paraId="5864CD3D" w14:textId="77777777" w:rsidR="00087E40" w:rsidRPr="009F0F22" w:rsidRDefault="00087E40" w:rsidP="009B7770">
            <w:pPr>
              <w:pStyle w:val="NoSpacing"/>
              <w:jc w:val="both"/>
              <w:rPr>
                <w:rFonts w:ascii="Times New Roman" w:hAnsi="Times New Roman" w:cs="Times New Roman"/>
                <w:sz w:val="24"/>
                <w:szCs w:val="24"/>
              </w:rPr>
            </w:pPr>
          </w:p>
          <w:p w14:paraId="3DD48D43" w14:textId="5E06603C" w:rsidR="008470F2" w:rsidRPr="008470F2" w:rsidRDefault="0027706F" w:rsidP="0027706F">
            <w:pPr>
              <w:pStyle w:val="tv213"/>
              <w:tabs>
                <w:tab w:val="left" w:pos="360"/>
              </w:tabs>
              <w:spacing w:before="0" w:beforeAutospacing="0" w:after="0" w:afterAutospacing="0"/>
              <w:jc w:val="both"/>
            </w:pPr>
            <w:r>
              <w:t xml:space="preserve">Rīkojuma projekts paredz </w:t>
            </w:r>
            <w:r w:rsidR="008470F2" w:rsidRPr="008470F2">
              <w:t xml:space="preserve">Finanšu ministrijai no valsts budžeta programmas </w:t>
            </w:r>
            <w:smartTag w:uri="schemas-tilde-lv/tildestengine" w:element="date">
              <w:smartTagPr>
                <w:attr w:name="Day" w:val="30"/>
                <w:attr w:name="Month" w:val="11"/>
                <w:attr w:name="Year" w:val="2001"/>
              </w:smartTagPr>
              <w:r w:rsidR="008470F2" w:rsidRPr="008470F2">
                <w:t>02.00.00</w:t>
              </w:r>
            </w:smartTag>
            <w:r w:rsidR="008470F2" w:rsidRPr="008470F2">
              <w:t xml:space="preserve"> “Līdzekļi neparedzētiem gadījumiem” piešķirt Veselības ministrijai (Neatliekamās medicīniskās palīdzības dienestam) finansējumu, kas nepārsniedz </w:t>
            </w:r>
            <w:r w:rsidR="001A5818" w:rsidRPr="001A5818">
              <w:t>9</w:t>
            </w:r>
            <w:r w:rsidR="008E4FC1">
              <w:t> </w:t>
            </w:r>
            <w:r w:rsidR="001A5818" w:rsidRPr="001A5818">
              <w:t>27</w:t>
            </w:r>
            <w:r w:rsidR="008E4FC1">
              <w:t>1 476</w:t>
            </w:r>
            <w:r w:rsidR="008470F2" w:rsidRPr="001A5818">
              <w:t> </w:t>
            </w:r>
            <w:r w:rsidR="008470F2" w:rsidRPr="001A5818">
              <w:rPr>
                <w:i/>
              </w:rPr>
              <w:t>euro</w:t>
            </w:r>
            <w:r w:rsidR="008470F2" w:rsidRPr="008470F2">
              <w:t>, lai segtu izdevumus, kas radušies saistībā ar koronavīrusa “Covid-19” uzliesmojumu, tai skaitā:</w:t>
            </w:r>
          </w:p>
          <w:p w14:paraId="1E3C11F1" w14:textId="77777777" w:rsidR="008470F2" w:rsidRPr="008470F2" w:rsidRDefault="008470F2" w:rsidP="008470F2">
            <w:pPr>
              <w:pStyle w:val="tv213"/>
              <w:tabs>
                <w:tab w:val="left" w:pos="360"/>
              </w:tabs>
              <w:spacing w:before="0" w:beforeAutospacing="0" w:after="0" w:afterAutospacing="0"/>
              <w:ind w:left="311" w:hanging="311"/>
              <w:jc w:val="both"/>
            </w:pPr>
          </w:p>
          <w:p w14:paraId="018912C9" w14:textId="1F1D0CC2" w:rsidR="008470F2" w:rsidRPr="008470F2" w:rsidRDefault="008470F2" w:rsidP="003F1F2D">
            <w:pPr>
              <w:pStyle w:val="tv213"/>
              <w:numPr>
                <w:ilvl w:val="0"/>
                <w:numId w:val="24"/>
              </w:numPr>
              <w:tabs>
                <w:tab w:val="left" w:pos="360"/>
              </w:tabs>
              <w:spacing w:before="0" w:beforeAutospacing="0" w:after="0" w:afterAutospacing="0"/>
              <w:jc w:val="both"/>
            </w:pPr>
            <w:bookmarkStart w:id="0" w:name="_Hlk35259110"/>
            <w:r w:rsidRPr="008470F2">
              <w:t xml:space="preserve">vienreizējo individuālo aizsardzības līdzekļu nodrošināšanai </w:t>
            </w:r>
            <w:bookmarkStart w:id="1" w:name="_Hlk35258945"/>
            <w:bookmarkEnd w:id="0"/>
            <w:r w:rsidRPr="008470F2">
              <w:t xml:space="preserve">Neatliekamās medicīniskās palīdzības dienesta </w:t>
            </w:r>
            <w:bookmarkEnd w:id="1"/>
            <w:r w:rsidRPr="008470F2">
              <w:t xml:space="preserve">vajadzībām finansējumu, kas nepārsniedz 130 663 </w:t>
            </w:r>
            <w:r w:rsidRPr="008470F2">
              <w:rPr>
                <w:i/>
                <w:iCs/>
              </w:rPr>
              <w:t>euro</w:t>
            </w:r>
            <w:r w:rsidRPr="008470F2">
              <w:t xml:space="preserve">; </w:t>
            </w:r>
          </w:p>
          <w:p w14:paraId="02A26065" w14:textId="3662CA1E" w:rsidR="008470F2" w:rsidRPr="008470F2" w:rsidRDefault="008470F2" w:rsidP="003F1F2D">
            <w:pPr>
              <w:pStyle w:val="tv213"/>
              <w:numPr>
                <w:ilvl w:val="0"/>
                <w:numId w:val="24"/>
              </w:numPr>
              <w:tabs>
                <w:tab w:val="left" w:pos="360"/>
              </w:tabs>
              <w:spacing w:before="0" w:beforeAutospacing="0" w:after="0" w:afterAutospacing="0"/>
              <w:jc w:val="both"/>
            </w:pPr>
            <w:r w:rsidRPr="008470F2">
              <w:t xml:space="preserve">dezinfekcijas līdzekļu nodrošināšanai Neatliekamās medicīniskās palīdzības dienesta vajadzībām  finansējumu, kas nepārsniedz 6 266 </w:t>
            </w:r>
            <w:r w:rsidRPr="008470F2">
              <w:rPr>
                <w:i/>
                <w:iCs/>
              </w:rPr>
              <w:t>euro</w:t>
            </w:r>
            <w:r w:rsidRPr="008470F2">
              <w:t>;</w:t>
            </w:r>
          </w:p>
          <w:p w14:paraId="2A58BF16" w14:textId="79227ECB" w:rsidR="008470F2" w:rsidRDefault="008470F2" w:rsidP="003F1F2D">
            <w:pPr>
              <w:pStyle w:val="tv213"/>
              <w:numPr>
                <w:ilvl w:val="0"/>
                <w:numId w:val="24"/>
              </w:numPr>
              <w:tabs>
                <w:tab w:val="left" w:pos="360"/>
              </w:tabs>
              <w:spacing w:before="0" w:beforeAutospacing="0" w:after="0" w:afterAutospacing="0"/>
              <w:jc w:val="both"/>
              <w:rPr>
                <w:i/>
                <w:iCs/>
              </w:rPr>
            </w:pPr>
            <w:r w:rsidRPr="008470F2">
              <w:t xml:space="preserve">vienreizējo individuālo aizsardzības līdzekļu nodrošināšanai Neatliekamās medicīniskās palīdzības dienesta brigāžu, </w:t>
            </w:r>
            <w:r w:rsidR="0091740C" w:rsidRPr="0091740C">
              <w:t>V un IV līmeņa stacionārajām ārstniecības iestāžu</w:t>
            </w:r>
            <w:r w:rsidRPr="008470F2">
              <w:t xml:space="preserve">, ģimenes ārstu prakšu, vajadzībām finansējumu, kas nepārsniedz </w:t>
            </w:r>
            <w:r w:rsidR="001A5818">
              <w:t>9</w:t>
            </w:r>
            <w:r w:rsidR="008E4FC1">
              <w:t> </w:t>
            </w:r>
            <w:r w:rsidR="001A5818">
              <w:t>13</w:t>
            </w:r>
            <w:r w:rsidR="008E4FC1">
              <w:t>4 547</w:t>
            </w:r>
            <w:r w:rsidRPr="008470F2">
              <w:rPr>
                <w:i/>
                <w:iCs/>
              </w:rPr>
              <w:t xml:space="preserve"> euro.</w:t>
            </w:r>
          </w:p>
          <w:p w14:paraId="0E725C38" w14:textId="54488039" w:rsidR="003F1F2D" w:rsidRDefault="003F1F2D" w:rsidP="008470F2">
            <w:pPr>
              <w:pStyle w:val="tv213"/>
              <w:tabs>
                <w:tab w:val="left" w:pos="360"/>
              </w:tabs>
              <w:spacing w:before="0" w:beforeAutospacing="0" w:after="0" w:afterAutospacing="0"/>
              <w:ind w:left="311" w:hanging="311"/>
              <w:jc w:val="both"/>
              <w:rPr>
                <w:i/>
                <w:iCs/>
              </w:rPr>
            </w:pPr>
          </w:p>
          <w:p w14:paraId="2E0E8F6F" w14:textId="52A9A4AE" w:rsidR="003F1F2D" w:rsidRPr="003F1F2D" w:rsidRDefault="00922C9E" w:rsidP="003F1F2D">
            <w:pPr>
              <w:pStyle w:val="tv213"/>
              <w:tabs>
                <w:tab w:val="left" w:pos="709"/>
              </w:tabs>
              <w:spacing w:before="0" w:beforeAutospacing="0" w:after="0" w:afterAutospacing="0"/>
              <w:jc w:val="both"/>
            </w:pPr>
            <w:r>
              <w:t xml:space="preserve">Rīkojuma projekts paredz </w:t>
            </w:r>
            <w:r w:rsidR="003F1F2D" w:rsidRPr="003F1F2D">
              <w:t xml:space="preserve">Finanšu ministrijai no valsts budžeta programmas </w:t>
            </w:r>
            <w:smartTag w:uri="schemas-tilde-lv/tildestengine" w:element="date">
              <w:smartTagPr>
                <w:attr w:name="Year" w:val="2001"/>
                <w:attr w:name="Month" w:val="11"/>
                <w:attr w:name="Day" w:val="30"/>
              </w:smartTagPr>
              <w:r w:rsidR="003F1F2D" w:rsidRPr="003F1F2D">
                <w:t>02.00.00</w:t>
              </w:r>
            </w:smartTag>
            <w:r w:rsidR="003F1F2D" w:rsidRPr="003F1F2D">
              <w:t xml:space="preserve"> “Līdzekļi neparedzētiem gadījumiem” piešķirt Iekšlietu ministrijai (Nodrošinājuma valsts aģentūrai) finansējumu, kas nepārsniedz 474 025 </w:t>
            </w:r>
            <w:r w:rsidR="003F1F2D" w:rsidRPr="003F1F2D">
              <w:rPr>
                <w:i/>
              </w:rPr>
              <w:t>euro</w:t>
            </w:r>
            <w:r w:rsidR="003F1F2D" w:rsidRPr="003F1F2D">
              <w:t>, lai segtu izdevumus, kas radušies saistībā ar koronavīrusa “Covid-19” uzliesmojumu vienreizējo individuālo aizsardzības līdzekļu nodrošināšanai, tai skaitā:</w:t>
            </w:r>
          </w:p>
          <w:p w14:paraId="7FA157B5" w14:textId="77777777" w:rsidR="003F1F2D" w:rsidRPr="003F1F2D" w:rsidRDefault="003F1F2D" w:rsidP="003F1F2D">
            <w:pPr>
              <w:pStyle w:val="tv213"/>
              <w:tabs>
                <w:tab w:val="left" w:pos="709"/>
              </w:tabs>
              <w:spacing w:before="0" w:beforeAutospacing="0" w:after="0" w:afterAutospacing="0"/>
              <w:ind w:left="720" w:hanging="409"/>
              <w:jc w:val="both"/>
            </w:pPr>
          </w:p>
          <w:p w14:paraId="6BAEB868"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Valsts policijas vajadzībām finansējumu, kas nepārsniedz 392 500 </w:t>
            </w:r>
            <w:r w:rsidRPr="003F1F2D">
              <w:rPr>
                <w:i/>
                <w:iCs/>
              </w:rPr>
              <w:t>euro</w:t>
            </w:r>
            <w:r w:rsidRPr="003F1F2D">
              <w:t xml:space="preserve">; </w:t>
            </w:r>
          </w:p>
          <w:p w14:paraId="28E55F26"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Valsts robežsardzes vajadzībām finansējumu, kas nepārsniedz 51 700 </w:t>
            </w:r>
            <w:r w:rsidRPr="003F1F2D">
              <w:rPr>
                <w:i/>
                <w:iCs/>
              </w:rPr>
              <w:t>euro</w:t>
            </w:r>
            <w:r w:rsidRPr="003F1F2D">
              <w:t xml:space="preserve">; </w:t>
            </w:r>
          </w:p>
          <w:p w14:paraId="028007E7"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Valsts ugunsdzēsības un glābšanas dienesta vajadzībām finansējumu, kas nepārsniedz 12 750 </w:t>
            </w:r>
            <w:r w:rsidRPr="003F1F2D">
              <w:rPr>
                <w:i/>
                <w:iCs/>
              </w:rPr>
              <w:t>euro</w:t>
            </w:r>
            <w:r w:rsidRPr="003F1F2D">
              <w:t xml:space="preserve">; </w:t>
            </w:r>
          </w:p>
          <w:p w14:paraId="04BBED42"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Iekšlietu ministrijas Informācijas centra vajadzībām finansējumu, kas nepārsniedz 1 380 </w:t>
            </w:r>
            <w:r w:rsidRPr="003F1F2D">
              <w:rPr>
                <w:i/>
                <w:iCs/>
              </w:rPr>
              <w:t>euro</w:t>
            </w:r>
            <w:r w:rsidRPr="003F1F2D">
              <w:t xml:space="preserve">; </w:t>
            </w:r>
          </w:p>
          <w:p w14:paraId="3889A345"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Pilsonības un migrācijas lietu pārvaldes vajadzībām finansējumu, kas nepārsniedz 9 275 </w:t>
            </w:r>
            <w:r w:rsidRPr="003F1F2D">
              <w:rPr>
                <w:i/>
                <w:iCs/>
              </w:rPr>
              <w:t>euro</w:t>
            </w:r>
            <w:r w:rsidRPr="003F1F2D">
              <w:t xml:space="preserve">; </w:t>
            </w:r>
          </w:p>
          <w:p w14:paraId="13495192" w14:textId="77777777" w:rsidR="003F1F2D" w:rsidRPr="003F1F2D" w:rsidRDefault="003F1F2D" w:rsidP="003F1F2D">
            <w:pPr>
              <w:pStyle w:val="tv213"/>
              <w:numPr>
                <w:ilvl w:val="0"/>
                <w:numId w:val="25"/>
              </w:numPr>
              <w:tabs>
                <w:tab w:val="left" w:pos="709"/>
              </w:tabs>
              <w:spacing w:before="0" w:beforeAutospacing="0" w:after="0" w:afterAutospacing="0"/>
              <w:jc w:val="both"/>
            </w:pPr>
            <w:r w:rsidRPr="003F1F2D">
              <w:t xml:space="preserve">Iekšlietu ministrijas poliklīnikas vajadzībām finansējumu, kas nepārsniedz 6 420 </w:t>
            </w:r>
            <w:r w:rsidRPr="003F1F2D">
              <w:rPr>
                <w:i/>
                <w:iCs/>
              </w:rPr>
              <w:t>euro</w:t>
            </w:r>
            <w:r w:rsidRPr="003F1F2D">
              <w:t>.</w:t>
            </w:r>
          </w:p>
          <w:p w14:paraId="7C6BE72A" w14:textId="77777777" w:rsidR="003F1F2D" w:rsidRPr="003F1F2D" w:rsidRDefault="003F1F2D" w:rsidP="008470F2">
            <w:pPr>
              <w:pStyle w:val="tv213"/>
              <w:tabs>
                <w:tab w:val="left" w:pos="360"/>
              </w:tabs>
              <w:spacing w:before="0" w:beforeAutospacing="0" w:after="0" w:afterAutospacing="0"/>
              <w:ind w:left="311" w:hanging="311"/>
              <w:jc w:val="both"/>
            </w:pPr>
          </w:p>
          <w:p w14:paraId="600A2DFB" w14:textId="77777777" w:rsidR="00E465CE" w:rsidRDefault="00E465CE" w:rsidP="00DC4012">
            <w:pPr>
              <w:pStyle w:val="NormalWeb"/>
              <w:shd w:val="clear" w:color="auto" w:fill="FFFFFF"/>
              <w:spacing w:before="0" w:beforeAutospacing="0" w:after="0" w:afterAutospacing="0"/>
              <w:jc w:val="both"/>
            </w:pPr>
          </w:p>
          <w:p w14:paraId="62CD7097" w14:textId="45BFB89E" w:rsidR="00950DF4" w:rsidRDefault="00950DF4" w:rsidP="00950DF4">
            <w:pPr>
              <w:pStyle w:val="tv213"/>
              <w:tabs>
                <w:tab w:val="left" w:pos="709"/>
              </w:tabs>
              <w:spacing w:before="0" w:beforeAutospacing="0" w:after="0" w:afterAutospacing="0"/>
              <w:ind w:firstLine="169"/>
              <w:jc w:val="both"/>
              <w:rPr>
                <w:shd w:val="clear" w:color="auto" w:fill="FFFFFF"/>
              </w:rPr>
            </w:pPr>
            <w:r w:rsidRPr="00950DF4">
              <w:rPr>
                <w:shd w:val="clear" w:color="auto" w:fill="FFFFFF"/>
              </w:rPr>
              <w:t>Veselības ministrijai normatīvajos aktos noteiktajā kārtībā sagatavot un iesniegt Finanšu ministrijā pieprasījumu par šā rīkojuma 1.punktā minēto līdzekļu piešķiršanu no līdzekļiem neparedzētiem gadījumiem atbilstoši faktiski nepieciešamajam apmēram.</w:t>
            </w:r>
          </w:p>
          <w:p w14:paraId="671A4FE0" w14:textId="77773357" w:rsidR="00320014" w:rsidRPr="00320014" w:rsidRDefault="00320014" w:rsidP="00950DF4">
            <w:pPr>
              <w:pStyle w:val="tv213"/>
              <w:tabs>
                <w:tab w:val="left" w:pos="709"/>
              </w:tabs>
              <w:spacing w:before="0" w:beforeAutospacing="0" w:after="0" w:afterAutospacing="0"/>
              <w:ind w:firstLine="169"/>
              <w:jc w:val="both"/>
              <w:rPr>
                <w:shd w:val="clear" w:color="auto" w:fill="FFFFFF"/>
              </w:rPr>
            </w:pPr>
            <w:r w:rsidRPr="00320014">
              <w:rPr>
                <w:shd w:val="clear" w:color="auto" w:fill="FFFFFF"/>
              </w:rPr>
              <w:t>Iekšlietu ministrijai normatīvajos aktos noteiktajā kārtībā sagatavot un iesniegt Finanšu ministrijā pieprasījumu par šā rīkojuma 2.punktā minēto līdzekļu piešķiršanu no līdzekļiem neparedzētiem gadījumiem atbilstoši faktiski nepieciešamajam apmēram.</w:t>
            </w:r>
          </w:p>
          <w:p w14:paraId="045396E8" w14:textId="31DB058A" w:rsidR="00DC5EDB" w:rsidRPr="00DC5EDB" w:rsidRDefault="00320014" w:rsidP="00DC5EDB">
            <w:pPr>
              <w:shd w:val="clear" w:color="auto" w:fill="FFFFFF"/>
              <w:jc w:val="both"/>
            </w:pPr>
            <w:r w:rsidRPr="00320014">
              <w:rPr>
                <w:shd w:val="clear" w:color="auto" w:fill="FFFFFF"/>
              </w:rPr>
              <w:t xml:space="preserve">Šā rīkojuma 1.punktā 2.punktā minēto līdzekļu, materiālu un iekārtu  iegādei </w:t>
            </w:r>
            <w:r w:rsidRPr="00320014">
              <w:t xml:space="preserve">Veselības ministrijai un Iekšlietu ministrijai ārkārtējas nepieciešamības gadījumā ir tiesības piemērot Publisko iepirkumu likuma 3.panta astotajā daļā noteikto izņēmumu.  </w:t>
            </w:r>
            <w:r w:rsidR="00DC5EDB" w:rsidRPr="00320014">
              <w:t xml:space="preserve">Publisko iepirkumu </w:t>
            </w:r>
            <w:r w:rsidR="00DC5EDB" w:rsidRPr="00DC5EDB">
              <w:t>likuma 3.panta astotajā daļā minētā izņēmuma piemērošana ir  pamatojama gan ar to, ka attiecīgā iepirkuma līguma priekšmets ir būtisks valsts [drošības] interešu aizsardzībai, gan ar šo interešu apdraudējumu – valsts intereses negatīvi ietekmējošiem apstākļiem, kas varētu rasties, ja iepirkuma līguma noslēgšanai tiktu piemērotas Publisko iepirkumu likumā noteiktās iepirkuma procedūras vai iepirkuma veikšanas kārtība, tai skaitā Publisko iepirkumu likuma 8.panta septītajā daļā minētā sarunu procedūra, kas tā pat ļoti laikietilpīgi, lai nodrošinātu nepieciešamās steidzamās iegādes.</w:t>
            </w:r>
          </w:p>
          <w:p w14:paraId="67F58BB6" w14:textId="7C3DBAAF" w:rsidR="003D23E3" w:rsidRDefault="00DC5EDB" w:rsidP="00DD5E1F">
            <w:pPr>
              <w:shd w:val="clear" w:color="auto" w:fill="FFFFFF"/>
              <w:ind w:firstLine="169"/>
              <w:jc w:val="both"/>
            </w:pPr>
            <w:r w:rsidRPr="00DC5EDB">
              <w:t>Šā brīža epidemioloģiskajā situācijā  Neatliekamās medicīniskās palīdzības dienestā, Slimību profilakses un kontroles centrā un  valsts sabiedrībā ar ierobežotu atbildību “Rīgas Austrumu klīniskā universitātes slimnīca”, tai skaitā Nacionālās references laboratorijā tiek nodrošināts darbs gatavības režīmā. Ņemot vērā, ka koronavīrusa “Covid-19”  izplatība notiek salīdzinoši strauji arī Eiropas valstīs, tai skaitā ir apstiprināti gadījumi</w:t>
            </w:r>
            <w:r w:rsidR="00113381">
              <w:t xml:space="preserve"> Latvijā,</w:t>
            </w:r>
            <w:r w:rsidRPr="00DC5EDB">
              <w:t xml:space="preserve"> Igaunijā un Lietuvā, varētu strauji pieaugt saslimušo skaits strauji jāpāriet reaģēšanas režīmā, kad pieejamie resursi ir nepietiekami. Vienlaikus Pasaules Veselības organizācija ir sniegusi informāciju, ka vīruss izraisa smagas pneimonijas, kuru ārstēšanai ir ilgstoši jāizmanto plaušu ventilācijas aparatūra, kas būs nepietiekamā skaitā, ja pacientu skaits strauji pieaugs. Līdz ar to, lai stiprinātu nozares spējas reaģēt uz apdraudējumu un nodrošinātu vīrusa izplatīšanās ierobežošanu, nepieciešams papildināt individuālo aizsardzības līdzekļu, reaģentu un iekārtu resursus.</w:t>
            </w:r>
          </w:p>
          <w:p w14:paraId="68133E5E" w14:textId="77777777" w:rsidR="00DC5EDB" w:rsidRPr="00DC5EDB" w:rsidRDefault="00DC5EDB" w:rsidP="00DC5EDB">
            <w:pPr>
              <w:ind w:firstLine="169"/>
              <w:jc w:val="both"/>
            </w:pPr>
            <w:r w:rsidRPr="00DC5EDB">
              <w:t>Publisko iepirkumu likuma 8.panta septītajā daļā minētā sarunu procedūra nebūtu realizējama īsā laika periodā, jo atbilstoši normatīvajam regulējumam ir jānodrošina vairāki posmi, tai skaitā iepirkumu komisijas izveidošana un apstiprināšana, uzaicinājuma sagatavošana piegādātājiem, kuri varētu piedalīties sarunās (ieskaitot prasības nepieciešamajām precēm un pakalpojumiem) un nosūtīšana, aizņemot ne mazāk kā nedēļu.</w:t>
            </w:r>
          </w:p>
          <w:p w14:paraId="454C8AAB" w14:textId="77777777" w:rsidR="00DC5EDB" w:rsidRPr="00DC5EDB" w:rsidRDefault="00DC5EDB" w:rsidP="00DC5EDB">
            <w:pPr>
              <w:ind w:firstLine="169"/>
              <w:jc w:val="both"/>
            </w:pPr>
            <w:r w:rsidRPr="00DC5EDB">
              <w:t xml:space="preserve">Ja netiek nodrošināta individuālo aizsardzības līdzekļu pieejamība, laboratorisko izmeklējumu nodrošināšana, medicīnisko iekārtu pieejamība, tiek krasi samazinātas spējas identificēt koronavīrusa “Covid-19” inficētos pacientus, ierobežot vīrusa tālāku izplatīšanos, sekot līdzi saslimstībai, kā arī pieaugot saslimušo skaitam, pacientiem nevarēs tikt nodrošināta atbilstoša veselības aprūpe. </w:t>
            </w:r>
          </w:p>
          <w:p w14:paraId="247098E4" w14:textId="77777777" w:rsidR="00DC5EDB" w:rsidRPr="00DC5EDB" w:rsidRDefault="00DC5EDB" w:rsidP="00DC5EDB">
            <w:pPr>
              <w:ind w:firstLine="169"/>
              <w:jc w:val="both"/>
            </w:pPr>
            <w:r w:rsidRPr="00DC5EDB">
              <w:t>Ir jāspēj veikt nepieciešamās iegādes operatīvi, lai nodrošinātu nepieciešamo veselības aprūpi pacientiem, ņemot vērā koronavīrusa “Covid-19” klīnisko ainu un izraisītās smagās pneimonijas.</w:t>
            </w:r>
          </w:p>
          <w:p w14:paraId="0EA62358" w14:textId="77777777" w:rsidR="00DC5EDB" w:rsidRPr="00DC5EDB" w:rsidRDefault="00DC5EDB" w:rsidP="00DC5EDB">
            <w:pPr>
              <w:ind w:firstLine="169"/>
              <w:jc w:val="both"/>
            </w:pPr>
          </w:p>
          <w:p w14:paraId="411217A3" w14:textId="77777777" w:rsidR="003D23E3" w:rsidRDefault="00DC5EDB" w:rsidP="00380C6D">
            <w:pPr>
              <w:ind w:firstLine="169"/>
              <w:jc w:val="both"/>
            </w:pPr>
            <w:r w:rsidRPr="00DC5EDB">
              <w:t xml:space="preserve">Krīzes vadības padomes 2020.gada 4.februāra sēdes protokollēmuma (prot.Nr.1 1.§)  5.punkts paredz Veselības ministrijai un citām epidemioloģiskās drošības un citu neatliekamos pasākumus  īstenojošām valsts un pašvaldības institūcijām ārkārtējas nepieciešamības gadījumā ir tiesības piemērot Publisko iepirkumu likuma 3.panta astotajā daļā noteikto izņēmumu.  </w:t>
            </w:r>
          </w:p>
          <w:p w14:paraId="5ED69A2F" w14:textId="137851D4" w:rsidR="00B40D44" w:rsidRPr="006A4B9B" w:rsidRDefault="00B40D44" w:rsidP="00380C6D">
            <w:pPr>
              <w:ind w:firstLine="169"/>
              <w:jc w:val="both"/>
            </w:pPr>
            <w:r w:rsidRPr="008E61BF">
              <w:t xml:space="preserve">Ministru kabineta rīkojumu Nr.103 “Par ārkārtējās situācijas izsludināšanu” (prot.Nr.11 1.§)  4.14.punkts nosaka, ka </w:t>
            </w:r>
            <w:r w:rsidRPr="008E61BF">
              <w:rPr>
                <w:shd w:val="clear" w:color="auto" w:fill="FFFFFF"/>
              </w:rPr>
              <w:t>atļaut valsts kapitālsabiedrībām, Neatliekamās medicīniskās palīdzības dienestam, Nodrošinājuma valsts aģentūrai, Valsts policijai, Valsts ugunsdzēsības un glābšanas dienestam, Valsts robežsardzei, Iekšlietu ministrijas Informācijas centram, Valsts ieņēmumu dienestam, Ārlietu ministrijai un Aizsardzības ministrijas resoram nepiemērot </w:t>
            </w:r>
            <w:hyperlink r:id="rId9" w:tgtFrame="_blank" w:history="1">
              <w:r w:rsidRPr="00FF4712">
                <w:rPr>
                  <w:shd w:val="clear" w:color="auto" w:fill="FFFFFF"/>
                </w:rPr>
                <w:t>Publisko iepirkumu likumu</w:t>
              </w:r>
            </w:hyperlink>
            <w:r w:rsidRPr="00FF4712">
              <w:rPr>
                <w:shd w:val="clear" w:color="auto" w:fill="FFFFFF"/>
              </w:rPr>
              <w:t> </w:t>
            </w:r>
            <w:r w:rsidRPr="008E61BF">
              <w:rPr>
                <w:shd w:val="clear" w:color="auto" w:fill="FFFFFF"/>
              </w:rPr>
              <w:t>iegādēm (precēm un pakalpojumiem), kas nepieciešamas Covid-19 uzliesmojuma izplatības ierobežošanai, ārstniecībai un šo pasākumu organizēšanai</w:t>
            </w:r>
            <w:r>
              <w:rPr>
                <w:shd w:val="clear" w:color="auto" w:fill="FFFFFF"/>
              </w:rPr>
              <w:t>.</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63EA55E4"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Veselības ministrija</w:t>
            </w:r>
            <w:r w:rsidR="00577052">
              <w:rPr>
                <w:rFonts w:ascii="Times New Roman" w:hAnsi="Times New Roman" w:cs="Times New Roman"/>
                <w:sz w:val="24"/>
                <w:szCs w:val="24"/>
                <w:lang w:eastAsia="lv-LV"/>
              </w:rPr>
              <w:t xml:space="preserve">, </w:t>
            </w:r>
            <w:r w:rsidR="00EB17D4">
              <w:rPr>
                <w:rFonts w:ascii="Times New Roman" w:hAnsi="Times New Roman" w:cs="Times New Roman"/>
                <w:sz w:val="24"/>
                <w:szCs w:val="24"/>
                <w:lang w:eastAsia="lv-LV"/>
              </w:rPr>
              <w:t xml:space="preserve">Neatliekamās medicīniskās </w:t>
            </w:r>
            <w:r w:rsidR="0007255D">
              <w:rPr>
                <w:rFonts w:ascii="Times New Roman" w:hAnsi="Times New Roman" w:cs="Times New Roman"/>
                <w:sz w:val="24"/>
                <w:szCs w:val="24"/>
                <w:lang w:eastAsia="lv-LV"/>
              </w:rPr>
              <w:t>palīdzības dienests</w:t>
            </w:r>
            <w:r w:rsidR="00577052">
              <w:rPr>
                <w:rFonts w:ascii="Times New Roman" w:hAnsi="Times New Roman" w:cs="Times New Roman"/>
                <w:sz w:val="24"/>
                <w:szCs w:val="24"/>
                <w:lang w:eastAsia="lv-LV"/>
              </w:rPr>
              <w:t>,</w:t>
            </w:r>
            <w:r w:rsidR="00891AF0">
              <w:rPr>
                <w:rFonts w:ascii="Times New Roman" w:hAnsi="Times New Roman" w:cs="Times New Roman"/>
                <w:sz w:val="24"/>
                <w:szCs w:val="24"/>
                <w:lang w:eastAsia="lv-LV"/>
              </w:rPr>
              <w:t xml:space="preserve"> </w:t>
            </w:r>
            <w:r w:rsidR="00577052">
              <w:rPr>
                <w:rFonts w:ascii="Times New Roman" w:hAnsi="Times New Roman" w:cs="Times New Roman"/>
                <w:sz w:val="24"/>
                <w:szCs w:val="24"/>
                <w:lang w:eastAsia="lv-LV"/>
              </w:rPr>
              <w:t xml:space="preserve">Iekšlietu ministrija, </w:t>
            </w:r>
            <w:r w:rsidR="00577052" w:rsidRPr="00577052">
              <w:rPr>
                <w:rFonts w:ascii="Times New Roman" w:hAnsi="Times New Roman" w:cs="Times New Roman"/>
                <w:sz w:val="24"/>
                <w:szCs w:val="24"/>
              </w:rPr>
              <w:t>Valsts policija</w:t>
            </w:r>
            <w:r w:rsidR="00577052" w:rsidRPr="00577052">
              <w:rPr>
                <w:sz w:val="24"/>
                <w:szCs w:val="24"/>
              </w:rPr>
              <w:t>,</w:t>
            </w:r>
            <w:r w:rsidR="00577052">
              <w:rPr>
                <w:sz w:val="28"/>
                <w:szCs w:val="28"/>
              </w:rPr>
              <w:t xml:space="preserve"> </w:t>
            </w:r>
            <w:r w:rsidR="00577052" w:rsidRPr="00577052">
              <w:rPr>
                <w:rFonts w:ascii="Times New Roman" w:hAnsi="Times New Roman" w:cs="Times New Roman"/>
                <w:sz w:val="24"/>
                <w:szCs w:val="24"/>
              </w:rPr>
              <w:t>Valsts ugunsdzēsības un glābšanas dienests, Iekšlietu ministrijas Informācijas centrs, Pilsonības un migrācijas lietu pārvalde, Iekšlietu ministrijas poliklīnika</w:t>
            </w:r>
            <w:r w:rsidR="006E587D">
              <w:rPr>
                <w:rFonts w:ascii="Times New Roman" w:hAnsi="Times New Roman" w:cs="Times New Roman"/>
                <w:sz w:val="24"/>
                <w:szCs w:val="24"/>
              </w:rPr>
              <w:t>.</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0EEDEF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6EC71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tai skaitā </w:t>
            </w:r>
            <w:r w:rsidRPr="00EC6E12">
              <w:rPr>
                <w:rFonts w:ascii="Times New Roman" w:hAnsi="Times New Roman" w:cs="Times New Roman"/>
                <w:iCs/>
                <w:sz w:val="24"/>
                <w:szCs w:val="24"/>
                <w:lang w:eastAsia="lv-LV"/>
              </w:rPr>
              <w:lastRenderedPageBreak/>
              <w:t>ieņēmumi no maksas pakalpojumiem un citi pašu ieņēmumi</w:t>
            </w:r>
          </w:p>
        </w:tc>
        <w:tc>
          <w:tcPr>
            <w:tcW w:w="992" w:type="dxa"/>
            <w:vAlign w:val="center"/>
          </w:tcPr>
          <w:p w14:paraId="0D17ECB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14:paraId="69E00C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7B052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6811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3334F9A"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2817673" w14:textId="43F6999C" w:rsidR="006C12A6" w:rsidRPr="001C797C" w:rsidRDefault="001A5818" w:rsidP="006C12A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w:t>
            </w:r>
            <w:r w:rsidR="00B47986">
              <w:rPr>
                <w:rFonts w:ascii="Times New Roman" w:hAnsi="Times New Roman" w:cs="Times New Roman"/>
                <w:iCs/>
                <w:lang w:eastAsia="lv-LV"/>
              </w:rPr>
              <w:t>74</w:t>
            </w:r>
            <w:r w:rsidR="007A3F62">
              <w:rPr>
                <w:rFonts w:ascii="Times New Roman" w:hAnsi="Times New Roman" w:cs="Times New Roman"/>
                <w:iCs/>
                <w:lang w:eastAsia="lv-LV"/>
              </w:rPr>
              <w:t>5 501</w:t>
            </w:r>
          </w:p>
        </w:tc>
        <w:tc>
          <w:tcPr>
            <w:tcW w:w="1000" w:type="dxa"/>
            <w:vAlign w:val="center"/>
          </w:tcPr>
          <w:p w14:paraId="2BA9F9C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6B2CC628" w14:textId="1BE7040B" w:rsidR="006C12A6" w:rsidRPr="001C797C" w:rsidRDefault="001A5818" w:rsidP="006C12A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w:t>
            </w:r>
            <w:r w:rsidR="00B47986">
              <w:rPr>
                <w:rFonts w:ascii="Times New Roman" w:hAnsi="Times New Roman" w:cs="Times New Roman"/>
                <w:iCs/>
                <w:lang w:eastAsia="lv-LV"/>
              </w:rPr>
              <w:t>74</w:t>
            </w:r>
            <w:r w:rsidR="007A3F62">
              <w:rPr>
                <w:rFonts w:ascii="Times New Roman" w:hAnsi="Times New Roman" w:cs="Times New Roman"/>
                <w:iCs/>
                <w:lang w:eastAsia="lv-LV"/>
              </w:rPr>
              <w:t>5 501</w:t>
            </w:r>
          </w:p>
        </w:tc>
        <w:tc>
          <w:tcPr>
            <w:tcW w:w="1000" w:type="dxa"/>
            <w:vAlign w:val="center"/>
          </w:tcPr>
          <w:p w14:paraId="2FBAE1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72423E12" w14:textId="77777777" w:rsidTr="00285AF5">
        <w:tc>
          <w:tcPr>
            <w:tcW w:w="1702" w:type="dxa"/>
            <w:vAlign w:val="center"/>
          </w:tcPr>
          <w:p w14:paraId="74C4AFBA" w14:textId="11D3BA8F" w:rsidR="00B47986" w:rsidRPr="00594B91" w:rsidRDefault="00B47986" w:rsidP="00B47986">
            <w:pPr>
              <w:pStyle w:val="NoSpacing"/>
              <w:jc w:val="both"/>
              <w:rPr>
                <w:rFonts w:ascii="Times New Roman" w:hAnsi="Times New Roman" w:cs="Times New Roman"/>
                <w:i/>
                <w:sz w:val="24"/>
                <w:szCs w:val="24"/>
                <w:lang w:eastAsia="lv-LV"/>
              </w:rPr>
            </w:pPr>
            <w:r w:rsidRPr="00594B91">
              <w:rPr>
                <w:rFonts w:ascii="Times New Roman" w:hAnsi="Times New Roman" w:cs="Times New Roman"/>
                <w:i/>
                <w:sz w:val="24"/>
                <w:szCs w:val="24"/>
                <w:lang w:eastAsia="lv-LV"/>
              </w:rPr>
              <w:t>Veselības ministrija</w:t>
            </w:r>
          </w:p>
        </w:tc>
        <w:tc>
          <w:tcPr>
            <w:tcW w:w="992" w:type="dxa"/>
          </w:tcPr>
          <w:p w14:paraId="38966596" w14:textId="413FBF03"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7CC3FE6F" w14:textId="542E29AD" w:rsidR="00B47986" w:rsidRPr="001C797C"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271 476</w:t>
            </w:r>
          </w:p>
        </w:tc>
        <w:tc>
          <w:tcPr>
            <w:tcW w:w="1000" w:type="dxa"/>
            <w:vAlign w:val="center"/>
          </w:tcPr>
          <w:p w14:paraId="0604EB74" w14:textId="36233AB3"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5C96FD3" w14:textId="008FBF78"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D3AB5A" w14:textId="25B11B4A"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6149EE" w14:textId="16709E4F"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95DE5B6" w14:textId="7975F30E"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84B321B" w14:textId="77777777" w:rsidTr="00362863">
        <w:tc>
          <w:tcPr>
            <w:tcW w:w="1702" w:type="dxa"/>
            <w:vAlign w:val="center"/>
          </w:tcPr>
          <w:p w14:paraId="500A8838" w14:textId="0A4DA106" w:rsidR="00B47986" w:rsidRPr="00594B91" w:rsidRDefault="00B47986" w:rsidP="00B47986">
            <w:pPr>
              <w:pStyle w:val="NoSpacing"/>
              <w:jc w:val="both"/>
              <w:rPr>
                <w:rFonts w:ascii="Times New Roman" w:hAnsi="Times New Roman" w:cs="Times New Roman"/>
                <w:i/>
                <w:sz w:val="24"/>
                <w:szCs w:val="24"/>
                <w:lang w:eastAsia="lv-LV"/>
              </w:rPr>
            </w:pPr>
            <w:r w:rsidRPr="00594B91">
              <w:rPr>
                <w:rFonts w:ascii="Times New Roman" w:hAnsi="Times New Roman" w:cs="Times New Roman"/>
                <w:i/>
                <w:sz w:val="24"/>
                <w:szCs w:val="24"/>
                <w:lang w:eastAsia="lv-LV"/>
              </w:rPr>
              <w:t>Iekšlietu ministrija</w:t>
            </w:r>
          </w:p>
        </w:tc>
        <w:tc>
          <w:tcPr>
            <w:tcW w:w="992" w:type="dxa"/>
          </w:tcPr>
          <w:p w14:paraId="3F189F84" w14:textId="0ED8A225"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2EAC5642" w14:textId="03EB79BF" w:rsidR="00B47986" w:rsidRPr="001C797C"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474 025</w:t>
            </w:r>
          </w:p>
        </w:tc>
        <w:tc>
          <w:tcPr>
            <w:tcW w:w="1000" w:type="dxa"/>
            <w:vAlign w:val="center"/>
          </w:tcPr>
          <w:p w14:paraId="2475EA82" w14:textId="1E08C646"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AB25078" w14:textId="51AB3BC1"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C6043B" w14:textId="31202A2A"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9D0FD9" w14:textId="39FE58F0"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C75A516" w14:textId="6DA6B432"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F7DD823" w14:textId="77777777" w:rsidTr="006A5DEF">
        <w:tc>
          <w:tcPr>
            <w:tcW w:w="1702" w:type="dxa"/>
            <w:vAlign w:val="center"/>
          </w:tcPr>
          <w:p w14:paraId="5F17FF4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A62B80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839982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48E63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445C43C" w14:textId="77777777" w:rsidTr="006A5DEF">
        <w:tc>
          <w:tcPr>
            <w:tcW w:w="1702" w:type="dxa"/>
            <w:vAlign w:val="center"/>
          </w:tcPr>
          <w:p w14:paraId="49D9A143"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0ADDFB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96CAF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90B05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7C86ED51" w14:textId="77777777" w:rsidTr="006A5DEF">
        <w:tc>
          <w:tcPr>
            <w:tcW w:w="1702" w:type="dxa"/>
            <w:vAlign w:val="center"/>
          </w:tcPr>
          <w:p w14:paraId="7385F767"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0045861" w14:textId="3B26D5C9"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rPr>
              <w:t>–</w:t>
            </w:r>
            <w:r>
              <w:rPr>
                <w:rFonts w:ascii="Times New Roman" w:hAnsi="Times New Roman" w:cs="Times New Roman"/>
                <w:iCs/>
                <w:lang w:eastAsia="lv-LV"/>
              </w:rPr>
              <w:t>9</w:t>
            </w:r>
            <w:r w:rsidR="007A3F62">
              <w:rPr>
                <w:rFonts w:ascii="Times New Roman" w:hAnsi="Times New Roman" w:cs="Times New Roman"/>
                <w:iCs/>
                <w:lang w:eastAsia="lv-LV"/>
              </w:rPr>
              <w:t> </w:t>
            </w:r>
            <w:r>
              <w:rPr>
                <w:rFonts w:ascii="Times New Roman" w:hAnsi="Times New Roman" w:cs="Times New Roman"/>
                <w:iCs/>
                <w:lang w:eastAsia="lv-LV"/>
              </w:rPr>
              <w:t>74</w:t>
            </w:r>
            <w:r w:rsidR="007A3F62">
              <w:rPr>
                <w:rFonts w:ascii="Times New Roman" w:hAnsi="Times New Roman" w:cs="Times New Roman"/>
                <w:iCs/>
                <w:lang w:eastAsia="lv-LV"/>
              </w:rPr>
              <w:t>5 501</w:t>
            </w:r>
          </w:p>
        </w:tc>
        <w:tc>
          <w:tcPr>
            <w:tcW w:w="1000" w:type="dxa"/>
            <w:vAlign w:val="center"/>
          </w:tcPr>
          <w:p w14:paraId="11BF37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FB21E0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59AFB36" w14:textId="77777777" w:rsidTr="006A5DEF">
        <w:tc>
          <w:tcPr>
            <w:tcW w:w="1702" w:type="dxa"/>
            <w:vAlign w:val="center"/>
          </w:tcPr>
          <w:p w14:paraId="5F4B3EE0"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10C4CE1" w14:textId="3B0FAC5F"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rPr>
              <w:t>–</w:t>
            </w:r>
            <w:r>
              <w:rPr>
                <w:rFonts w:ascii="Times New Roman" w:hAnsi="Times New Roman" w:cs="Times New Roman"/>
                <w:iCs/>
                <w:lang w:eastAsia="lv-LV"/>
              </w:rPr>
              <w:t>9</w:t>
            </w:r>
            <w:r w:rsidR="007A3F62">
              <w:rPr>
                <w:rFonts w:ascii="Times New Roman" w:hAnsi="Times New Roman" w:cs="Times New Roman"/>
                <w:iCs/>
                <w:lang w:eastAsia="lv-LV"/>
              </w:rPr>
              <w:t> </w:t>
            </w:r>
            <w:r>
              <w:rPr>
                <w:rFonts w:ascii="Times New Roman" w:hAnsi="Times New Roman" w:cs="Times New Roman"/>
                <w:iCs/>
                <w:lang w:eastAsia="lv-LV"/>
              </w:rPr>
              <w:t>74</w:t>
            </w:r>
            <w:r w:rsidR="007A3F62">
              <w:rPr>
                <w:rFonts w:ascii="Times New Roman" w:hAnsi="Times New Roman" w:cs="Times New Roman"/>
                <w:iCs/>
                <w:lang w:eastAsia="lv-LV"/>
              </w:rPr>
              <w:t>5 501</w:t>
            </w:r>
          </w:p>
        </w:tc>
        <w:tc>
          <w:tcPr>
            <w:tcW w:w="1000" w:type="dxa"/>
            <w:vAlign w:val="center"/>
          </w:tcPr>
          <w:p w14:paraId="4FEE02B8"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B226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1805ACF" w14:textId="77777777" w:rsidTr="00023CD9">
        <w:tc>
          <w:tcPr>
            <w:tcW w:w="1702" w:type="dxa"/>
            <w:vAlign w:val="center"/>
          </w:tcPr>
          <w:p w14:paraId="5B536504" w14:textId="05561C51" w:rsidR="00B47986" w:rsidRPr="00594B91" w:rsidRDefault="00B47986" w:rsidP="00B47986">
            <w:pPr>
              <w:pStyle w:val="NoSpacing"/>
              <w:jc w:val="both"/>
              <w:rPr>
                <w:rFonts w:ascii="Times New Roman" w:hAnsi="Times New Roman" w:cs="Times New Roman"/>
                <w:i/>
                <w:sz w:val="24"/>
                <w:szCs w:val="24"/>
                <w:lang w:eastAsia="lv-LV"/>
              </w:rPr>
            </w:pPr>
            <w:bookmarkStart w:id="2" w:name="_Hlk35267132"/>
            <w:r w:rsidRPr="00594B91">
              <w:rPr>
                <w:rFonts w:ascii="Times New Roman" w:hAnsi="Times New Roman" w:cs="Times New Roman"/>
                <w:i/>
                <w:sz w:val="24"/>
                <w:szCs w:val="24"/>
                <w:lang w:eastAsia="lv-LV"/>
              </w:rPr>
              <w:t>Veselības ministrija</w:t>
            </w:r>
          </w:p>
        </w:tc>
        <w:tc>
          <w:tcPr>
            <w:tcW w:w="992" w:type="dxa"/>
          </w:tcPr>
          <w:p w14:paraId="29573467" w14:textId="5388F62A"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1182271E" w14:textId="74F02076" w:rsidR="00B47986" w:rsidRPr="001C797C"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w:t>
            </w:r>
            <w:r>
              <w:rPr>
                <w:rFonts w:ascii="Times New Roman" w:hAnsi="Times New Roman" w:cs="Times New Roman"/>
                <w:iCs/>
                <w:lang w:eastAsia="lv-LV"/>
              </w:rPr>
              <w:t>27</w:t>
            </w:r>
            <w:r w:rsidR="007A3F62">
              <w:rPr>
                <w:rFonts w:ascii="Times New Roman" w:hAnsi="Times New Roman" w:cs="Times New Roman"/>
                <w:iCs/>
                <w:lang w:eastAsia="lv-LV"/>
              </w:rPr>
              <w:t>1 476</w:t>
            </w:r>
          </w:p>
        </w:tc>
        <w:tc>
          <w:tcPr>
            <w:tcW w:w="1000" w:type="dxa"/>
            <w:vAlign w:val="center"/>
          </w:tcPr>
          <w:p w14:paraId="49235941" w14:textId="06230DD6"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C23E4A8" w14:textId="09D67FA5"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07FD43" w14:textId="04EB9990"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8BD37A" w14:textId="5D6EDAC4"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03CA486" w14:textId="00CB668D"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4C1923D5" w14:textId="77777777" w:rsidTr="00023CD9">
        <w:tc>
          <w:tcPr>
            <w:tcW w:w="1702" w:type="dxa"/>
            <w:vAlign w:val="center"/>
          </w:tcPr>
          <w:p w14:paraId="77352ADB" w14:textId="1629DE6E" w:rsidR="00B47986" w:rsidRPr="00594B91" w:rsidRDefault="00B47986" w:rsidP="00B47986">
            <w:pPr>
              <w:pStyle w:val="NoSpacing"/>
              <w:jc w:val="both"/>
              <w:rPr>
                <w:rFonts w:ascii="Times New Roman" w:hAnsi="Times New Roman" w:cs="Times New Roman"/>
                <w:i/>
                <w:sz w:val="24"/>
                <w:szCs w:val="24"/>
                <w:lang w:eastAsia="lv-LV"/>
              </w:rPr>
            </w:pPr>
            <w:r w:rsidRPr="00594B91">
              <w:rPr>
                <w:rFonts w:ascii="Times New Roman" w:hAnsi="Times New Roman" w:cs="Times New Roman"/>
                <w:i/>
                <w:sz w:val="24"/>
                <w:szCs w:val="24"/>
                <w:lang w:eastAsia="lv-LV"/>
              </w:rPr>
              <w:t>Iekšlietu ministrija</w:t>
            </w:r>
          </w:p>
        </w:tc>
        <w:tc>
          <w:tcPr>
            <w:tcW w:w="992" w:type="dxa"/>
          </w:tcPr>
          <w:p w14:paraId="4DBA1509" w14:textId="5F46E612"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76C5CF4F" w14:textId="3DF52A27" w:rsidR="00B47986" w:rsidRPr="001C797C"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474 025</w:t>
            </w:r>
          </w:p>
        </w:tc>
        <w:tc>
          <w:tcPr>
            <w:tcW w:w="1000" w:type="dxa"/>
            <w:vAlign w:val="center"/>
          </w:tcPr>
          <w:p w14:paraId="1DAF101F" w14:textId="015EE1A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00A4A01" w14:textId="30038216"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C5F2EA" w14:textId="11A2453C"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04B9BA" w14:textId="1946D9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55C952" w14:textId="4E117113"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bookmarkEnd w:id="2"/>
      <w:tr w:rsidR="00B47986" w14:paraId="4FD56D6B" w14:textId="77777777" w:rsidTr="006A5DEF">
        <w:tc>
          <w:tcPr>
            <w:tcW w:w="1702" w:type="dxa"/>
            <w:vAlign w:val="center"/>
          </w:tcPr>
          <w:p w14:paraId="05A4251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5010EF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4A7B27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760A1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708153F" w14:textId="77777777" w:rsidTr="006A5DEF">
        <w:tc>
          <w:tcPr>
            <w:tcW w:w="1702" w:type="dxa"/>
            <w:vAlign w:val="center"/>
          </w:tcPr>
          <w:p w14:paraId="49D3750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3853C8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6EF41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097A88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1225A24A" w14:textId="77777777" w:rsidTr="006A5DEF">
        <w:tc>
          <w:tcPr>
            <w:tcW w:w="1702" w:type="dxa"/>
            <w:vAlign w:val="center"/>
          </w:tcPr>
          <w:p w14:paraId="3C23F923"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3012FE58" w14:textId="1F17F7FB" w:rsidR="00B47986" w:rsidRPr="001C797C"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w:t>
            </w:r>
            <w:r>
              <w:rPr>
                <w:rFonts w:ascii="Times New Roman" w:hAnsi="Times New Roman" w:cs="Times New Roman"/>
                <w:iCs/>
                <w:lang w:eastAsia="lv-LV"/>
              </w:rPr>
              <w:t>74</w:t>
            </w:r>
            <w:r w:rsidR="007A3F62">
              <w:rPr>
                <w:rFonts w:ascii="Times New Roman" w:hAnsi="Times New Roman" w:cs="Times New Roman"/>
                <w:iCs/>
                <w:lang w:eastAsia="lv-LV"/>
              </w:rPr>
              <w:t>5 501</w:t>
            </w:r>
          </w:p>
        </w:tc>
        <w:tc>
          <w:tcPr>
            <w:tcW w:w="1000" w:type="dxa"/>
            <w:vAlign w:val="center"/>
          </w:tcPr>
          <w:p w14:paraId="63B43A8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362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DD0AAC8" w14:textId="77777777" w:rsidTr="00BE3245">
        <w:tc>
          <w:tcPr>
            <w:tcW w:w="1702" w:type="dxa"/>
            <w:vAlign w:val="center"/>
          </w:tcPr>
          <w:p w14:paraId="5F1100E1" w14:textId="45A69265" w:rsidR="00B47986" w:rsidRPr="00594B91" w:rsidRDefault="00B47986" w:rsidP="00B47986">
            <w:pPr>
              <w:pStyle w:val="NoSpacing"/>
              <w:jc w:val="both"/>
              <w:rPr>
                <w:rFonts w:ascii="Times New Roman" w:hAnsi="Times New Roman" w:cs="Times New Roman"/>
                <w:i/>
                <w:sz w:val="24"/>
                <w:szCs w:val="24"/>
                <w:lang w:eastAsia="lv-LV"/>
              </w:rPr>
            </w:pPr>
            <w:r w:rsidRPr="00594B91">
              <w:rPr>
                <w:rFonts w:ascii="Times New Roman" w:hAnsi="Times New Roman" w:cs="Times New Roman"/>
                <w:i/>
                <w:sz w:val="24"/>
                <w:szCs w:val="24"/>
                <w:lang w:eastAsia="lv-LV"/>
              </w:rPr>
              <w:t>Veselības ministrija</w:t>
            </w:r>
          </w:p>
        </w:tc>
        <w:tc>
          <w:tcPr>
            <w:tcW w:w="992" w:type="dxa"/>
          </w:tcPr>
          <w:p w14:paraId="2A5BA34D" w14:textId="224B17FE"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18947DD1" w14:textId="5C202CA0" w:rsidR="00B47986"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9</w:t>
            </w:r>
            <w:r w:rsidR="007A3F62">
              <w:rPr>
                <w:rFonts w:ascii="Times New Roman" w:hAnsi="Times New Roman" w:cs="Times New Roman"/>
                <w:iCs/>
                <w:lang w:eastAsia="lv-LV"/>
              </w:rPr>
              <w:t> </w:t>
            </w:r>
            <w:r>
              <w:rPr>
                <w:rFonts w:ascii="Times New Roman" w:hAnsi="Times New Roman" w:cs="Times New Roman"/>
                <w:iCs/>
                <w:lang w:eastAsia="lv-LV"/>
              </w:rPr>
              <w:t>27</w:t>
            </w:r>
            <w:r w:rsidR="007A3F62">
              <w:rPr>
                <w:rFonts w:ascii="Times New Roman" w:hAnsi="Times New Roman" w:cs="Times New Roman"/>
                <w:iCs/>
                <w:lang w:eastAsia="lv-LV"/>
              </w:rPr>
              <w:t>1 476</w:t>
            </w:r>
          </w:p>
        </w:tc>
        <w:tc>
          <w:tcPr>
            <w:tcW w:w="1000" w:type="dxa"/>
            <w:vAlign w:val="center"/>
          </w:tcPr>
          <w:p w14:paraId="13AB8149" w14:textId="0C1D762F"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58B9680" w14:textId="614B9B80"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7198331" w14:textId="2C9960B5"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CACEB6" w14:textId="131FC61D"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68E2C6" w14:textId="45000F84"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42DE041" w14:textId="77777777" w:rsidTr="00BE3245">
        <w:tc>
          <w:tcPr>
            <w:tcW w:w="1702" w:type="dxa"/>
            <w:vAlign w:val="center"/>
          </w:tcPr>
          <w:p w14:paraId="5FD169BC" w14:textId="2E6011A6" w:rsidR="00B47986" w:rsidRPr="00594B91" w:rsidRDefault="00B47986" w:rsidP="00B47986">
            <w:pPr>
              <w:pStyle w:val="NoSpacing"/>
              <w:jc w:val="both"/>
              <w:rPr>
                <w:rFonts w:ascii="Times New Roman" w:hAnsi="Times New Roman" w:cs="Times New Roman"/>
                <w:i/>
                <w:sz w:val="24"/>
                <w:szCs w:val="24"/>
                <w:lang w:eastAsia="lv-LV"/>
              </w:rPr>
            </w:pPr>
            <w:r w:rsidRPr="00594B91">
              <w:rPr>
                <w:rFonts w:ascii="Times New Roman" w:hAnsi="Times New Roman" w:cs="Times New Roman"/>
                <w:i/>
                <w:sz w:val="24"/>
                <w:szCs w:val="24"/>
                <w:lang w:eastAsia="lv-LV"/>
              </w:rPr>
              <w:t>Iekšlietu ministrija</w:t>
            </w:r>
          </w:p>
        </w:tc>
        <w:tc>
          <w:tcPr>
            <w:tcW w:w="992" w:type="dxa"/>
          </w:tcPr>
          <w:p w14:paraId="7FD24069" w14:textId="3691C6DA" w:rsidR="00B47986" w:rsidRPr="001C797C" w:rsidRDefault="00B47986" w:rsidP="00B47986">
            <w:pPr>
              <w:pStyle w:val="NoSpacing"/>
              <w:rPr>
                <w:rFonts w:ascii="Times New Roman" w:hAnsi="Times New Roman" w:cs="Times New Roman"/>
                <w:iCs/>
                <w:lang w:eastAsia="lv-LV"/>
              </w:rPr>
            </w:pPr>
            <w:r w:rsidRPr="001C797C">
              <w:rPr>
                <w:iCs/>
              </w:rPr>
              <w:t>0</w:t>
            </w:r>
          </w:p>
        </w:tc>
        <w:tc>
          <w:tcPr>
            <w:tcW w:w="1268" w:type="dxa"/>
            <w:shd w:val="clear" w:color="auto" w:fill="auto"/>
            <w:vAlign w:val="center"/>
          </w:tcPr>
          <w:p w14:paraId="3FFE0AA9" w14:textId="11865FDB" w:rsidR="00B47986" w:rsidRDefault="00B47986" w:rsidP="00B47986">
            <w:pPr>
              <w:pStyle w:val="NoSpacing"/>
              <w:rPr>
                <w:rFonts w:ascii="Times New Roman" w:hAnsi="Times New Roman" w:cs="Times New Roman"/>
                <w:iCs/>
                <w:lang w:eastAsia="lv-LV"/>
              </w:rPr>
            </w:pPr>
            <w:r>
              <w:rPr>
                <w:rFonts w:ascii="Times New Roman" w:hAnsi="Times New Roman" w:cs="Times New Roman"/>
                <w:iCs/>
                <w:lang w:eastAsia="lv-LV"/>
              </w:rPr>
              <w:t>474 025</w:t>
            </w:r>
          </w:p>
        </w:tc>
        <w:tc>
          <w:tcPr>
            <w:tcW w:w="1000" w:type="dxa"/>
            <w:vAlign w:val="center"/>
          </w:tcPr>
          <w:p w14:paraId="0FEBBB75" w14:textId="6B18130C"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183249C" w14:textId="159F9FEF"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F205BD8" w14:textId="27C74EF2"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770723F" w14:textId="242C5975"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FDB8944" w14:textId="5470922D"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7AB6B0CC" w14:textId="77777777" w:rsidTr="006936E5">
        <w:tc>
          <w:tcPr>
            <w:tcW w:w="1702" w:type="dxa"/>
            <w:vAlign w:val="center"/>
          </w:tcPr>
          <w:p w14:paraId="48CFB777"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3BE399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0C1AF409" w14:textId="77777777" w:rsidTr="006936E5">
        <w:tc>
          <w:tcPr>
            <w:tcW w:w="1702" w:type="dxa"/>
            <w:vAlign w:val="center"/>
          </w:tcPr>
          <w:p w14:paraId="4DA97FB0"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5.1. valsts pamatbudžets</w:t>
            </w:r>
          </w:p>
        </w:tc>
        <w:tc>
          <w:tcPr>
            <w:tcW w:w="992" w:type="dxa"/>
            <w:vMerge/>
            <w:vAlign w:val="center"/>
          </w:tcPr>
          <w:p w14:paraId="7A946D42" w14:textId="77777777" w:rsidR="00B47986" w:rsidRPr="001C797C" w:rsidRDefault="00B47986" w:rsidP="00B47986">
            <w:pPr>
              <w:pStyle w:val="NoSpacing"/>
              <w:rPr>
                <w:rFonts w:ascii="Times New Roman" w:hAnsi="Times New Roman" w:cs="Times New Roman"/>
                <w:iCs/>
                <w:lang w:eastAsia="lv-LV"/>
              </w:rPr>
            </w:pPr>
          </w:p>
        </w:tc>
        <w:tc>
          <w:tcPr>
            <w:tcW w:w="1268" w:type="dxa"/>
            <w:vAlign w:val="center"/>
          </w:tcPr>
          <w:p w14:paraId="2B30738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452E2FD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2199DC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BAE0911" w14:textId="77777777" w:rsidTr="006936E5">
        <w:tc>
          <w:tcPr>
            <w:tcW w:w="1702" w:type="dxa"/>
            <w:vAlign w:val="center"/>
          </w:tcPr>
          <w:p w14:paraId="0110B026"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B47986" w:rsidRPr="001C797C" w:rsidRDefault="00B47986" w:rsidP="00B47986">
            <w:pPr>
              <w:pStyle w:val="NoSpacing"/>
              <w:rPr>
                <w:rFonts w:ascii="Times New Roman" w:hAnsi="Times New Roman" w:cs="Times New Roman"/>
                <w:iCs/>
                <w:lang w:eastAsia="lv-LV"/>
              </w:rPr>
            </w:pPr>
          </w:p>
        </w:tc>
        <w:tc>
          <w:tcPr>
            <w:tcW w:w="1268" w:type="dxa"/>
            <w:vAlign w:val="center"/>
          </w:tcPr>
          <w:p w14:paraId="25BA06B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622844A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03DEC8D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BF72E" w14:textId="77777777" w:rsidTr="006936E5">
        <w:tc>
          <w:tcPr>
            <w:tcW w:w="1702" w:type="dxa"/>
            <w:vAlign w:val="center"/>
          </w:tcPr>
          <w:p w14:paraId="3E9EACD0"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B47986" w:rsidRPr="001C797C" w:rsidRDefault="00B47986" w:rsidP="00B47986">
            <w:pPr>
              <w:pStyle w:val="NoSpacing"/>
              <w:rPr>
                <w:rFonts w:ascii="Times New Roman" w:hAnsi="Times New Roman" w:cs="Times New Roman"/>
                <w:iCs/>
                <w:lang w:eastAsia="lv-LV"/>
              </w:rPr>
            </w:pPr>
          </w:p>
        </w:tc>
        <w:tc>
          <w:tcPr>
            <w:tcW w:w="1268" w:type="dxa"/>
            <w:vAlign w:val="center"/>
          </w:tcPr>
          <w:p w14:paraId="2740B46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7840B9D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474DDF4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FEA566D" w14:textId="77777777" w:rsidTr="009547D2">
        <w:tc>
          <w:tcPr>
            <w:tcW w:w="1702" w:type="dxa"/>
            <w:vAlign w:val="center"/>
          </w:tcPr>
          <w:p w14:paraId="5DD6889C"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7D8D161" w14:textId="03E5703A" w:rsidR="00B47986" w:rsidRDefault="00B47986" w:rsidP="00B47986">
            <w:pPr>
              <w:jc w:val="both"/>
            </w:pPr>
          </w:p>
          <w:p w14:paraId="04C70739" w14:textId="1D2CC1B0" w:rsidR="00B47986" w:rsidRDefault="00B47986" w:rsidP="00B47986">
            <w:pPr>
              <w:tabs>
                <w:tab w:val="left" w:pos="631"/>
              </w:tabs>
              <w:ind w:firstLine="311"/>
              <w:jc w:val="both"/>
            </w:pPr>
            <w:r>
              <w:t>Rīkojuma projekts paredz Finanšu ministrijai no valsts budžeta programmas 02.00.00 “Līdzekļi neparedzētiem gadījumiem” piešķirt Veselības ministrijai (</w:t>
            </w:r>
            <w:r w:rsidRPr="00950DF4">
              <w:t>Neatliekamās medicīniskās palīdzības dienestam</w:t>
            </w:r>
            <w:r>
              <w:t>)</w:t>
            </w:r>
            <w:r w:rsidRPr="00950DF4">
              <w:t xml:space="preserve"> </w:t>
            </w:r>
            <w:r w:rsidRPr="001A5818">
              <w:rPr>
                <w:b/>
                <w:bCs/>
              </w:rPr>
              <w:t>9</w:t>
            </w:r>
            <w:r w:rsidR="007A3F62">
              <w:rPr>
                <w:b/>
                <w:bCs/>
              </w:rPr>
              <w:t> </w:t>
            </w:r>
            <w:r w:rsidRPr="001A5818">
              <w:rPr>
                <w:b/>
                <w:bCs/>
              </w:rPr>
              <w:t>27</w:t>
            </w:r>
            <w:r w:rsidR="007A3F62">
              <w:rPr>
                <w:b/>
                <w:bCs/>
              </w:rPr>
              <w:t>1  476</w:t>
            </w:r>
            <w:r w:rsidRPr="001A5818">
              <w:rPr>
                <w:b/>
                <w:bCs/>
              </w:rPr>
              <w:t xml:space="preserve"> </w:t>
            </w:r>
            <w:r w:rsidRPr="001A5818">
              <w:rPr>
                <w:b/>
                <w:bCs/>
                <w:i/>
              </w:rPr>
              <w:t>euro</w:t>
            </w:r>
            <w:r w:rsidRPr="0028659C">
              <w:t>,</w:t>
            </w:r>
            <w:r>
              <w:t xml:space="preserve"> tai skaitā, skat., anotācijas pielikumu:</w:t>
            </w:r>
          </w:p>
          <w:p w14:paraId="43D9FE51" w14:textId="3F9823B5" w:rsidR="00B47986" w:rsidRDefault="00B47986" w:rsidP="00B47986">
            <w:pPr>
              <w:pStyle w:val="tv213"/>
              <w:numPr>
                <w:ilvl w:val="0"/>
                <w:numId w:val="23"/>
              </w:numPr>
              <w:tabs>
                <w:tab w:val="left" w:pos="709"/>
              </w:tabs>
              <w:spacing w:before="0" w:beforeAutospacing="0" w:after="0" w:afterAutospacing="0"/>
              <w:jc w:val="both"/>
            </w:pPr>
            <w:r w:rsidRPr="005242EC">
              <w:t xml:space="preserve">vienreizējo individuālo aizsardzības līdzekļu nodrošināšanai Neatliekamās medicīniskās palīdzības dienesta vajadzībām finansējumu, kas nepārsniedz 130 663 </w:t>
            </w:r>
            <w:r w:rsidRPr="005242EC">
              <w:rPr>
                <w:i/>
                <w:iCs/>
              </w:rPr>
              <w:t>euro</w:t>
            </w:r>
            <w:r>
              <w:rPr>
                <w:i/>
                <w:iCs/>
              </w:rPr>
              <w:t xml:space="preserve"> </w:t>
            </w:r>
            <w:r>
              <w:t>(2000 kods Preces un pakalpojumi)</w:t>
            </w:r>
            <w:r w:rsidRPr="005242EC">
              <w:t xml:space="preserve">; </w:t>
            </w:r>
          </w:p>
          <w:p w14:paraId="1CFE50FB" w14:textId="791E0EF9" w:rsidR="00B47986" w:rsidRDefault="00B47986" w:rsidP="00B47986">
            <w:pPr>
              <w:pStyle w:val="tv213"/>
              <w:numPr>
                <w:ilvl w:val="0"/>
                <w:numId w:val="23"/>
              </w:numPr>
              <w:tabs>
                <w:tab w:val="left" w:pos="709"/>
              </w:tabs>
              <w:spacing w:before="0" w:beforeAutospacing="0" w:after="0" w:afterAutospacing="0"/>
              <w:jc w:val="both"/>
            </w:pPr>
            <w:r w:rsidRPr="005242EC">
              <w:t xml:space="preserve">dezinfekcijas līdzekļu nodrošināšanai Neatliekamās medicīniskās palīdzības dienesta vajadzībām  finansējumu, kas nepārsniedz 6 266 </w:t>
            </w:r>
            <w:r w:rsidRPr="005242EC">
              <w:rPr>
                <w:i/>
                <w:iCs/>
              </w:rPr>
              <w:t>euro</w:t>
            </w:r>
            <w:r>
              <w:rPr>
                <w:i/>
                <w:iCs/>
              </w:rPr>
              <w:t xml:space="preserve"> </w:t>
            </w:r>
            <w:r>
              <w:t>(2000 kods Preces un pakalpojumi)</w:t>
            </w:r>
            <w:r w:rsidRPr="005242EC">
              <w:t>;</w:t>
            </w:r>
          </w:p>
          <w:p w14:paraId="637561B5" w14:textId="4187CA23" w:rsidR="00B47986" w:rsidRPr="0090017B" w:rsidRDefault="00B47986" w:rsidP="00B47986">
            <w:pPr>
              <w:pStyle w:val="tv213"/>
              <w:numPr>
                <w:ilvl w:val="0"/>
                <w:numId w:val="23"/>
              </w:numPr>
              <w:tabs>
                <w:tab w:val="left" w:pos="709"/>
              </w:tabs>
              <w:spacing w:before="0" w:beforeAutospacing="0" w:after="0" w:afterAutospacing="0"/>
              <w:jc w:val="both"/>
            </w:pPr>
            <w:r w:rsidRPr="005242EC">
              <w:t xml:space="preserve">vienreizējo individuālo aizsardzības līdzekļu nodrošināšanai Neatliekamās medicīniskās palīdzības dienesta brigāžu, </w:t>
            </w:r>
            <w:r w:rsidRPr="0091740C">
              <w:t>V un IV līmeņa stacionārajām ārstniecības iestāžu</w:t>
            </w:r>
            <w:r w:rsidRPr="005242EC">
              <w:t xml:space="preserve">, ģimenes ārstu prakšu, vajadzībām finansējumu, kas nepārsniedz </w:t>
            </w:r>
            <w:r>
              <w:t>9</w:t>
            </w:r>
            <w:r w:rsidR="007A3F62">
              <w:t> </w:t>
            </w:r>
            <w:r>
              <w:t>1</w:t>
            </w:r>
            <w:r w:rsidR="007A3F62">
              <w:t>34 547</w:t>
            </w:r>
            <w:bookmarkStart w:id="3" w:name="_GoBack"/>
            <w:bookmarkEnd w:id="3"/>
            <w:r w:rsidRPr="005242EC">
              <w:rPr>
                <w:i/>
                <w:iCs/>
              </w:rPr>
              <w:t xml:space="preserve"> euro</w:t>
            </w:r>
            <w:r>
              <w:rPr>
                <w:i/>
                <w:iCs/>
              </w:rPr>
              <w:t xml:space="preserve"> </w:t>
            </w:r>
            <w:r>
              <w:t>(2000 kods Preces un pakalpojumi)</w:t>
            </w:r>
            <w:r w:rsidRPr="005242EC">
              <w:rPr>
                <w:i/>
                <w:iCs/>
              </w:rPr>
              <w:t>.</w:t>
            </w:r>
          </w:p>
          <w:p w14:paraId="677BC5DE" w14:textId="1262C2DB" w:rsidR="0090017B" w:rsidRDefault="0090017B" w:rsidP="0090017B">
            <w:pPr>
              <w:pStyle w:val="tv213"/>
              <w:tabs>
                <w:tab w:val="left" w:pos="709"/>
              </w:tabs>
              <w:spacing w:before="0" w:beforeAutospacing="0" w:after="0" w:afterAutospacing="0"/>
              <w:jc w:val="both"/>
              <w:rPr>
                <w:i/>
                <w:iCs/>
              </w:rPr>
            </w:pPr>
          </w:p>
          <w:p w14:paraId="6F1F71ED" w14:textId="1FE7711E" w:rsidR="0090017B" w:rsidRPr="0090017B" w:rsidRDefault="0090017B" w:rsidP="0090017B">
            <w:pPr>
              <w:pStyle w:val="tv213"/>
              <w:tabs>
                <w:tab w:val="left" w:pos="709"/>
              </w:tabs>
              <w:spacing w:before="0" w:beforeAutospacing="0" w:after="0" w:afterAutospacing="0"/>
              <w:ind w:firstLine="321"/>
              <w:jc w:val="both"/>
            </w:pPr>
            <w:r>
              <w:t>Rīkojuma projekts</w:t>
            </w:r>
            <w:r w:rsidR="00922C9E">
              <w:t xml:space="preserve"> paredz</w:t>
            </w:r>
            <w:r>
              <w:t xml:space="preserve"> </w:t>
            </w:r>
            <w:r w:rsidRPr="0090017B">
              <w:t xml:space="preserve">Finanšu ministrijai no valsts budžeta programmas </w:t>
            </w:r>
            <w:smartTag w:uri="schemas-tilde-lv/tildestengine" w:element="date">
              <w:smartTagPr>
                <w:attr w:name="Year" w:val="2001"/>
                <w:attr w:name="Month" w:val="11"/>
                <w:attr w:name="Day" w:val="30"/>
              </w:smartTagPr>
              <w:r w:rsidRPr="0090017B">
                <w:t>02.00.00</w:t>
              </w:r>
            </w:smartTag>
            <w:r w:rsidRPr="0090017B">
              <w:t xml:space="preserve"> “Līdzekļi neparedzētiem gadījumiem” piešķirt Iekšlietu ministrijai (Nodrošinājuma valsts aģentūrai) finansējumu, kas nepārsniedz 474 025 </w:t>
            </w:r>
            <w:r w:rsidRPr="0090017B">
              <w:rPr>
                <w:i/>
              </w:rPr>
              <w:t>euro</w:t>
            </w:r>
            <w:r w:rsidRPr="0090017B">
              <w:t>, lai segtu izdevumus, kas radušies saistībā ar koronavīrusa “Covid-19” uzliesmojumu vienreizējo individuālo aizsardzības līdzekļu nodrošināšanai, tai skaitā</w:t>
            </w:r>
            <w:r w:rsidR="00922C9E">
              <w:t>, skat., anotācijas pielikumu</w:t>
            </w:r>
            <w:r w:rsidRPr="0090017B">
              <w:t>:</w:t>
            </w:r>
          </w:p>
          <w:p w14:paraId="721163E0" w14:textId="474194E1"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Valsts policijas vajadzībām finansējumu, kas nepārsniedz 392 500 </w:t>
            </w:r>
            <w:r w:rsidRPr="0090017B">
              <w:rPr>
                <w:i/>
                <w:iCs/>
              </w:rPr>
              <w:t>euro</w:t>
            </w:r>
            <w:r w:rsidR="00922C9E">
              <w:rPr>
                <w:i/>
                <w:iCs/>
              </w:rPr>
              <w:t xml:space="preserve"> </w:t>
            </w:r>
            <w:r w:rsidR="00922C9E">
              <w:t>(2000 kods Preces un pakalpojumi)</w:t>
            </w:r>
            <w:r w:rsidRPr="0090017B">
              <w:t xml:space="preserve">; </w:t>
            </w:r>
          </w:p>
          <w:p w14:paraId="20317E2A" w14:textId="09CA9C8C"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Valsts robežsardzes vajadzībām finansējumu, kas nepārsniedz 51 700 </w:t>
            </w:r>
            <w:r w:rsidRPr="0090017B">
              <w:rPr>
                <w:i/>
                <w:iCs/>
              </w:rPr>
              <w:t>euro</w:t>
            </w:r>
            <w:r w:rsidR="00922C9E">
              <w:rPr>
                <w:i/>
                <w:iCs/>
              </w:rPr>
              <w:t xml:space="preserve"> </w:t>
            </w:r>
            <w:r w:rsidR="00922C9E">
              <w:t>(2000 kods Preces un pakalpojumi)</w:t>
            </w:r>
            <w:r w:rsidRPr="0090017B">
              <w:t xml:space="preserve">; </w:t>
            </w:r>
          </w:p>
          <w:p w14:paraId="25C1D96A" w14:textId="357E64B3"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Valsts ugunsdzēsības un glābšanas dienesta vajadzībām finansējumu, kas nepārsniedz 12 750 </w:t>
            </w:r>
            <w:r w:rsidRPr="0090017B">
              <w:rPr>
                <w:i/>
                <w:iCs/>
              </w:rPr>
              <w:t>euro</w:t>
            </w:r>
            <w:r w:rsidR="00922C9E">
              <w:rPr>
                <w:i/>
                <w:iCs/>
              </w:rPr>
              <w:t xml:space="preserve"> </w:t>
            </w:r>
            <w:r w:rsidR="00922C9E">
              <w:t>(2000 kods Preces un pakalpojumi)</w:t>
            </w:r>
            <w:r w:rsidRPr="0090017B">
              <w:t xml:space="preserve">; </w:t>
            </w:r>
          </w:p>
          <w:p w14:paraId="18BE8E47" w14:textId="2EB0469C"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Iekšlietu ministrijas Informācijas centra vajadzībām finansējumu, kas nepārsniedz 1 380 </w:t>
            </w:r>
            <w:r w:rsidRPr="0090017B">
              <w:rPr>
                <w:i/>
                <w:iCs/>
              </w:rPr>
              <w:t>euro</w:t>
            </w:r>
            <w:r w:rsidR="00922C9E">
              <w:rPr>
                <w:i/>
                <w:iCs/>
              </w:rPr>
              <w:t xml:space="preserve"> </w:t>
            </w:r>
            <w:r w:rsidR="00922C9E">
              <w:t>(2000 kods Preces un pakalpojumi)</w:t>
            </w:r>
            <w:r w:rsidRPr="0090017B">
              <w:t xml:space="preserve">; </w:t>
            </w:r>
          </w:p>
          <w:p w14:paraId="6164FA4E" w14:textId="39DB70D8"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Pilsonības un migrācijas lietu pārvaldes vajadzībām finansējumu, kas nepārsniedz 9 275 </w:t>
            </w:r>
            <w:r w:rsidRPr="0090017B">
              <w:rPr>
                <w:i/>
                <w:iCs/>
              </w:rPr>
              <w:t>euro</w:t>
            </w:r>
            <w:r w:rsidR="00922C9E">
              <w:rPr>
                <w:i/>
                <w:iCs/>
              </w:rPr>
              <w:t xml:space="preserve"> </w:t>
            </w:r>
            <w:r w:rsidR="00922C9E">
              <w:t>(2000 kods Preces un pakalpojumi);</w:t>
            </w:r>
            <w:r w:rsidRPr="0090017B">
              <w:t xml:space="preserve"> </w:t>
            </w:r>
          </w:p>
          <w:p w14:paraId="79E36B3B" w14:textId="4347AA19" w:rsidR="0090017B" w:rsidRPr="0090017B" w:rsidRDefault="0090017B" w:rsidP="00922C9E">
            <w:pPr>
              <w:pStyle w:val="tv213"/>
              <w:numPr>
                <w:ilvl w:val="0"/>
                <w:numId w:val="26"/>
              </w:numPr>
              <w:tabs>
                <w:tab w:val="left" w:pos="709"/>
              </w:tabs>
              <w:spacing w:before="0" w:beforeAutospacing="0" w:after="0" w:afterAutospacing="0"/>
              <w:jc w:val="both"/>
            </w:pPr>
            <w:r w:rsidRPr="0090017B">
              <w:t xml:space="preserve">Iekšlietu ministrijas poliklīnikas vajadzībām finansējumu, kas nepārsniedz 6 420 </w:t>
            </w:r>
            <w:r w:rsidRPr="0090017B">
              <w:rPr>
                <w:i/>
                <w:iCs/>
              </w:rPr>
              <w:t>euro</w:t>
            </w:r>
            <w:r w:rsidR="00922C9E">
              <w:rPr>
                <w:i/>
                <w:iCs/>
              </w:rPr>
              <w:t xml:space="preserve"> </w:t>
            </w:r>
            <w:r w:rsidR="00D50278">
              <w:t>(2000 kods Preces un pakalpojumi)</w:t>
            </w:r>
            <w:r w:rsidRPr="0090017B">
              <w:t>.</w:t>
            </w:r>
          </w:p>
          <w:p w14:paraId="71DA00AE" w14:textId="77777777" w:rsidR="0090017B" w:rsidRPr="005242EC" w:rsidRDefault="0090017B" w:rsidP="0090017B">
            <w:pPr>
              <w:pStyle w:val="tv213"/>
              <w:tabs>
                <w:tab w:val="left" w:pos="709"/>
              </w:tabs>
              <w:spacing w:before="0" w:beforeAutospacing="0" w:after="0" w:afterAutospacing="0"/>
              <w:jc w:val="both"/>
            </w:pPr>
          </w:p>
          <w:p w14:paraId="4D4ACDC7" w14:textId="49C52EDF" w:rsidR="00B47986" w:rsidRPr="005242EC" w:rsidRDefault="00B47986" w:rsidP="00B47986">
            <w:pPr>
              <w:tabs>
                <w:tab w:val="left" w:pos="631"/>
              </w:tabs>
              <w:ind w:firstLine="311"/>
              <w:jc w:val="both"/>
            </w:pPr>
          </w:p>
          <w:p w14:paraId="2CA40A36" w14:textId="77777777" w:rsidR="00B47986" w:rsidRPr="005242EC" w:rsidRDefault="00B47986" w:rsidP="00B47986">
            <w:pPr>
              <w:tabs>
                <w:tab w:val="left" w:pos="631"/>
              </w:tabs>
              <w:ind w:firstLine="311"/>
              <w:jc w:val="both"/>
            </w:pPr>
          </w:p>
          <w:p w14:paraId="1BBAFF8C" w14:textId="52DF2DCE" w:rsidR="00B47986" w:rsidRPr="00A92096" w:rsidRDefault="00B47986" w:rsidP="00B47986">
            <w:pPr>
              <w:tabs>
                <w:tab w:val="left" w:pos="631"/>
              </w:tabs>
              <w:jc w:val="both"/>
              <w:rPr>
                <w:bCs/>
              </w:rPr>
            </w:pPr>
          </w:p>
        </w:tc>
      </w:tr>
      <w:tr w:rsidR="00B47986" w14:paraId="07790FD0" w14:textId="77777777" w:rsidTr="009547D2">
        <w:tc>
          <w:tcPr>
            <w:tcW w:w="1702" w:type="dxa"/>
            <w:vAlign w:val="center"/>
          </w:tcPr>
          <w:p w14:paraId="0C029920"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B47986" w:rsidRPr="00EC6E12" w:rsidRDefault="00B47986" w:rsidP="00B47986">
            <w:pPr>
              <w:pStyle w:val="NoSpacing"/>
              <w:rPr>
                <w:rFonts w:ascii="Times New Roman" w:hAnsi="Times New Roman" w:cs="Times New Roman"/>
                <w:iCs/>
                <w:sz w:val="24"/>
                <w:szCs w:val="24"/>
                <w:lang w:eastAsia="lv-LV"/>
              </w:rPr>
            </w:pPr>
          </w:p>
        </w:tc>
      </w:tr>
      <w:tr w:rsidR="00B47986" w14:paraId="043D92E4" w14:textId="77777777" w:rsidTr="009547D2">
        <w:tc>
          <w:tcPr>
            <w:tcW w:w="1702" w:type="dxa"/>
            <w:vAlign w:val="center"/>
          </w:tcPr>
          <w:p w14:paraId="4A6058C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D3ACFAA" w14:textId="77777777" w:rsidR="00B47986" w:rsidRPr="00EC6E12" w:rsidRDefault="00B47986" w:rsidP="00B47986">
            <w:pPr>
              <w:pStyle w:val="NoSpacing"/>
              <w:rPr>
                <w:rFonts w:ascii="Times New Roman" w:hAnsi="Times New Roman" w:cs="Times New Roman"/>
                <w:iCs/>
                <w:sz w:val="24"/>
                <w:szCs w:val="24"/>
                <w:lang w:eastAsia="lv-LV"/>
              </w:rPr>
            </w:pPr>
          </w:p>
        </w:tc>
      </w:tr>
      <w:tr w:rsidR="00B47986" w14:paraId="23CD2FBC" w14:textId="77777777" w:rsidTr="002074A4">
        <w:tc>
          <w:tcPr>
            <w:tcW w:w="1702" w:type="dxa"/>
            <w:vAlign w:val="center"/>
          </w:tcPr>
          <w:p w14:paraId="4938D81E"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B47986" w:rsidRPr="00EC6E12" w:rsidRDefault="00B47986" w:rsidP="00B47986">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B47986" w14:paraId="0E5FD96D" w14:textId="77777777" w:rsidTr="002074A4">
        <w:tc>
          <w:tcPr>
            <w:tcW w:w="1702" w:type="dxa"/>
            <w:vAlign w:val="center"/>
          </w:tcPr>
          <w:p w14:paraId="11AD095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64BA0AD" w14:textId="36D4FF25" w:rsidR="00B47986" w:rsidRPr="00EC6E12" w:rsidRDefault="00B47986" w:rsidP="00B84835">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sidR="00367AB5">
              <w:rPr>
                <w:rFonts w:ascii="Times New Roman" w:hAnsi="Times New Roman" w:cs="Times New Roman"/>
                <w:sz w:val="24"/>
              </w:rPr>
              <w:t xml:space="preserve"> un </w:t>
            </w:r>
            <w:r w:rsidR="00367AB5">
              <w:rPr>
                <w:rFonts w:ascii="Times New Roman" w:hAnsi="Times New Roman" w:cs="Times New Roman"/>
                <w:sz w:val="24"/>
              </w:rPr>
              <w:t xml:space="preserve">Iekšlietu </w:t>
            </w:r>
            <w:r w:rsidR="00367AB5">
              <w:rPr>
                <w:rFonts w:ascii="Times New Roman" w:hAnsi="Times New Roman" w:cs="Times New Roman"/>
                <w:sz w:val="24"/>
              </w:rPr>
              <w:lastRenderedPageBreak/>
              <w:t>ministrijas budžeta programmas 99.00.00 “Līdzekļi neparedzētiem gadījumiem</w:t>
            </w:r>
            <w:r w:rsidR="00367AB5">
              <w:rPr>
                <w:rFonts w:ascii="Times New Roman" w:hAnsi="Times New Roman" w:cs="Times New Roman"/>
                <w:sz w:val="24"/>
              </w:rPr>
              <w:t>”</w:t>
            </w:r>
            <w:r w:rsidR="00367AB5">
              <w:rPr>
                <w:rFonts w:ascii="Times New Roman" w:hAnsi="Times New Roman" w:cs="Times New Roman"/>
                <w:sz w:val="24"/>
              </w:rPr>
              <w:t xml:space="preserve"> ietvaros</w:t>
            </w:r>
            <w:r w:rsidR="00367AB5">
              <w:rPr>
                <w:rFonts w:ascii="Times New Roman" w:hAnsi="Times New Roman" w:cs="Times New Roman"/>
                <w:sz w:val="24"/>
              </w:rPr>
              <w:t>,</w:t>
            </w:r>
            <w:r w:rsidR="00702CFD">
              <w:rPr>
                <w:rFonts w:ascii="Times New Roman" w:hAnsi="Times New Roman" w:cs="Times New Roman"/>
                <w:sz w:val="24"/>
              </w:rPr>
              <w:t xml:space="preserve"> </w:t>
            </w:r>
            <w:r w:rsidR="00702CFD">
              <w:rPr>
                <w:rFonts w:ascii="Times New Roman" w:hAnsi="Times New Roman" w:cs="Times New Roman"/>
                <w:sz w:val="24"/>
              </w:rPr>
              <w:t>līdzekļus pārdalot no valsts budžeta programmas 02.00.00 “Līdzekļi neparedzētiem gadījumiem”.</w:t>
            </w:r>
            <w:r w:rsidR="00E04A9C">
              <w:rPr>
                <w:rFonts w:ascii="Times New Roman" w:hAnsi="Times New Roman" w:cs="Times New Roman"/>
                <w:sz w:val="24"/>
              </w:rPr>
              <w:t xml:space="preserve"> </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337A1116" w:rsidR="0049601C" w:rsidRPr="00D65792" w:rsidRDefault="001E37ED" w:rsidP="0049601C">
            <w:pPr>
              <w:jc w:val="both"/>
            </w:pPr>
            <w:r w:rsidRPr="0079260F">
              <w:t>Veselības ministrija</w:t>
            </w:r>
            <w:r>
              <w:t xml:space="preserve">, Neatliekamās medicīniskās palīdzības dienests, Iekšlietu ministrija, </w:t>
            </w:r>
            <w:r w:rsidRPr="00577052">
              <w:t>Valsts policija,</w:t>
            </w:r>
            <w:r>
              <w:rPr>
                <w:sz w:val="28"/>
                <w:szCs w:val="28"/>
              </w:rPr>
              <w:t xml:space="preserve"> </w:t>
            </w:r>
            <w:r w:rsidRPr="00577052">
              <w:t>Valsts ugunsdzēsības un glābšanas dienests, Iekšlietu ministrijas Informācijas centrs, Pilsonības un migrācijas lietu pārvalde, Iekšlietu ministrijas poliklīnika</w:t>
            </w:r>
            <w:r>
              <w:t>.</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77777777" w:rsidR="0049601C" w:rsidRPr="00D65792" w:rsidRDefault="0049601C" w:rsidP="0049601C">
            <w:r w:rsidRPr="00D65792">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7B020EB" w14:textId="77777777" w:rsidR="00DF461F" w:rsidRDefault="00DF461F" w:rsidP="00DF461F">
      <w:pPr>
        <w:tabs>
          <w:tab w:val="left" w:pos="6237"/>
        </w:tabs>
        <w:ind w:firstLine="720"/>
        <w:rPr>
          <w:rFonts w:eastAsiaTheme="minorHAnsi"/>
          <w:sz w:val="28"/>
          <w:szCs w:val="28"/>
        </w:rPr>
      </w:pPr>
      <w:r>
        <w:rPr>
          <w:sz w:val="28"/>
          <w:szCs w:val="28"/>
        </w:rPr>
        <w:tab/>
      </w:r>
    </w:p>
    <w:p w14:paraId="6AEBB6C1" w14:textId="77777777" w:rsidR="00DF461F" w:rsidRDefault="00DF461F" w:rsidP="00DF461F">
      <w:pPr>
        <w:ind w:right="-765"/>
        <w:rPr>
          <w:rFonts w:eastAsia="Calibri"/>
          <w:color w:val="000000" w:themeColor="text1"/>
          <w:sz w:val="28"/>
          <w:szCs w:val="28"/>
        </w:rPr>
      </w:pPr>
    </w:p>
    <w:p w14:paraId="6FCEECB7"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743F4CD5"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6F77F219" w14:textId="580C0036" w:rsidR="00E465CE" w:rsidRDefault="007A3F62">
      <w:pPr>
        <w:pStyle w:val="NormalWeb"/>
        <w:spacing w:before="0" w:beforeAutospacing="0" w:after="0" w:afterAutospacing="0"/>
      </w:pPr>
      <w:hyperlink r:id="rId10" w:history="1">
        <w:r w:rsidR="00493BF2" w:rsidRPr="00412FD2">
          <w:rPr>
            <w:rStyle w:val="Hyperlink"/>
          </w:rPr>
          <w:t>Ivita.Lazdiņa@vm.gov.lv</w:t>
        </w:r>
      </w:hyperlink>
    </w:p>
    <w:sectPr w:rsidR="00E465C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6AD" w14:textId="77777777" w:rsidR="002074A4" w:rsidRDefault="002074A4" w:rsidP="00894C55">
      <w:r>
        <w:separator/>
      </w:r>
    </w:p>
  </w:endnote>
  <w:endnote w:type="continuationSeparator" w:id="0">
    <w:p w14:paraId="503300BB" w14:textId="77777777" w:rsidR="002074A4" w:rsidRDefault="002074A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48404A3F" w:rsidR="002074A4" w:rsidRPr="00894C55" w:rsidRDefault="002074A4">
    <w:pPr>
      <w:pStyle w:val="Footer"/>
      <w:rPr>
        <w:rFonts w:ascii="Times New Roman" w:hAnsi="Times New Roman" w:cs="Times New Roman"/>
        <w:sz w:val="20"/>
        <w:szCs w:val="20"/>
      </w:rPr>
    </w:pPr>
    <w:bookmarkStart w:id="4" w:name="_Hlk508203706"/>
    <w:bookmarkStart w:id="5" w:name="_Hlk508203707"/>
    <w:bookmarkStart w:id="6"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220B1B">
      <w:rPr>
        <w:rFonts w:ascii="Times New Roman" w:hAnsi="Times New Roman" w:cs="Times New Roman"/>
        <w:sz w:val="20"/>
        <w:szCs w:val="20"/>
      </w:rPr>
      <w:t>160320</w:t>
    </w:r>
    <w:r w:rsidRPr="008B37B7">
      <w:rPr>
        <w:rFonts w:ascii="Times New Roman" w:hAnsi="Times New Roman" w:cs="Times New Roman"/>
        <w:sz w:val="20"/>
        <w:szCs w:val="20"/>
      </w:rPr>
      <w:t>_</w:t>
    </w:r>
    <w:r>
      <w:rPr>
        <w:rFonts w:ascii="Times New Roman" w:hAnsi="Times New Roman" w:cs="Times New Roman"/>
        <w:sz w:val="20"/>
        <w:szCs w:val="20"/>
      </w:rPr>
      <w:t>LNG_</w:t>
    </w:r>
    <w:bookmarkEnd w:id="4"/>
    <w:bookmarkEnd w:id="5"/>
    <w:bookmarkEnd w:id="6"/>
    <w:r w:rsidR="00A406EF">
      <w:rPr>
        <w:rFonts w:ascii="Times New Roman" w:hAnsi="Times New Roman" w:cs="Times New Roman"/>
        <w:sz w:val="20"/>
        <w:szCs w:val="20"/>
      </w:rPr>
      <w:t>kv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230C5AFC" w:rsidR="002074A4" w:rsidRPr="00155578" w:rsidRDefault="002074A4" w:rsidP="00155578">
    <w:pPr>
      <w:pStyle w:val="Footer"/>
    </w:pPr>
    <w:r w:rsidRPr="00155578">
      <w:rPr>
        <w:rFonts w:ascii="Times New Roman" w:hAnsi="Times New Roman" w:cs="Times New Roman"/>
        <w:sz w:val="20"/>
        <w:szCs w:val="20"/>
      </w:rPr>
      <w:t>VManot_</w:t>
    </w:r>
    <w:r w:rsidR="00220B1B">
      <w:rPr>
        <w:rFonts w:ascii="Times New Roman" w:hAnsi="Times New Roman" w:cs="Times New Roman"/>
        <w:sz w:val="20"/>
        <w:szCs w:val="20"/>
      </w:rPr>
      <w:t>160320</w:t>
    </w:r>
    <w:r w:rsidRPr="00155578">
      <w:rPr>
        <w:rFonts w:ascii="Times New Roman" w:hAnsi="Times New Roman" w:cs="Times New Roman"/>
        <w:sz w:val="20"/>
        <w:szCs w:val="20"/>
      </w:rPr>
      <w:t>_LNG_</w:t>
    </w:r>
    <w:r w:rsidR="00A406EF">
      <w:rPr>
        <w:rFonts w:ascii="Times New Roman" w:hAnsi="Times New Roman" w:cs="Times New Roman"/>
        <w:sz w:val="20"/>
        <w:szCs w:val="20"/>
      </w:rPr>
      <w:t>kv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6275" w14:textId="77777777" w:rsidR="002074A4" w:rsidRDefault="002074A4" w:rsidP="00894C55">
      <w:r>
        <w:separator/>
      </w:r>
    </w:p>
  </w:footnote>
  <w:footnote w:type="continuationSeparator" w:id="0">
    <w:p w14:paraId="38C1814D" w14:textId="77777777" w:rsidR="002074A4" w:rsidRDefault="002074A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6"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0"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1"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5"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7"/>
  </w:num>
  <w:num w:numId="2">
    <w:abstractNumId w:val="22"/>
  </w:num>
  <w:num w:numId="3">
    <w:abstractNumId w:val="7"/>
  </w:num>
  <w:num w:numId="4">
    <w:abstractNumId w:val="24"/>
  </w:num>
  <w:num w:numId="5">
    <w:abstractNumId w:val="13"/>
  </w:num>
  <w:num w:numId="6">
    <w:abstractNumId w:val="2"/>
  </w:num>
  <w:num w:numId="7">
    <w:abstractNumId w:val="23"/>
  </w:num>
  <w:num w:numId="8">
    <w:abstractNumId w:val="3"/>
  </w:num>
  <w:num w:numId="9">
    <w:abstractNumId w:val="25"/>
  </w:num>
  <w:num w:numId="10">
    <w:abstractNumId w:val="11"/>
  </w:num>
  <w:num w:numId="11">
    <w:abstractNumId w:val="20"/>
  </w:num>
  <w:num w:numId="12">
    <w:abstractNumId w:val="4"/>
  </w:num>
  <w:num w:numId="13">
    <w:abstractNumId w:val="8"/>
  </w:num>
  <w:num w:numId="14">
    <w:abstractNumId w:val="14"/>
  </w:num>
  <w:num w:numId="15">
    <w:abstractNumId w:val="21"/>
  </w:num>
  <w:num w:numId="16">
    <w:abstractNumId w:val="9"/>
  </w:num>
  <w:num w:numId="17">
    <w:abstractNumId w:val="6"/>
  </w:num>
  <w:num w:numId="18">
    <w:abstractNumId w:val="18"/>
  </w:num>
  <w:num w:numId="19">
    <w:abstractNumId w:val="19"/>
  </w:num>
  <w:num w:numId="20">
    <w:abstractNumId w:val="5"/>
  </w:num>
  <w:num w:numId="21">
    <w:abstractNumId w:val="12"/>
  </w:num>
  <w:num w:numId="22">
    <w:abstractNumId w:val="15"/>
  </w:num>
  <w:num w:numId="23">
    <w:abstractNumId w:val="16"/>
  </w:num>
  <w:num w:numId="24">
    <w:abstractNumId w:val="10"/>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255D"/>
    <w:rsid w:val="000746B1"/>
    <w:rsid w:val="00076EDC"/>
    <w:rsid w:val="00080BB1"/>
    <w:rsid w:val="0008249D"/>
    <w:rsid w:val="00087E40"/>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6028"/>
    <w:rsid w:val="000E6D72"/>
    <w:rsid w:val="001001E8"/>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4A6D"/>
    <w:rsid w:val="00155578"/>
    <w:rsid w:val="00177A29"/>
    <w:rsid w:val="0018516A"/>
    <w:rsid w:val="001A2778"/>
    <w:rsid w:val="001A559D"/>
    <w:rsid w:val="001A5818"/>
    <w:rsid w:val="001A7F37"/>
    <w:rsid w:val="001B6C59"/>
    <w:rsid w:val="001C2F68"/>
    <w:rsid w:val="001C4FAF"/>
    <w:rsid w:val="001C5440"/>
    <w:rsid w:val="001C768D"/>
    <w:rsid w:val="001C797C"/>
    <w:rsid w:val="001D0F46"/>
    <w:rsid w:val="001D5E4E"/>
    <w:rsid w:val="001D66EB"/>
    <w:rsid w:val="001E37ED"/>
    <w:rsid w:val="001E7774"/>
    <w:rsid w:val="001E7EAF"/>
    <w:rsid w:val="002019D8"/>
    <w:rsid w:val="002074A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217A"/>
    <w:rsid w:val="002A5E5F"/>
    <w:rsid w:val="002B6C5A"/>
    <w:rsid w:val="002C6CE2"/>
    <w:rsid w:val="002D1E95"/>
    <w:rsid w:val="002E1C05"/>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B0BF9"/>
    <w:rsid w:val="003C0235"/>
    <w:rsid w:val="003C2624"/>
    <w:rsid w:val="003C7AEA"/>
    <w:rsid w:val="003D23E3"/>
    <w:rsid w:val="003D4330"/>
    <w:rsid w:val="003D6DD6"/>
    <w:rsid w:val="003E0791"/>
    <w:rsid w:val="003F1F2D"/>
    <w:rsid w:val="003F28AC"/>
    <w:rsid w:val="003F66CA"/>
    <w:rsid w:val="00401F30"/>
    <w:rsid w:val="00403A2F"/>
    <w:rsid w:val="00417A7A"/>
    <w:rsid w:val="00420133"/>
    <w:rsid w:val="0043377F"/>
    <w:rsid w:val="00435568"/>
    <w:rsid w:val="004454FE"/>
    <w:rsid w:val="00451F79"/>
    <w:rsid w:val="00456E40"/>
    <w:rsid w:val="004622AB"/>
    <w:rsid w:val="00463B4E"/>
    <w:rsid w:val="00467DE3"/>
    <w:rsid w:val="00471F27"/>
    <w:rsid w:val="00475F37"/>
    <w:rsid w:val="004875DD"/>
    <w:rsid w:val="00493BF2"/>
    <w:rsid w:val="00494F80"/>
    <w:rsid w:val="00495760"/>
    <w:rsid w:val="0049601C"/>
    <w:rsid w:val="004B5A63"/>
    <w:rsid w:val="004C1FE7"/>
    <w:rsid w:val="004D6991"/>
    <w:rsid w:val="004D7640"/>
    <w:rsid w:val="004E1BA2"/>
    <w:rsid w:val="004E282B"/>
    <w:rsid w:val="004E29AE"/>
    <w:rsid w:val="004F0343"/>
    <w:rsid w:val="0050178F"/>
    <w:rsid w:val="00502D97"/>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80732"/>
    <w:rsid w:val="005826B6"/>
    <w:rsid w:val="005856D9"/>
    <w:rsid w:val="00594B91"/>
    <w:rsid w:val="005B1660"/>
    <w:rsid w:val="005D34DD"/>
    <w:rsid w:val="005D54F2"/>
    <w:rsid w:val="005E25B2"/>
    <w:rsid w:val="005F4FE2"/>
    <w:rsid w:val="005F7BA4"/>
    <w:rsid w:val="006043EA"/>
    <w:rsid w:val="0061155F"/>
    <w:rsid w:val="006232F5"/>
    <w:rsid w:val="00626AC5"/>
    <w:rsid w:val="00627631"/>
    <w:rsid w:val="006335C0"/>
    <w:rsid w:val="00635B83"/>
    <w:rsid w:val="0064126F"/>
    <w:rsid w:val="0064127B"/>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B221B"/>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2A8"/>
    <w:rsid w:val="00740D0B"/>
    <w:rsid w:val="00740EEA"/>
    <w:rsid w:val="00742254"/>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5F71"/>
    <w:rsid w:val="007A0DA7"/>
    <w:rsid w:val="007A3F62"/>
    <w:rsid w:val="007A7695"/>
    <w:rsid w:val="007A7826"/>
    <w:rsid w:val="007B1C39"/>
    <w:rsid w:val="007B3917"/>
    <w:rsid w:val="007B7A0E"/>
    <w:rsid w:val="007D632A"/>
    <w:rsid w:val="007D695F"/>
    <w:rsid w:val="007D6D57"/>
    <w:rsid w:val="007E06B4"/>
    <w:rsid w:val="007E3BCE"/>
    <w:rsid w:val="007E4DF3"/>
    <w:rsid w:val="007E5F7A"/>
    <w:rsid w:val="007E6AAA"/>
    <w:rsid w:val="007E73AB"/>
    <w:rsid w:val="007F2EF9"/>
    <w:rsid w:val="007F6F87"/>
    <w:rsid w:val="0080508B"/>
    <w:rsid w:val="008055ED"/>
    <w:rsid w:val="00816479"/>
    <w:rsid w:val="008168AC"/>
    <w:rsid w:val="00816C11"/>
    <w:rsid w:val="00822C45"/>
    <w:rsid w:val="00824A17"/>
    <w:rsid w:val="00830B14"/>
    <w:rsid w:val="00831629"/>
    <w:rsid w:val="00840EE9"/>
    <w:rsid w:val="00842113"/>
    <w:rsid w:val="00842AD1"/>
    <w:rsid w:val="008470F2"/>
    <w:rsid w:val="00851D8B"/>
    <w:rsid w:val="00860032"/>
    <w:rsid w:val="00861998"/>
    <w:rsid w:val="00863DCA"/>
    <w:rsid w:val="00867737"/>
    <w:rsid w:val="00874A6E"/>
    <w:rsid w:val="00875A9D"/>
    <w:rsid w:val="00891AF0"/>
    <w:rsid w:val="00891CFD"/>
    <w:rsid w:val="00894C55"/>
    <w:rsid w:val="008954E8"/>
    <w:rsid w:val="00896510"/>
    <w:rsid w:val="00896A9B"/>
    <w:rsid w:val="00896B28"/>
    <w:rsid w:val="008A66C9"/>
    <w:rsid w:val="008B37B7"/>
    <w:rsid w:val="008C1794"/>
    <w:rsid w:val="008C563B"/>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41D2"/>
    <w:rsid w:val="009870A7"/>
    <w:rsid w:val="009907E2"/>
    <w:rsid w:val="009936B8"/>
    <w:rsid w:val="009A0037"/>
    <w:rsid w:val="009A0228"/>
    <w:rsid w:val="009A2654"/>
    <w:rsid w:val="009A38DD"/>
    <w:rsid w:val="009A6794"/>
    <w:rsid w:val="009B37C5"/>
    <w:rsid w:val="009B61EE"/>
    <w:rsid w:val="009B7770"/>
    <w:rsid w:val="009C15CF"/>
    <w:rsid w:val="009E1A8B"/>
    <w:rsid w:val="009E38B2"/>
    <w:rsid w:val="009E53FF"/>
    <w:rsid w:val="009F0F42"/>
    <w:rsid w:val="009F25E7"/>
    <w:rsid w:val="009F2D30"/>
    <w:rsid w:val="00A0244D"/>
    <w:rsid w:val="00A03A77"/>
    <w:rsid w:val="00A10FC3"/>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480"/>
    <w:rsid w:val="00B2165C"/>
    <w:rsid w:val="00B24C87"/>
    <w:rsid w:val="00B2576B"/>
    <w:rsid w:val="00B31BDD"/>
    <w:rsid w:val="00B34AB7"/>
    <w:rsid w:val="00B40D44"/>
    <w:rsid w:val="00B47986"/>
    <w:rsid w:val="00B5648E"/>
    <w:rsid w:val="00B622AD"/>
    <w:rsid w:val="00B6729B"/>
    <w:rsid w:val="00B67377"/>
    <w:rsid w:val="00B83DE2"/>
    <w:rsid w:val="00B84835"/>
    <w:rsid w:val="00B91FC6"/>
    <w:rsid w:val="00B9226B"/>
    <w:rsid w:val="00B927DC"/>
    <w:rsid w:val="00BA104A"/>
    <w:rsid w:val="00BA20AA"/>
    <w:rsid w:val="00BA4D7E"/>
    <w:rsid w:val="00BD4425"/>
    <w:rsid w:val="00BD7F5E"/>
    <w:rsid w:val="00BE7C51"/>
    <w:rsid w:val="00BE7DC1"/>
    <w:rsid w:val="00BF2A90"/>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2475"/>
    <w:rsid w:val="00C43873"/>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C0982"/>
    <w:rsid w:val="00CC0D2D"/>
    <w:rsid w:val="00CC4FDB"/>
    <w:rsid w:val="00CC720B"/>
    <w:rsid w:val="00CD2F04"/>
    <w:rsid w:val="00CD44BF"/>
    <w:rsid w:val="00CE5657"/>
    <w:rsid w:val="00CF262B"/>
    <w:rsid w:val="00CF3D9F"/>
    <w:rsid w:val="00CF6439"/>
    <w:rsid w:val="00CF7143"/>
    <w:rsid w:val="00D02DDA"/>
    <w:rsid w:val="00D03ADD"/>
    <w:rsid w:val="00D133F8"/>
    <w:rsid w:val="00D138E7"/>
    <w:rsid w:val="00D14A3E"/>
    <w:rsid w:val="00D21D7F"/>
    <w:rsid w:val="00D22281"/>
    <w:rsid w:val="00D24501"/>
    <w:rsid w:val="00D37AAD"/>
    <w:rsid w:val="00D4052F"/>
    <w:rsid w:val="00D50278"/>
    <w:rsid w:val="00D507E2"/>
    <w:rsid w:val="00D548C7"/>
    <w:rsid w:val="00D56A82"/>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461F"/>
    <w:rsid w:val="00DF68F8"/>
    <w:rsid w:val="00DF776E"/>
    <w:rsid w:val="00DF77D6"/>
    <w:rsid w:val="00E01657"/>
    <w:rsid w:val="00E04A9C"/>
    <w:rsid w:val="00E21304"/>
    <w:rsid w:val="00E31F13"/>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2D88"/>
    <w:rsid w:val="00F77376"/>
    <w:rsid w:val="00F77F67"/>
    <w:rsid w:val="00F8145B"/>
    <w:rsid w:val="00F82318"/>
    <w:rsid w:val="00F85BFB"/>
    <w:rsid w:val="00F85DC5"/>
    <w:rsid w:val="00F87284"/>
    <w:rsid w:val="00F95701"/>
    <w:rsid w:val="00FA2114"/>
    <w:rsid w:val="00FB4965"/>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2083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ita.Lazdi&#326;a@vm.gov.lv"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FE0E-4887-4BF0-8DE4-E5520A7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8</Pages>
  <Words>12146</Words>
  <Characters>6924</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539</cp:revision>
  <cp:lastPrinted>2020-02-27T13:38:00Z</cp:lastPrinted>
  <dcterms:created xsi:type="dcterms:W3CDTF">2018-03-07T13:59:00Z</dcterms:created>
  <dcterms:modified xsi:type="dcterms:W3CDTF">2020-03-16T17:38:00Z</dcterms:modified>
</cp:coreProperties>
</file>