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F2C7"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738976E2"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2D5E0B3D" w14:textId="77777777" w:rsidTr="64580089">
        <w:trPr>
          <w:jc w:val="center"/>
        </w:trPr>
        <w:tc>
          <w:tcPr>
            <w:tcW w:w="10188" w:type="dxa"/>
            <w:tcBorders>
              <w:bottom w:val="single" w:sz="6" w:space="0" w:color="000000" w:themeColor="text1"/>
            </w:tcBorders>
          </w:tcPr>
          <w:p w14:paraId="7BA2BDF3" w14:textId="7284F5CD" w:rsidR="007116C7" w:rsidRPr="00712B66" w:rsidRDefault="64580089" w:rsidP="00BB32A6">
            <w:pPr>
              <w:jc w:val="center"/>
            </w:pPr>
            <w:r>
              <w:t>Ministru kabineta noteikumu projekts "Prekursoru operatoru un prekursoru lietotāju reģistrēšanas un licencēšanas kārtība"</w:t>
            </w:r>
          </w:p>
        </w:tc>
      </w:tr>
    </w:tbl>
    <w:p w14:paraId="0BE1F5A9" w14:textId="77777777" w:rsidR="007116C7" w:rsidRPr="00712B66" w:rsidRDefault="007116C7" w:rsidP="009623BC">
      <w:pPr>
        <w:pStyle w:val="naisc"/>
        <w:spacing w:before="0" w:after="0"/>
        <w:ind w:firstLine="1080"/>
      </w:pPr>
      <w:r w:rsidRPr="00712B66">
        <w:t>(dokumenta veids un nosaukums)</w:t>
      </w:r>
    </w:p>
    <w:p w14:paraId="769A0758" w14:textId="77777777" w:rsidR="007B4C0F" w:rsidRPr="00712B66" w:rsidRDefault="007B4C0F" w:rsidP="00DB7395">
      <w:pPr>
        <w:pStyle w:val="naisf"/>
        <w:spacing w:before="0" w:after="0"/>
        <w:ind w:firstLine="720"/>
      </w:pPr>
    </w:p>
    <w:p w14:paraId="0E18A898"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30878CD" w14:textId="77777777" w:rsidR="007B4C0F" w:rsidRPr="00712B66" w:rsidRDefault="007B4C0F" w:rsidP="00DB7395">
      <w:pPr>
        <w:pStyle w:val="naisf"/>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4"/>
        <w:gridCol w:w="3025"/>
        <w:gridCol w:w="3058"/>
        <w:gridCol w:w="2918"/>
        <w:gridCol w:w="2412"/>
        <w:gridCol w:w="1883"/>
      </w:tblGrid>
      <w:tr w:rsidR="005F4BFD" w:rsidRPr="00712B66" w14:paraId="28F7F395" w14:textId="77777777" w:rsidTr="0074286F">
        <w:tc>
          <w:tcPr>
            <w:tcW w:w="248" w:type="pct"/>
            <w:tcBorders>
              <w:top w:val="single" w:sz="6" w:space="0" w:color="000000"/>
              <w:left w:val="single" w:sz="6" w:space="0" w:color="000000"/>
              <w:bottom w:val="single" w:sz="6" w:space="0" w:color="000000"/>
              <w:right w:val="single" w:sz="6" w:space="0" w:color="000000"/>
            </w:tcBorders>
            <w:vAlign w:val="center"/>
          </w:tcPr>
          <w:p w14:paraId="570F4968" w14:textId="77777777" w:rsidR="005F4BFD" w:rsidRPr="00712B66" w:rsidRDefault="005F4BFD" w:rsidP="0036160E">
            <w:pPr>
              <w:pStyle w:val="naisc"/>
              <w:spacing w:before="0" w:after="0"/>
            </w:pPr>
            <w:r w:rsidRPr="00712B66">
              <w:t>Nr. p.</w:t>
            </w:r>
            <w:r w:rsidR="00D64FB0">
              <w:t> </w:t>
            </w:r>
            <w:r w:rsidRPr="00712B66">
              <w:t>k.</w:t>
            </w:r>
          </w:p>
        </w:tc>
        <w:tc>
          <w:tcPr>
            <w:tcW w:w="1081" w:type="pct"/>
            <w:tcBorders>
              <w:top w:val="single" w:sz="6" w:space="0" w:color="000000"/>
              <w:left w:val="single" w:sz="6" w:space="0" w:color="000000"/>
              <w:bottom w:val="single" w:sz="6" w:space="0" w:color="000000"/>
              <w:right w:val="single" w:sz="6" w:space="0" w:color="000000"/>
            </w:tcBorders>
            <w:vAlign w:val="center"/>
          </w:tcPr>
          <w:p w14:paraId="007FFB11"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1093" w:type="pct"/>
            <w:tcBorders>
              <w:top w:val="single" w:sz="6" w:space="0" w:color="000000"/>
              <w:left w:val="single" w:sz="6" w:space="0" w:color="000000"/>
              <w:bottom w:val="single" w:sz="6" w:space="0" w:color="000000"/>
              <w:right w:val="single" w:sz="6" w:space="0" w:color="000000"/>
            </w:tcBorders>
            <w:vAlign w:val="center"/>
          </w:tcPr>
          <w:p w14:paraId="48CF7E50"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14:paraId="5B2D934F"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862" w:type="pct"/>
            <w:tcBorders>
              <w:top w:val="single" w:sz="4" w:space="0" w:color="auto"/>
              <w:left w:val="single" w:sz="4" w:space="0" w:color="auto"/>
              <w:bottom w:val="single" w:sz="4" w:space="0" w:color="auto"/>
              <w:right w:val="single" w:sz="4" w:space="0" w:color="auto"/>
            </w:tcBorders>
            <w:vAlign w:val="center"/>
          </w:tcPr>
          <w:p w14:paraId="7E79379B" w14:textId="77777777" w:rsidR="005F4BFD" w:rsidRPr="00712B66" w:rsidRDefault="005F4BFD" w:rsidP="00364BB6">
            <w:pPr>
              <w:jc w:val="center"/>
            </w:pPr>
            <w:r w:rsidRPr="00712B66">
              <w:t>Atzinuma sniedzēja uzturētais iebildums, ja tas atšķiras no atzinumā norādītā iebilduma pamatojuma</w:t>
            </w:r>
          </w:p>
        </w:tc>
        <w:tc>
          <w:tcPr>
            <w:tcW w:w="673" w:type="pct"/>
            <w:tcBorders>
              <w:top w:val="single" w:sz="4" w:space="0" w:color="auto"/>
              <w:left w:val="single" w:sz="4" w:space="0" w:color="auto"/>
              <w:bottom w:val="single" w:sz="4" w:space="0" w:color="auto"/>
            </w:tcBorders>
            <w:vAlign w:val="center"/>
          </w:tcPr>
          <w:p w14:paraId="0B572375" w14:textId="77777777" w:rsidR="005F4BFD" w:rsidRPr="00712B66" w:rsidRDefault="005F4BFD" w:rsidP="00364BB6">
            <w:pPr>
              <w:jc w:val="center"/>
            </w:pPr>
            <w:r w:rsidRPr="00712B66">
              <w:t>Projekta attiecīgā punkta (panta) galīgā redakcija</w:t>
            </w:r>
          </w:p>
        </w:tc>
      </w:tr>
      <w:tr w:rsidR="005F4BFD" w:rsidRPr="008A36C9" w14:paraId="31894225" w14:textId="77777777" w:rsidTr="0074286F">
        <w:trPr>
          <w:trHeight w:val="587"/>
        </w:trPr>
        <w:tc>
          <w:tcPr>
            <w:tcW w:w="248" w:type="pct"/>
            <w:tcBorders>
              <w:top w:val="single" w:sz="6" w:space="0" w:color="000000"/>
              <w:left w:val="single" w:sz="6" w:space="0" w:color="000000"/>
              <w:bottom w:val="single" w:sz="6" w:space="0" w:color="000000"/>
              <w:right w:val="single" w:sz="6" w:space="0" w:color="000000"/>
            </w:tcBorders>
          </w:tcPr>
          <w:p w14:paraId="4B4857D2" w14:textId="01DDB2AB" w:rsidR="005F4BFD" w:rsidRPr="008A36C9" w:rsidRDefault="00003514" w:rsidP="00003514">
            <w:pPr>
              <w:pStyle w:val="naisc"/>
              <w:spacing w:before="0" w:after="0"/>
              <w:rPr>
                <w:sz w:val="20"/>
                <w:szCs w:val="20"/>
              </w:rPr>
            </w:pPr>
            <w:r>
              <w:rPr>
                <w:sz w:val="20"/>
                <w:szCs w:val="20"/>
              </w:rPr>
              <w:t>-</w:t>
            </w:r>
          </w:p>
        </w:tc>
        <w:tc>
          <w:tcPr>
            <w:tcW w:w="1081" w:type="pct"/>
            <w:tcBorders>
              <w:top w:val="single" w:sz="6" w:space="0" w:color="000000"/>
              <w:left w:val="single" w:sz="6" w:space="0" w:color="000000"/>
              <w:bottom w:val="single" w:sz="6" w:space="0" w:color="000000"/>
              <w:right w:val="single" w:sz="6" w:space="0" w:color="000000"/>
            </w:tcBorders>
          </w:tcPr>
          <w:p w14:paraId="315DF213" w14:textId="311C095D" w:rsidR="00BC0556" w:rsidRPr="00C20A54" w:rsidRDefault="00003514" w:rsidP="00003514">
            <w:pPr>
              <w:jc w:val="center"/>
            </w:pPr>
            <w:r>
              <w:t>-</w:t>
            </w:r>
          </w:p>
        </w:tc>
        <w:tc>
          <w:tcPr>
            <w:tcW w:w="1093" w:type="pct"/>
            <w:tcBorders>
              <w:top w:val="single" w:sz="6" w:space="0" w:color="000000"/>
              <w:left w:val="single" w:sz="6" w:space="0" w:color="000000"/>
              <w:bottom w:val="single" w:sz="6" w:space="0" w:color="000000"/>
              <w:right w:val="single" w:sz="6" w:space="0" w:color="000000"/>
            </w:tcBorders>
          </w:tcPr>
          <w:p w14:paraId="7C1C941F" w14:textId="1B9FF3F4" w:rsidR="005F4BFD" w:rsidRPr="00C20A54" w:rsidRDefault="00003514" w:rsidP="00003514">
            <w:pPr>
              <w:pStyle w:val="naisc"/>
              <w:spacing w:before="0" w:after="0"/>
              <w:rPr>
                <w:sz w:val="20"/>
                <w:szCs w:val="20"/>
              </w:rPr>
            </w:pPr>
            <w:r>
              <w:rPr>
                <w:sz w:val="20"/>
                <w:szCs w:val="20"/>
              </w:rPr>
              <w:t>-</w:t>
            </w:r>
          </w:p>
        </w:tc>
        <w:tc>
          <w:tcPr>
            <w:tcW w:w="1043" w:type="pct"/>
            <w:tcBorders>
              <w:top w:val="single" w:sz="6" w:space="0" w:color="000000"/>
              <w:left w:val="single" w:sz="6" w:space="0" w:color="000000"/>
              <w:bottom w:val="single" w:sz="6" w:space="0" w:color="000000"/>
              <w:right w:val="single" w:sz="6" w:space="0" w:color="000000"/>
            </w:tcBorders>
          </w:tcPr>
          <w:p w14:paraId="6F6B6591" w14:textId="625EA6D7" w:rsidR="005F4BFD" w:rsidRPr="00C20A54" w:rsidRDefault="00003514" w:rsidP="00003514">
            <w:pPr>
              <w:pStyle w:val="naisc"/>
              <w:rPr>
                <w:sz w:val="20"/>
                <w:szCs w:val="20"/>
              </w:rPr>
            </w:pPr>
            <w:r>
              <w:rPr>
                <w:sz w:val="20"/>
                <w:szCs w:val="20"/>
              </w:rPr>
              <w:t>-</w:t>
            </w:r>
          </w:p>
        </w:tc>
        <w:tc>
          <w:tcPr>
            <w:tcW w:w="862" w:type="pct"/>
            <w:tcBorders>
              <w:top w:val="single" w:sz="4" w:space="0" w:color="auto"/>
              <w:left w:val="single" w:sz="4" w:space="0" w:color="auto"/>
              <w:bottom w:val="single" w:sz="4" w:space="0" w:color="auto"/>
              <w:right w:val="single" w:sz="4" w:space="0" w:color="auto"/>
            </w:tcBorders>
          </w:tcPr>
          <w:p w14:paraId="062452B5" w14:textId="64335FB8" w:rsidR="005F4BFD" w:rsidRPr="00C20A54" w:rsidRDefault="00003514" w:rsidP="00003514">
            <w:pPr>
              <w:jc w:val="center"/>
              <w:rPr>
                <w:sz w:val="20"/>
                <w:szCs w:val="20"/>
              </w:rPr>
            </w:pPr>
            <w:r>
              <w:rPr>
                <w:sz w:val="20"/>
                <w:szCs w:val="20"/>
              </w:rPr>
              <w:t>-</w:t>
            </w:r>
          </w:p>
        </w:tc>
        <w:tc>
          <w:tcPr>
            <w:tcW w:w="673" w:type="pct"/>
            <w:tcBorders>
              <w:top w:val="single" w:sz="4" w:space="0" w:color="auto"/>
              <w:left w:val="single" w:sz="4" w:space="0" w:color="auto"/>
              <w:bottom w:val="single" w:sz="4" w:space="0" w:color="auto"/>
            </w:tcBorders>
          </w:tcPr>
          <w:p w14:paraId="3A8593F0" w14:textId="21EBF8FA" w:rsidR="001D7720" w:rsidRPr="00C20A54" w:rsidRDefault="00003514" w:rsidP="00003514">
            <w:pPr>
              <w:pStyle w:val="naisc"/>
              <w:spacing w:before="0" w:after="0"/>
              <w:rPr>
                <w:sz w:val="20"/>
                <w:szCs w:val="20"/>
              </w:rPr>
            </w:pPr>
            <w:r>
              <w:rPr>
                <w:sz w:val="20"/>
                <w:szCs w:val="20"/>
              </w:rPr>
              <w:t>-</w:t>
            </w:r>
          </w:p>
        </w:tc>
      </w:tr>
    </w:tbl>
    <w:p w14:paraId="774F816C" w14:textId="77777777" w:rsidR="007B4C0F" w:rsidRPr="00712B66" w:rsidRDefault="007B4C0F" w:rsidP="007B4C0F">
      <w:pPr>
        <w:pStyle w:val="naisf"/>
        <w:spacing w:before="0" w:after="0"/>
        <w:ind w:firstLine="0"/>
      </w:pPr>
    </w:p>
    <w:p w14:paraId="4024FC8D" w14:textId="46B245AA" w:rsidR="005D67F7" w:rsidRPr="00712B66" w:rsidRDefault="005D67F7" w:rsidP="005D67F7">
      <w:pPr>
        <w:pStyle w:val="naisf"/>
        <w:spacing w:before="0" w:after="0"/>
        <w:ind w:firstLine="0"/>
        <w:rPr>
          <w:b/>
        </w:rPr>
      </w:pPr>
      <w:r w:rsidRPr="00712B66">
        <w:rPr>
          <w:b/>
        </w:rPr>
        <w:t>Informācija par elektronisko saskaņošanu</w:t>
      </w:r>
      <w:r w:rsidR="008A6BCA">
        <w:rPr>
          <w:b/>
        </w:rPr>
        <w:t>:</w:t>
      </w:r>
    </w:p>
    <w:p w14:paraId="65F991D9" w14:textId="77777777" w:rsidR="005D67F7" w:rsidRPr="00712B66" w:rsidRDefault="005D67F7" w:rsidP="005D67F7">
      <w:pPr>
        <w:pStyle w:val="naisf"/>
        <w:spacing w:before="0" w:after="0"/>
        <w:ind w:firstLine="0"/>
        <w:rPr>
          <w:b/>
        </w:rPr>
      </w:pPr>
    </w:p>
    <w:tbl>
      <w:tblPr>
        <w:tblW w:w="5000" w:type="pct"/>
        <w:tblLook w:val="00A0" w:firstRow="1" w:lastRow="0" w:firstColumn="1" w:lastColumn="0" w:noHBand="0" w:noVBand="0"/>
      </w:tblPr>
      <w:tblGrid>
        <w:gridCol w:w="7060"/>
        <w:gridCol w:w="6943"/>
      </w:tblGrid>
      <w:tr w:rsidR="007B4C0F" w:rsidRPr="00C24AB7" w14:paraId="32AE7C1D" w14:textId="77777777" w:rsidTr="00D25A01">
        <w:tc>
          <w:tcPr>
            <w:tcW w:w="2521" w:type="pct"/>
          </w:tcPr>
          <w:p w14:paraId="325D2FDD" w14:textId="77777777" w:rsidR="007B4C0F" w:rsidRPr="00C24AB7" w:rsidRDefault="005D67F7" w:rsidP="00C24AB7">
            <w:pPr>
              <w:pStyle w:val="naisf"/>
              <w:spacing w:before="0" w:after="0"/>
              <w:ind w:firstLine="0"/>
              <w:contextualSpacing/>
            </w:pPr>
            <w:r w:rsidRPr="00C24AB7">
              <w:t>D</w:t>
            </w:r>
            <w:r w:rsidR="007B4C0F" w:rsidRPr="00C24AB7">
              <w:t>atums</w:t>
            </w:r>
          </w:p>
        </w:tc>
        <w:tc>
          <w:tcPr>
            <w:tcW w:w="2479" w:type="pct"/>
          </w:tcPr>
          <w:p w14:paraId="0992AFD9" w14:textId="4C67A81D" w:rsidR="007B4C0F" w:rsidRDefault="009E1B9C" w:rsidP="00D25A01">
            <w:pPr>
              <w:pStyle w:val="NormalWeb"/>
              <w:spacing w:before="0" w:beforeAutospacing="0" w:after="0" w:afterAutospacing="0"/>
              <w:contextualSpacing/>
            </w:pPr>
            <w:r>
              <w:t>23</w:t>
            </w:r>
            <w:r w:rsidR="00C24AB7" w:rsidRPr="00C24AB7">
              <w:t>.12.2019.</w:t>
            </w:r>
            <w:r w:rsidR="00D25A01">
              <w:t xml:space="preserve"> (elektroniskā saskaņošana)</w:t>
            </w:r>
          </w:p>
          <w:p w14:paraId="3C01F8B1" w14:textId="5192D8C4" w:rsidR="00D25A01" w:rsidRPr="00C24AB7" w:rsidRDefault="00D25A01" w:rsidP="00D25A01">
            <w:pPr>
              <w:pStyle w:val="NormalWeb"/>
              <w:spacing w:before="0" w:beforeAutospacing="0" w:after="0" w:afterAutospacing="0"/>
              <w:contextualSpacing/>
            </w:pPr>
          </w:p>
        </w:tc>
      </w:tr>
      <w:tr w:rsidR="007B4C0F" w:rsidRPr="00C24AB7" w14:paraId="469DA596" w14:textId="77777777" w:rsidTr="00D25A01">
        <w:tc>
          <w:tcPr>
            <w:tcW w:w="2521" w:type="pct"/>
          </w:tcPr>
          <w:p w14:paraId="5CC0A90F" w14:textId="77777777" w:rsidR="007B4C0F" w:rsidRDefault="00365CC0" w:rsidP="00C24AB7">
            <w:pPr>
              <w:pStyle w:val="naiskr"/>
              <w:spacing w:before="0" w:after="0"/>
              <w:contextualSpacing/>
            </w:pPr>
            <w:r w:rsidRPr="00C24AB7">
              <w:t>Saskaņošanas dalībnieki</w:t>
            </w:r>
          </w:p>
          <w:p w14:paraId="572DCDB4" w14:textId="77777777" w:rsidR="009E1B9C" w:rsidRPr="009E1B9C" w:rsidRDefault="009E1B9C" w:rsidP="009E1B9C"/>
          <w:p w14:paraId="1C39168D" w14:textId="77777777" w:rsidR="009E1B9C" w:rsidRPr="009E1B9C" w:rsidRDefault="009E1B9C" w:rsidP="009E1B9C"/>
          <w:p w14:paraId="35CB99C0" w14:textId="77777777" w:rsidR="009E1B9C" w:rsidRPr="009E1B9C" w:rsidRDefault="009E1B9C" w:rsidP="009E1B9C"/>
          <w:p w14:paraId="584AF1F1" w14:textId="77777777" w:rsidR="009E1B9C" w:rsidRPr="009E1B9C" w:rsidRDefault="009E1B9C" w:rsidP="009E1B9C"/>
          <w:p w14:paraId="3AB4CF90" w14:textId="77777777" w:rsidR="009E1B9C" w:rsidRPr="009E1B9C" w:rsidRDefault="009E1B9C" w:rsidP="009E1B9C"/>
          <w:p w14:paraId="193C20A3" w14:textId="77777777" w:rsidR="009E1B9C" w:rsidRPr="009E1B9C" w:rsidRDefault="009E1B9C" w:rsidP="009E1B9C"/>
          <w:p w14:paraId="0D41E319" w14:textId="77777777" w:rsidR="009E1B9C" w:rsidRPr="009E1B9C" w:rsidRDefault="009E1B9C" w:rsidP="009E1B9C"/>
          <w:p w14:paraId="4CA7559E" w14:textId="77777777" w:rsidR="009E1B9C" w:rsidRPr="009E1B9C" w:rsidRDefault="009E1B9C" w:rsidP="009E1B9C"/>
          <w:p w14:paraId="0A8FDAEB" w14:textId="77777777" w:rsidR="009E1B9C" w:rsidRPr="009E1B9C" w:rsidRDefault="009E1B9C" w:rsidP="009E1B9C"/>
          <w:p w14:paraId="08ED3664" w14:textId="4A8C7C78" w:rsidR="009E1B9C" w:rsidRPr="009E1B9C" w:rsidRDefault="009E1B9C" w:rsidP="009E1B9C">
            <w:pPr>
              <w:ind w:firstLine="720"/>
            </w:pPr>
          </w:p>
        </w:tc>
        <w:tc>
          <w:tcPr>
            <w:tcW w:w="2479" w:type="pct"/>
          </w:tcPr>
          <w:p w14:paraId="0F4C4C29" w14:textId="77777777" w:rsidR="00683FF5" w:rsidRPr="00C24AB7" w:rsidRDefault="00683FF5" w:rsidP="00D25A01">
            <w:pPr>
              <w:contextualSpacing/>
              <w:rPr>
                <w:noProof/>
                <w:u w:val="single"/>
              </w:rPr>
            </w:pPr>
            <w:r w:rsidRPr="00C24AB7">
              <w:rPr>
                <w:noProof/>
                <w:u w:val="single"/>
              </w:rPr>
              <w:t>Vides aizsardzības un reģionālās attīstības ministrija</w:t>
            </w:r>
          </w:p>
          <w:p w14:paraId="7D126C59" w14:textId="77777777" w:rsidR="00683FF5" w:rsidRPr="00C24AB7" w:rsidRDefault="002F2E62" w:rsidP="00D25A01">
            <w:pPr>
              <w:contextualSpacing/>
              <w:rPr>
                <w:noProof/>
              </w:rPr>
            </w:pPr>
            <w:r w:rsidRPr="00C24AB7">
              <w:rPr>
                <w:noProof/>
              </w:rPr>
              <w:t xml:space="preserve">Marta Bērziņa, </w:t>
            </w:r>
            <w:hyperlink r:id="rId11" w:history="1">
              <w:r w:rsidRPr="00C24AB7">
                <w:rPr>
                  <w:rStyle w:val="Hyperlink"/>
                  <w:noProof/>
                  <w:color w:val="auto"/>
                  <w:u w:val="none"/>
                </w:rPr>
                <w:t>Mara.Berzina@varam.gov.lv</w:t>
              </w:r>
            </w:hyperlink>
            <w:r w:rsidRPr="00C24AB7">
              <w:rPr>
                <w:noProof/>
              </w:rPr>
              <w:t xml:space="preserve">, Karīna Eglīte – Miezīte, </w:t>
            </w:r>
            <w:r w:rsidR="00683FF5" w:rsidRPr="00C24AB7">
              <w:rPr>
                <w:noProof/>
              </w:rPr>
              <w:t>Karina.Eglite-Miezite@varam.gov.lv</w:t>
            </w:r>
          </w:p>
          <w:p w14:paraId="46D3A005" w14:textId="77777777" w:rsidR="00683FF5" w:rsidRPr="00C24AB7" w:rsidRDefault="00683FF5" w:rsidP="00D25A01">
            <w:pPr>
              <w:contextualSpacing/>
              <w:rPr>
                <w:noProof/>
                <w:u w:val="single"/>
              </w:rPr>
            </w:pPr>
            <w:r w:rsidRPr="00C24AB7">
              <w:rPr>
                <w:noProof/>
                <w:u w:val="single"/>
              </w:rPr>
              <w:t>Tieslietu ministrija</w:t>
            </w:r>
          </w:p>
          <w:p w14:paraId="3FAECC3D" w14:textId="77777777" w:rsidR="00683FF5" w:rsidRPr="00C24AB7" w:rsidRDefault="002F2E62" w:rsidP="00D25A01">
            <w:pPr>
              <w:contextualSpacing/>
              <w:rPr>
                <w:noProof/>
              </w:rPr>
            </w:pPr>
            <w:r w:rsidRPr="00C24AB7">
              <w:rPr>
                <w:noProof/>
              </w:rPr>
              <w:t xml:space="preserve">Amanda Mūrniece, </w:t>
            </w:r>
            <w:r w:rsidR="00683FF5" w:rsidRPr="00C24AB7">
              <w:rPr>
                <w:noProof/>
              </w:rPr>
              <w:t>Amanda.Murniece@tm.gov.lv</w:t>
            </w:r>
          </w:p>
          <w:p w14:paraId="2FDE13A2" w14:textId="77777777" w:rsidR="00683FF5" w:rsidRPr="00C24AB7" w:rsidRDefault="002F2E62" w:rsidP="00D25A01">
            <w:pPr>
              <w:contextualSpacing/>
              <w:rPr>
                <w:noProof/>
              </w:rPr>
            </w:pPr>
            <w:r w:rsidRPr="00C24AB7">
              <w:rPr>
                <w:noProof/>
              </w:rPr>
              <w:t xml:space="preserve">Uldis Rudziks, </w:t>
            </w:r>
            <w:r w:rsidR="00683FF5" w:rsidRPr="00C24AB7">
              <w:rPr>
                <w:noProof/>
              </w:rPr>
              <w:t>Uldis.Rudziks@tm.gov.lv</w:t>
            </w:r>
          </w:p>
          <w:p w14:paraId="75A3EEA9" w14:textId="77777777" w:rsidR="00683FF5" w:rsidRPr="00C24AB7" w:rsidRDefault="002F2E62" w:rsidP="00D25A01">
            <w:pPr>
              <w:contextualSpacing/>
              <w:rPr>
                <w:noProof/>
              </w:rPr>
            </w:pPr>
            <w:r w:rsidRPr="00C24AB7">
              <w:rPr>
                <w:noProof/>
              </w:rPr>
              <w:t xml:space="preserve">Santa Skutele, </w:t>
            </w:r>
            <w:r w:rsidR="00683FF5" w:rsidRPr="00C24AB7">
              <w:rPr>
                <w:noProof/>
              </w:rPr>
              <w:t>Santa.Skutele@tm.gov.lv</w:t>
            </w:r>
          </w:p>
          <w:p w14:paraId="2D07CE2B" w14:textId="77777777" w:rsidR="00683FF5" w:rsidRPr="00C24AB7" w:rsidRDefault="00683FF5" w:rsidP="00D25A01">
            <w:pPr>
              <w:contextualSpacing/>
              <w:rPr>
                <w:noProof/>
                <w:u w:val="single"/>
              </w:rPr>
            </w:pPr>
            <w:r w:rsidRPr="00C24AB7">
              <w:rPr>
                <w:noProof/>
                <w:u w:val="single"/>
              </w:rPr>
              <w:t>Finanšu ministrija</w:t>
            </w:r>
          </w:p>
          <w:p w14:paraId="1F7D1C5E" w14:textId="74589FDF" w:rsidR="00683FF5" w:rsidRPr="00C24AB7" w:rsidRDefault="002F2E62" w:rsidP="00D25A01">
            <w:pPr>
              <w:contextualSpacing/>
              <w:rPr>
                <w:noProof/>
              </w:rPr>
            </w:pPr>
            <w:r w:rsidRPr="00C24AB7">
              <w:rPr>
                <w:noProof/>
              </w:rPr>
              <w:t xml:space="preserve">Ivars Pauska, </w:t>
            </w:r>
            <w:r w:rsidR="00C24AB7" w:rsidRPr="00C24AB7">
              <w:rPr>
                <w:noProof/>
              </w:rPr>
              <w:t>I</w:t>
            </w:r>
            <w:r w:rsidR="00683FF5" w:rsidRPr="00C24AB7">
              <w:rPr>
                <w:noProof/>
              </w:rPr>
              <w:t>vars.</w:t>
            </w:r>
            <w:r w:rsidR="00C24AB7" w:rsidRPr="00C24AB7">
              <w:rPr>
                <w:noProof/>
              </w:rPr>
              <w:t>P</w:t>
            </w:r>
            <w:r w:rsidR="00683FF5" w:rsidRPr="00C24AB7">
              <w:rPr>
                <w:noProof/>
              </w:rPr>
              <w:t>auska@fm.gov.lv</w:t>
            </w:r>
          </w:p>
          <w:p w14:paraId="1DB60656" w14:textId="370D774A" w:rsidR="00683FF5" w:rsidRPr="00C24AB7" w:rsidRDefault="00A42E1E" w:rsidP="00D25A01">
            <w:pPr>
              <w:contextualSpacing/>
              <w:rPr>
                <w:noProof/>
              </w:rPr>
            </w:pPr>
            <w:r w:rsidRPr="00C24AB7">
              <w:rPr>
                <w:noProof/>
              </w:rPr>
              <w:t xml:space="preserve">Evija Janevica, </w:t>
            </w:r>
            <w:r w:rsidR="00C24AB7" w:rsidRPr="00C24AB7">
              <w:rPr>
                <w:noProof/>
              </w:rPr>
              <w:t>E</w:t>
            </w:r>
            <w:r w:rsidR="00683FF5" w:rsidRPr="00C24AB7">
              <w:rPr>
                <w:noProof/>
              </w:rPr>
              <w:t>vija.</w:t>
            </w:r>
            <w:r w:rsidR="00C24AB7" w:rsidRPr="00C24AB7">
              <w:rPr>
                <w:noProof/>
              </w:rPr>
              <w:t>J</w:t>
            </w:r>
            <w:r w:rsidR="00683FF5" w:rsidRPr="00C24AB7">
              <w:rPr>
                <w:noProof/>
              </w:rPr>
              <w:t>anevica@fm.gov.lv</w:t>
            </w:r>
          </w:p>
          <w:p w14:paraId="6B1DCFF4" w14:textId="77777777" w:rsidR="00683FF5" w:rsidRPr="00C24AB7" w:rsidRDefault="00683FF5" w:rsidP="00D25A01">
            <w:pPr>
              <w:contextualSpacing/>
              <w:rPr>
                <w:noProof/>
                <w:u w:val="single"/>
              </w:rPr>
            </w:pPr>
            <w:r w:rsidRPr="00C24AB7">
              <w:rPr>
                <w:noProof/>
                <w:u w:val="single"/>
              </w:rPr>
              <w:t>Iekšlietu ministrija</w:t>
            </w:r>
          </w:p>
          <w:p w14:paraId="71BFC51D" w14:textId="368E3344" w:rsidR="00683FF5" w:rsidRPr="00C24AB7" w:rsidRDefault="002F2E62" w:rsidP="00D25A01">
            <w:pPr>
              <w:contextualSpacing/>
              <w:rPr>
                <w:noProof/>
              </w:rPr>
            </w:pPr>
            <w:r w:rsidRPr="00C24AB7">
              <w:rPr>
                <w:noProof/>
              </w:rPr>
              <w:lastRenderedPageBreak/>
              <w:t>Inese S</w:t>
            </w:r>
            <w:r w:rsidR="00A42E1E" w:rsidRPr="00C24AB7">
              <w:rPr>
                <w:noProof/>
              </w:rPr>
              <w:t>pcaģe</w:t>
            </w:r>
            <w:r w:rsidRPr="00C24AB7">
              <w:rPr>
                <w:noProof/>
              </w:rPr>
              <w:t xml:space="preserve">, </w:t>
            </w:r>
            <w:r w:rsidR="00C24AB7" w:rsidRPr="00C24AB7">
              <w:rPr>
                <w:noProof/>
              </w:rPr>
              <w:t>I</w:t>
            </w:r>
            <w:r w:rsidR="00683FF5" w:rsidRPr="00C24AB7">
              <w:rPr>
                <w:noProof/>
              </w:rPr>
              <w:t>nese.</w:t>
            </w:r>
            <w:r w:rsidR="00C24AB7" w:rsidRPr="00C24AB7">
              <w:rPr>
                <w:noProof/>
              </w:rPr>
              <w:t>S</w:t>
            </w:r>
            <w:r w:rsidR="00683FF5" w:rsidRPr="00C24AB7">
              <w:rPr>
                <w:noProof/>
              </w:rPr>
              <w:t>proge@iem.gov.lv</w:t>
            </w:r>
          </w:p>
          <w:p w14:paraId="64F9E4F1" w14:textId="3D772597" w:rsidR="00683FF5" w:rsidRPr="00C24AB7" w:rsidRDefault="002F2E62" w:rsidP="00D25A01">
            <w:pPr>
              <w:contextualSpacing/>
              <w:rPr>
                <w:noProof/>
              </w:rPr>
            </w:pPr>
            <w:r w:rsidRPr="00C24AB7">
              <w:rPr>
                <w:noProof/>
              </w:rPr>
              <w:t xml:space="preserve">Marta Juškevica, </w:t>
            </w:r>
            <w:r w:rsidR="00683FF5" w:rsidRPr="00C24AB7">
              <w:rPr>
                <w:noProof/>
              </w:rPr>
              <w:t>Marta.</w:t>
            </w:r>
            <w:r w:rsidR="00C24AB7" w:rsidRPr="00C24AB7">
              <w:rPr>
                <w:noProof/>
              </w:rPr>
              <w:t>J</w:t>
            </w:r>
            <w:r w:rsidR="00683FF5" w:rsidRPr="00C24AB7">
              <w:rPr>
                <w:noProof/>
              </w:rPr>
              <w:t>uskevica@ic.iem.gov.lv</w:t>
            </w:r>
          </w:p>
          <w:p w14:paraId="61D0D1AF" w14:textId="77777777" w:rsidR="00683FF5" w:rsidRPr="00C24AB7" w:rsidRDefault="00683FF5" w:rsidP="00D25A01">
            <w:pPr>
              <w:contextualSpacing/>
              <w:rPr>
                <w:noProof/>
                <w:u w:val="single"/>
              </w:rPr>
            </w:pPr>
            <w:r w:rsidRPr="00C24AB7">
              <w:rPr>
                <w:noProof/>
                <w:u w:val="single"/>
              </w:rPr>
              <w:t>Aizsardzības ministrija</w:t>
            </w:r>
          </w:p>
          <w:p w14:paraId="23090224" w14:textId="77777777" w:rsidR="00683FF5" w:rsidRPr="00C24AB7" w:rsidRDefault="00683FF5" w:rsidP="00D25A01">
            <w:pPr>
              <w:contextualSpacing/>
            </w:pPr>
            <w:r w:rsidRPr="00C24AB7">
              <w:t>Kanceleja@mod.gov.lv</w:t>
            </w:r>
          </w:p>
          <w:p w14:paraId="2BA3D135" w14:textId="77777777" w:rsidR="007B4C0F" w:rsidRPr="00C24AB7" w:rsidRDefault="007B4C0F" w:rsidP="00D25A01">
            <w:pPr>
              <w:pStyle w:val="NormalWeb"/>
              <w:spacing w:before="0" w:beforeAutospacing="0" w:after="0" w:afterAutospacing="0"/>
              <w:ind w:firstLine="720"/>
              <w:contextualSpacing/>
            </w:pPr>
          </w:p>
        </w:tc>
      </w:tr>
      <w:tr w:rsidR="00D25A01" w:rsidRPr="00C24AB7" w14:paraId="514BD332" w14:textId="77777777" w:rsidTr="00D25A01">
        <w:trPr>
          <w:trHeight w:val="285"/>
        </w:trPr>
        <w:tc>
          <w:tcPr>
            <w:tcW w:w="2521" w:type="pct"/>
          </w:tcPr>
          <w:p w14:paraId="10850F43" w14:textId="77777777" w:rsidR="00D25A01" w:rsidRDefault="00D25A01" w:rsidP="00D25A01">
            <w:pPr>
              <w:pStyle w:val="naiskr"/>
              <w:spacing w:before="0" w:after="0"/>
              <w:contextualSpacing/>
            </w:pPr>
            <w:r w:rsidRPr="00C24AB7">
              <w:lastRenderedPageBreak/>
              <w:t>Saskaņošanas dalībnieki izskatīja šādu ministriju (citu institūciju) iebildumus</w:t>
            </w:r>
          </w:p>
          <w:p w14:paraId="3A401C70" w14:textId="5B70C6BC" w:rsidR="00D25A01" w:rsidRPr="00C24AB7" w:rsidRDefault="00D25A01" w:rsidP="00D25A01">
            <w:pPr>
              <w:pStyle w:val="naiskr"/>
              <w:spacing w:before="0" w:after="0"/>
              <w:contextualSpacing/>
            </w:pPr>
          </w:p>
        </w:tc>
        <w:tc>
          <w:tcPr>
            <w:tcW w:w="2479" w:type="pct"/>
          </w:tcPr>
          <w:p w14:paraId="488FD785" w14:textId="7CD2BAAA" w:rsidR="00D25A01" w:rsidRPr="00C24AB7" w:rsidRDefault="00D25A01" w:rsidP="00D25A01">
            <w:pPr>
              <w:pStyle w:val="naiskr"/>
              <w:spacing w:before="0" w:after="0"/>
              <w:ind w:firstLine="12"/>
              <w:contextualSpacing/>
            </w:pPr>
            <w:r w:rsidRPr="00C24AB7">
              <w:t>Iekšlietu ministrijas, Tieslietu ministrijas, Vides aizsardzības un reģionālās attīstības ministrijas un Finanšu ministrijas</w:t>
            </w:r>
            <w:r>
              <w:t xml:space="preserve"> iebildumus</w:t>
            </w:r>
            <w:r w:rsidRPr="00C24AB7">
              <w:t xml:space="preserve"> </w:t>
            </w:r>
          </w:p>
        </w:tc>
      </w:tr>
      <w:tr w:rsidR="007B4C0F" w:rsidRPr="00C24AB7" w14:paraId="220B2DA5" w14:textId="77777777" w:rsidTr="00D25A01">
        <w:tc>
          <w:tcPr>
            <w:tcW w:w="2521" w:type="pct"/>
          </w:tcPr>
          <w:p w14:paraId="4050D641" w14:textId="77777777" w:rsidR="007B4C0F" w:rsidRPr="00C24AB7" w:rsidRDefault="007B4C0F" w:rsidP="00C24AB7">
            <w:pPr>
              <w:pStyle w:val="naiskr"/>
              <w:spacing w:before="0" w:after="0"/>
              <w:contextualSpacing/>
            </w:pPr>
            <w:r w:rsidRPr="00C24AB7">
              <w:t>Ministrijas (citas institūcijas), kuras nav ieradušās uz sanāksmi vai kuras nav atbildējušas uz uzaicinājumu piedalīties elektroniskajā saskaņošanā</w:t>
            </w:r>
          </w:p>
        </w:tc>
        <w:tc>
          <w:tcPr>
            <w:tcW w:w="2479" w:type="pct"/>
          </w:tcPr>
          <w:p w14:paraId="78384710" w14:textId="31C3AAD1" w:rsidR="007B4C0F" w:rsidRPr="00C24AB7" w:rsidRDefault="00600617" w:rsidP="00600617">
            <w:pPr>
              <w:pStyle w:val="naiskr"/>
              <w:spacing w:before="0" w:after="0"/>
              <w:contextualSpacing/>
            </w:pPr>
            <w:r w:rsidRPr="00600617">
              <w:t>Iekšlietu ministrija</w:t>
            </w:r>
            <w:r w:rsidR="00F906CF">
              <w:t xml:space="preserve"> un </w:t>
            </w:r>
            <w:r w:rsidR="00474955">
              <w:t>Aizsardzības ministrija</w:t>
            </w:r>
          </w:p>
        </w:tc>
      </w:tr>
    </w:tbl>
    <w:p w14:paraId="03638982" w14:textId="60146246" w:rsidR="00683081" w:rsidRDefault="00683081" w:rsidP="00D25A01">
      <w:pPr>
        <w:pStyle w:val="naisf"/>
        <w:spacing w:before="0" w:after="0"/>
        <w:ind w:firstLine="720"/>
        <w:jc w:val="left"/>
      </w:pPr>
    </w:p>
    <w:tbl>
      <w:tblPr>
        <w:tblW w:w="5000" w:type="pct"/>
        <w:tblLook w:val="00A0" w:firstRow="1" w:lastRow="0" w:firstColumn="1" w:lastColumn="0" w:noHBand="0" w:noVBand="0"/>
      </w:tblPr>
      <w:tblGrid>
        <w:gridCol w:w="7060"/>
        <w:gridCol w:w="6943"/>
      </w:tblGrid>
      <w:tr w:rsidR="008A6BCA" w:rsidRPr="00C24AB7" w14:paraId="34F4F706" w14:textId="77777777" w:rsidTr="00D25A01">
        <w:tc>
          <w:tcPr>
            <w:tcW w:w="2521" w:type="pct"/>
          </w:tcPr>
          <w:p w14:paraId="3B3449D7" w14:textId="77777777" w:rsidR="008A6BCA" w:rsidRPr="00C24AB7" w:rsidRDefault="008A6BCA" w:rsidP="00C24AB7">
            <w:pPr>
              <w:pStyle w:val="naisf"/>
              <w:spacing w:before="0" w:after="0"/>
              <w:ind w:firstLine="0"/>
              <w:contextualSpacing/>
            </w:pPr>
            <w:r w:rsidRPr="00C24AB7">
              <w:t>Datums</w:t>
            </w:r>
          </w:p>
        </w:tc>
        <w:tc>
          <w:tcPr>
            <w:tcW w:w="2479" w:type="pct"/>
          </w:tcPr>
          <w:p w14:paraId="1769A26A" w14:textId="65AE3529" w:rsidR="008A6BCA" w:rsidRDefault="008A6BCA" w:rsidP="00D25A01">
            <w:pPr>
              <w:pStyle w:val="NormalWeb"/>
              <w:spacing w:before="0" w:beforeAutospacing="0" w:after="0" w:afterAutospacing="0"/>
              <w:contextualSpacing/>
            </w:pPr>
            <w:r w:rsidRPr="00C24AB7">
              <w:t>08.10.2019.</w:t>
            </w:r>
            <w:r w:rsidR="00D25A01">
              <w:t xml:space="preserve"> (</w:t>
            </w:r>
            <w:proofErr w:type="spellStart"/>
            <w:r w:rsidR="00C24AB7" w:rsidRPr="00C24AB7">
              <w:t>starpministriju</w:t>
            </w:r>
            <w:proofErr w:type="spellEnd"/>
            <w:r w:rsidR="00C24AB7" w:rsidRPr="00C24AB7">
              <w:t xml:space="preserve"> saskaņošanas sanāksme</w:t>
            </w:r>
            <w:r w:rsidR="00D25A01">
              <w:t>)</w:t>
            </w:r>
          </w:p>
          <w:p w14:paraId="6001826A" w14:textId="0EF9922E" w:rsidR="00D25A01" w:rsidRPr="00C24AB7" w:rsidRDefault="00D25A01" w:rsidP="00D25A01">
            <w:pPr>
              <w:pStyle w:val="NormalWeb"/>
              <w:spacing w:before="0" w:beforeAutospacing="0" w:after="0" w:afterAutospacing="0"/>
              <w:ind w:firstLine="720"/>
              <w:contextualSpacing/>
            </w:pPr>
          </w:p>
        </w:tc>
      </w:tr>
      <w:tr w:rsidR="008A6BCA" w:rsidRPr="00C24AB7" w14:paraId="581D4FE3" w14:textId="77777777" w:rsidTr="00D25A01">
        <w:tc>
          <w:tcPr>
            <w:tcW w:w="2521" w:type="pct"/>
          </w:tcPr>
          <w:p w14:paraId="76B6CEAD" w14:textId="77777777" w:rsidR="008A6BCA" w:rsidRPr="00C24AB7" w:rsidRDefault="008A6BCA" w:rsidP="00C24AB7">
            <w:pPr>
              <w:pStyle w:val="naiskr"/>
              <w:spacing w:before="0" w:after="0"/>
              <w:contextualSpacing/>
            </w:pPr>
            <w:r w:rsidRPr="00C24AB7">
              <w:t>Saskaņošanas dalībnieki</w:t>
            </w:r>
          </w:p>
        </w:tc>
        <w:tc>
          <w:tcPr>
            <w:tcW w:w="2479" w:type="pct"/>
          </w:tcPr>
          <w:p w14:paraId="5B1DCDE2" w14:textId="77777777" w:rsidR="008A6BCA" w:rsidRPr="00C24AB7" w:rsidRDefault="008A6BCA" w:rsidP="00D25A01">
            <w:pPr>
              <w:contextualSpacing/>
              <w:rPr>
                <w:noProof/>
                <w:u w:val="single"/>
              </w:rPr>
            </w:pPr>
            <w:r w:rsidRPr="00C24AB7">
              <w:rPr>
                <w:noProof/>
                <w:u w:val="single"/>
              </w:rPr>
              <w:t>Tieslietu ministrija</w:t>
            </w:r>
          </w:p>
          <w:p w14:paraId="21704878" w14:textId="77777777" w:rsidR="008A6BCA" w:rsidRPr="00C24AB7" w:rsidRDefault="008A6BCA" w:rsidP="00D25A01">
            <w:pPr>
              <w:contextualSpacing/>
              <w:rPr>
                <w:noProof/>
              </w:rPr>
            </w:pPr>
            <w:r w:rsidRPr="00C24AB7">
              <w:rPr>
                <w:noProof/>
              </w:rPr>
              <w:t>Amanda Mūrniece, Amanda.Murniece@tm.gov.lv</w:t>
            </w:r>
          </w:p>
          <w:p w14:paraId="6B98F69D" w14:textId="721B99DC" w:rsidR="008A6BCA" w:rsidRPr="00C24AB7" w:rsidRDefault="008A6BCA" w:rsidP="00D25A01">
            <w:pPr>
              <w:contextualSpacing/>
              <w:rPr>
                <w:noProof/>
              </w:rPr>
            </w:pPr>
            <w:r w:rsidRPr="00C24AB7">
              <w:rPr>
                <w:noProof/>
              </w:rPr>
              <w:t>Linda Upīte, Linda.Upite@tm.gov.lv</w:t>
            </w:r>
          </w:p>
          <w:p w14:paraId="7125923B" w14:textId="77777777" w:rsidR="008A6BCA" w:rsidRDefault="008A6BCA" w:rsidP="00D25A01">
            <w:pPr>
              <w:contextualSpacing/>
            </w:pPr>
          </w:p>
          <w:p w14:paraId="32FABC7A" w14:textId="4A887CB9" w:rsidR="00D25A01" w:rsidRPr="00C24AB7" w:rsidRDefault="00D25A01" w:rsidP="00D25A01">
            <w:pPr>
              <w:contextualSpacing/>
            </w:pPr>
          </w:p>
        </w:tc>
      </w:tr>
      <w:tr w:rsidR="00D25A01" w:rsidRPr="00C24AB7" w14:paraId="468C57CC" w14:textId="77777777" w:rsidTr="00D25A01">
        <w:trPr>
          <w:trHeight w:val="285"/>
        </w:trPr>
        <w:tc>
          <w:tcPr>
            <w:tcW w:w="2521" w:type="pct"/>
          </w:tcPr>
          <w:p w14:paraId="2B5F894A" w14:textId="77777777" w:rsidR="00D25A01" w:rsidRDefault="00D25A01" w:rsidP="00D25A01">
            <w:pPr>
              <w:pStyle w:val="naiskr"/>
              <w:spacing w:before="0" w:after="0"/>
              <w:contextualSpacing/>
            </w:pPr>
            <w:r w:rsidRPr="00C24AB7">
              <w:t>Saskaņošanas dalībnieki izskatīja šādu ministriju (citu institūciju) iebildumus</w:t>
            </w:r>
          </w:p>
          <w:p w14:paraId="5E0E2C0D" w14:textId="63180408" w:rsidR="00D25A01" w:rsidRPr="00C24AB7" w:rsidRDefault="00D25A01" w:rsidP="00D25A01">
            <w:pPr>
              <w:pStyle w:val="naiskr"/>
              <w:spacing w:before="0" w:after="0"/>
              <w:contextualSpacing/>
            </w:pPr>
          </w:p>
        </w:tc>
        <w:tc>
          <w:tcPr>
            <w:tcW w:w="2479" w:type="pct"/>
          </w:tcPr>
          <w:p w14:paraId="2FB58E12" w14:textId="77777777" w:rsidR="00D25A01" w:rsidRDefault="00D25A01" w:rsidP="00D25A01">
            <w:pPr>
              <w:pStyle w:val="naiskr"/>
              <w:spacing w:before="0" w:after="0"/>
              <w:ind w:firstLine="12"/>
              <w:contextualSpacing/>
            </w:pPr>
            <w:r w:rsidRPr="00C24AB7">
              <w:t>Tieslietu ministrija</w:t>
            </w:r>
          </w:p>
          <w:p w14:paraId="60BCD034" w14:textId="4967D725" w:rsidR="00D25A01" w:rsidRPr="00C24AB7" w:rsidRDefault="00D25A01" w:rsidP="00D25A01">
            <w:pPr>
              <w:pStyle w:val="naiskr"/>
              <w:spacing w:before="0" w:after="0"/>
              <w:ind w:firstLine="12"/>
              <w:contextualSpacing/>
            </w:pPr>
          </w:p>
        </w:tc>
      </w:tr>
      <w:tr w:rsidR="008A6BCA" w:rsidRPr="00C24AB7" w14:paraId="5AFDCBD9" w14:textId="77777777" w:rsidTr="00D25A01">
        <w:trPr>
          <w:trHeight w:val="281"/>
        </w:trPr>
        <w:tc>
          <w:tcPr>
            <w:tcW w:w="2521" w:type="pct"/>
          </w:tcPr>
          <w:p w14:paraId="65727DCB" w14:textId="77777777" w:rsidR="008A6BCA" w:rsidRPr="00C24AB7" w:rsidRDefault="008A6BCA" w:rsidP="00C24AB7">
            <w:pPr>
              <w:pStyle w:val="naiskr"/>
              <w:spacing w:before="0" w:after="0"/>
              <w:contextualSpacing/>
            </w:pPr>
            <w:r w:rsidRPr="00C24AB7">
              <w:t>Ministrijas (citas institūcijas), kuras nav ieradušās uz sanāksmi vai kuras nav atbildējušas uz uzaicinājumu piedalīties elektroniskajā saskaņošanā</w:t>
            </w:r>
          </w:p>
        </w:tc>
        <w:tc>
          <w:tcPr>
            <w:tcW w:w="2479" w:type="pct"/>
          </w:tcPr>
          <w:p w14:paraId="28A926D5" w14:textId="1AD8DEBD" w:rsidR="00C24AB7" w:rsidRPr="00C24AB7" w:rsidRDefault="008A6BCA" w:rsidP="00C24AB7">
            <w:pPr>
              <w:contextualSpacing/>
              <w:jc w:val="right"/>
            </w:pPr>
            <w:r w:rsidRPr="00C24AB7">
              <w:rPr>
                <w:noProof/>
              </w:rPr>
              <w:tab/>
            </w:r>
          </w:p>
          <w:p w14:paraId="7450CE0D" w14:textId="32CAF22D" w:rsidR="008A6BCA" w:rsidRPr="00C24AB7" w:rsidRDefault="008A6BCA" w:rsidP="00C24AB7">
            <w:pPr>
              <w:pStyle w:val="naiskr"/>
              <w:spacing w:before="0" w:after="0"/>
              <w:ind w:firstLine="720"/>
              <w:contextualSpacing/>
              <w:jc w:val="right"/>
            </w:pPr>
          </w:p>
        </w:tc>
      </w:tr>
    </w:tbl>
    <w:p w14:paraId="1C9EECE3"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17F27DD5" w14:textId="77777777" w:rsidR="007B4C0F" w:rsidRPr="00712B66" w:rsidRDefault="007B4C0F" w:rsidP="00DB7395">
      <w:pPr>
        <w:pStyle w:val="naisf"/>
        <w:spacing w:before="0" w:after="0"/>
        <w:ind w:firstLine="720"/>
      </w:pPr>
      <w:bookmarkStart w:id="0" w:name="_GoBack"/>
      <w:bookmarkEnd w:id="0"/>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45"/>
        <w:gridCol w:w="4961"/>
        <w:gridCol w:w="1073"/>
        <w:gridCol w:w="1904"/>
        <w:gridCol w:w="2835"/>
      </w:tblGrid>
      <w:tr w:rsidR="00134188" w:rsidRPr="00712B66" w14:paraId="3F9C3F2B" w14:textId="77777777" w:rsidTr="009F0876">
        <w:tc>
          <w:tcPr>
            <w:tcW w:w="708" w:type="dxa"/>
            <w:tcBorders>
              <w:top w:val="single" w:sz="6" w:space="0" w:color="000000"/>
              <w:left w:val="single" w:sz="6" w:space="0" w:color="000000"/>
              <w:bottom w:val="single" w:sz="6" w:space="0" w:color="000000"/>
              <w:right w:val="single" w:sz="6" w:space="0" w:color="000000"/>
            </w:tcBorders>
            <w:vAlign w:val="center"/>
          </w:tcPr>
          <w:p w14:paraId="4CD22527" w14:textId="77777777" w:rsidR="00134188" w:rsidRPr="00712B66" w:rsidRDefault="00134188" w:rsidP="009623BC">
            <w:pPr>
              <w:pStyle w:val="naisc"/>
              <w:spacing w:before="0" w:after="0"/>
            </w:pPr>
            <w:r w:rsidRPr="00712B66">
              <w:t>Nr. p.</w:t>
            </w:r>
            <w:r w:rsidR="00D64FB0">
              <w:t> </w:t>
            </w:r>
            <w:r w:rsidRPr="00712B66">
              <w:t>k.</w:t>
            </w:r>
          </w:p>
        </w:tc>
        <w:tc>
          <w:tcPr>
            <w:tcW w:w="2545" w:type="dxa"/>
            <w:gridSpan w:val="2"/>
            <w:tcBorders>
              <w:top w:val="single" w:sz="6" w:space="0" w:color="000000"/>
              <w:left w:val="single" w:sz="6" w:space="0" w:color="000000"/>
              <w:bottom w:val="single" w:sz="6" w:space="0" w:color="000000"/>
              <w:right w:val="single" w:sz="6" w:space="0" w:color="000000"/>
            </w:tcBorders>
            <w:vAlign w:val="center"/>
          </w:tcPr>
          <w:p w14:paraId="34E81BAA"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961" w:type="dxa"/>
            <w:tcBorders>
              <w:top w:val="single" w:sz="6" w:space="0" w:color="000000"/>
              <w:left w:val="single" w:sz="6" w:space="0" w:color="000000"/>
              <w:bottom w:val="single" w:sz="6" w:space="0" w:color="000000"/>
              <w:right w:val="single" w:sz="6" w:space="0" w:color="000000"/>
            </w:tcBorders>
            <w:vAlign w:val="center"/>
          </w:tcPr>
          <w:p w14:paraId="477A2212"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3379FA29"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35" w:type="dxa"/>
            <w:tcBorders>
              <w:top w:val="single" w:sz="4" w:space="0" w:color="auto"/>
              <w:left w:val="single" w:sz="4" w:space="0" w:color="auto"/>
              <w:bottom w:val="single" w:sz="4" w:space="0" w:color="auto"/>
            </w:tcBorders>
            <w:vAlign w:val="center"/>
          </w:tcPr>
          <w:p w14:paraId="697EC6C4" w14:textId="77777777" w:rsidR="00134188" w:rsidRPr="00712B66" w:rsidRDefault="00134188" w:rsidP="009623BC">
            <w:pPr>
              <w:jc w:val="center"/>
            </w:pPr>
            <w:r w:rsidRPr="00712B66">
              <w:t>Projekta attiecīgā punkta (panta) galīgā redakcija</w:t>
            </w:r>
          </w:p>
        </w:tc>
      </w:tr>
      <w:tr w:rsidR="00134188" w:rsidRPr="003B71E0" w14:paraId="56ED2141" w14:textId="77777777" w:rsidTr="009F0876">
        <w:tc>
          <w:tcPr>
            <w:tcW w:w="708" w:type="dxa"/>
            <w:tcBorders>
              <w:top w:val="single" w:sz="6" w:space="0" w:color="000000"/>
              <w:left w:val="single" w:sz="6" w:space="0" w:color="000000"/>
              <w:bottom w:val="single" w:sz="6" w:space="0" w:color="000000"/>
              <w:right w:val="single" w:sz="6" w:space="0" w:color="000000"/>
            </w:tcBorders>
          </w:tcPr>
          <w:p w14:paraId="68303906" w14:textId="77777777" w:rsidR="00134188" w:rsidRPr="00384BDE" w:rsidRDefault="003B71E0" w:rsidP="003B71E0">
            <w:pPr>
              <w:pStyle w:val="naisc"/>
              <w:spacing w:before="0" w:after="0"/>
            </w:pPr>
            <w:r w:rsidRPr="00384BDE">
              <w:lastRenderedPageBreak/>
              <w:t>1</w:t>
            </w:r>
          </w:p>
        </w:tc>
        <w:tc>
          <w:tcPr>
            <w:tcW w:w="2545" w:type="dxa"/>
            <w:gridSpan w:val="2"/>
            <w:tcBorders>
              <w:top w:val="single" w:sz="6" w:space="0" w:color="000000"/>
              <w:left w:val="single" w:sz="6" w:space="0" w:color="000000"/>
              <w:bottom w:val="single" w:sz="6" w:space="0" w:color="000000"/>
              <w:right w:val="single" w:sz="6" w:space="0" w:color="000000"/>
            </w:tcBorders>
          </w:tcPr>
          <w:p w14:paraId="1D08844E" w14:textId="77777777" w:rsidR="00134188" w:rsidRPr="00384BDE" w:rsidRDefault="00134188" w:rsidP="00384BDE">
            <w:pPr>
              <w:pStyle w:val="naisc"/>
              <w:spacing w:before="0" w:after="0"/>
            </w:pPr>
          </w:p>
        </w:tc>
        <w:tc>
          <w:tcPr>
            <w:tcW w:w="4961" w:type="dxa"/>
            <w:tcBorders>
              <w:top w:val="single" w:sz="6" w:space="0" w:color="000000"/>
              <w:left w:val="single" w:sz="6" w:space="0" w:color="000000"/>
              <w:bottom w:val="single" w:sz="6" w:space="0" w:color="000000"/>
              <w:right w:val="single" w:sz="6" w:space="0" w:color="000000"/>
            </w:tcBorders>
          </w:tcPr>
          <w:p w14:paraId="6AC8781A" w14:textId="77777777" w:rsidR="00134188" w:rsidRDefault="00A65E66" w:rsidP="00E71CBE">
            <w:pPr>
              <w:pStyle w:val="naisc"/>
              <w:spacing w:before="0" w:after="0"/>
              <w:rPr>
                <w:b/>
              </w:rPr>
            </w:pPr>
            <w:r>
              <w:rPr>
                <w:b/>
              </w:rPr>
              <w:t>Finanšu ministrija</w:t>
            </w:r>
          </w:p>
          <w:p w14:paraId="27B4807F" w14:textId="77777777" w:rsidR="00044C00" w:rsidRPr="00044C00" w:rsidRDefault="00044C00" w:rsidP="00044C00">
            <w:pPr>
              <w:pStyle w:val="naisc"/>
              <w:spacing w:before="0" w:after="0"/>
              <w:ind w:firstLine="34"/>
              <w:jc w:val="left"/>
            </w:pPr>
            <w:r w:rsidRPr="00044C00">
              <w:t>19.07.2019. Nr. 12/A-7/3412</w:t>
            </w:r>
          </w:p>
          <w:p w14:paraId="52B25623" w14:textId="77777777" w:rsidR="00384BDE" w:rsidRDefault="00384BDE" w:rsidP="00384BDE">
            <w:pPr>
              <w:pStyle w:val="naisc"/>
              <w:spacing w:before="0" w:after="0"/>
              <w:ind w:firstLine="34"/>
            </w:pPr>
          </w:p>
          <w:p w14:paraId="1E9F59EE" w14:textId="77777777" w:rsidR="00A65E66" w:rsidRPr="00384BDE" w:rsidRDefault="00A65E66" w:rsidP="00F77BDC">
            <w:pPr>
              <w:pStyle w:val="naisc"/>
              <w:spacing w:before="0" w:after="0"/>
              <w:ind w:firstLine="34"/>
              <w:jc w:val="both"/>
            </w:pPr>
            <w:r w:rsidRPr="00843997">
              <w:t>Ņemot vērā anotācijas VII sadaļas “Tiesību akta projekta izpildes nodrošināšana un tās ietekme uz institūcijām” 1.punktā “Projekta izpildē iesaistītās institūcijas” norādīto, ka projekta izpildi nodrošina Zāļu valsts aģentūra, Veselības inspekcija un Valsts policija, lūdzam anotācijas VII sadaļas 3.punktā “Cita informācija” norādīt, ka projekta izpildē iesaistītās institūcijas - Veselības inspekcija un Valsts policija - noteikumu projektā paredzēto pasākumu īstenošanu nodrošinās tām piešķirto valsts budžeta līdzekļu ietvaros un Zāļu valsts aģentūra saņemto pašu ieņēmumu ietvaros.</w:t>
            </w:r>
          </w:p>
        </w:tc>
        <w:tc>
          <w:tcPr>
            <w:tcW w:w="2977" w:type="dxa"/>
            <w:gridSpan w:val="2"/>
            <w:tcBorders>
              <w:top w:val="single" w:sz="6" w:space="0" w:color="000000"/>
              <w:left w:val="single" w:sz="6" w:space="0" w:color="000000"/>
              <w:bottom w:val="single" w:sz="6" w:space="0" w:color="000000"/>
              <w:right w:val="single" w:sz="6" w:space="0" w:color="000000"/>
            </w:tcBorders>
          </w:tcPr>
          <w:p w14:paraId="6249B170" w14:textId="77777777" w:rsidR="00134188" w:rsidRDefault="00134188" w:rsidP="00384BDE">
            <w:pPr>
              <w:pStyle w:val="naisc"/>
              <w:spacing w:before="0" w:after="0"/>
            </w:pPr>
          </w:p>
          <w:p w14:paraId="4028F572" w14:textId="77777777" w:rsidR="00234820" w:rsidRPr="00234820" w:rsidRDefault="00234820" w:rsidP="00384BDE">
            <w:pPr>
              <w:pStyle w:val="naisc"/>
              <w:spacing w:before="0" w:after="0"/>
              <w:rPr>
                <w:b/>
              </w:rPr>
            </w:pPr>
            <w:r w:rsidRPr="00234820">
              <w:rPr>
                <w:b/>
              </w:rPr>
              <w:t>Ņemts vērā</w:t>
            </w:r>
          </w:p>
        </w:tc>
        <w:tc>
          <w:tcPr>
            <w:tcW w:w="2835" w:type="dxa"/>
            <w:tcBorders>
              <w:top w:val="single" w:sz="4" w:space="0" w:color="auto"/>
              <w:left w:val="single" w:sz="4" w:space="0" w:color="auto"/>
              <w:bottom w:val="single" w:sz="4" w:space="0" w:color="auto"/>
            </w:tcBorders>
          </w:tcPr>
          <w:p w14:paraId="7E5CF57F" w14:textId="77777777" w:rsidR="00134188" w:rsidRDefault="00134188" w:rsidP="00384BDE">
            <w:pPr>
              <w:jc w:val="center"/>
            </w:pPr>
          </w:p>
          <w:p w14:paraId="4F42F63B" w14:textId="77777777" w:rsidR="00234820" w:rsidRPr="00384BDE" w:rsidRDefault="00234820" w:rsidP="00F77BDC">
            <w:pPr>
              <w:jc w:val="both"/>
            </w:pPr>
            <w:r>
              <w:t>Precizēta projekta anotācija</w:t>
            </w:r>
          </w:p>
        </w:tc>
      </w:tr>
      <w:tr w:rsidR="00134188" w:rsidRPr="00712B66" w14:paraId="08E697E5" w14:textId="77777777" w:rsidTr="009F0876">
        <w:tc>
          <w:tcPr>
            <w:tcW w:w="708" w:type="dxa"/>
            <w:tcBorders>
              <w:left w:val="single" w:sz="6" w:space="0" w:color="000000"/>
              <w:bottom w:val="single" w:sz="4" w:space="0" w:color="auto"/>
              <w:right w:val="single" w:sz="6" w:space="0" w:color="000000"/>
            </w:tcBorders>
          </w:tcPr>
          <w:p w14:paraId="6221A310" w14:textId="77777777" w:rsidR="00134188" w:rsidRPr="00384BDE" w:rsidRDefault="0071712F" w:rsidP="00DB7395">
            <w:pPr>
              <w:pStyle w:val="naisc"/>
              <w:spacing w:before="0" w:after="0"/>
              <w:ind w:firstLine="720"/>
            </w:pPr>
            <w:r>
              <w:t>22</w:t>
            </w:r>
          </w:p>
        </w:tc>
        <w:tc>
          <w:tcPr>
            <w:tcW w:w="2545" w:type="dxa"/>
            <w:gridSpan w:val="2"/>
            <w:tcBorders>
              <w:left w:val="single" w:sz="6" w:space="0" w:color="000000"/>
              <w:bottom w:val="single" w:sz="4" w:space="0" w:color="auto"/>
              <w:right w:val="single" w:sz="6" w:space="0" w:color="000000"/>
            </w:tcBorders>
          </w:tcPr>
          <w:p w14:paraId="3F797E98" w14:textId="77777777" w:rsidR="00134188" w:rsidRPr="00384BDE" w:rsidRDefault="00134188" w:rsidP="00DB7395">
            <w:pPr>
              <w:pStyle w:val="naisc"/>
              <w:spacing w:before="0" w:after="0"/>
              <w:ind w:firstLine="720"/>
            </w:pPr>
          </w:p>
        </w:tc>
        <w:tc>
          <w:tcPr>
            <w:tcW w:w="4961" w:type="dxa"/>
            <w:tcBorders>
              <w:left w:val="single" w:sz="6" w:space="0" w:color="000000"/>
              <w:bottom w:val="single" w:sz="4" w:space="0" w:color="auto"/>
              <w:right w:val="single" w:sz="6" w:space="0" w:color="000000"/>
            </w:tcBorders>
          </w:tcPr>
          <w:p w14:paraId="32FA68A2" w14:textId="77777777" w:rsidR="0071712F" w:rsidRPr="0071712F" w:rsidRDefault="0071712F" w:rsidP="00E71CBE">
            <w:pPr>
              <w:pStyle w:val="naisc"/>
              <w:spacing w:before="0" w:after="0"/>
              <w:rPr>
                <w:b/>
              </w:rPr>
            </w:pPr>
            <w:r w:rsidRPr="0071712F">
              <w:rPr>
                <w:b/>
              </w:rPr>
              <w:t>Vides aizsardzības un reģionālās attīstības ministrija</w:t>
            </w:r>
          </w:p>
          <w:p w14:paraId="4B8CD968" w14:textId="77777777" w:rsidR="005E58C8" w:rsidRPr="00B419C1" w:rsidRDefault="005E58C8" w:rsidP="005E58C8">
            <w:pPr>
              <w:pStyle w:val="naisc"/>
              <w:spacing w:before="0" w:after="0"/>
              <w:jc w:val="left"/>
            </w:pPr>
            <w:r w:rsidRPr="00B419C1">
              <w:t>19.07.2019. Nr. 1-22/6969</w:t>
            </w:r>
          </w:p>
          <w:p w14:paraId="757D3A5A" w14:textId="77777777" w:rsidR="0071712F" w:rsidRDefault="0071712F" w:rsidP="00B4083C">
            <w:pPr>
              <w:pStyle w:val="naisc"/>
              <w:spacing w:before="0" w:after="0"/>
            </w:pPr>
          </w:p>
          <w:p w14:paraId="60348B26" w14:textId="77777777" w:rsidR="00B4083C" w:rsidRPr="00C324C4" w:rsidRDefault="00B4083C" w:rsidP="00F77BDC">
            <w:pPr>
              <w:pStyle w:val="ListParagraph"/>
              <w:widowControl w:val="0"/>
              <w:spacing w:after="0" w:line="240" w:lineRule="auto"/>
              <w:ind w:left="34"/>
              <w:jc w:val="both"/>
              <w:rPr>
                <w:rFonts w:ascii="Times New Roman" w:hAnsi="Times New Roman"/>
                <w:sz w:val="24"/>
                <w:szCs w:val="24"/>
              </w:rPr>
            </w:pPr>
            <w:r w:rsidRPr="00C324C4">
              <w:rPr>
                <w:rFonts w:ascii="Times New Roman" w:hAnsi="Times New Roman"/>
                <w:sz w:val="24"/>
                <w:szCs w:val="24"/>
              </w:rPr>
              <w:t>Saskaņā ar Ministru kabineta 2009. gada 15. decembra instrukciju Nr. 19 “Tiesību akta projekta sākotnējās ietekmes izvērtēšanas kārtība” (turpmā</w:t>
            </w:r>
            <w:r>
              <w:rPr>
                <w:rFonts w:ascii="Times New Roman" w:hAnsi="Times New Roman"/>
                <w:sz w:val="24"/>
                <w:szCs w:val="24"/>
              </w:rPr>
              <w:t>k – MK instrukcija Nr.19) 14.4. apakš</w:t>
            </w:r>
            <w:r w:rsidRPr="00C324C4">
              <w:rPr>
                <w:rFonts w:ascii="Times New Roman" w:hAnsi="Times New Roman"/>
                <w:sz w:val="24"/>
                <w:szCs w:val="24"/>
              </w:rPr>
              <w:t>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p w14:paraId="5ACB25C4" w14:textId="77777777" w:rsidR="0071712F" w:rsidRPr="00384BDE" w:rsidRDefault="00B4083C" w:rsidP="00F77BDC">
            <w:pPr>
              <w:pStyle w:val="naisc"/>
              <w:spacing w:before="0" w:after="0"/>
              <w:jc w:val="both"/>
            </w:pPr>
            <w:r w:rsidRPr="00C324C4">
              <w:t>Noteikumu pro</w:t>
            </w:r>
            <w:r>
              <w:t>jektā ir noteikta kārtība, kādā</w:t>
            </w:r>
            <w:r w:rsidRPr="00B325BA">
              <w:t xml:space="preserve"> reģistrē un licencē prekursoru operatoru un </w:t>
            </w:r>
            <w:r w:rsidRPr="00B325BA">
              <w:lastRenderedPageBreak/>
              <w:t>p</w:t>
            </w:r>
            <w:r>
              <w:t xml:space="preserve">rekursoru lietotāju, un </w:t>
            </w:r>
            <w:r w:rsidRPr="00B325BA">
              <w:t>aptur un anulē speciālo atļ</w:t>
            </w:r>
            <w:r>
              <w:t xml:space="preserve">auju (licenci) vai reģistrāciju. </w:t>
            </w:r>
            <w:r w:rsidRPr="00C324C4">
              <w:t>Ņemot vērā minēto, lūdzam identificēt un definēt valsts pārvaldes pakalpojumu, to nosaukumu veidojot atbilstoši VARAM izstrādātajiem un 2019.</w:t>
            </w:r>
            <w:r>
              <w:t> gada 10. </w:t>
            </w:r>
            <w:r w:rsidRPr="00C324C4">
              <w:t>aprīlī apstiprinātajiem metodiskajiem ieteikumiem “Metodiskie ieteikumi valsts pārvaldes pakalpojumu pārvaldībai”. Saskaņā ar Ministru kabineta 2017. gada 4. jūlija noteikumu Nr.399 “Valsts pārvaldes pakalpojumu uzskaites, kvalitātes kontr</w:t>
            </w:r>
            <w:r>
              <w:t>oles un sniegšanas kārtība” 17. </w:t>
            </w:r>
            <w:r w:rsidRPr="00C324C4">
              <w:t>punktu pakalpojumu pieprasīšanas un saņemšanas kanāli iedalāmi klātienes un neklātienes kanālos. Neklātienes kanāli iedalāmi elektroniskos, telefoniskos un pasta starpniecības kanālos. Ņemot vērā minēto, lūdzam sākotnējā ietekmes novērtējuma ziņojuma I sadaļas 2. punktā pakalpojuma sniegšanas kanālus.</w:t>
            </w:r>
          </w:p>
        </w:tc>
        <w:tc>
          <w:tcPr>
            <w:tcW w:w="2977" w:type="dxa"/>
            <w:gridSpan w:val="2"/>
            <w:tcBorders>
              <w:left w:val="single" w:sz="6" w:space="0" w:color="000000"/>
              <w:bottom w:val="single" w:sz="4" w:space="0" w:color="auto"/>
              <w:right w:val="single" w:sz="6" w:space="0" w:color="000000"/>
            </w:tcBorders>
          </w:tcPr>
          <w:p w14:paraId="3E74BECC" w14:textId="77777777" w:rsidR="00134188" w:rsidRDefault="00134188" w:rsidP="00DB7395">
            <w:pPr>
              <w:pStyle w:val="naisc"/>
              <w:spacing w:before="0" w:after="0"/>
              <w:ind w:firstLine="720"/>
            </w:pPr>
          </w:p>
          <w:p w14:paraId="1FC875D9" w14:textId="77777777" w:rsidR="002F1F03" w:rsidRPr="002F1F03" w:rsidRDefault="002F1F03" w:rsidP="002F1F03">
            <w:pPr>
              <w:pStyle w:val="naisc"/>
              <w:spacing w:before="0" w:after="0"/>
              <w:rPr>
                <w:b/>
              </w:rPr>
            </w:pPr>
            <w:r w:rsidRPr="002F1F03">
              <w:rPr>
                <w:b/>
              </w:rPr>
              <w:t>Ņemts vērā</w:t>
            </w:r>
          </w:p>
        </w:tc>
        <w:tc>
          <w:tcPr>
            <w:tcW w:w="2835" w:type="dxa"/>
            <w:tcBorders>
              <w:top w:val="single" w:sz="4" w:space="0" w:color="auto"/>
              <w:left w:val="single" w:sz="4" w:space="0" w:color="auto"/>
              <w:bottom w:val="single" w:sz="4" w:space="0" w:color="auto"/>
            </w:tcBorders>
          </w:tcPr>
          <w:p w14:paraId="685DC239" w14:textId="77777777" w:rsidR="00134188" w:rsidRDefault="00134188" w:rsidP="002F1F03">
            <w:pPr>
              <w:jc w:val="center"/>
            </w:pPr>
          </w:p>
          <w:p w14:paraId="6FF0EDFB" w14:textId="77777777" w:rsidR="002F1F03" w:rsidRPr="00384BDE" w:rsidRDefault="002F1F03" w:rsidP="00F77BDC">
            <w:pPr>
              <w:jc w:val="both"/>
            </w:pPr>
            <w:r>
              <w:t>Precizēta projekta anotā</w:t>
            </w:r>
            <w:r w:rsidR="00F910D3">
              <w:t>cija</w:t>
            </w:r>
          </w:p>
        </w:tc>
      </w:tr>
      <w:tr w:rsidR="003B71E0" w:rsidRPr="00712B66" w14:paraId="58CF9DBC" w14:textId="77777777" w:rsidTr="009F0876">
        <w:tc>
          <w:tcPr>
            <w:tcW w:w="708" w:type="dxa"/>
            <w:tcBorders>
              <w:left w:val="single" w:sz="6" w:space="0" w:color="000000"/>
              <w:bottom w:val="single" w:sz="4" w:space="0" w:color="auto"/>
              <w:right w:val="single" w:sz="6" w:space="0" w:color="000000"/>
            </w:tcBorders>
          </w:tcPr>
          <w:p w14:paraId="115DDA47" w14:textId="77777777" w:rsidR="003B71E0" w:rsidRPr="00384BDE" w:rsidRDefault="0071712F" w:rsidP="003B71E0">
            <w:pPr>
              <w:pStyle w:val="naisc"/>
              <w:spacing w:before="0" w:after="0"/>
              <w:ind w:firstLine="720"/>
            </w:pPr>
            <w:r>
              <w:t>33</w:t>
            </w:r>
          </w:p>
        </w:tc>
        <w:tc>
          <w:tcPr>
            <w:tcW w:w="2545" w:type="dxa"/>
            <w:gridSpan w:val="2"/>
            <w:tcBorders>
              <w:left w:val="single" w:sz="6" w:space="0" w:color="000000"/>
              <w:bottom w:val="single" w:sz="4" w:space="0" w:color="auto"/>
              <w:right w:val="single" w:sz="6" w:space="0" w:color="000000"/>
            </w:tcBorders>
          </w:tcPr>
          <w:p w14:paraId="588B7E1A" w14:textId="77777777" w:rsidR="003B71E0" w:rsidRPr="00384BDE" w:rsidRDefault="003B71E0" w:rsidP="003B71E0">
            <w:pPr>
              <w:pStyle w:val="naisc"/>
              <w:spacing w:before="0" w:after="0"/>
              <w:ind w:firstLine="720"/>
            </w:pPr>
          </w:p>
        </w:tc>
        <w:tc>
          <w:tcPr>
            <w:tcW w:w="4961" w:type="dxa"/>
            <w:tcBorders>
              <w:left w:val="single" w:sz="6" w:space="0" w:color="000000"/>
              <w:bottom w:val="single" w:sz="4" w:space="0" w:color="auto"/>
              <w:right w:val="single" w:sz="6" w:space="0" w:color="000000"/>
            </w:tcBorders>
          </w:tcPr>
          <w:p w14:paraId="7A71A101" w14:textId="77777777" w:rsidR="00B4083C" w:rsidRDefault="00B4083C" w:rsidP="00E71CBE">
            <w:pPr>
              <w:pStyle w:val="naisc"/>
              <w:spacing w:before="0" w:after="0"/>
            </w:pPr>
            <w:r w:rsidRPr="0071712F">
              <w:rPr>
                <w:b/>
              </w:rPr>
              <w:t>Vides aizsardzības un reģionālās attīstības ministrija</w:t>
            </w:r>
          </w:p>
          <w:p w14:paraId="743AA357" w14:textId="77777777" w:rsidR="005E58C8" w:rsidRPr="00B419C1" w:rsidRDefault="005E58C8" w:rsidP="005E58C8">
            <w:pPr>
              <w:pStyle w:val="naisc"/>
              <w:spacing w:before="0" w:after="0"/>
              <w:jc w:val="left"/>
            </w:pPr>
            <w:r w:rsidRPr="00B419C1">
              <w:t>19.07.2019. Nr. 1-22/6969</w:t>
            </w:r>
          </w:p>
          <w:p w14:paraId="089923BD" w14:textId="77777777" w:rsidR="00B4083C" w:rsidRDefault="00B4083C" w:rsidP="003B71E0">
            <w:pPr>
              <w:pStyle w:val="naisc"/>
              <w:spacing w:before="0" w:after="0"/>
              <w:ind w:firstLine="720"/>
            </w:pPr>
          </w:p>
          <w:p w14:paraId="75FCC91F" w14:textId="77777777" w:rsidR="00B4083C" w:rsidRPr="00384BDE" w:rsidRDefault="00D75DF7" w:rsidP="00F77BDC">
            <w:pPr>
              <w:pStyle w:val="naisc"/>
              <w:spacing w:before="0" w:after="0"/>
              <w:jc w:val="both"/>
            </w:pPr>
            <w:r w:rsidRPr="00C324C4">
              <w:t xml:space="preserve">Pēc Ministru kabineta noteikumu projekta </w:t>
            </w:r>
            <w:r w:rsidRPr="00B325BA">
              <w:t>Prekursoru operatoru un prekursoru lietotāju reģistrēšanas un licencēšanas kārtība” (VSS-646)</w:t>
            </w:r>
            <w:r>
              <w:t xml:space="preserve"> </w:t>
            </w:r>
            <w:r w:rsidRPr="00C324C4">
              <w:t>spēkā stāšanās lūdzam nodrošināt pakalpojuma aprakstīšanu valsts pārvaldes pakalpojumu portālā Latvija.lv, iekļaujot Ministru kabineta</w:t>
            </w:r>
            <w:r>
              <w:t xml:space="preserve"> </w:t>
            </w:r>
            <w:r w:rsidRPr="00C324C4">
              <w:t>2017. gada 4.</w:t>
            </w:r>
            <w:r>
              <w:t> </w:t>
            </w:r>
            <w:r w:rsidRPr="00C324C4">
              <w:t xml:space="preserve">jūlija noteikumu Nr.399 “Valsts pārvaldes pakalpojumu uzskaites, kvalitātes kontroles un </w:t>
            </w:r>
            <w:r w:rsidRPr="00B325BA">
              <w:t>sniegšanas kārtība” 9. punktā minēto informāciju par pakalpojumu.</w:t>
            </w:r>
          </w:p>
        </w:tc>
        <w:tc>
          <w:tcPr>
            <w:tcW w:w="2977" w:type="dxa"/>
            <w:gridSpan w:val="2"/>
            <w:tcBorders>
              <w:left w:val="single" w:sz="6" w:space="0" w:color="000000"/>
              <w:bottom w:val="single" w:sz="4" w:space="0" w:color="auto"/>
              <w:right w:val="single" w:sz="6" w:space="0" w:color="000000"/>
            </w:tcBorders>
          </w:tcPr>
          <w:p w14:paraId="7DBCA4B1" w14:textId="77777777" w:rsidR="003B71E0" w:rsidRDefault="003B71E0" w:rsidP="003B71E0">
            <w:pPr>
              <w:pStyle w:val="naisc"/>
              <w:spacing w:before="0" w:after="0"/>
              <w:ind w:firstLine="720"/>
            </w:pPr>
          </w:p>
          <w:p w14:paraId="49071303" w14:textId="77777777" w:rsidR="00D2531D" w:rsidRPr="00EB2758" w:rsidRDefault="00EB2758" w:rsidP="00D2531D">
            <w:pPr>
              <w:pStyle w:val="naisc"/>
              <w:spacing w:before="0" w:after="0"/>
              <w:rPr>
                <w:b/>
              </w:rPr>
            </w:pPr>
            <w:r>
              <w:t xml:space="preserve"> </w:t>
            </w:r>
            <w:r w:rsidRPr="00EB2758">
              <w:rPr>
                <w:b/>
              </w:rPr>
              <w:t>Ņemts vērā</w:t>
            </w:r>
          </w:p>
        </w:tc>
        <w:tc>
          <w:tcPr>
            <w:tcW w:w="2835" w:type="dxa"/>
            <w:tcBorders>
              <w:top w:val="single" w:sz="4" w:space="0" w:color="auto"/>
              <w:left w:val="single" w:sz="4" w:space="0" w:color="auto"/>
              <w:bottom w:val="single" w:sz="4" w:space="0" w:color="auto"/>
            </w:tcBorders>
          </w:tcPr>
          <w:p w14:paraId="2F71258B" w14:textId="77777777" w:rsidR="003B71E0" w:rsidRDefault="003B71E0" w:rsidP="00EB2758">
            <w:pPr>
              <w:jc w:val="center"/>
            </w:pPr>
          </w:p>
          <w:p w14:paraId="22BA1BF7" w14:textId="77777777" w:rsidR="00EB2758" w:rsidRPr="00384BDE" w:rsidRDefault="00EB2758" w:rsidP="00F77BDC">
            <w:pPr>
              <w:jc w:val="both"/>
            </w:pPr>
            <w:r>
              <w:t>Precizēta projekta anotācija</w:t>
            </w:r>
          </w:p>
        </w:tc>
      </w:tr>
      <w:tr w:rsidR="00D75DF7" w:rsidRPr="00712B66" w14:paraId="4F7ECC3A" w14:textId="77777777" w:rsidTr="009F0876">
        <w:tc>
          <w:tcPr>
            <w:tcW w:w="708" w:type="dxa"/>
            <w:tcBorders>
              <w:left w:val="single" w:sz="6" w:space="0" w:color="000000"/>
              <w:bottom w:val="single" w:sz="4" w:space="0" w:color="auto"/>
              <w:right w:val="single" w:sz="6" w:space="0" w:color="000000"/>
            </w:tcBorders>
          </w:tcPr>
          <w:p w14:paraId="2FE30852" w14:textId="77777777" w:rsidR="00D75DF7" w:rsidRDefault="00E71CBE" w:rsidP="003B71E0">
            <w:pPr>
              <w:pStyle w:val="naisc"/>
              <w:spacing w:before="0" w:after="0"/>
              <w:ind w:firstLine="720"/>
            </w:pPr>
            <w:r>
              <w:lastRenderedPageBreak/>
              <w:t>4</w:t>
            </w:r>
            <w:r w:rsidR="00D75DF7">
              <w:t>4</w:t>
            </w:r>
          </w:p>
        </w:tc>
        <w:tc>
          <w:tcPr>
            <w:tcW w:w="2545" w:type="dxa"/>
            <w:gridSpan w:val="2"/>
            <w:tcBorders>
              <w:left w:val="single" w:sz="6" w:space="0" w:color="000000"/>
              <w:bottom w:val="single" w:sz="4" w:space="0" w:color="auto"/>
              <w:right w:val="single" w:sz="6" w:space="0" w:color="000000"/>
            </w:tcBorders>
          </w:tcPr>
          <w:p w14:paraId="33C2EF28" w14:textId="77777777" w:rsidR="00D75DF7" w:rsidRDefault="00D75DF7" w:rsidP="003B71E0">
            <w:pPr>
              <w:pStyle w:val="naisc"/>
              <w:spacing w:before="0" w:after="0"/>
              <w:ind w:firstLine="720"/>
            </w:pPr>
          </w:p>
          <w:p w14:paraId="585DA24E" w14:textId="77777777" w:rsidR="00170B8A" w:rsidRDefault="00170B8A" w:rsidP="00333002">
            <w:pPr>
              <w:pStyle w:val="naisc"/>
              <w:spacing w:before="0" w:after="0"/>
              <w:ind w:firstLine="5"/>
              <w:jc w:val="both"/>
              <w:rPr>
                <w:szCs w:val="28"/>
              </w:rPr>
            </w:pPr>
            <w:r w:rsidRPr="00757DB8">
              <w:rPr>
                <w:szCs w:val="28"/>
              </w:rPr>
              <w:t>8. Licenci un dokumentu par personas reģistrāciju atbilstoši Komisijas 2015.gada 25.jūnija deleģētās regulas (ES) Nr.2015/1013,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trešām valstīm (turpmāk – regula Nr.2015/1013) 1. un 2.pielikumā noteiktam paraugam vai lēmumu par  atteikumu izsniegt licenci un lēmumu par atteikumu reģistrēt personu izsniedz elektroniska dokumenta formā</w:t>
            </w:r>
            <w:r>
              <w:rPr>
                <w:szCs w:val="28"/>
              </w:rPr>
              <w:t>,</w:t>
            </w:r>
            <w:r w:rsidRPr="00757DB8">
              <w:rPr>
                <w:szCs w:val="28"/>
              </w:rPr>
              <w:t xml:space="preserve"> nosūtot to uz iesniedzēja </w:t>
            </w:r>
            <w:r w:rsidRPr="00757DB8">
              <w:rPr>
                <w:szCs w:val="28"/>
              </w:rPr>
              <w:lastRenderedPageBreak/>
              <w:t>elektroniskā pasta adresi triju darba dienu laiku pēc tam, kad iesniedzējs ir veicis  samaksu  par dokumentu izskatīšanu saskaņā ar aģentūras maksas pakalpojumu cenrādi.</w:t>
            </w:r>
          </w:p>
          <w:p w14:paraId="1B285CD6" w14:textId="77777777" w:rsidR="00170B8A" w:rsidRDefault="00170B8A" w:rsidP="00170B8A">
            <w:pPr>
              <w:pStyle w:val="naisc"/>
              <w:spacing w:before="0" w:after="0"/>
              <w:ind w:firstLine="5"/>
              <w:rPr>
                <w:szCs w:val="28"/>
              </w:rPr>
            </w:pPr>
          </w:p>
          <w:p w14:paraId="767E30B1" w14:textId="77777777" w:rsidR="00170B8A" w:rsidRDefault="00497B51" w:rsidP="00333002">
            <w:pPr>
              <w:pStyle w:val="naisc"/>
              <w:spacing w:before="0" w:after="0"/>
              <w:ind w:firstLine="5"/>
              <w:jc w:val="both"/>
            </w:pPr>
            <w:r>
              <w:rPr>
                <w:szCs w:val="28"/>
              </w:rPr>
              <w:t>16. </w:t>
            </w:r>
            <w:r>
              <w:t>L</w:t>
            </w:r>
            <w:r w:rsidRPr="00364006">
              <w:t xml:space="preserve">ēmumu par </w:t>
            </w:r>
            <w:r>
              <w:t>licences</w:t>
            </w:r>
            <w:r w:rsidRPr="00364006">
              <w:t xml:space="preserve"> vai reģistrācijas apturēšanu, kā arī </w:t>
            </w:r>
            <w:r>
              <w:t>licences</w:t>
            </w:r>
            <w:r w:rsidRPr="00364006">
              <w:t xml:space="preserve"> v</w:t>
            </w:r>
            <w:r>
              <w:t xml:space="preserve">ai reģistrācijas anulēšanu </w:t>
            </w:r>
            <w:r w:rsidRPr="009E222E">
              <w:t>aģentūra</w:t>
            </w:r>
            <w:r>
              <w:t xml:space="preserve"> elektroniska dokumenta formā triju</w:t>
            </w:r>
            <w:r w:rsidRPr="00364006">
              <w:t xml:space="preserve"> darba dienu laikā</w:t>
            </w:r>
            <w:r>
              <w:t xml:space="preserve"> pēc lēmuma pieņemšanas nosūta uz elektroniskā pasta adresi attiecīgi prekursoru operatoram vai</w:t>
            </w:r>
            <w:r w:rsidRPr="00364006">
              <w:t xml:space="preserve"> prekursoru lietotājam un</w:t>
            </w:r>
            <w:r>
              <w:t xml:space="preserve"> </w:t>
            </w:r>
            <w:r w:rsidRPr="00364006">
              <w:t xml:space="preserve">inspekcijai, kā arī aktualizē informāciju par </w:t>
            </w:r>
            <w:r>
              <w:t>licenci</w:t>
            </w:r>
            <w:r w:rsidRPr="00364006">
              <w:t xml:space="preserve"> un reģistrāciju aģentūras tīmekļa vietnē </w:t>
            </w:r>
            <w:r>
              <w:t xml:space="preserve">un </w:t>
            </w:r>
            <w:r w:rsidRPr="00364006">
              <w:t>narkotisko vielu prekursoru Eiropas datu bāzē</w:t>
            </w:r>
            <w:r>
              <w:t xml:space="preserve"> saskaņā ar regulas </w:t>
            </w:r>
            <w:r>
              <w:lastRenderedPageBreak/>
              <w:t>2015/1013 12.panta 2.punktu.</w:t>
            </w:r>
          </w:p>
          <w:p w14:paraId="621EE3EB" w14:textId="77777777" w:rsidR="00497B51" w:rsidRPr="00384BDE" w:rsidRDefault="00497B51" w:rsidP="00170B8A">
            <w:pPr>
              <w:pStyle w:val="naisc"/>
              <w:spacing w:before="0" w:after="0"/>
              <w:ind w:firstLine="5"/>
            </w:pPr>
          </w:p>
        </w:tc>
        <w:tc>
          <w:tcPr>
            <w:tcW w:w="4961" w:type="dxa"/>
            <w:tcBorders>
              <w:left w:val="single" w:sz="6" w:space="0" w:color="000000"/>
              <w:bottom w:val="single" w:sz="4" w:space="0" w:color="auto"/>
              <w:right w:val="single" w:sz="6" w:space="0" w:color="000000"/>
            </w:tcBorders>
          </w:tcPr>
          <w:p w14:paraId="561AA4AF" w14:textId="77777777" w:rsidR="00B419C1" w:rsidRDefault="00D75DF7" w:rsidP="00E71CBE">
            <w:pPr>
              <w:pStyle w:val="naisc"/>
              <w:spacing w:before="0" w:after="0"/>
              <w:rPr>
                <w:b/>
              </w:rPr>
            </w:pPr>
            <w:r w:rsidRPr="0071712F">
              <w:rPr>
                <w:b/>
              </w:rPr>
              <w:lastRenderedPageBreak/>
              <w:t>Vides aizsardzības un reģionālās attīstības ministrija</w:t>
            </w:r>
          </w:p>
          <w:p w14:paraId="572CA025" w14:textId="77777777" w:rsidR="00D75DF7" w:rsidRPr="00B419C1" w:rsidRDefault="00B419C1" w:rsidP="00B419C1">
            <w:pPr>
              <w:pStyle w:val="naisc"/>
              <w:spacing w:before="0" w:after="0"/>
              <w:jc w:val="left"/>
            </w:pPr>
            <w:r w:rsidRPr="00B419C1">
              <w:t>19.07.2019. Nr. 1-22/6969</w:t>
            </w:r>
          </w:p>
          <w:p w14:paraId="66088BB9" w14:textId="77777777" w:rsidR="00D75DF7" w:rsidRPr="00B419C1" w:rsidRDefault="00D75DF7" w:rsidP="003B71E0">
            <w:pPr>
              <w:pStyle w:val="naisc"/>
              <w:spacing w:before="0" w:after="0"/>
              <w:ind w:firstLine="720"/>
            </w:pPr>
          </w:p>
          <w:p w14:paraId="70E521B4" w14:textId="77777777" w:rsidR="00D75DF7" w:rsidRDefault="00514149" w:rsidP="00333002">
            <w:pPr>
              <w:pStyle w:val="naisc"/>
              <w:spacing w:before="0" w:after="0"/>
              <w:jc w:val="both"/>
            </w:pPr>
            <w:r w:rsidRPr="00B325BA">
              <w:t>Noteikumu projekta 8. punkts nosaka, ka, licenci un dokumentu par personas reģistrāciju atbilstoši [..] Regulas 1. un 2. pielikumā noteiktajam paraugam vai lēmumu par atteikumu izsniegt licenci un lēmumu par atteikumu reģistrēt personu izsniedz elektroniska dokumenta formā, nosūtot to uz iesniedzēja elektroniskā pasta adresi. Arī noteikumu projekta 16. punkts paredz lēmuma par licences vai reģistrācijas apturēšanu, kā arī licences vai reģistrācijas anulēšanu nosūtīšanu elektroniska dokumenta formā uz elektroniskā pasta adresi attiecīgi prekursoru operatoram vai prekursoru lietotājam un inspekcijai. Vēršam uzmanību, ka Oficiālās elektroniskās adreses likuma 12. pants paredz, ka oficiālā elektroniskā adrese tiek izmantota kā prioritārais saziņas kanāls, ja tā ir aktivizēta (attiecībā uz fizisko personu), savukārt valsts iestādei oficiālās elektroniskās adreses izmantošana ir obligāta. Ņemot vēra iepriekš minēto, lūdzam precizēt noteikumu projekta redakciju, norādot, ka paziņojumi tiek nosūtīti elektroniski un anotācijā atbilstoši skaidrot, ka oficiālā elektroniskā adrese tiek noteikta kā primārais saziņas kanāls gadījumā, ja persona ir to aktivizējusi.</w:t>
            </w:r>
          </w:p>
          <w:p w14:paraId="214AED01" w14:textId="77777777" w:rsidR="00514149" w:rsidRDefault="00514149" w:rsidP="003B71E0">
            <w:pPr>
              <w:pStyle w:val="naisc"/>
              <w:spacing w:before="0" w:after="0"/>
              <w:ind w:firstLine="720"/>
            </w:pPr>
          </w:p>
        </w:tc>
        <w:tc>
          <w:tcPr>
            <w:tcW w:w="2977" w:type="dxa"/>
            <w:gridSpan w:val="2"/>
            <w:tcBorders>
              <w:left w:val="single" w:sz="6" w:space="0" w:color="000000"/>
              <w:bottom w:val="single" w:sz="4" w:space="0" w:color="auto"/>
              <w:right w:val="single" w:sz="6" w:space="0" w:color="000000"/>
            </w:tcBorders>
          </w:tcPr>
          <w:p w14:paraId="52730785" w14:textId="77777777" w:rsidR="00D75DF7" w:rsidRDefault="00D75DF7" w:rsidP="00FA2182">
            <w:pPr>
              <w:pStyle w:val="naisc"/>
              <w:spacing w:before="0" w:after="0"/>
            </w:pPr>
          </w:p>
          <w:p w14:paraId="21F45016" w14:textId="77777777" w:rsidR="00FA2182" w:rsidRPr="00FA2182" w:rsidRDefault="00FA2182" w:rsidP="00FA2182">
            <w:pPr>
              <w:pStyle w:val="naisc"/>
              <w:spacing w:before="0" w:after="0"/>
              <w:rPr>
                <w:b/>
              </w:rPr>
            </w:pPr>
            <w:r w:rsidRPr="00FA2182">
              <w:rPr>
                <w:b/>
              </w:rPr>
              <w:t>Ņemts vērā</w:t>
            </w:r>
          </w:p>
        </w:tc>
        <w:tc>
          <w:tcPr>
            <w:tcW w:w="2835" w:type="dxa"/>
            <w:tcBorders>
              <w:top w:val="single" w:sz="4" w:space="0" w:color="auto"/>
              <w:left w:val="single" w:sz="4" w:space="0" w:color="auto"/>
              <w:bottom w:val="single" w:sz="4" w:space="0" w:color="auto"/>
            </w:tcBorders>
          </w:tcPr>
          <w:p w14:paraId="09EB353C" w14:textId="77777777" w:rsidR="0024080B" w:rsidRDefault="0024080B" w:rsidP="00D25A01">
            <w:pPr>
              <w:jc w:val="both"/>
              <w:rPr>
                <w:szCs w:val="28"/>
              </w:rPr>
            </w:pPr>
          </w:p>
          <w:p w14:paraId="099F69C4" w14:textId="56A16D4E" w:rsidR="00EF4A0B" w:rsidRDefault="00D25A01" w:rsidP="00D25A01">
            <w:pPr>
              <w:jc w:val="both"/>
              <w:rPr>
                <w:szCs w:val="28"/>
              </w:rPr>
            </w:pPr>
            <w:r w:rsidRPr="00D25A01">
              <w:rPr>
                <w:szCs w:val="28"/>
              </w:rPr>
              <w:t xml:space="preserve">8. Licenci un dokumentu par personas reģistrāciju atbilstoši Komisijas 2015. gada 25. jūnija deleģētās regulas (ES) Nr. 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trešām valstīm (turpmāk – regula Nr. 2015/1013) 1. un 2. pielikumā noteiktam paraugam vai lēmumu par atteikumu izsniegt licenci un lēmumu par atteikumu reģistrēt personu elektroniski nosūta iesniedzējam triju darba dienu laiku pēc tam, kad iesniedzējs ir veicis samaksu par dokumentu izskatīšanu saskaņā ar </w:t>
            </w:r>
            <w:r w:rsidRPr="00D25A01">
              <w:rPr>
                <w:szCs w:val="28"/>
              </w:rPr>
              <w:lastRenderedPageBreak/>
              <w:t>aģentūras maksas pakalpojumu cenrādi.</w:t>
            </w:r>
          </w:p>
          <w:p w14:paraId="43A94311" w14:textId="78DC2356" w:rsidR="002B6555" w:rsidRPr="00384BDE" w:rsidRDefault="00D25A01" w:rsidP="00D25A01">
            <w:pPr>
              <w:jc w:val="both"/>
            </w:pPr>
            <w:r w:rsidRPr="00D25A01">
              <w:rPr>
                <w:szCs w:val="28"/>
              </w:rPr>
              <w:t>17. Lēmumu par licences vai reģistrācijas apturēšanu, kā arī par licences vai reģistrācijas anulēšanu, aģentūra triju darba dienu laikā pēc lēmuma pieņemšanas nosūta attiecīgi prekursoru operatoram vai prekursoru lietotājam un inspekcijai, kā arī aktualizē informāciju par licenci un reģistrāciju aģentūras tīmekļa vietnē un narkotisko vielu prekursoru Eiropas datu bāzē saskaņā ar regulas Nr. 2015/1013 12. panta 2. punktu.</w:t>
            </w:r>
          </w:p>
        </w:tc>
      </w:tr>
      <w:tr w:rsidR="00895123" w:rsidRPr="00712B66" w14:paraId="70C5D2CE" w14:textId="77777777" w:rsidTr="009F0876">
        <w:tc>
          <w:tcPr>
            <w:tcW w:w="708" w:type="dxa"/>
            <w:tcBorders>
              <w:left w:val="single" w:sz="6" w:space="0" w:color="000000"/>
              <w:bottom w:val="single" w:sz="4" w:space="0" w:color="auto"/>
              <w:right w:val="single" w:sz="6" w:space="0" w:color="000000"/>
            </w:tcBorders>
          </w:tcPr>
          <w:p w14:paraId="4E6D99DF" w14:textId="77777777" w:rsidR="00895123" w:rsidRDefault="00895123" w:rsidP="003B71E0">
            <w:pPr>
              <w:pStyle w:val="naisc"/>
              <w:spacing w:before="0" w:after="0"/>
              <w:ind w:firstLine="720"/>
            </w:pPr>
            <w:r>
              <w:lastRenderedPageBreak/>
              <w:t>55</w:t>
            </w:r>
          </w:p>
        </w:tc>
        <w:tc>
          <w:tcPr>
            <w:tcW w:w="2545" w:type="dxa"/>
            <w:gridSpan w:val="2"/>
            <w:tcBorders>
              <w:left w:val="single" w:sz="6" w:space="0" w:color="000000"/>
              <w:bottom w:val="single" w:sz="4" w:space="0" w:color="auto"/>
              <w:right w:val="single" w:sz="6" w:space="0" w:color="000000"/>
            </w:tcBorders>
          </w:tcPr>
          <w:p w14:paraId="5DB4E0D1" w14:textId="77777777" w:rsidR="00895123" w:rsidRPr="00384BDE" w:rsidRDefault="00895123" w:rsidP="003B71E0">
            <w:pPr>
              <w:pStyle w:val="naisc"/>
              <w:spacing w:before="0" w:after="0"/>
              <w:ind w:firstLine="720"/>
            </w:pPr>
          </w:p>
        </w:tc>
        <w:tc>
          <w:tcPr>
            <w:tcW w:w="4961" w:type="dxa"/>
            <w:tcBorders>
              <w:left w:val="single" w:sz="6" w:space="0" w:color="000000"/>
              <w:bottom w:val="single" w:sz="4" w:space="0" w:color="auto"/>
              <w:right w:val="single" w:sz="6" w:space="0" w:color="000000"/>
            </w:tcBorders>
          </w:tcPr>
          <w:p w14:paraId="7F21A5D6" w14:textId="77777777" w:rsidR="00941C36" w:rsidRPr="00A10E74" w:rsidRDefault="00941C36" w:rsidP="00E71CBE">
            <w:pPr>
              <w:pStyle w:val="naisc"/>
              <w:spacing w:before="0" w:after="0"/>
              <w:rPr>
                <w:b/>
              </w:rPr>
            </w:pPr>
            <w:r w:rsidRPr="00A10E74">
              <w:rPr>
                <w:b/>
              </w:rPr>
              <w:t>Iekšlietu ministrija</w:t>
            </w:r>
          </w:p>
          <w:p w14:paraId="48E402DF" w14:textId="77777777" w:rsidR="00B419C1" w:rsidRPr="00B419C1" w:rsidRDefault="00B419C1" w:rsidP="00B419C1">
            <w:pPr>
              <w:pStyle w:val="naisc"/>
              <w:spacing w:before="0" w:after="0"/>
              <w:jc w:val="left"/>
              <w:rPr>
                <w:u w:val="single"/>
              </w:rPr>
            </w:pPr>
            <w:r w:rsidRPr="00B419C1">
              <w:rPr>
                <w:u w:val="single"/>
              </w:rPr>
              <w:t>19.07.2019</w:t>
            </w:r>
            <w:r w:rsidRPr="00B419C1">
              <w:t xml:space="preserve">      </w:t>
            </w:r>
          </w:p>
          <w:p w14:paraId="6E4EEFDD" w14:textId="77777777" w:rsidR="00B419C1" w:rsidRDefault="00B419C1" w:rsidP="00A10E74">
            <w:pPr>
              <w:shd w:val="clear" w:color="auto" w:fill="FFFFFF"/>
              <w:ind w:firstLine="720"/>
              <w:jc w:val="both"/>
            </w:pPr>
          </w:p>
          <w:p w14:paraId="6554DCBB" w14:textId="77777777" w:rsidR="00FC6782" w:rsidRDefault="00FC6782" w:rsidP="00A10E74">
            <w:pPr>
              <w:shd w:val="clear" w:color="auto" w:fill="FFFFFF"/>
              <w:ind w:firstLine="720"/>
              <w:jc w:val="both"/>
            </w:pPr>
            <w:r w:rsidRPr="00941C36">
              <w:t>Projekta 7.2.apakšpunkts paredz, ka Zāļu valsts aģentūra Sodu reģistrā pārliecinās, ka iesniedzējs – fiziskā persona un iesniedzēja – juridiskās personas – valdes locekļi, dalībnieki – fiziskās personas, prokūristi un pilnvarnieki nav sodīti par noziedzīgu nodarījumu, kā arī nav administratīvi sodīti par pārkāpumiem, kas saistīti ar narkotisko un psihotropo vielu, prekursoru vai neklasificēto vielu apriti. Papildināt Projekta sākotnējās ietekmes novērtējuma ziņojumu (anotāciju) (turpmāk – Anotācija) ar informāciju kā praksē notiks ziņu pārbaude Sodu reģistrā un kādā veidā ziņas plānots pieprasīt no Iekšlietu ministrijas Informācijas centra. Vienlaikus, lūdzam Anotācijā skaidrot nepieciešamību iegūt ziņas par jebkura veida noziedzīgiem nodarījumiem.</w:t>
            </w:r>
          </w:p>
          <w:p w14:paraId="03A4DE0F" w14:textId="77777777" w:rsidR="00FC6782" w:rsidRDefault="00FC6782" w:rsidP="00FC6782">
            <w:pPr>
              <w:pStyle w:val="naisc"/>
              <w:spacing w:before="0" w:after="0"/>
              <w:jc w:val="left"/>
              <w:rPr>
                <w:u w:val="single"/>
              </w:rPr>
            </w:pPr>
          </w:p>
          <w:p w14:paraId="66E79D0B" w14:textId="77777777" w:rsidR="00FC6782" w:rsidRPr="00253BE6" w:rsidRDefault="00FC6782" w:rsidP="00FC6782">
            <w:pPr>
              <w:pStyle w:val="naisc"/>
              <w:spacing w:before="0" w:after="0"/>
              <w:jc w:val="left"/>
              <w:rPr>
                <w:b/>
              </w:rPr>
            </w:pPr>
            <w:r w:rsidRPr="00253BE6">
              <w:rPr>
                <w:b/>
                <w:u w:val="single"/>
              </w:rPr>
              <w:t xml:space="preserve">09.08.2019  </w:t>
            </w:r>
            <w:r w:rsidRPr="00253BE6">
              <w:rPr>
                <w:b/>
              </w:rPr>
              <w:t xml:space="preserve">    </w:t>
            </w:r>
          </w:p>
          <w:p w14:paraId="5E80A6A8" w14:textId="77777777" w:rsidR="00FC6782" w:rsidRPr="00253BE6" w:rsidRDefault="00FC6782" w:rsidP="00A10E74">
            <w:pPr>
              <w:shd w:val="clear" w:color="auto" w:fill="FFFFFF"/>
              <w:ind w:firstLine="720"/>
              <w:jc w:val="both"/>
              <w:rPr>
                <w:b/>
              </w:rPr>
            </w:pPr>
          </w:p>
          <w:p w14:paraId="088657F2" w14:textId="77777777" w:rsidR="00A10E74" w:rsidRPr="00253BE6" w:rsidRDefault="00A10E74" w:rsidP="00A10E74">
            <w:pPr>
              <w:shd w:val="clear" w:color="auto" w:fill="FFFFFF"/>
              <w:ind w:firstLine="720"/>
              <w:jc w:val="both"/>
              <w:rPr>
                <w:b/>
              </w:rPr>
            </w:pPr>
            <w:r w:rsidRPr="00253BE6">
              <w:rPr>
                <w:b/>
              </w:rPr>
              <w:t xml:space="preserve">Iekšlietu ministrija ir izskatījusi Veselības ministrijas piecu darba dienu saskaņošanai nosūtīto Ministru kabineta noteikumu projektu ,,Prekursoru operatoru un prekursoru lietotāju reģistrēšanas un licencēšanas kārtība” (turpmāk – Projekts) un </w:t>
            </w:r>
            <w:r w:rsidRPr="00253BE6">
              <w:rPr>
                <w:b/>
              </w:rPr>
              <w:lastRenderedPageBreak/>
              <w:t>atbalsta tā tālāko virzību, vienlaikus izsakot šādu iebildumu.</w:t>
            </w:r>
          </w:p>
          <w:p w14:paraId="24E89B62" w14:textId="77777777" w:rsidR="00A10E74" w:rsidRPr="00253BE6" w:rsidRDefault="00A10E74" w:rsidP="00A10E74">
            <w:pPr>
              <w:pStyle w:val="tv213"/>
              <w:spacing w:before="0" w:beforeAutospacing="0" w:after="0" w:afterAutospacing="0"/>
              <w:ind w:firstLine="720"/>
              <w:jc w:val="both"/>
              <w:rPr>
                <w:b/>
              </w:rPr>
            </w:pPr>
            <w:r w:rsidRPr="00253BE6">
              <w:rPr>
                <w:b/>
              </w:rPr>
              <w:t>Projekta 7.2.apakšpunkts paredz, ka Zāļu valsts aģentūra Sodu reģistrā pārliecinās, ka iesniedzējs – fiziskā persona un iesniedzēja – juridiskās personas – valdes locekļi, dalībnieki – fiziskās personas, prokūristi un pilnvarnieki nav sodīti par noziedzīgu nodarījumu, kā arī nav administratīvi sodīti par pārkāpumiem, kas saistīti ar narkotisko un psihotropo vielu, prekursoru vai neklasificēto vielu apriti. Projekta sākotnējās ietekmes novērtējuma ziņojumā (anotācijā) (turpmāk – Anotācija) norādīts, ka minētā</w:t>
            </w:r>
            <w:r w:rsidRPr="00A10E74">
              <w:t xml:space="preserve"> </w:t>
            </w:r>
            <w:r w:rsidRPr="00253BE6">
              <w:rPr>
                <w:b/>
              </w:rPr>
              <w:t>informācija par personas sodāmību būs pamats licences iesniegšanas un reģistrācijas atteikumam. No minētā secināms, ka iesniedzējs – fiziskā persona un iesniedzēja – juridiskās personas – valdes loceklis, dalībnieks – fiziskās personas, prokūrists un pilnvarnieks, kas būs sodīts par noziedzīga nodarījuma izdarīšanu nevarēs saņemt speciālo atļauju (licenci) darbībai ar prekursoriem. Vēršam uzmanību, ka minētais aizliegums ierobežo personas tiesības brīvi izvēlēties nodarbošanos.</w:t>
            </w:r>
          </w:p>
          <w:p w14:paraId="0A9DC87C" w14:textId="77777777" w:rsidR="00A10E74" w:rsidRPr="00253BE6" w:rsidRDefault="00A10E74" w:rsidP="00A10E74">
            <w:pPr>
              <w:tabs>
                <w:tab w:val="left" w:pos="1134"/>
                <w:tab w:val="right" w:pos="9072"/>
              </w:tabs>
              <w:ind w:firstLine="720"/>
              <w:jc w:val="both"/>
              <w:rPr>
                <w:b/>
              </w:rPr>
            </w:pPr>
            <w:r w:rsidRPr="00253BE6">
              <w:rPr>
                <w:b/>
              </w:rPr>
              <w:t xml:space="preserve">Latvijas Republikas Satversmes 106.panta pirmais teikums nosaka, ka ikvienam ir tiesības brīvi izvēlēties nodarbošanos un darbavietu atbilstoši savām spējām un kvalifikācijai. Tomēr, kā norādījusi Latvijas Republikas Satversmes tiesa (turpmāk – Satversmes tiesa) šī norma neliedz </w:t>
            </w:r>
            <w:r w:rsidRPr="00253BE6">
              <w:rPr>
                <w:b/>
              </w:rPr>
              <w:lastRenderedPageBreak/>
              <w:t>valstij noteikt prasības, kas personai jāizpilda, lai tā konkrētu nodarbošanos varētu īstenot. Likumdevējam ir rīcības brīvība izvirzīt prasības attiecībā uz konkrētu profesionālo darbību, ciktāl tas nepieciešams sabiedrības interesēs (</w:t>
            </w:r>
            <w:r w:rsidRPr="00253BE6">
              <w:rPr>
                <w:b/>
                <w:i/>
              </w:rPr>
              <w:t>sk. Satversmes tiesas 2010. gada 18. februāra sprieduma lietā Nr. 2009-74-01 14. punktu</w:t>
            </w:r>
            <w:r w:rsidRPr="00253BE6">
              <w:rPr>
                <w:b/>
              </w:rPr>
              <w:t>). Tādējādi Satversmes tiesa ir atzinusi, ka šāda likumdevēja rīcība ir pieļaujama. Tomēr ir jāvērtē, vai ierobežojums ir attaisnojams, proti, vai: 1) tas ir noteikts ar likumu; 2) tam ir leģitīms mērķis; 3) tas ir samērīgs. Satversmes tiesa 2017.gada 24.novembra spriedumā lietā Nr. 2017-07-01 ir norādījusi, ka absolūts aizliegums ir pieļaujams, ja:</w:t>
            </w:r>
          </w:p>
          <w:p w14:paraId="6220F444" w14:textId="77777777" w:rsidR="00A10E74" w:rsidRPr="00253BE6" w:rsidRDefault="00A10E74" w:rsidP="00A10E74">
            <w:pPr>
              <w:widowControl w:val="0"/>
              <w:numPr>
                <w:ilvl w:val="0"/>
                <w:numId w:val="7"/>
              </w:numPr>
              <w:tabs>
                <w:tab w:val="left" w:pos="1134"/>
                <w:tab w:val="right" w:pos="9072"/>
              </w:tabs>
              <w:ind w:left="0" w:firstLine="720"/>
              <w:jc w:val="both"/>
              <w:rPr>
                <w:b/>
              </w:rPr>
            </w:pPr>
            <w:r w:rsidRPr="00253BE6">
              <w:rPr>
                <w:b/>
              </w:rPr>
              <w:t xml:space="preserve"> likumdevējs ir izvērtējis arī tā būtību un piemērošanas sekas. Proti, nosakot absolūtu aizliegumu, likumdevēja pienākums ir pārliecināties un pamatot, ka šāds aizliegums ir nepieciešams tieši konkrētajā apmērā, kā arī izvērtēt šā aizlieguma piemērošanas sekas;</w:t>
            </w:r>
          </w:p>
          <w:p w14:paraId="2547CFE3" w14:textId="77777777" w:rsidR="00A10E74" w:rsidRPr="00253BE6" w:rsidRDefault="00A10E74" w:rsidP="00A10E74">
            <w:pPr>
              <w:widowControl w:val="0"/>
              <w:numPr>
                <w:ilvl w:val="0"/>
                <w:numId w:val="7"/>
              </w:numPr>
              <w:tabs>
                <w:tab w:val="left" w:pos="1134"/>
                <w:tab w:val="right" w:pos="9072"/>
              </w:tabs>
              <w:ind w:left="0" w:firstLine="720"/>
              <w:jc w:val="both"/>
              <w:rPr>
                <w:b/>
              </w:rPr>
            </w:pPr>
            <w:r w:rsidRPr="00253BE6">
              <w:rPr>
                <w:b/>
              </w:rPr>
              <w:t xml:space="preserve">likumdevējs ir pamatojis arī to, ka, paredzot izņēmumus no šā absolūtā aizlieguma, </w:t>
            </w:r>
            <w:proofErr w:type="spellStart"/>
            <w:r w:rsidRPr="00253BE6">
              <w:rPr>
                <w:b/>
              </w:rPr>
              <w:t>pamattiesību</w:t>
            </w:r>
            <w:proofErr w:type="spellEnd"/>
            <w:r w:rsidRPr="00253BE6">
              <w:rPr>
                <w:b/>
              </w:rPr>
              <w:t xml:space="preserve"> ierobežojuma leģitīmais mērķis netiktu sasniegts līdzvērtīgā kvalitātē. Proti, likumdevējam, nosakot absolūtu aizliegumu, ir ne tikai jāpamato šāda aizlieguma nepieciešamība, bet arī jāpārliecinās par to, ka absolūts aizliegums ir vienīgais līdzeklis, ar kuru var sasniegt </w:t>
            </w:r>
            <w:proofErr w:type="spellStart"/>
            <w:r w:rsidRPr="00253BE6">
              <w:rPr>
                <w:b/>
              </w:rPr>
              <w:t>pamattiesību</w:t>
            </w:r>
            <w:proofErr w:type="spellEnd"/>
            <w:r w:rsidRPr="00253BE6">
              <w:rPr>
                <w:b/>
              </w:rPr>
              <w:t xml:space="preserve"> ierobežojuma leģitīmo mērķi.</w:t>
            </w:r>
          </w:p>
          <w:p w14:paraId="4EFF029E" w14:textId="77777777" w:rsidR="00A10E74" w:rsidRPr="00253BE6" w:rsidRDefault="00A10E74" w:rsidP="00A10E74">
            <w:pPr>
              <w:tabs>
                <w:tab w:val="left" w:pos="1134"/>
                <w:tab w:val="right" w:pos="9072"/>
              </w:tabs>
              <w:ind w:firstLine="720"/>
              <w:jc w:val="both"/>
              <w:rPr>
                <w:b/>
              </w:rPr>
            </w:pPr>
            <w:r w:rsidRPr="00253BE6">
              <w:rPr>
                <w:b/>
              </w:rPr>
              <w:lastRenderedPageBreak/>
              <w:t xml:space="preserve">Arī no Eiropas Cilvēktiesību tiesas judikatūras izriet, ka, izvērtējot absolūta aizlieguma samērīgumu, tiek pārbaudīts tas, vai likumdevējs ir: </w:t>
            </w:r>
          </w:p>
          <w:p w14:paraId="2814485C" w14:textId="77777777" w:rsidR="00A10E74" w:rsidRPr="00253BE6" w:rsidRDefault="00A10E74" w:rsidP="00A10E74">
            <w:pPr>
              <w:tabs>
                <w:tab w:val="left" w:pos="1134"/>
                <w:tab w:val="right" w:pos="9072"/>
              </w:tabs>
              <w:ind w:firstLine="720"/>
              <w:jc w:val="both"/>
              <w:rPr>
                <w:b/>
              </w:rPr>
            </w:pPr>
            <w:r w:rsidRPr="00253BE6">
              <w:rPr>
                <w:b/>
              </w:rPr>
              <w:t xml:space="preserve">1) pamatojis absolūtā aizlieguma nepieciešamību; </w:t>
            </w:r>
          </w:p>
          <w:p w14:paraId="2D28A68C" w14:textId="77777777" w:rsidR="00A10E74" w:rsidRPr="00253BE6" w:rsidRDefault="00A10E74" w:rsidP="00A10E74">
            <w:pPr>
              <w:tabs>
                <w:tab w:val="left" w:pos="1134"/>
                <w:tab w:val="right" w:pos="9072"/>
              </w:tabs>
              <w:ind w:firstLine="720"/>
              <w:jc w:val="both"/>
              <w:rPr>
                <w:b/>
              </w:rPr>
            </w:pPr>
            <w:r w:rsidRPr="00253BE6">
              <w:rPr>
                <w:b/>
              </w:rPr>
              <w:t xml:space="preserve">2) izvērtējis tā būtību un piemērošanas sekas; </w:t>
            </w:r>
          </w:p>
          <w:p w14:paraId="0B8A1A63" w14:textId="77777777" w:rsidR="00A10E74" w:rsidRPr="00253BE6" w:rsidRDefault="00A10E74" w:rsidP="00A10E74">
            <w:pPr>
              <w:tabs>
                <w:tab w:val="left" w:pos="1134"/>
                <w:tab w:val="right" w:pos="9072"/>
              </w:tabs>
              <w:ind w:firstLine="720"/>
              <w:jc w:val="both"/>
              <w:rPr>
                <w:b/>
              </w:rPr>
            </w:pPr>
            <w:r w:rsidRPr="00253BE6">
              <w:rPr>
                <w:b/>
              </w:rPr>
              <w:t xml:space="preserve">3) pamatojis to, ka, paredzot izņēmumus no šā absolūtā aizlieguma, </w:t>
            </w:r>
            <w:proofErr w:type="spellStart"/>
            <w:r w:rsidRPr="00253BE6">
              <w:rPr>
                <w:b/>
              </w:rPr>
              <w:t>pamattiesību</w:t>
            </w:r>
            <w:proofErr w:type="spellEnd"/>
            <w:r w:rsidRPr="00253BE6">
              <w:rPr>
                <w:b/>
              </w:rPr>
              <w:t xml:space="preserve"> ierobežojuma leģitīmais mērķis netiktu sasniegts līdzvērtīgā kvalitātē.</w:t>
            </w:r>
          </w:p>
          <w:p w14:paraId="4C22ED0E" w14:textId="77777777" w:rsidR="00941C36" w:rsidRPr="00253BE6" w:rsidRDefault="00A10E74" w:rsidP="00A22079">
            <w:pPr>
              <w:tabs>
                <w:tab w:val="left" w:pos="1134"/>
                <w:tab w:val="right" w:pos="9072"/>
              </w:tabs>
              <w:ind w:firstLine="720"/>
              <w:jc w:val="both"/>
              <w:rPr>
                <w:b/>
              </w:rPr>
            </w:pPr>
            <w:r w:rsidRPr="00253BE6">
              <w:rPr>
                <w:b/>
              </w:rPr>
              <w:t>Ņemot vērā minēto, atkārtoti lūdzam Anotācijā skaidrot nepieciešamību iegūt ziņas no Sodu reģistra par jebkura veida noziedzīgiem nodarījumiem un papildināt Anotāciju ar izvērtējumu par personām, kuras sodītas par noziedzīga nodarījuma izdarīšanu, noteiktā absolūtā aizlieguma saņemt speciālo atļauju (licenci) darbībai ar prekursoriem leģitīmo mērķi un samērīgumu.</w:t>
            </w:r>
          </w:p>
        </w:tc>
        <w:tc>
          <w:tcPr>
            <w:tcW w:w="2977" w:type="dxa"/>
            <w:gridSpan w:val="2"/>
            <w:tcBorders>
              <w:left w:val="single" w:sz="6" w:space="0" w:color="000000"/>
              <w:bottom w:val="single" w:sz="4" w:space="0" w:color="auto"/>
              <w:right w:val="single" w:sz="6" w:space="0" w:color="000000"/>
            </w:tcBorders>
          </w:tcPr>
          <w:p w14:paraId="72ED088D" w14:textId="77777777" w:rsidR="00895123" w:rsidRPr="00822AC8" w:rsidRDefault="00895123" w:rsidP="00657FEA">
            <w:pPr>
              <w:pStyle w:val="naisc"/>
              <w:spacing w:before="0" w:after="0"/>
              <w:ind w:firstLine="720"/>
              <w:jc w:val="both"/>
            </w:pPr>
          </w:p>
          <w:p w14:paraId="0A6DFA98" w14:textId="77777777" w:rsidR="00BE0BBD" w:rsidRPr="00921963" w:rsidRDefault="00BE0BBD" w:rsidP="00921963">
            <w:pPr>
              <w:pStyle w:val="naisc"/>
              <w:spacing w:before="0" w:after="0"/>
              <w:rPr>
                <w:b/>
              </w:rPr>
            </w:pPr>
            <w:r w:rsidRPr="00921963">
              <w:rPr>
                <w:b/>
              </w:rPr>
              <w:t>Ņemts vērā</w:t>
            </w:r>
          </w:p>
          <w:p w14:paraId="383345F4" w14:textId="77777777" w:rsidR="00BD4234" w:rsidRDefault="00BD4234" w:rsidP="00FC6782">
            <w:pPr>
              <w:pStyle w:val="norm"/>
              <w:pBdr>
                <w:bottom w:val="single" w:sz="12" w:space="1" w:color="auto"/>
              </w:pBdr>
              <w:jc w:val="both"/>
              <w:rPr>
                <w:iCs/>
                <w:color w:val="000000" w:themeColor="text1"/>
              </w:rPr>
            </w:pPr>
            <w:r w:rsidRPr="00253BE6">
              <w:rPr>
                <w:b/>
              </w:rPr>
              <w:t>Precizēta projekta anotācija</w:t>
            </w:r>
            <w:r w:rsidRPr="00822AC8">
              <w:rPr>
                <w:iCs/>
                <w:color w:val="000000" w:themeColor="text1"/>
              </w:rPr>
              <w:t xml:space="preserve"> </w:t>
            </w:r>
            <w:r>
              <w:rPr>
                <w:iCs/>
                <w:color w:val="000000" w:themeColor="text1"/>
              </w:rPr>
              <w:t xml:space="preserve"> </w:t>
            </w:r>
          </w:p>
          <w:p w14:paraId="4F428310" w14:textId="77777777" w:rsidR="0078153C" w:rsidRDefault="0078153C" w:rsidP="00FC6782">
            <w:pPr>
              <w:pStyle w:val="norm"/>
              <w:pBdr>
                <w:bottom w:val="single" w:sz="12" w:space="1" w:color="auto"/>
              </w:pBdr>
              <w:jc w:val="both"/>
              <w:rPr>
                <w:iCs/>
                <w:color w:val="000000" w:themeColor="text1"/>
              </w:rPr>
            </w:pPr>
            <w:r w:rsidRPr="00822AC8">
              <w:rPr>
                <w:iCs/>
                <w:color w:val="000000" w:themeColor="text1"/>
              </w:rPr>
              <w:t xml:space="preserve">Zāļu valsts aģentūra, pirms pieņemt lēmumu par licences  izsniegšanu vai par atteikumu izsniegt licenci un par personas reģistrāciju vai par atteikumu reģistrēt personu, ne tikai novērtē iesniegto informāciju un pārliecinās, vai iesniegums atbilst projekta 2. vai 3.punktā minētajiem nosacījumiem, bet arī Sodu reģistrā pārliecinās, ka iesniedzējs – fiziskā persona un  iesniedzēja – juridiskās personas – valdes locekļi, dalībnieki – fiziskās personas, prokūristi un pilnvarnieki nav sodīti par noziedzīgu nodarījumu, kā arī nav administratīvi sodīti par pārkāpumiem, kas saistīti ar narkotisko un psihotropo vielu, prekursoru </w:t>
            </w:r>
            <w:r w:rsidRPr="00822AC8">
              <w:rPr>
                <w:iCs/>
                <w:color w:val="000000" w:themeColor="text1"/>
              </w:rPr>
              <w:lastRenderedPageBreak/>
              <w:t xml:space="preserve">vai neklasificēto vielu apriti. Zāļu valsts aģentūrai ir nepieciešams iegūt šādu informāciju par minētajām fiziskajām personām, jo gadījumā, ja kāda no uzskaitītajām personām ir bijusi sodīta par noziedzīgu nodarījumu vai  administratīvi sodīta par pārkāpumiem, kas saistīti ar narkotisko un psihotropo vielu, prekursoru vai neklasificēto vielu apriti, tas būs pamats licences iesniegšanas un reģistrācijas atteikumam saskaņā ar regulu 273/2004. Zāļu valsts aģentūra jau šobrīd, pamatojoties uz līgumu, kas noslēgts ar Iekšlietu ministrijas Informācijas centru, pastāvīgi iegūst datus no Sodu reģistra. Zāļu valsts aģentūra garantē to personu, par kurām tiks iegūti dati no Sodu reģistra, tiesību un brīvību ievērošanu – dati tiks apstrādāti, ievērojot Fizisko personu datu apstrādes likuma un Eiropas Parlamenta un Padomes 2016. gada 27. aprīļa </w:t>
            </w:r>
            <w:r w:rsidRPr="00822AC8">
              <w:rPr>
                <w:iCs/>
                <w:color w:val="000000" w:themeColor="text1"/>
              </w:rPr>
              <w:lastRenderedPageBreak/>
              <w:t>Regulas (ES) 2016/679 par fizisku personu aizsardzību attiecībā uz personas datu apstrādi un šādu datu brīvu apriti un ar ko atceļ Direktīvu 95/46/EK prasības.</w:t>
            </w:r>
          </w:p>
          <w:p w14:paraId="220F65FA" w14:textId="3044822B" w:rsidR="00D25A01" w:rsidRPr="00D25A01" w:rsidRDefault="00D25A01" w:rsidP="00D25A01"/>
        </w:tc>
        <w:tc>
          <w:tcPr>
            <w:tcW w:w="2835" w:type="dxa"/>
            <w:tcBorders>
              <w:top w:val="single" w:sz="4" w:space="0" w:color="auto"/>
              <w:left w:val="single" w:sz="4" w:space="0" w:color="auto"/>
              <w:bottom w:val="single" w:sz="4" w:space="0" w:color="auto"/>
            </w:tcBorders>
          </w:tcPr>
          <w:p w14:paraId="43C7F479" w14:textId="77777777" w:rsidR="00BE0BBD" w:rsidRDefault="00BE0BBD" w:rsidP="00BE0BBD">
            <w:pPr>
              <w:jc w:val="center"/>
            </w:pPr>
          </w:p>
          <w:p w14:paraId="68FA98D3" w14:textId="77777777" w:rsidR="00895123" w:rsidRPr="00253BE6" w:rsidRDefault="00BD4234" w:rsidP="00333002">
            <w:pPr>
              <w:jc w:val="both"/>
              <w:rPr>
                <w:b/>
              </w:rPr>
            </w:pPr>
            <w:r>
              <w:rPr>
                <w:b/>
              </w:rPr>
              <w:t>Skatīt projekta anotāciju (I sadaļa 2. punktā)</w:t>
            </w:r>
          </w:p>
        </w:tc>
      </w:tr>
      <w:tr w:rsidR="00801C24" w:rsidRPr="00712B66" w14:paraId="457DB0AB" w14:textId="77777777" w:rsidTr="009F0876">
        <w:tc>
          <w:tcPr>
            <w:tcW w:w="708" w:type="dxa"/>
            <w:tcBorders>
              <w:left w:val="single" w:sz="6" w:space="0" w:color="000000"/>
              <w:bottom w:val="single" w:sz="4" w:space="0" w:color="auto"/>
              <w:right w:val="single" w:sz="6" w:space="0" w:color="000000"/>
            </w:tcBorders>
          </w:tcPr>
          <w:p w14:paraId="70352836" w14:textId="77777777" w:rsidR="00801C24" w:rsidRDefault="001964E0" w:rsidP="00801C24">
            <w:pPr>
              <w:pStyle w:val="naisc"/>
              <w:spacing w:before="0" w:after="0"/>
              <w:ind w:firstLine="720"/>
            </w:pPr>
            <w:r>
              <w:lastRenderedPageBreak/>
              <w:t>66</w:t>
            </w:r>
          </w:p>
        </w:tc>
        <w:tc>
          <w:tcPr>
            <w:tcW w:w="2545" w:type="dxa"/>
            <w:gridSpan w:val="2"/>
            <w:tcBorders>
              <w:left w:val="single" w:sz="6" w:space="0" w:color="000000"/>
              <w:bottom w:val="single" w:sz="4" w:space="0" w:color="auto"/>
              <w:right w:val="single" w:sz="6" w:space="0" w:color="000000"/>
            </w:tcBorders>
          </w:tcPr>
          <w:p w14:paraId="425497BA" w14:textId="77777777" w:rsidR="00801C24" w:rsidRPr="00384BDE" w:rsidRDefault="00801C24" w:rsidP="00801C24">
            <w:pPr>
              <w:pStyle w:val="naisc"/>
              <w:spacing w:before="0" w:after="0"/>
              <w:ind w:firstLine="720"/>
            </w:pPr>
          </w:p>
        </w:tc>
        <w:tc>
          <w:tcPr>
            <w:tcW w:w="4961" w:type="dxa"/>
            <w:tcBorders>
              <w:left w:val="single" w:sz="6" w:space="0" w:color="000000"/>
              <w:bottom w:val="single" w:sz="4" w:space="0" w:color="auto"/>
              <w:right w:val="single" w:sz="6" w:space="0" w:color="000000"/>
            </w:tcBorders>
          </w:tcPr>
          <w:p w14:paraId="424D9B01" w14:textId="77777777" w:rsidR="00801C24" w:rsidRPr="00801C24" w:rsidRDefault="00801C24" w:rsidP="00E71CBE">
            <w:pPr>
              <w:pStyle w:val="naisc"/>
              <w:spacing w:before="0" w:after="0"/>
              <w:rPr>
                <w:b/>
              </w:rPr>
            </w:pPr>
            <w:r w:rsidRPr="00801C24">
              <w:rPr>
                <w:b/>
              </w:rPr>
              <w:t>Tieslietu ministrija</w:t>
            </w:r>
          </w:p>
          <w:p w14:paraId="36404670" w14:textId="77777777" w:rsidR="005E58C8" w:rsidRDefault="005E58C8" w:rsidP="005E58C8">
            <w:pPr>
              <w:pStyle w:val="naisc"/>
              <w:spacing w:before="0" w:after="0"/>
              <w:jc w:val="left"/>
            </w:pPr>
            <w:r>
              <w:t>22.07.2019. Nr. 1-9.1/748</w:t>
            </w:r>
          </w:p>
          <w:p w14:paraId="5ADAFEB1" w14:textId="77777777" w:rsidR="00801C24" w:rsidRDefault="00801C24" w:rsidP="00801C24">
            <w:pPr>
              <w:pStyle w:val="naisc"/>
              <w:spacing w:before="0" w:after="0"/>
              <w:ind w:firstLine="720"/>
            </w:pPr>
          </w:p>
          <w:p w14:paraId="1E69BB7F" w14:textId="77777777" w:rsidR="00801C24" w:rsidRDefault="00FD7AF8" w:rsidP="00333002">
            <w:pPr>
              <w:pStyle w:val="naisc"/>
              <w:spacing w:before="0" w:after="0"/>
              <w:jc w:val="both"/>
            </w:pPr>
            <w:r w:rsidRPr="00FD7AF8">
              <w:t xml:space="preserve">Projekta 1. punkts atbilstoši Narkotisko un psihotropo vielu un zāļu, kā arī prekursoru likumīgās aprites likuma (turpmāk – likums) regulējumam paredz dažāda veida pilnvarojumus Ministru kabinetam par noteikumu izdošanu, proti, gan par administratīvo procesu iestādē (licences izsniegšana, apturēšana un anulēšana), gan par informācijas sniegšanu, gan arī par prekursoru glabāšanu (tehniskās prasības). </w:t>
            </w:r>
            <w:r w:rsidRPr="00FD7AF8">
              <w:lastRenderedPageBreak/>
              <w:t>Ievērojot minēto, projektu nepieciešams veidot atbilstoši Ministru kabineta 2009. gada 3. februāra noteikumu Nr.108 “Normatīvo aktu projektu sagatavošanas noteikumi” (turpmāk – noteikumi Nr.108) 103. punktā noteiktajam ar nodaļām.</w:t>
            </w:r>
          </w:p>
        </w:tc>
        <w:tc>
          <w:tcPr>
            <w:tcW w:w="2977" w:type="dxa"/>
            <w:gridSpan w:val="2"/>
            <w:tcBorders>
              <w:left w:val="single" w:sz="6" w:space="0" w:color="000000"/>
              <w:bottom w:val="single" w:sz="4" w:space="0" w:color="auto"/>
              <w:right w:val="single" w:sz="6" w:space="0" w:color="000000"/>
            </w:tcBorders>
          </w:tcPr>
          <w:p w14:paraId="594ABFE4" w14:textId="77777777" w:rsidR="00801C24" w:rsidRDefault="00801C24" w:rsidP="001964E0">
            <w:pPr>
              <w:pStyle w:val="naisc"/>
              <w:spacing w:before="0" w:after="0"/>
              <w:jc w:val="left"/>
            </w:pPr>
          </w:p>
          <w:p w14:paraId="23B075FB" w14:textId="77777777" w:rsidR="001964E0" w:rsidRPr="001964E0" w:rsidRDefault="001964E0" w:rsidP="001964E0">
            <w:pPr>
              <w:pStyle w:val="naisc"/>
              <w:spacing w:before="0" w:after="0"/>
              <w:rPr>
                <w:b/>
              </w:rPr>
            </w:pPr>
            <w:r w:rsidRPr="001964E0">
              <w:rPr>
                <w:b/>
              </w:rPr>
              <w:t>Ņemts vērā</w:t>
            </w:r>
          </w:p>
        </w:tc>
        <w:tc>
          <w:tcPr>
            <w:tcW w:w="2835" w:type="dxa"/>
            <w:tcBorders>
              <w:top w:val="single" w:sz="4" w:space="0" w:color="auto"/>
              <w:left w:val="single" w:sz="4" w:space="0" w:color="auto"/>
              <w:bottom w:val="single" w:sz="4" w:space="0" w:color="auto"/>
            </w:tcBorders>
          </w:tcPr>
          <w:p w14:paraId="43AAE417" w14:textId="77777777" w:rsidR="00801C24" w:rsidRDefault="00801C24" w:rsidP="00801C24">
            <w:pPr>
              <w:jc w:val="center"/>
            </w:pPr>
          </w:p>
          <w:p w14:paraId="0DFD3241" w14:textId="77777777" w:rsidR="001964E0" w:rsidRDefault="001964E0" w:rsidP="00333002">
            <w:pPr>
              <w:jc w:val="both"/>
            </w:pPr>
            <w:r>
              <w:t>Projekta teksts sadalīts nodaļās</w:t>
            </w:r>
          </w:p>
        </w:tc>
      </w:tr>
      <w:tr w:rsidR="00801C24" w:rsidRPr="00712B66" w14:paraId="696B0454" w14:textId="77777777" w:rsidTr="0038373E">
        <w:tc>
          <w:tcPr>
            <w:tcW w:w="708" w:type="dxa"/>
            <w:tcBorders>
              <w:left w:val="single" w:sz="6" w:space="0" w:color="000000"/>
              <w:bottom w:val="single" w:sz="4" w:space="0" w:color="auto"/>
              <w:right w:val="single" w:sz="6" w:space="0" w:color="000000"/>
            </w:tcBorders>
            <w:shd w:val="clear" w:color="auto" w:fill="auto"/>
          </w:tcPr>
          <w:p w14:paraId="01EF6DC9" w14:textId="77777777" w:rsidR="00801C24" w:rsidRDefault="001964E0" w:rsidP="00801C24">
            <w:pPr>
              <w:pStyle w:val="naisc"/>
              <w:spacing w:before="0" w:after="0"/>
              <w:ind w:firstLine="720"/>
            </w:pPr>
            <w:r>
              <w:t>77</w:t>
            </w:r>
          </w:p>
        </w:tc>
        <w:tc>
          <w:tcPr>
            <w:tcW w:w="2545" w:type="dxa"/>
            <w:gridSpan w:val="2"/>
            <w:tcBorders>
              <w:left w:val="single" w:sz="6" w:space="0" w:color="000000"/>
              <w:bottom w:val="single" w:sz="4" w:space="0" w:color="auto"/>
              <w:right w:val="single" w:sz="6" w:space="0" w:color="000000"/>
            </w:tcBorders>
            <w:shd w:val="clear" w:color="auto" w:fill="auto"/>
          </w:tcPr>
          <w:p w14:paraId="59536D71" w14:textId="77777777" w:rsidR="00801C24" w:rsidRDefault="00801C24" w:rsidP="00A71143">
            <w:pPr>
              <w:pStyle w:val="naisc"/>
              <w:spacing w:before="0" w:after="0"/>
            </w:pPr>
          </w:p>
          <w:p w14:paraId="709A7572" w14:textId="77777777" w:rsidR="00A71143" w:rsidRPr="00384BDE" w:rsidRDefault="00A71143" w:rsidP="00333002">
            <w:pPr>
              <w:pStyle w:val="naisc"/>
              <w:spacing w:before="0" w:after="0"/>
              <w:jc w:val="both"/>
            </w:pPr>
            <w:r>
              <w:rPr>
                <w:szCs w:val="28"/>
              </w:rPr>
              <w:t>2.</w:t>
            </w:r>
            <w:r w:rsidRPr="00543978">
              <w:rPr>
                <w:szCs w:val="28"/>
              </w:rPr>
              <w:t xml:space="preserve">Lai saņemtu speciālo atļauju (licenci) darbībai ar 1.kategorijas prekursoriem (turpmāk – licence), prekursoru operators iesniedz aģentūrā  iesniegumu. Iesniegumā norāda informāciju saskaņā ar Komisijas 2015.gada 24.aprīļa deleģētās regulas (ES) Nr.2015/1011 ar kuru papildina Eiropas Parlamenta un Padomes Regulu (EK) Nr.273/2004 par narkotisko vielu prekursoriem un Padomes Regulu (EK) Nr.111/2005, ar ko paredz noteikumus par uzraudzību attiecībā uz narkotisko vielu prekursoru tirdzniecību starp Savienību un </w:t>
            </w:r>
            <w:r w:rsidRPr="00543978">
              <w:rPr>
                <w:szCs w:val="28"/>
              </w:rPr>
              <w:lastRenderedPageBreak/>
              <w:t>trešām valstīm, un ar kuru atceļ Komisijas Regulu (EK) Nr.1277/2005 (turpmāk – regula Nr.2015/1011), 3.panta 2.punkta b) apakšpunktu.</w:t>
            </w:r>
            <w:r>
              <w:rPr>
                <w:szCs w:val="28"/>
              </w:rPr>
              <w:t xml:space="preserve"> Normatīvajos aktos noteikto funkciju un uzdevumu veikšanas ietvaros licence nav nepieciešama Valsts ieņēmumu dienestam, Valsts policijai, Nacionālajiem bruņotajiem spēkiem, kā arī references laboratorijām.</w:t>
            </w:r>
          </w:p>
        </w:tc>
        <w:tc>
          <w:tcPr>
            <w:tcW w:w="4961" w:type="dxa"/>
            <w:tcBorders>
              <w:left w:val="single" w:sz="6" w:space="0" w:color="000000"/>
              <w:bottom w:val="single" w:sz="4" w:space="0" w:color="auto"/>
              <w:right w:val="single" w:sz="6" w:space="0" w:color="000000"/>
            </w:tcBorders>
            <w:shd w:val="clear" w:color="auto" w:fill="auto"/>
          </w:tcPr>
          <w:p w14:paraId="70988EBF" w14:textId="77777777" w:rsidR="00FD7AF8" w:rsidRDefault="00F11240" w:rsidP="00E71CBE">
            <w:pPr>
              <w:pStyle w:val="naisc"/>
              <w:spacing w:before="0" w:after="0"/>
            </w:pPr>
            <w:r w:rsidRPr="00801C24">
              <w:rPr>
                <w:b/>
              </w:rPr>
              <w:lastRenderedPageBreak/>
              <w:t>Tieslietu ministrija</w:t>
            </w:r>
          </w:p>
          <w:p w14:paraId="27A92ACD" w14:textId="77777777" w:rsidR="005E58C8" w:rsidRDefault="005E58C8" w:rsidP="005E58C8">
            <w:pPr>
              <w:pStyle w:val="naisc"/>
              <w:spacing w:before="0" w:after="0"/>
              <w:jc w:val="left"/>
            </w:pPr>
            <w:r>
              <w:t>22.07.2019. Nr. 1-9.1/748</w:t>
            </w:r>
          </w:p>
          <w:p w14:paraId="1FDBC63A" w14:textId="77777777" w:rsidR="00FD7AF8" w:rsidRDefault="00FD7AF8" w:rsidP="00801C24">
            <w:pPr>
              <w:pStyle w:val="naisc"/>
              <w:spacing w:before="0" w:after="0"/>
              <w:ind w:firstLine="720"/>
            </w:pPr>
          </w:p>
          <w:p w14:paraId="4D506B0C" w14:textId="77777777" w:rsidR="00F11240" w:rsidRDefault="00557B7E" w:rsidP="00333002">
            <w:pPr>
              <w:pStyle w:val="naisc"/>
              <w:spacing w:before="0" w:after="0"/>
              <w:jc w:val="both"/>
            </w:pPr>
            <w:r w:rsidRPr="00DE1136">
              <w:t>Projekta 2. punkta trešo teikumu nepieciešams svītrot, jo šāds regulējums neatbilst likumā noteiktajam projekta izdošanas tiesiskajam pamatam. Ministru kabinets ir pilnvarots noteikt kārtību (procedūru), kādā reģistrē un licencē prekursoru operatoru vai lietotāju, nevis noteikt institūcijas ar izņēmuma tiesībām.</w:t>
            </w:r>
            <w:r w:rsidRPr="00557B7E">
              <w:t xml:space="preserve"> Turklāt projekta 2. punkta trešais teikums paredz atsauci uz citiem neminētiem normatīvajiem aktiem, tādēļ tam nav juridiskās slodzes, bet tikai informatīvi mērķi. Papildus norādām, ka Valsts policijas dažāda kompetence prekursoru apritē ir noteikta likumā.</w:t>
            </w:r>
          </w:p>
          <w:p w14:paraId="21278C3E" w14:textId="77777777" w:rsidR="00557B7E" w:rsidRDefault="00557B7E" w:rsidP="00333002">
            <w:pPr>
              <w:pStyle w:val="naisc"/>
              <w:jc w:val="both"/>
            </w:pPr>
            <w:r>
              <w:t xml:space="preserve">Projekta 2. punkta trešais teikums atbilstoši anotācijas V sadaļas 1.a tabulā norādītajam izriet no Komisijas 2015. gada 24. aprīļa Deleģētās regulas (ES) 2015/1011, ar kuru papildina Eiropas Parlamenta un Padomes Regulu (EK) Nr.273/2004 un Padomes Regulu (EK) Nr.111/2005, ar ko paredz noteikumus par uzraudzību attiecībā uz narkotisko vielu prekursoru tirdzniecību starp Savienību un trešām valstīm, un ar kuru atceļ Komisijas Regulu (EK) Nr. 1277/2005 (turpmāk -  Regula 2015/1011), 4. </w:t>
            </w:r>
            <w:r>
              <w:lastRenderedPageBreak/>
              <w:t>panta, kas nosaka gadījumus, kad licence nav vajadzīga. Regulas 2015/1011 4. panta pirmā daļa nosaka, ka “[a]</w:t>
            </w:r>
            <w:proofErr w:type="spellStart"/>
            <w:r>
              <w:t>ptiekas</w:t>
            </w:r>
            <w:proofErr w:type="spellEnd"/>
            <w:r>
              <w:t xml:space="preserve">, veterinārmedicīnas iestādes, muita, policija, bruņotie spēki un kompetento iestāžu oficiālās laboratorijas var tikt atbrīvotas no licencēšanas prasības saskaņā ar Regulas (EK) Nr. 111/2005 6. panta 1. punktu, ciktāl šie uzņēmēji narkotisko vielu prekursorus izmanto vienīgi savu oficiālo pienākumu veikšanai”. </w:t>
            </w:r>
          </w:p>
          <w:p w14:paraId="053BFB0C" w14:textId="77777777" w:rsidR="00557B7E" w:rsidRDefault="00557B7E" w:rsidP="00333002">
            <w:pPr>
              <w:pStyle w:val="naisc"/>
              <w:jc w:val="both"/>
            </w:pPr>
            <w:r>
              <w:t xml:space="preserve">Projekta anotācijas V sadaļas 1.a tabulā cita starpā skaidrots, ka “Regulas 4. pants dod iespēju atbrīvot no prasības pēc licences aptiekas, veterinārmedicīnas iestādes, muitu, policiju, bruņotos spēkus un kompetento iestāžu oficiālās laboratorijas. [..] Uz aptiekām un veterinārmedicīnas iestādēm šis atbrīvojums netiek attiecināts, jo tās ir privāto tiesību subjekti, kuri prekursorus izmanto saimnieciskajai darbībai (komercdarbībai)”. </w:t>
            </w:r>
          </w:p>
          <w:p w14:paraId="691AAAA3" w14:textId="77777777" w:rsidR="00557B7E" w:rsidRDefault="00557B7E" w:rsidP="00333002">
            <w:pPr>
              <w:pStyle w:val="naisc"/>
              <w:jc w:val="both"/>
            </w:pPr>
            <w:r>
              <w:t xml:space="preserve">Lūdzam izvērstāk minētajā 1.a tabulā skaidrot, kādēļ atbrīvojums uz aptiekām un veterinārmedicīnas iestādēm netiek attiecināts, jo tās prekursorus izmanto saimnieciskajai darbībai (komercdarbībai), skaidrojot, kādēļ prekursoru izmantošana saimnieciskās darbības veikšana ir kritērijs nepiešķirt atbrīvojumu no licences. </w:t>
            </w:r>
          </w:p>
          <w:p w14:paraId="3F1120A8" w14:textId="77777777" w:rsidR="00F11240" w:rsidRDefault="00557B7E" w:rsidP="00333002">
            <w:pPr>
              <w:pStyle w:val="naisc"/>
              <w:spacing w:before="0" w:after="0"/>
              <w:jc w:val="both"/>
            </w:pPr>
            <w:r>
              <w:t xml:space="preserve">Līdzīgi lūdzam sniegt izvērstāku skaidrojumu arī attiecībā uz Regulas 2015/1011 6. panta “a”. </w:t>
            </w:r>
            <w:r w:rsidR="0040151C">
              <w:t>P</w:t>
            </w:r>
            <w:r>
              <w:t>unktā paredzēto izvēles brīvību, uz aptiekām un veterinārmedicīnas iestādēm neattiecinot atbrīvojumu no reģistrācijas.</w:t>
            </w:r>
          </w:p>
        </w:tc>
        <w:tc>
          <w:tcPr>
            <w:tcW w:w="2977" w:type="dxa"/>
            <w:gridSpan w:val="2"/>
            <w:tcBorders>
              <w:left w:val="single" w:sz="6" w:space="0" w:color="000000"/>
              <w:bottom w:val="single" w:sz="4" w:space="0" w:color="auto"/>
              <w:right w:val="single" w:sz="6" w:space="0" w:color="000000"/>
            </w:tcBorders>
            <w:shd w:val="clear" w:color="auto" w:fill="auto"/>
          </w:tcPr>
          <w:p w14:paraId="0F1EA706" w14:textId="77777777" w:rsidR="00801C24" w:rsidRDefault="00801C24" w:rsidP="00A71143">
            <w:pPr>
              <w:pStyle w:val="naisc"/>
              <w:spacing w:before="0" w:after="0"/>
              <w:jc w:val="left"/>
            </w:pPr>
          </w:p>
          <w:p w14:paraId="25FA4A6D" w14:textId="77777777" w:rsidR="00A71143" w:rsidRDefault="00B603F2" w:rsidP="00A71143">
            <w:pPr>
              <w:pStyle w:val="naisc"/>
              <w:spacing w:before="0" w:after="0"/>
              <w:rPr>
                <w:b/>
              </w:rPr>
            </w:pPr>
            <w:r>
              <w:rPr>
                <w:b/>
              </w:rPr>
              <w:t>Ņ</w:t>
            </w:r>
            <w:r w:rsidR="00A71143" w:rsidRPr="0040151C">
              <w:rPr>
                <w:b/>
              </w:rPr>
              <w:t>emts vērā</w:t>
            </w:r>
          </w:p>
          <w:p w14:paraId="0E0608C0" w14:textId="77777777" w:rsidR="0040151C" w:rsidRDefault="0040151C" w:rsidP="00A71143">
            <w:pPr>
              <w:pStyle w:val="naisc"/>
              <w:spacing w:before="0" w:after="0"/>
              <w:rPr>
                <w:b/>
              </w:rPr>
            </w:pPr>
          </w:p>
          <w:p w14:paraId="188A565D" w14:textId="77777777" w:rsidR="0040151C" w:rsidRPr="0040151C" w:rsidRDefault="0040151C" w:rsidP="0040151C">
            <w:pPr>
              <w:pStyle w:val="naisc"/>
            </w:pPr>
          </w:p>
        </w:tc>
        <w:tc>
          <w:tcPr>
            <w:tcW w:w="2835" w:type="dxa"/>
            <w:tcBorders>
              <w:top w:val="single" w:sz="4" w:space="0" w:color="auto"/>
              <w:left w:val="single" w:sz="4" w:space="0" w:color="auto"/>
              <w:bottom w:val="single" w:sz="4" w:space="0" w:color="auto"/>
            </w:tcBorders>
            <w:shd w:val="clear" w:color="auto" w:fill="auto"/>
          </w:tcPr>
          <w:p w14:paraId="3147ECDE" w14:textId="77777777" w:rsidR="002D45FD" w:rsidRDefault="002D45FD" w:rsidP="008C368E">
            <w:pPr>
              <w:jc w:val="both"/>
            </w:pPr>
          </w:p>
          <w:p w14:paraId="7AA6BB43" w14:textId="37BB8E1E" w:rsidR="0058417A" w:rsidRDefault="008C368E" w:rsidP="008C368E">
            <w:pPr>
              <w:jc w:val="both"/>
            </w:pPr>
            <w:r w:rsidRPr="008C368E">
              <w:t xml:space="preserve">2. Lai saņemtu speciālo atļauju (licenci) darbībai ar 1. kategorijas prekursoriem (turpmāk – licence), prekursoru operators iesniedz aģentūrā iesniegumu. Iesniegumā norāda informāciju saskaņā ar Komisijas 2015. gada 24. aprīļa deleģētās regulas (ES) Nr. 2015/1011 ar kuru papildina Eiropas Parlamenta un Padomes Regulu (EK) Nr. 273/2004 par narkotisko vielu prekursoriem un Padomes Regulu (EK) Nr. 111/2005, ar ko paredz noteikumus par uzraudzību attiecībā uz narkotisko vielu prekursoru tirdzniecību starp Savienību un trešām valstīm, un ar kuru atceļ Komisijas Regulu (EK) Nr. 1277/2005 (turpmāk – regula Nr. 2015/1011), 3. </w:t>
            </w:r>
            <w:r w:rsidRPr="008C368E">
              <w:lastRenderedPageBreak/>
              <w:t>panta 2. punkta b) apakšpunktu</w:t>
            </w:r>
          </w:p>
        </w:tc>
      </w:tr>
      <w:tr w:rsidR="00801C24" w:rsidRPr="00712B66" w14:paraId="57081F37" w14:textId="77777777" w:rsidTr="009F0876">
        <w:tc>
          <w:tcPr>
            <w:tcW w:w="708" w:type="dxa"/>
            <w:tcBorders>
              <w:left w:val="single" w:sz="6" w:space="0" w:color="000000"/>
              <w:bottom w:val="single" w:sz="4" w:space="0" w:color="auto"/>
              <w:right w:val="single" w:sz="6" w:space="0" w:color="000000"/>
            </w:tcBorders>
          </w:tcPr>
          <w:p w14:paraId="4992089F" w14:textId="77777777" w:rsidR="00801C24" w:rsidRDefault="00801C24" w:rsidP="00801C24">
            <w:pPr>
              <w:pStyle w:val="naisc"/>
              <w:spacing w:before="0" w:after="0"/>
              <w:ind w:firstLine="720"/>
            </w:pPr>
          </w:p>
          <w:p w14:paraId="02618A24" w14:textId="77777777" w:rsidR="001964E0" w:rsidRPr="001964E0" w:rsidRDefault="001964E0" w:rsidP="001964E0">
            <w:pPr>
              <w:jc w:val="center"/>
            </w:pPr>
            <w:r>
              <w:t>8</w:t>
            </w:r>
          </w:p>
        </w:tc>
        <w:tc>
          <w:tcPr>
            <w:tcW w:w="2545" w:type="dxa"/>
            <w:gridSpan w:val="2"/>
            <w:tcBorders>
              <w:left w:val="single" w:sz="6" w:space="0" w:color="000000"/>
              <w:bottom w:val="single" w:sz="4" w:space="0" w:color="auto"/>
              <w:right w:val="single" w:sz="6" w:space="0" w:color="000000"/>
            </w:tcBorders>
          </w:tcPr>
          <w:p w14:paraId="2DB33101" w14:textId="77777777" w:rsidR="002D45FD" w:rsidRDefault="002D45FD" w:rsidP="00333002">
            <w:pPr>
              <w:pStyle w:val="naisc"/>
              <w:jc w:val="both"/>
            </w:pPr>
          </w:p>
          <w:p w14:paraId="72FD3A67" w14:textId="2F56BD91" w:rsidR="001A5C28" w:rsidRDefault="001A5C28" w:rsidP="00333002">
            <w:pPr>
              <w:pStyle w:val="naisc"/>
              <w:jc w:val="both"/>
            </w:pPr>
            <w:r>
              <w:t>4. Darbībai ar 2. un 3.kategorijas prekursoriem nereģistrējas:</w:t>
            </w:r>
          </w:p>
          <w:p w14:paraId="77B66B84" w14:textId="77777777" w:rsidR="001A5C28" w:rsidRDefault="001A5C28" w:rsidP="00333002">
            <w:pPr>
              <w:pStyle w:val="naisc"/>
              <w:jc w:val="both"/>
            </w:pPr>
            <w:r>
              <w:t>4.1. Valsts ieņēmumu dienests, Valsts policija, Nacionālie bruņotie spēki, kā arī references laboratorijas, veicot normatīvajos aktos noteiktās funkcijas un uzdevumus;</w:t>
            </w:r>
          </w:p>
          <w:p w14:paraId="2C479FAA" w14:textId="77777777" w:rsidR="001A5C28" w:rsidRDefault="001A5C28" w:rsidP="00333002">
            <w:pPr>
              <w:pStyle w:val="naisc"/>
              <w:jc w:val="both"/>
            </w:pPr>
            <w:r>
              <w:t xml:space="preserve">4.2. prekursoru operators, kurš ir iesaistīts Padomes 2004.gada 22.decembra Regulas (EK) Nr.111/2005, ar ko paredz noteikumus par uzraudzību attiecībā uz narkotisko vielu prekursoru tirdzniecību starp Kopienu un trešajām valstīm (turpmāk – regula Nr.111/2005) pielikuma 3.kategorijā uzskaitīto prekursoru eksportā, ja kopējais to eksportētais daudzums iepriekšējā kalendārajā gadā </w:t>
            </w:r>
            <w:r>
              <w:lastRenderedPageBreak/>
              <w:t>nepārsniedz regulas 2015/1011 1.pielikumā noteiktos daudzumus.</w:t>
            </w:r>
          </w:p>
          <w:p w14:paraId="52C50836" w14:textId="77777777" w:rsidR="00801C24" w:rsidRPr="00384BDE" w:rsidRDefault="001A5C28" w:rsidP="00FC6782">
            <w:pPr>
              <w:pStyle w:val="naisc"/>
              <w:spacing w:before="0" w:after="0"/>
              <w:jc w:val="both"/>
            </w:pPr>
            <w:r>
              <w:t>4.3. prekursoru operators, kurš ir iesaistīts tādu maisījumu eksportā, kuri satur regulas Nr.111/2005 pielikuma 3.kategorijā uzskaitītos prekursorus, ja maisījumos ietvertais kopējais prekursoru daudzums iepriekšējā kalendārajā gadā nepārsniedz regulas 2015/1011 1.pielikumā noteiktos daudzumus.</w:t>
            </w:r>
          </w:p>
        </w:tc>
        <w:tc>
          <w:tcPr>
            <w:tcW w:w="4961" w:type="dxa"/>
            <w:tcBorders>
              <w:left w:val="single" w:sz="6" w:space="0" w:color="000000"/>
              <w:bottom w:val="single" w:sz="4" w:space="0" w:color="auto"/>
              <w:right w:val="single" w:sz="6" w:space="0" w:color="000000"/>
            </w:tcBorders>
          </w:tcPr>
          <w:p w14:paraId="6BD8D615" w14:textId="77777777" w:rsidR="00557B7E" w:rsidRDefault="00557B7E" w:rsidP="00E71CBE">
            <w:pPr>
              <w:pStyle w:val="naisc"/>
              <w:spacing w:before="0" w:after="0"/>
            </w:pPr>
            <w:r w:rsidRPr="00801C24">
              <w:rPr>
                <w:b/>
              </w:rPr>
              <w:lastRenderedPageBreak/>
              <w:t>Tieslietu ministrija</w:t>
            </w:r>
          </w:p>
          <w:p w14:paraId="7899D4FE" w14:textId="77777777" w:rsidR="005E58C8" w:rsidRDefault="005E58C8" w:rsidP="005E58C8">
            <w:pPr>
              <w:pStyle w:val="naisc"/>
              <w:spacing w:before="0" w:after="0"/>
              <w:jc w:val="left"/>
            </w:pPr>
            <w:r>
              <w:t>22.07.2019. Nr. 1-9.1/748</w:t>
            </w:r>
          </w:p>
          <w:p w14:paraId="408D0DBC" w14:textId="77777777" w:rsidR="00557B7E" w:rsidRDefault="00557B7E" w:rsidP="00801C24">
            <w:pPr>
              <w:pStyle w:val="naisc"/>
              <w:spacing w:before="0" w:after="0"/>
            </w:pPr>
          </w:p>
          <w:p w14:paraId="7E54A9B4" w14:textId="77777777" w:rsidR="008C0A04" w:rsidRPr="007E4285" w:rsidRDefault="008C0A04" w:rsidP="00333002">
            <w:pPr>
              <w:pStyle w:val="naisc"/>
              <w:jc w:val="both"/>
            </w:pPr>
            <w:r w:rsidRPr="007E4285">
              <w:t>Projekta 4. punktu nepieciešams svītrot, jo šāds regulējums neatbilst likuma pilnvarojumam. Ministru kabinets ir pilnvarots noteikt kārtību (procedūru), kādā reģistrē un licencē prekursoru operatoru vai lietotāju, nevis noteikt institūcijas vai komersantus ar izņēmuma tiesībām. Vēršam uzmanību, ka šāda veida Ministru kabineta noteikumos var norādīt personas, kurām ir pienākums iesniegt iesniegumu.</w:t>
            </w:r>
          </w:p>
          <w:p w14:paraId="10FF5861" w14:textId="77777777" w:rsidR="00557B7E" w:rsidRDefault="008C0A04" w:rsidP="00333002">
            <w:pPr>
              <w:pStyle w:val="naisc"/>
              <w:spacing w:before="0" w:after="0"/>
              <w:jc w:val="both"/>
            </w:pPr>
            <w:r w:rsidRPr="007E4285">
              <w:t>Regulējumu par reģistrācijas izņēmumiem, ko paredz Regulas 2015/1011 6. pants nepieciešams ietvert citā normatīvajā aktā, piemēram, likumā.</w:t>
            </w:r>
          </w:p>
          <w:p w14:paraId="2EEE29A0" w14:textId="77777777" w:rsidR="00557B7E" w:rsidRDefault="00557B7E" w:rsidP="00801C24">
            <w:pPr>
              <w:pStyle w:val="naisc"/>
              <w:spacing w:before="0" w:after="0"/>
            </w:pPr>
          </w:p>
        </w:tc>
        <w:tc>
          <w:tcPr>
            <w:tcW w:w="2977" w:type="dxa"/>
            <w:gridSpan w:val="2"/>
            <w:tcBorders>
              <w:left w:val="single" w:sz="6" w:space="0" w:color="000000"/>
              <w:bottom w:val="single" w:sz="4" w:space="0" w:color="auto"/>
              <w:right w:val="single" w:sz="6" w:space="0" w:color="000000"/>
            </w:tcBorders>
          </w:tcPr>
          <w:p w14:paraId="01BFB54C" w14:textId="77777777" w:rsidR="00801C24" w:rsidRDefault="00801C24" w:rsidP="0059471C">
            <w:pPr>
              <w:pStyle w:val="naisc"/>
              <w:spacing w:before="0" w:after="0"/>
              <w:jc w:val="left"/>
            </w:pPr>
          </w:p>
          <w:p w14:paraId="329AD3BE" w14:textId="77777777" w:rsidR="0059471C" w:rsidRPr="0059471C" w:rsidRDefault="007E4285" w:rsidP="0059471C">
            <w:pPr>
              <w:pStyle w:val="naisc"/>
              <w:spacing w:before="0" w:after="0"/>
              <w:rPr>
                <w:b/>
              </w:rPr>
            </w:pPr>
            <w:r>
              <w:rPr>
                <w:b/>
              </w:rPr>
              <w:t>Ņ</w:t>
            </w:r>
            <w:r w:rsidR="0059471C" w:rsidRPr="0059471C">
              <w:rPr>
                <w:b/>
              </w:rPr>
              <w:t>emts vērā</w:t>
            </w:r>
          </w:p>
          <w:p w14:paraId="78B9DD2A" w14:textId="77777777" w:rsidR="0059471C" w:rsidRDefault="0059471C" w:rsidP="0059471C">
            <w:pPr>
              <w:pStyle w:val="naisc"/>
              <w:spacing w:before="0" w:after="0"/>
            </w:pPr>
          </w:p>
          <w:p w14:paraId="0D668D7F" w14:textId="77777777" w:rsidR="0059471C" w:rsidRDefault="0059471C" w:rsidP="0059471C">
            <w:pPr>
              <w:pStyle w:val="naisc"/>
              <w:spacing w:before="0" w:after="0"/>
            </w:pPr>
          </w:p>
        </w:tc>
        <w:tc>
          <w:tcPr>
            <w:tcW w:w="2835" w:type="dxa"/>
            <w:tcBorders>
              <w:top w:val="single" w:sz="4" w:space="0" w:color="auto"/>
              <w:left w:val="single" w:sz="4" w:space="0" w:color="auto"/>
              <w:bottom w:val="single" w:sz="4" w:space="0" w:color="auto"/>
            </w:tcBorders>
          </w:tcPr>
          <w:p w14:paraId="324EF0B8" w14:textId="77777777" w:rsidR="00BE7DE3" w:rsidRPr="00076148" w:rsidRDefault="00BE7DE3" w:rsidP="008B3592">
            <w:pPr>
              <w:jc w:val="center"/>
            </w:pPr>
          </w:p>
          <w:p w14:paraId="1530EB3D" w14:textId="77777777" w:rsidR="008C368E" w:rsidRDefault="008C368E" w:rsidP="008C368E">
            <w:pPr>
              <w:jc w:val="both"/>
            </w:pPr>
            <w:r>
              <w:t>4. Prekursoru operators, kurš:</w:t>
            </w:r>
          </w:p>
          <w:p w14:paraId="10BD5090" w14:textId="77777777" w:rsidR="008C368E" w:rsidRDefault="008C368E" w:rsidP="008C368E">
            <w:pPr>
              <w:jc w:val="both"/>
            </w:pPr>
            <w:r>
              <w:t>4.1. ir iesaistīts Padomes 2004. gada 22. decembra Regulas (EK) Nr. 111/2005, ar ko paredz noteikumus par uzraudzību attiecībā uz narkotisko vielu prekursoru tirdzniecību starp Kopienu un trešajām valstīm (turpmāk – regula Nr. 111/2005) pielikuma 3. kategorijā uzskaitīto prekursoru eksportā, reģistrējas darbībai ar 2. kategorijas prekursoriem, nekavējoties iesniedzot aģentūrā šo noteikumu 3. punktā minēto reģistrācijas iesniegumu pēc tam, kad kārtējā kalendārajā gadā eksportētās vielas daudzums pārsniedz regulas 2015/1011 1. pielikumā noteikto daudzumu;</w:t>
            </w:r>
          </w:p>
          <w:p w14:paraId="38A96EB0" w14:textId="49C87024" w:rsidR="008B3592" w:rsidRPr="00076148" w:rsidRDefault="008C368E" w:rsidP="008C368E">
            <w:pPr>
              <w:jc w:val="both"/>
            </w:pPr>
            <w:r>
              <w:t xml:space="preserve">4.2. ir iesaistīts tādu maisījumu eksportā, kuri satur regulas Nr. 111/2005 pielikuma 3. kategorijā uzskaitītos prekursorus, </w:t>
            </w:r>
            <w:r>
              <w:lastRenderedPageBreak/>
              <w:t>reģistrējas darbībai ar 2. kategorijas prekursoriem, nekavējoties iesniedzot aģentūrā šo noteikumu 3. punktā minēto reģistrācijas iesniegumu pēc tam, kad maisījumos ietvertais kopējais eksportēto 3. kategorijas prekursoru daudzums kalendārajā gadā pārsniedz regulas 2015/1011 1. pielikumā noteiktos daudzumus.</w:t>
            </w:r>
          </w:p>
        </w:tc>
      </w:tr>
      <w:tr w:rsidR="00801C24" w:rsidRPr="00712B66" w14:paraId="760556DB" w14:textId="77777777" w:rsidTr="009F0876">
        <w:tc>
          <w:tcPr>
            <w:tcW w:w="708" w:type="dxa"/>
            <w:tcBorders>
              <w:left w:val="single" w:sz="6" w:space="0" w:color="000000"/>
              <w:bottom w:val="single" w:sz="4" w:space="0" w:color="auto"/>
              <w:right w:val="single" w:sz="6" w:space="0" w:color="000000"/>
            </w:tcBorders>
          </w:tcPr>
          <w:p w14:paraId="6DA2738B" w14:textId="77777777" w:rsidR="00801C24" w:rsidRDefault="001964E0" w:rsidP="001964E0">
            <w:pPr>
              <w:pStyle w:val="naisc"/>
              <w:spacing w:before="0" w:after="0"/>
              <w:ind w:firstLine="720"/>
            </w:pPr>
            <w:r>
              <w:lastRenderedPageBreak/>
              <w:t>99</w:t>
            </w:r>
          </w:p>
        </w:tc>
        <w:tc>
          <w:tcPr>
            <w:tcW w:w="2545" w:type="dxa"/>
            <w:gridSpan w:val="2"/>
            <w:tcBorders>
              <w:left w:val="single" w:sz="6" w:space="0" w:color="000000"/>
              <w:bottom w:val="single" w:sz="4" w:space="0" w:color="auto"/>
              <w:right w:val="single" w:sz="6" w:space="0" w:color="000000"/>
            </w:tcBorders>
          </w:tcPr>
          <w:p w14:paraId="0C379149" w14:textId="77777777" w:rsidR="00801C24" w:rsidRDefault="00801C24" w:rsidP="0077062E">
            <w:pPr>
              <w:pStyle w:val="naisc"/>
              <w:spacing w:before="0" w:after="0"/>
              <w:jc w:val="left"/>
            </w:pPr>
          </w:p>
          <w:p w14:paraId="4ACD65AD" w14:textId="77777777" w:rsidR="0077062E" w:rsidRPr="00384BDE" w:rsidRDefault="0077062E" w:rsidP="00D57923">
            <w:pPr>
              <w:pStyle w:val="naisc"/>
              <w:spacing w:before="0" w:after="0"/>
              <w:jc w:val="both"/>
            </w:pPr>
            <w:r>
              <w:rPr>
                <w:szCs w:val="28"/>
              </w:rPr>
              <w:t>6. </w:t>
            </w:r>
            <w:r w:rsidRPr="00700142">
              <w:rPr>
                <w:szCs w:val="28"/>
              </w:rPr>
              <w:t xml:space="preserve">Lai pārliecinātos par prekursoru operatoru </w:t>
            </w:r>
            <w:r>
              <w:rPr>
                <w:szCs w:val="28"/>
              </w:rPr>
              <w:t>atbilstību šo noteikumu prasībām</w:t>
            </w:r>
            <w:r w:rsidRPr="00700142">
              <w:rPr>
                <w:szCs w:val="28"/>
              </w:rPr>
              <w:t>,</w:t>
            </w:r>
            <w:r>
              <w:rPr>
                <w:szCs w:val="28"/>
              </w:rPr>
              <w:t xml:space="preserve"> Veselības</w:t>
            </w:r>
            <w:r w:rsidRPr="00700142">
              <w:rPr>
                <w:szCs w:val="28"/>
              </w:rPr>
              <w:t xml:space="preserve"> inspekcija</w:t>
            </w:r>
            <w:r>
              <w:rPr>
                <w:szCs w:val="28"/>
              </w:rPr>
              <w:t xml:space="preserve"> (turpmāk - inspekcija)</w:t>
            </w:r>
            <w:r w:rsidRPr="00700142">
              <w:rPr>
                <w:szCs w:val="28"/>
              </w:rPr>
              <w:t xml:space="preserve"> pirms</w:t>
            </w:r>
            <w:r>
              <w:rPr>
                <w:szCs w:val="28"/>
              </w:rPr>
              <w:t xml:space="preserve"> licences</w:t>
            </w:r>
            <w:r w:rsidRPr="00700142">
              <w:rPr>
                <w:szCs w:val="28"/>
              </w:rPr>
              <w:t xml:space="preserve"> izsniegšanas</w:t>
            </w:r>
            <w:r>
              <w:rPr>
                <w:szCs w:val="28"/>
              </w:rPr>
              <w:t xml:space="preserve"> </w:t>
            </w:r>
            <w:r w:rsidRPr="00700142">
              <w:rPr>
                <w:szCs w:val="28"/>
              </w:rPr>
              <w:t>veic pārbaudi attiecīgajā objektā.</w:t>
            </w:r>
          </w:p>
        </w:tc>
        <w:tc>
          <w:tcPr>
            <w:tcW w:w="4961" w:type="dxa"/>
            <w:tcBorders>
              <w:left w:val="single" w:sz="6" w:space="0" w:color="000000"/>
              <w:bottom w:val="single" w:sz="4" w:space="0" w:color="auto"/>
              <w:right w:val="single" w:sz="6" w:space="0" w:color="000000"/>
            </w:tcBorders>
          </w:tcPr>
          <w:p w14:paraId="44C2749D" w14:textId="77777777" w:rsidR="008C0A04" w:rsidRDefault="008C0A04" w:rsidP="00E71CBE">
            <w:pPr>
              <w:pStyle w:val="naisc"/>
              <w:spacing w:before="0" w:after="0"/>
            </w:pPr>
            <w:r w:rsidRPr="00801C24">
              <w:rPr>
                <w:b/>
              </w:rPr>
              <w:t>Tieslietu ministrija</w:t>
            </w:r>
          </w:p>
          <w:p w14:paraId="730091E9" w14:textId="77777777" w:rsidR="005E58C8" w:rsidRDefault="005E58C8" w:rsidP="005E58C8">
            <w:pPr>
              <w:pStyle w:val="naisc"/>
              <w:spacing w:before="0" w:after="0"/>
              <w:jc w:val="left"/>
            </w:pPr>
            <w:r>
              <w:t>22.07.2019. Nr. 1-9.1/748</w:t>
            </w:r>
          </w:p>
          <w:p w14:paraId="77EA808B" w14:textId="77777777" w:rsidR="008C0A04" w:rsidRDefault="008C0A04" w:rsidP="00801C24">
            <w:pPr>
              <w:pStyle w:val="naisc"/>
              <w:spacing w:before="0" w:after="0"/>
              <w:ind w:firstLine="720"/>
            </w:pPr>
          </w:p>
          <w:p w14:paraId="7A5239B9" w14:textId="77777777" w:rsidR="008C0A04" w:rsidRDefault="008C0A04" w:rsidP="00502E87">
            <w:pPr>
              <w:pStyle w:val="naisc"/>
              <w:spacing w:before="0" w:after="0"/>
              <w:jc w:val="both"/>
            </w:pPr>
            <w:r w:rsidRPr="008C0A04">
              <w:t xml:space="preserve">Projekta 6. punktā paredzēto regulējumu nepieciešams precizēt. Vēršam uzmanību, ka likuma pilnvarojums Ministru kabinetam neparedz noteikt prasības prekursoru operatoram, bet tikai reģistrācijas kārtību, tādējādi prasības var izrietēt no likuma vai kādas no regulām. Turklāt projekts nesniedz priekšstatu par Veselības inspekcijas iesaistes veidu licences izsniegšanas administratīvajā procesā. Tieslietu ministrijas ieskatā tā būs iestāžu sadarbība viena procesa ietvaros, kad iesnieguma saņēmējs (aģentūra) noteiktā termiņā dod uzdevumu Veselības </w:t>
            </w:r>
            <w:r w:rsidRPr="008C0A04">
              <w:lastRenderedPageBreak/>
              <w:t xml:space="preserve">inspekcijai, kura tad veiks pārbaudi un sagatavos </w:t>
            </w:r>
            <w:proofErr w:type="spellStart"/>
            <w:r w:rsidRPr="008C0A04">
              <w:t>starplēmumu</w:t>
            </w:r>
            <w:proofErr w:type="spellEnd"/>
            <w:r w:rsidRPr="008C0A04">
              <w:t xml:space="preserve"> par iesniedzēja atbilstību. Minēto būtiskāko procedūru aprakstu un termiņus to izpildei nepieciešams noteikt projekta normās, turklāt visas procedūras ir jānosaka secīgi – iesnieguma saņemšana un atbilstības pārbaude, uzdevumi iesaistītajām institūcijām vai iestādē veicamās darbības, lēmuma pieņemšana.</w:t>
            </w:r>
          </w:p>
        </w:tc>
        <w:tc>
          <w:tcPr>
            <w:tcW w:w="2977" w:type="dxa"/>
            <w:gridSpan w:val="2"/>
            <w:tcBorders>
              <w:left w:val="single" w:sz="6" w:space="0" w:color="000000"/>
              <w:bottom w:val="single" w:sz="4" w:space="0" w:color="auto"/>
              <w:right w:val="single" w:sz="6" w:space="0" w:color="000000"/>
            </w:tcBorders>
          </w:tcPr>
          <w:p w14:paraId="3F7D5755" w14:textId="77777777" w:rsidR="00801C24" w:rsidRDefault="00801C24" w:rsidP="001C678F">
            <w:pPr>
              <w:pStyle w:val="naisc"/>
              <w:spacing w:before="0" w:after="0"/>
              <w:jc w:val="left"/>
            </w:pPr>
          </w:p>
          <w:p w14:paraId="468C2BB9" w14:textId="77777777" w:rsidR="001C678F" w:rsidRPr="001C678F" w:rsidRDefault="00EF0AF2" w:rsidP="001C678F">
            <w:pPr>
              <w:pStyle w:val="naisc"/>
              <w:spacing w:before="0" w:after="0"/>
              <w:rPr>
                <w:b/>
              </w:rPr>
            </w:pPr>
            <w:r>
              <w:rPr>
                <w:b/>
              </w:rPr>
              <w:t>Panākta vienošanās saskaņošanā</w:t>
            </w:r>
          </w:p>
          <w:p w14:paraId="0A763BDE" w14:textId="77777777" w:rsidR="001C678F" w:rsidRDefault="001C678F" w:rsidP="001C678F">
            <w:pPr>
              <w:pStyle w:val="naisc"/>
              <w:spacing w:before="0" w:after="0"/>
            </w:pPr>
          </w:p>
          <w:p w14:paraId="74E35716" w14:textId="77777777" w:rsidR="001C678F" w:rsidRDefault="001C678F" w:rsidP="00D57923">
            <w:pPr>
              <w:pStyle w:val="naisc"/>
              <w:spacing w:before="0" w:after="0"/>
              <w:jc w:val="both"/>
            </w:pPr>
            <w:r>
              <w:t>Narkotisko un psihotropo vielu un zāļu, kā arī prekursoru likumīgās aprites likuma 42.</w:t>
            </w:r>
            <w:r w:rsidRPr="00B603F2">
              <w:rPr>
                <w:vertAlign w:val="superscript"/>
              </w:rPr>
              <w:t>1</w:t>
            </w:r>
            <w:r>
              <w:t xml:space="preserve"> panta ceturtā daļa nosaka: “</w:t>
            </w:r>
            <w:r w:rsidRPr="00B603F2">
              <w:t xml:space="preserve">Prekursoru operatoru un prekursoru lietotāju reģistrēšanas un licencēšanas kārtību, </w:t>
            </w:r>
            <w:r w:rsidRPr="001C678F">
              <w:rPr>
                <w:b/>
                <w:u w:val="single"/>
              </w:rPr>
              <w:t>prasības prekursoru uzglabāšanai</w:t>
            </w:r>
            <w:r w:rsidRPr="00B603F2">
              <w:t xml:space="preserve">, kā arī kārtību, kādā aptur un anulē speciālo </w:t>
            </w:r>
            <w:r w:rsidRPr="00B603F2">
              <w:lastRenderedPageBreak/>
              <w:t>atļauju (licenci) vai reģistrāciju, nosaka Ministru kabinets.</w:t>
            </w:r>
            <w:r>
              <w:t>”</w:t>
            </w:r>
            <w:r w:rsidR="00C05207">
              <w:t xml:space="preserve"> </w:t>
            </w:r>
            <w:r w:rsidR="00815155">
              <w:t>Tādēļ projekta 6.punktā atsauce uz operatora atbilstību šo noteikumu prasībām ir korekta.</w:t>
            </w:r>
          </w:p>
          <w:p w14:paraId="5090E3F9" w14:textId="77777777" w:rsidR="0091130A" w:rsidRPr="00502E87" w:rsidRDefault="00D57923" w:rsidP="00D57923">
            <w:pPr>
              <w:pStyle w:val="naisc"/>
              <w:spacing w:before="0" w:after="0"/>
              <w:jc w:val="both"/>
            </w:pPr>
            <w:r>
              <w:t>Ministru kabineta noteikumos ir nepieciešams iekļaut normu par Veselības inspekcijas pārbaudes nepieciešamību, jo tā tiešā mērā skar  personu, kuru vēlas saņemt licencei</w:t>
            </w:r>
            <w:r w:rsidR="00502E87">
              <w:t xml:space="preserve">, un minētās personas pienākumu nodrošināt iespēju Veselības inspekcijai veikt pārbaudi. Savukārt </w:t>
            </w:r>
            <w:r w:rsidR="00502E87">
              <w:rPr>
                <w:iCs/>
                <w:color w:val="000000"/>
              </w:rPr>
              <w:t>divu valsts pārvaldes iestāžu savstarpējo sadarbību informācijas apritē n</w:t>
            </w:r>
            <w:r w:rsidR="00F15D76">
              <w:rPr>
                <w:iCs/>
                <w:color w:val="000000"/>
              </w:rPr>
              <w:t>av nepieciešams</w:t>
            </w:r>
            <w:r w:rsidR="00502E87">
              <w:rPr>
                <w:iCs/>
                <w:color w:val="000000"/>
              </w:rPr>
              <w:t xml:space="preserve"> regulēt ārējos normatīvajos aktos.</w:t>
            </w:r>
          </w:p>
        </w:tc>
        <w:tc>
          <w:tcPr>
            <w:tcW w:w="2835" w:type="dxa"/>
            <w:tcBorders>
              <w:top w:val="single" w:sz="4" w:space="0" w:color="auto"/>
              <w:left w:val="single" w:sz="4" w:space="0" w:color="auto"/>
              <w:bottom w:val="single" w:sz="4" w:space="0" w:color="auto"/>
            </w:tcBorders>
          </w:tcPr>
          <w:p w14:paraId="6186A065" w14:textId="77777777" w:rsidR="00801C24" w:rsidRDefault="00801C24" w:rsidP="00801C24">
            <w:pPr>
              <w:jc w:val="center"/>
            </w:pPr>
          </w:p>
          <w:p w14:paraId="04C433D6" w14:textId="0744504A" w:rsidR="001C678F" w:rsidRDefault="008C368E" w:rsidP="00D57923">
            <w:pPr>
              <w:jc w:val="both"/>
            </w:pPr>
            <w:r w:rsidRPr="008C368E">
              <w:rPr>
                <w:szCs w:val="28"/>
              </w:rPr>
              <w:t>5. Pirms aģentūra pieņem lēmumu par licences izsniegšanu vai atteikumu izsniegt licenci, Veselības inspekcija (turpmāk − inspekcija) veic pārbaudi attiecīgajā objektā, lai pārliecinātos, vai prekursoru operators izpilda prekursoru uzglabāšanas prasības.</w:t>
            </w:r>
          </w:p>
        </w:tc>
      </w:tr>
      <w:tr w:rsidR="00801C24" w:rsidRPr="00712B66" w14:paraId="551C348C" w14:textId="77777777" w:rsidTr="009F0876">
        <w:tc>
          <w:tcPr>
            <w:tcW w:w="708" w:type="dxa"/>
            <w:tcBorders>
              <w:left w:val="single" w:sz="6" w:space="0" w:color="000000"/>
              <w:bottom w:val="single" w:sz="4" w:space="0" w:color="auto"/>
              <w:right w:val="single" w:sz="6" w:space="0" w:color="000000"/>
            </w:tcBorders>
          </w:tcPr>
          <w:p w14:paraId="45E1FFA7" w14:textId="77777777" w:rsidR="00801C24" w:rsidRDefault="001964E0" w:rsidP="00801C24">
            <w:pPr>
              <w:pStyle w:val="naisc"/>
              <w:spacing w:before="0" w:after="0"/>
              <w:ind w:firstLine="720"/>
            </w:pPr>
            <w:r>
              <w:t>110</w:t>
            </w:r>
          </w:p>
        </w:tc>
        <w:tc>
          <w:tcPr>
            <w:tcW w:w="2545" w:type="dxa"/>
            <w:gridSpan w:val="2"/>
            <w:tcBorders>
              <w:left w:val="single" w:sz="6" w:space="0" w:color="000000"/>
              <w:bottom w:val="single" w:sz="4" w:space="0" w:color="auto"/>
              <w:right w:val="single" w:sz="6" w:space="0" w:color="000000"/>
            </w:tcBorders>
          </w:tcPr>
          <w:p w14:paraId="0A197952" w14:textId="77777777" w:rsidR="00447B98" w:rsidRPr="00384BDE" w:rsidRDefault="00447B98" w:rsidP="00DD307C">
            <w:pPr>
              <w:pStyle w:val="naisc"/>
              <w:spacing w:before="0" w:after="0"/>
            </w:pPr>
          </w:p>
        </w:tc>
        <w:tc>
          <w:tcPr>
            <w:tcW w:w="4961" w:type="dxa"/>
            <w:tcBorders>
              <w:left w:val="single" w:sz="6" w:space="0" w:color="000000"/>
              <w:bottom w:val="single" w:sz="4" w:space="0" w:color="auto"/>
              <w:right w:val="single" w:sz="6" w:space="0" w:color="000000"/>
            </w:tcBorders>
          </w:tcPr>
          <w:p w14:paraId="0E4FF57D" w14:textId="77777777" w:rsidR="008C0A04" w:rsidRDefault="008C0A04" w:rsidP="00E71CBE">
            <w:pPr>
              <w:pStyle w:val="naisc"/>
              <w:spacing w:before="0" w:after="0"/>
            </w:pPr>
            <w:r w:rsidRPr="00801C24">
              <w:rPr>
                <w:b/>
              </w:rPr>
              <w:t>Tieslietu ministrija</w:t>
            </w:r>
          </w:p>
          <w:p w14:paraId="2C8986D1" w14:textId="77777777" w:rsidR="005E58C8" w:rsidRDefault="005E58C8" w:rsidP="005E58C8">
            <w:pPr>
              <w:pStyle w:val="naisc"/>
              <w:spacing w:before="0" w:after="0"/>
              <w:jc w:val="left"/>
            </w:pPr>
            <w:r>
              <w:t>22.07.2019. Nr. 1-9.1/748</w:t>
            </w:r>
          </w:p>
          <w:p w14:paraId="3305C190" w14:textId="77777777" w:rsidR="008C0A04" w:rsidRDefault="008C0A04" w:rsidP="00801C24">
            <w:pPr>
              <w:pStyle w:val="naisc"/>
              <w:spacing w:before="0" w:after="0"/>
              <w:ind w:firstLine="720"/>
            </w:pPr>
          </w:p>
          <w:p w14:paraId="7EDF8FA5" w14:textId="77777777" w:rsidR="00D43C50" w:rsidRDefault="00D43C50" w:rsidP="00502E87">
            <w:pPr>
              <w:pStyle w:val="naisc"/>
              <w:jc w:val="both"/>
            </w:pPr>
            <w:r>
              <w:t xml:space="preserve">Projekta 7.2. apakšpunkts paredz, ka Zāļu valsts aģentūra Sodu reģistrā pārliecinās, ka iesniedzējs – fiziskā persona un iesniedzēja – juridiskās personas – valdes locekļi, dalībnieki – fiziskās personas, prokūristi un pilnvarnieki nav sodīti par noziedzīgu nodarījumu, kā arī nav administratīvi sodīti par pārkāpumiem, kas saistīti ar narkotisko </w:t>
            </w:r>
            <w:r>
              <w:lastRenderedPageBreak/>
              <w:t>un psihotropo vielu, prekursoru vai neklasificēto vielu apriti.</w:t>
            </w:r>
          </w:p>
          <w:p w14:paraId="6196A114" w14:textId="77777777" w:rsidR="00D43C50" w:rsidRDefault="00D43C50" w:rsidP="00502E87">
            <w:pPr>
              <w:pStyle w:val="naisc"/>
              <w:jc w:val="both"/>
            </w:pPr>
            <w:r>
              <w:t>No projekta un tā anotācijas secināms, ka Zāļu valsts aģentūra personas datu apstrādi par personas sodāmību veic, lai pieņemtu lēmumu par licences izsniegšanu vai par atteikumu izsniegt licenci un par personas reģistrāciju vai par atteikumu reģistrēt personu. Gadījumā, ja kāda no personām ir bijusi sodīta par noziedzīgu nodarījumu vai administratīvi sodīta par pārkāpumiem, kas saistīti ar narkotisko un psihotropo vielu, prekursoru vai neklasificēto vielu apriti, tas var būt pamats licences iesniegšanas un reģistrācijas atteikumam saskaņā ar Eiropas Parlamenta un Padomes 2004. gada 11. februāra Regulu (EK) Nr. 273/2004 par narkotisko vielu prekursoriem.</w:t>
            </w:r>
          </w:p>
          <w:p w14:paraId="6AAE6B15" w14:textId="77777777" w:rsidR="00D43C50" w:rsidRDefault="00D43C50" w:rsidP="00502E87">
            <w:pPr>
              <w:pStyle w:val="naisc"/>
              <w:jc w:val="both"/>
            </w:pPr>
            <w:r>
              <w:t>No minētā secināms, ka Zāļu valsts aģentūras veiktajai personas datu apstrādei par personas sodāmību piemērojams Eiropas Parlamenta un Padomes 2016. gada 27. aprīļa Regulas (ES) 2016/679 par fizisku personu aizsardzību attiecībā uz personas datu apstrādi un šādu datu brīvu apriti un ar ko atceļ Direktīvu 95/46/EK (Vispārīgā datu aizsardzības regula) (turpmāk – Datu regula) regulējums.</w:t>
            </w:r>
          </w:p>
          <w:p w14:paraId="404EF745" w14:textId="77777777" w:rsidR="00D43C50" w:rsidRDefault="00D43C50" w:rsidP="00502E87">
            <w:pPr>
              <w:pStyle w:val="naisc"/>
              <w:jc w:val="both"/>
            </w:pPr>
            <w:r>
              <w:t xml:space="preserve">Atbilstoši Datu regulas 10. pantam personas datu apstrādi par sodāmību un pārkāpumiem vai ar tiem saistītiem drošības pasākumiem, pamatojoties uz 6. panta 1. punktu, veic tikai oficiālas iestādes kontrolē vai tad, ja apstrādi atļauj Eiropas Savienības vai tās dalībvalsts tiesību akti, paredzot atbilstošas garantijas datu </w:t>
            </w:r>
            <w:r>
              <w:lastRenderedPageBreak/>
              <w:t>subjektu tiesībām un brīvībām. Jebkādu visaptverošu sodāmības reģistru uzglabā tikai oficiālas iestādes kontrolē.</w:t>
            </w:r>
          </w:p>
          <w:p w14:paraId="3070E876" w14:textId="77777777" w:rsidR="00D43C50" w:rsidRDefault="00D43C50" w:rsidP="00502E87">
            <w:pPr>
              <w:pStyle w:val="naisc"/>
              <w:jc w:val="both"/>
            </w:pPr>
            <w:r>
              <w:t>Projekta anotācijā saistībā ar personas datu apstrādi par sodāmību nav atrodamas norādes par atbilstošām garantijām datu subjekta tiesībām un brīvības atbilstoši Datu regulas 10. pantam.</w:t>
            </w:r>
          </w:p>
          <w:p w14:paraId="7692BAE6" w14:textId="77777777" w:rsidR="008C0A04" w:rsidRDefault="00D43C50" w:rsidP="00502E87">
            <w:pPr>
              <w:pStyle w:val="naisc"/>
              <w:spacing w:before="0" w:after="0"/>
              <w:jc w:val="both"/>
            </w:pPr>
            <w:r>
              <w:t>Ņemot vērā minēto, lūdzam papildināt anotāciju, paredzot atbilstošas garantijas datu subjektu tiesībām un brīvībām saistībā ar Zāļu valsts aģentūras veikto personas datu apstrādi par sodāmību.</w:t>
            </w:r>
          </w:p>
          <w:p w14:paraId="7619070E" w14:textId="77777777" w:rsidR="008C0A04" w:rsidRDefault="008C0A04" w:rsidP="00801C24">
            <w:pPr>
              <w:pStyle w:val="naisc"/>
              <w:spacing w:before="0" w:after="0"/>
              <w:ind w:firstLine="720"/>
            </w:pPr>
          </w:p>
        </w:tc>
        <w:tc>
          <w:tcPr>
            <w:tcW w:w="2977" w:type="dxa"/>
            <w:gridSpan w:val="2"/>
            <w:tcBorders>
              <w:left w:val="single" w:sz="6" w:space="0" w:color="000000"/>
              <w:bottom w:val="single" w:sz="4" w:space="0" w:color="auto"/>
              <w:right w:val="single" w:sz="6" w:space="0" w:color="000000"/>
            </w:tcBorders>
          </w:tcPr>
          <w:p w14:paraId="3930ADE1" w14:textId="77777777" w:rsidR="00801C24" w:rsidRDefault="00801C24" w:rsidP="00447B98">
            <w:pPr>
              <w:pStyle w:val="naisc"/>
              <w:spacing w:before="0" w:after="0"/>
            </w:pPr>
          </w:p>
          <w:p w14:paraId="1B8B6C14" w14:textId="77777777" w:rsidR="00447B98" w:rsidRPr="00447B98" w:rsidRDefault="00447B98" w:rsidP="00447B98">
            <w:pPr>
              <w:pStyle w:val="naisc"/>
              <w:spacing w:before="0" w:after="0"/>
              <w:rPr>
                <w:b/>
              </w:rPr>
            </w:pPr>
            <w:r w:rsidRPr="00447B98">
              <w:rPr>
                <w:b/>
              </w:rPr>
              <w:t>Ņemts vērā</w:t>
            </w:r>
          </w:p>
        </w:tc>
        <w:tc>
          <w:tcPr>
            <w:tcW w:w="2835" w:type="dxa"/>
            <w:tcBorders>
              <w:top w:val="single" w:sz="4" w:space="0" w:color="auto"/>
              <w:left w:val="single" w:sz="4" w:space="0" w:color="auto"/>
              <w:bottom w:val="single" w:sz="4" w:space="0" w:color="auto"/>
            </w:tcBorders>
          </w:tcPr>
          <w:p w14:paraId="4EBDFEDA" w14:textId="77777777" w:rsidR="00801C24" w:rsidRDefault="00801C24" w:rsidP="00801C24">
            <w:pPr>
              <w:jc w:val="center"/>
            </w:pPr>
          </w:p>
          <w:p w14:paraId="69E6C4E3" w14:textId="77777777" w:rsidR="00447B98" w:rsidRDefault="00447B98" w:rsidP="00502E87">
            <w:pPr>
              <w:jc w:val="both"/>
            </w:pPr>
            <w:r>
              <w:t>Precizēta projekta anotācija</w:t>
            </w:r>
          </w:p>
        </w:tc>
      </w:tr>
      <w:tr w:rsidR="00801C24" w:rsidRPr="00712B66" w14:paraId="12077CFE" w14:textId="77777777" w:rsidTr="009F0876">
        <w:tc>
          <w:tcPr>
            <w:tcW w:w="708" w:type="dxa"/>
            <w:tcBorders>
              <w:left w:val="single" w:sz="6" w:space="0" w:color="000000"/>
              <w:bottom w:val="single" w:sz="4" w:space="0" w:color="auto"/>
              <w:right w:val="single" w:sz="6" w:space="0" w:color="000000"/>
            </w:tcBorders>
          </w:tcPr>
          <w:p w14:paraId="3618B0E8" w14:textId="77777777" w:rsidR="00801C24" w:rsidRDefault="001964E0" w:rsidP="00801C24">
            <w:pPr>
              <w:pStyle w:val="naisc"/>
              <w:spacing w:before="0" w:after="0"/>
              <w:ind w:firstLine="720"/>
            </w:pPr>
            <w:r>
              <w:lastRenderedPageBreak/>
              <w:t>111</w:t>
            </w:r>
          </w:p>
        </w:tc>
        <w:tc>
          <w:tcPr>
            <w:tcW w:w="2545" w:type="dxa"/>
            <w:gridSpan w:val="2"/>
            <w:tcBorders>
              <w:left w:val="single" w:sz="6" w:space="0" w:color="000000"/>
              <w:bottom w:val="single" w:sz="4" w:space="0" w:color="auto"/>
              <w:right w:val="single" w:sz="6" w:space="0" w:color="000000"/>
            </w:tcBorders>
          </w:tcPr>
          <w:p w14:paraId="6C478A26" w14:textId="77777777" w:rsidR="00801C24" w:rsidRPr="00384BDE" w:rsidRDefault="00801C24" w:rsidP="00801C24">
            <w:pPr>
              <w:pStyle w:val="naisc"/>
              <w:spacing w:before="0" w:after="0"/>
              <w:ind w:firstLine="720"/>
            </w:pPr>
          </w:p>
        </w:tc>
        <w:tc>
          <w:tcPr>
            <w:tcW w:w="4961" w:type="dxa"/>
            <w:tcBorders>
              <w:left w:val="single" w:sz="6" w:space="0" w:color="000000"/>
              <w:bottom w:val="single" w:sz="4" w:space="0" w:color="auto"/>
              <w:right w:val="single" w:sz="6" w:space="0" w:color="000000"/>
            </w:tcBorders>
          </w:tcPr>
          <w:p w14:paraId="0F8BB3CB" w14:textId="77777777" w:rsidR="00D43C50" w:rsidRDefault="00D43C50" w:rsidP="00E71CBE">
            <w:pPr>
              <w:pStyle w:val="naisc"/>
              <w:spacing w:before="0" w:after="0"/>
            </w:pPr>
            <w:r w:rsidRPr="00801C24">
              <w:rPr>
                <w:b/>
              </w:rPr>
              <w:t>Tieslietu ministrija</w:t>
            </w:r>
          </w:p>
          <w:p w14:paraId="7D7D1A14" w14:textId="77777777" w:rsidR="005E58C8" w:rsidRDefault="005E58C8" w:rsidP="005E58C8">
            <w:pPr>
              <w:pStyle w:val="naisc"/>
              <w:spacing w:before="0" w:after="0"/>
              <w:jc w:val="left"/>
            </w:pPr>
            <w:r>
              <w:t>22.07.2019. Nr. 1-9.1/748</w:t>
            </w:r>
          </w:p>
          <w:p w14:paraId="435E7F54" w14:textId="77777777" w:rsidR="00D43C50" w:rsidRDefault="00D43C50" w:rsidP="00801C24">
            <w:pPr>
              <w:pStyle w:val="naisc"/>
              <w:spacing w:before="0" w:after="0"/>
              <w:ind w:firstLine="720"/>
            </w:pPr>
          </w:p>
          <w:p w14:paraId="1B47A258" w14:textId="77777777" w:rsidR="00B20A60" w:rsidRDefault="00B20A60" w:rsidP="00502E87">
            <w:pPr>
              <w:pStyle w:val="naisc"/>
              <w:jc w:val="both"/>
            </w:pPr>
            <w:r>
              <w:t>Projekta anotācijas V sadaļas 1.a tabulā norādīts, ka Regulas 2015/1011 3. panta 7. punkts ir ieviests projekta 7.3. apakšpunktā. Regulas 2015/1011 3. panta 7. punkts nosaka, ka “tirdzniecībā starp Savienību un trešām valstīm saskaņā ar Regulu (EK) Nr. 111/2005 kompetentā iestāde var vai nu ierobežot licences derīguma termiņu, lai tas nepārsniegtu trīs gadus, vai arī pieprasīt uzņēmējiem ne retāk kā reizi trīs gados pierādīt, ka joprojām tiek izpildīti nosacījumi, ievērojot kurus licence tika piešķirta”.</w:t>
            </w:r>
          </w:p>
          <w:p w14:paraId="262BC1DE" w14:textId="77777777" w:rsidR="00B20A60" w:rsidRPr="00F5193E" w:rsidRDefault="00B20A60" w:rsidP="00502E87">
            <w:pPr>
              <w:pStyle w:val="naisc"/>
              <w:jc w:val="both"/>
            </w:pPr>
            <w:r>
              <w:t xml:space="preserve">Projekta anotācijas V sadaļas 1.a tabulā skaidrots, ka “Regulas 3. panta 7. punkts dod iespēju paredzēt, ka licences izdod uz ierobežotu termiņu - līdz trīs gadiem. Projekts paredz beztermiņa licenci, lai neapgrūtinātu komersantus ar atkārtotu </w:t>
            </w:r>
            <w:r>
              <w:lastRenderedPageBreak/>
              <w:t xml:space="preserve">licencēšanu, kas pēc būtības ir formālu darbību veikšana bez jebkāda racionāla vai faktiska pamata. Tā vietā, lai nodrošinātu operatoru atbilstību normatīvo aktu prasībām, Veselības inspekcija veiks plānveida kontroles”. Projekta 7.3. apakšpunkts paredz, ka Zāļu valsts aģentūra pieņem lēmumu par licences izsniegšanu vai par atteikumu izsniegt </w:t>
            </w:r>
            <w:r w:rsidRPr="00F5193E">
              <w:t xml:space="preserve">licenci. </w:t>
            </w:r>
          </w:p>
          <w:p w14:paraId="77B92874" w14:textId="77777777" w:rsidR="00D43C50" w:rsidRDefault="00B20A60" w:rsidP="00502E87">
            <w:pPr>
              <w:pStyle w:val="naisc"/>
              <w:spacing w:before="0" w:after="0"/>
              <w:jc w:val="both"/>
            </w:pPr>
            <w:r w:rsidRPr="00F5193E">
              <w:t>Lūdzam skaidrot, vai Regulas 2015/1011 3. panta 7. punkta nosacījumi ir ieviesti projekta 7.3. apakšpunktā. Vienlaikus lūdzam skaidrot, vai Veselības inspekcija veiks plānveida kontroles reizi trīs gados atbilstoši Regulas 2015/1011 3. panta 7. punktā paredzētajam.</w:t>
            </w:r>
          </w:p>
        </w:tc>
        <w:tc>
          <w:tcPr>
            <w:tcW w:w="2977" w:type="dxa"/>
            <w:gridSpan w:val="2"/>
            <w:tcBorders>
              <w:left w:val="single" w:sz="6" w:space="0" w:color="000000"/>
              <w:bottom w:val="single" w:sz="4" w:space="0" w:color="auto"/>
              <w:right w:val="single" w:sz="6" w:space="0" w:color="000000"/>
            </w:tcBorders>
          </w:tcPr>
          <w:p w14:paraId="1551DCEF" w14:textId="77777777" w:rsidR="00801C24" w:rsidRDefault="00801C24" w:rsidP="009B3EFA">
            <w:pPr>
              <w:pStyle w:val="naisc"/>
              <w:spacing w:before="0" w:after="0"/>
              <w:jc w:val="left"/>
            </w:pPr>
          </w:p>
          <w:p w14:paraId="00957ACB" w14:textId="77777777" w:rsidR="009B3EFA" w:rsidRPr="009B3EFA" w:rsidRDefault="009B3EFA" w:rsidP="009B3EFA">
            <w:pPr>
              <w:pStyle w:val="naisc"/>
              <w:spacing w:before="0" w:after="0"/>
              <w:rPr>
                <w:b/>
              </w:rPr>
            </w:pPr>
            <w:r w:rsidRPr="009B3EFA">
              <w:rPr>
                <w:b/>
              </w:rPr>
              <w:t>Ņemts vērā</w:t>
            </w:r>
          </w:p>
        </w:tc>
        <w:tc>
          <w:tcPr>
            <w:tcW w:w="2835" w:type="dxa"/>
            <w:tcBorders>
              <w:top w:val="single" w:sz="4" w:space="0" w:color="auto"/>
              <w:left w:val="single" w:sz="4" w:space="0" w:color="auto"/>
              <w:bottom w:val="single" w:sz="4" w:space="0" w:color="auto"/>
            </w:tcBorders>
          </w:tcPr>
          <w:p w14:paraId="0194798B" w14:textId="77777777" w:rsidR="00801C24" w:rsidRDefault="00801C24" w:rsidP="00801C24">
            <w:pPr>
              <w:jc w:val="center"/>
            </w:pPr>
          </w:p>
          <w:p w14:paraId="38077B07" w14:textId="77777777" w:rsidR="009B3EFA" w:rsidRDefault="009B3EFA" w:rsidP="00502E87">
            <w:pPr>
              <w:jc w:val="both"/>
            </w:pPr>
            <w:r>
              <w:t>Precizēta projekta anotācija</w:t>
            </w:r>
          </w:p>
        </w:tc>
      </w:tr>
      <w:tr w:rsidR="00801C24" w:rsidRPr="00712B66" w14:paraId="252E7A0E" w14:textId="77777777" w:rsidTr="009F0876">
        <w:tc>
          <w:tcPr>
            <w:tcW w:w="708" w:type="dxa"/>
            <w:tcBorders>
              <w:left w:val="single" w:sz="6" w:space="0" w:color="000000"/>
              <w:bottom w:val="single" w:sz="4" w:space="0" w:color="auto"/>
              <w:right w:val="single" w:sz="6" w:space="0" w:color="000000"/>
            </w:tcBorders>
          </w:tcPr>
          <w:p w14:paraId="4452E567" w14:textId="77777777" w:rsidR="00801C24" w:rsidRDefault="001964E0" w:rsidP="00801C24">
            <w:pPr>
              <w:pStyle w:val="naisc"/>
              <w:spacing w:before="0" w:after="0"/>
              <w:ind w:firstLine="720"/>
            </w:pPr>
            <w:r>
              <w:t>112</w:t>
            </w:r>
          </w:p>
        </w:tc>
        <w:tc>
          <w:tcPr>
            <w:tcW w:w="2545" w:type="dxa"/>
            <w:gridSpan w:val="2"/>
            <w:tcBorders>
              <w:left w:val="single" w:sz="6" w:space="0" w:color="000000"/>
              <w:bottom w:val="single" w:sz="4" w:space="0" w:color="auto"/>
              <w:right w:val="single" w:sz="6" w:space="0" w:color="000000"/>
            </w:tcBorders>
          </w:tcPr>
          <w:p w14:paraId="3B37850C" w14:textId="77777777" w:rsidR="00801C24" w:rsidRDefault="00801C24" w:rsidP="00801C24">
            <w:pPr>
              <w:pStyle w:val="naisc"/>
              <w:spacing w:before="0" w:after="0"/>
              <w:ind w:firstLine="720"/>
            </w:pPr>
          </w:p>
          <w:p w14:paraId="5BF7F506" w14:textId="77777777" w:rsidR="00A12BDA" w:rsidRDefault="00A12BDA" w:rsidP="00502E87">
            <w:pPr>
              <w:pStyle w:val="naisc"/>
              <w:spacing w:before="0" w:after="0"/>
              <w:ind w:firstLine="5"/>
              <w:jc w:val="both"/>
              <w:rPr>
                <w:color w:val="000000"/>
                <w:szCs w:val="28"/>
              </w:rPr>
            </w:pPr>
            <w:r>
              <w:rPr>
                <w:color w:val="000000"/>
                <w:szCs w:val="28"/>
              </w:rPr>
              <w:t>12. A</w:t>
            </w:r>
            <w:r w:rsidRPr="00D13F8F">
              <w:rPr>
                <w:color w:val="000000"/>
                <w:szCs w:val="28"/>
              </w:rPr>
              <w:t xml:space="preserve">ģentūra pieņem lēmumu par </w:t>
            </w:r>
            <w:r>
              <w:rPr>
                <w:color w:val="000000"/>
                <w:szCs w:val="28"/>
              </w:rPr>
              <w:t>licences</w:t>
            </w:r>
            <w:r w:rsidRPr="00D13F8F">
              <w:rPr>
                <w:color w:val="000000"/>
                <w:szCs w:val="28"/>
              </w:rPr>
              <w:t xml:space="preserve"> vai reģistrācijas </w:t>
            </w:r>
            <w:r>
              <w:rPr>
                <w:color w:val="000000"/>
                <w:szCs w:val="28"/>
              </w:rPr>
              <w:t>a</w:t>
            </w:r>
            <w:r w:rsidRPr="00D13F8F">
              <w:rPr>
                <w:color w:val="000000"/>
                <w:szCs w:val="28"/>
              </w:rPr>
              <w:t>pturēšanu uz laiku līdz sešiem mēnešiem, ja</w:t>
            </w:r>
            <w:r>
              <w:rPr>
                <w:color w:val="000000"/>
                <w:szCs w:val="28"/>
              </w:rPr>
              <w:t xml:space="preserve"> </w:t>
            </w:r>
            <w:r w:rsidRPr="00B95187">
              <w:rPr>
                <w:color w:val="000000"/>
                <w:szCs w:val="28"/>
              </w:rPr>
              <w:t>izpildās kāds no regulas Nr. 273/2004 3.panta 4., 5. vai 6.b punktā norādītajiem pamatiem</w:t>
            </w:r>
            <w:r>
              <w:rPr>
                <w:color w:val="000000"/>
                <w:szCs w:val="28"/>
              </w:rPr>
              <w:t>.</w:t>
            </w:r>
          </w:p>
          <w:p w14:paraId="527FD4F3" w14:textId="77777777" w:rsidR="00901269" w:rsidRDefault="00901269" w:rsidP="00502E87">
            <w:pPr>
              <w:pStyle w:val="naisc"/>
              <w:spacing w:before="0" w:after="0"/>
              <w:ind w:firstLine="5"/>
              <w:jc w:val="both"/>
              <w:rPr>
                <w:color w:val="000000"/>
                <w:szCs w:val="28"/>
              </w:rPr>
            </w:pPr>
          </w:p>
          <w:p w14:paraId="0D194C17" w14:textId="77777777" w:rsidR="00901269" w:rsidRDefault="00901269" w:rsidP="00502E87">
            <w:pPr>
              <w:pStyle w:val="naisc"/>
              <w:spacing w:before="0" w:after="0"/>
              <w:ind w:firstLine="5"/>
              <w:jc w:val="both"/>
              <w:rPr>
                <w:color w:val="000000"/>
                <w:szCs w:val="28"/>
              </w:rPr>
            </w:pPr>
            <w:r>
              <w:rPr>
                <w:color w:val="000000"/>
                <w:szCs w:val="28"/>
              </w:rPr>
              <w:t>15. A</w:t>
            </w:r>
            <w:r w:rsidRPr="00D13F8F">
              <w:rPr>
                <w:color w:val="000000"/>
                <w:szCs w:val="28"/>
              </w:rPr>
              <w:t>ģentūra anulē</w:t>
            </w:r>
            <w:r>
              <w:rPr>
                <w:color w:val="000000"/>
                <w:szCs w:val="28"/>
              </w:rPr>
              <w:t xml:space="preserve"> licenci</w:t>
            </w:r>
            <w:r w:rsidRPr="00D13F8F">
              <w:rPr>
                <w:color w:val="000000"/>
                <w:szCs w:val="28"/>
              </w:rPr>
              <w:t xml:space="preserve"> vai reģistrāciju, ja:</w:t>
            </w:r>
            <w:r>
              <w:rPr>
                <w:color w:val="000000"/>
                <w:szCs w:val="28"/>
              </w:rPr>
              <w:t xml:space="preserve"> […]</w:t>
            </w:r>
          </w:p>
          <w:p w14:paraId="1E88D1B8" w14:textId="77777777" w:rsidR="00901269" w:rsidRDefault="00901269" w:rsidP="00502E87">
            <w:pPr>
              <w:pStyle w:val="naisc"/>
              <w:spacing w:before="0" w:after="0"/>
              <w:ind w:firstLine="5"/>
              <w:jc w:val="both"/>
              <w:rPr>
                <w:color w:val="000000"/>
                <w:szCs w:val="28"/>
              </w:rPr>
            </w:pPr>
            <w:r w:rsidRPr="00543978">
              <w:rPr>
                <w:color w:val="000000"/>
                <w:szCs w:val="28"/>
              </w:rPr>
              <w:t>1</w:t>
            </w:r>
            <w:r>
              <w:rPr>
                <w:color w:val="000000"/>
                <w:szCs w:val="28"/>
              </w:rPr>
              <w:t>5</w:t>
            </w:r>
            <w:r w:rsidRPr="00543978">
              <w:rPr>
                <w:color w:val="000000"/>
                <w:szCs w:val="28"/>
              </w:rPr>
              <w:t>.</w:t>
            </w:r>
            <w:r>
              <w:rPr>
                <w:color w:val="000000"/>
                <w:szCs w:val="28"/>
              </w:rPr>
              <w:t>3</w:t>
            </w:r>
            <w:r w:rsidRPr="00543978">
              <w:rPr>
                <w:color w:val="000000"/>
                <w:szCs w:val="28"/>
              </w:rPr>
              <w:t>. izpildās kāds no regula</w:t>
            </w:r>
            <w:r>
              <w:rPr>
                <w:color w:val="000000"/>
                <w:szCs w:val="28"/>
              </w:rPr>
              <w:t>s</w:t>
            </w:r>
            <w:r w:rsidRPr="00543978">
              <w:rPr>
                <w:color w:val="000000"/>
                <w:szCs w:val="28"/>
              </w:rPr>
              <w:t xml:space="preserve"> Nr. 273/2004 3.panta 4.</w:t>
            </w:r>
            <w:r>
              <w:rPr>
                <w:color w:val="000000"/>
                <w:szCs w:val="28"/>
              </w:rPr>
              <w:t>, 5.</w:t>
            </w:r>
            <w:r w:rsidRPr="00543978">
              <w:rPr>
                <w:color w:val="000000"/>
                <w:szCs w:val="28"/>
              </w:rPr>
              <w:t xml:space="preserve"> vai 6</w:t>
            </w:r>
            <w:r>
              <w:rPr>
                <w:color w:val="000000"/>
                <w:szCs w:val="28"/>
              </w:rPr>
              <w:t>.</w:t>
            </w:r>
            <w:r w:rsidRPr="00543978">
              <w:rPr>
                <w:color w:val="000000"/>
                <w:szCs w:val="28"/>
              </w:rPr>
              <w:t>b punktā norādītajiem pamatiem.</w:t>
            </w:r>
          </w:p>
          <w:p w14:paraId="01E23EA3" w14:textId="77777777" w:rsidR="00901269" w:rsidRPr="00384BDE" w:rsidRDefault="00901269" w:rsidP="00A12BDA">
            <w:pPr>
              <w:pStyle w:val="naisc"/>
              <w:spacing w:before="0" w:after="0"/>
              <w:ind w:firstLine="5"/>
            </w:pPr>
          </w:p>
        </w:tc>
        <w:tc>
          <w:tcPr>
            <w:tcW w:w="4961" w:type="dxa"/>
            <w:tcBorders>
              <w:left w:val="single" w:sz="6" w:space="0" w:color="000000"/>
              <w:bottom w:val="single" w:sz="4" w:space="0" w:color="auto"/>
              <w:right w:val="single" w:sz="6" w:space="0" w:color="000000"/>
            </w:tcBorders>
          </w:tcPr>
          <w:p w14:paraId="5F89AEEE" w14:textId="77777777" w:rsidR="00B20A60" w:rsidRDefault="00B20A60" w:rsidP="00E71CBE">
            <w:pPr>
              <w:pStyle w:val="naisc"/>
              <w:spacing w:before="0" w:after="0"/>
            </w:pPr>
            <w:r w:rsidRPr="00801C24">
              <w:rPr>
                <w:b/>
              </w:rPr>
              <w:lastRenderedPageBreak/>
              <w:t>Tieslietu ministrija</w:t>
            </w:r>
          </w:p>
          <w:p w14:paraId="4008D7C0" w14:textId="77777777" w:rsidR="005E58C8" w:rsidRDefault="005E58C8" w:rsidP="005E58C8">
            <w:pPr>
              <w:pStyle w:val="naisc"/>
              <w:spacing w:before="0" w:after="0"/>
              <w:jc w:val="left"/>
            </w:pPr>
            <w:r>
              <w:t>22.07.2019. Nr. 1-9.1/748</w:t>
            </w:r>
          </w:p>
          <w:p w14:paraId="2E49B1D3" w14:textId="77777777" w:rsidR="00B20A60" w:rsidRDefault="00B20A60" w:rsidP="00801C24">
            <w:pPr>
              <w:pStyle w:val="naisc"/>
              <w:spacing w:before="0" w:after="0"/>
              <w:ind w:firstLine="720"/>
            </w:pPr>
          </w:p>
          <w:p w14:paraId="5C37B3A8" w14:textId="77777777" w:rsidR="00B20A60" w:rsidRDefault="002D4E88" w:rsidP="00502E87">
            <w:pPr>
              <w:pStyle w:val="naisc"/>
              <w:spacing w:before="0" w:after="0"/>
              <w:jc w:val="both"/>
            </w:pPr>
            <w:r w:rsidRPr="002D4E88">
              <w:t>Projekta 12. punktā paredzēto regulējumu nepieciešams precizēt. Vēršam uzmanību, ka normatīvajos aktos latviešu valodā par personai nelabvēlīgu lēmumu pieņemšanu tiek norādīts, ka tā ar darbību vai bezdarbību ir izdarījusi normatīvo aktu pārkāpumu, nevis “ … izpildās … pamats”. Līdzīgi nepieciešams precizēt projekta 15.3. apakšpunktu.</w:t>
            </w:r>
          </w:p>
          <w:p w14:paraId="5FF42339" w14:textId="77777777" w:rsidR="00B20A60" w:rsidRDefault="00B20A60" w:rsidP="00801C24">
            <w:pPr>
              <w:pStyle w:val="naisc"/>
              <w:spacing w:before="0" w:after="0"/>
              <w:ind w:firstLine="720"/>
            </w:pPr>
          </w:p>
        </w:tc>
        <w:tc>
          <w:tcPr>
            <w:tcW w:w="2977" w:type="dxa"/>
            <w:gridSpan w:val="2"/>
            <w:tcBorders>
              <w:left w:val="single" w:sz="6" w:space="0" w:color="000000"/>
              <w:bottom w:val="single" w:sz="4" w:space="0" w:color="auto"/>
              <w:right w:val="single" w:sz="6" w:space="0" w:color="000000"/>
            </w:tcBorders>
          </w:tcPr>
          <w:p w14:paraId="33F830D4" w14:textId="77777777" w:rsidR="00801C24" w:rsidRDefault="00801C24" w:rsidP="00801C24">
            <w:pPr>
              <w:pStyle w:val="naisc"/>
              <w:spacing w:before="0" w:after="0"/>
              <w:ind w:firstLine="720"/>
            </w:pPr>
          </w:p>
          <w:p w14:paraId="5375F6CD" w14:textId="77777777" w:rsidR="00901269" w:rsidRPr="00901269" w:rsidRDefault="00901269" w:rsidP="00901269">
            <w:pPr>
              <w:pStyle w:val="naisc"/>
              <w:spacing w:before="0" w:after="0"/>
              <w:rPr>
                <w:b/>
              </w:rPr>
            </w:pPr>
            <w:r>
              <w:rPr>
                <w:b/>
              </w:rPr>
              <w:t>Ņemts vērā</w:t>
            </w:r>
          </w:p>
        </w:tc>
        <w:tc>
          <w:tcPr>
            <w:tcW w:w="2835" w:type="dxa"/>
            <w:tcBorders>
              <w:top w:val="single" w:sz="4" w:space="0" w:color="auto"/>
              <w:left w:val="single" w:sz="4" w:space="0" w:color="auto"/>
              <w:bottom w:val="single" w:sz="4" w:space="0" w:color="auto"/>
            </w:tcBorders>
          </w:tcPr>
          <w:p w14:paraId="6F8A02BE" w14:textId="77777777" w:rsidR="00801C24" w:rsidRDefault="00801C24" w:rsidP="00801C24">
            <w:pPr>
              <w:jc w:val="center"/>
            </w:pPr>
          </w:p>
          <w:p w14:paraId="12E70CCB" w14:textId="74C36D6D" w:rsidR="0043280D" w:rsidRDefault="008C368E" w:rsidP="00502E87">
            <w:pPr>
              <w:jc w:val="both"/>
              <w:rPr>
                <w:color w:val="000000"/>
                <w:szCs w:val="28"/>
              </w:rPr>
            </w:pPr>
            <w:r w:rsidRPr="008C368E">
              <w:rPr>
                <w:color w:val="000000"/>
                <w:szCs w:val="28"/>
              </w:rPr>
              <w:t>13. Aģentūra var pieņemt lēmumu par licences vai reģistrācijas apturēšanu uz laiku līdz sešiem mēnešiem regulas Nr. 273/2004 3. panta 4., 5. vai 6.b punktā noteiktajos gadījumos.</w:t>
            </w:r>
          </w:p>
          <w:p w14:paraId="0849F22D" w14:textId="77777777" w:rsidR="008C368E" w:rsidRDefault="008C368E" w:rsidP="00502E87">
            <w:pPr>
              <w:jc w:val="both"/>
              <w:rPr>
                <w:color w:val="000000"/>
                <w:szCs w:val="28"/>
              </w:rPr>
            </w:pPr>
          </w:p>
          <w:p w14:paraId="0086945A" w14:textId="77777777" w:rsidR="008C368E" w:rsidRPr="008C368E" w:rsidRDefault="008C368E" w:rsidP="008C368E">
            <w:pPr>
              <w:jc w:val="both"/>
              <w:rPr>
                <w:color w:val="000000"/>
                <w:szCs w:val="28"/>
              </w:rPr>
            </w:pPr>
            <w:r w:rsidRPr="008C368E">
              <w:rPr>
                <w:color w:val="000000"/>
                <w:szCs w:val="28"/>
              </w:rPr>
              <w:t>16. Aģentūra var pieņemt lēmumu par licences vai reģistrācijas anulēšanu:</w:t>
            </w:r>
          </w:p>
          <w:p w14:paraId="45F5FAB1" w14:textId="77777777" w:rsidR="008C368E" w:rsidRPr="008C368E" w:rsidRDefault="008C368E" w:rsidP="008C368E">
            <w:pPr>
              <w:jc w:val="both"/>
              <w:rPr>
                <w:color w:val="000000"/>
                <w:szCs w:val="28"/>
              </w:rPr>
            </w:pPr>
            <w:r w:rsidRPr="008C368E">
              <w:rPr>
                <w:color w:val="000000"/>
                <w:szCs w:val="28"/>
              </w:rPr>
              <w:t xml:space="preserve">16.1. ja trūkumi, kas bija licences vai reģistrācijas apturēšanas iemesls, noteiktajā termiņā nav novērsti vai aģentūrā nav iesniegts iesniegums par </w:t>
            </w:r>
            <w:r w:rsidRPr="008C368E">
              <w:rPr>
                <w:color w:val="000000"/>
                <w:szCs w:val="28"/>
              </w:rPr>
              <w:lastRenderedPageBreak/>
              <w:t>licences vai reģistrācijas darbības atjaunošanu;</w:t>
            </w:r>
          </w:p>
          <w:p w14:paraId="089F2269" w14:textId="77777777" w:rsidR="008C368E" w:rsidRPr="008C368E" w:rsidRDefault="008C368E" w:rsidP="008C368E">
            <w:pPr>
              <w:jc w:val="both"/>
              <w:rPr>
                <w:color w:val="000000"/>
                <w:szCs w:val="28"/>
              </w:rPr>
            </w:pPr>
            <w:r w:rsidRPr="008C368E">
              <w:rPr>
                <w:color w:val="000000"/>
                <w:szCs w:val="28"/>
              </w:rPr>
              <w:t>16.2. ja saņemts prekursoru operatora vai prekursoru lietotāja iesniegums par licences vai reģistrācijas anulēšanu sakarā ar prekursoru aprites darbības izbeigšanu;</w:t>
            </w:r>
          </w:p>
          <w:p w14:paraId="4030A4C9" w14:textId="5BF7C75F" w:rsidR="0043280D" w:rsidRDefault="008C368E" w:rsidP="008C368E">
            <w:pPr>
              <w:jc w:val="both"/>
            </w:pPr>
            <w:r w:rsidRPr="008C368E">
              <w:rPr>
                <w:color w:val="000000"/>
                <w:szCs w:val="28"/>
              </w:rPr>
              <w:t>16.3. regulas Nr. 273/2004 3. panta 4., 5. vai 6.b punktā noteiktajos gadījumos.</w:t>
            </w:r>
          </w:p>
        </w:tc>
      </w:tr>
      <w:tr w:rsidR="00BD1585" w:rsidRPr="00712B66" w14:paraId="47F7AE14" w14:textId="77777777" w:rsidTr="009F0876">
        <w:tc>
          <w:tcPr>
            <w:tcW w:w="708" w:type="dxa"/>
            <w:tcBorders>
              <w:left w:val="single" w:sz="6" w:space="0" w:color="000000"/>
              <w:bottom w:val="single" w:sz="4" w:space="0" w:color="auto"/>
              <w:right w:val="single" w:sz="6" w:space="0" w:color="000000"/>
            </w:tcBorders>
          </w:tcPr>
          <w:p w14:paraId="030D260F" w14:textId="77777777" w:rsidR="00BD1585" w:rsidRDefault="00BD1585" w:rsidP="00BD1585">
            <w:pPr>
              <w:pStyle w:val="naisc"/>
              <w:spacing w:before="0" w:after="0"/>
              <w:ind w:firstLine="720"/>
            </w:pPr>
            <w:r>
              <w:lastRenderedPageBreak/>
              <w:t>113</w:t>
            </w:r>
          </w:p>
        </w:tc>
        <w:tc>
          <w:tcPr>
            <w:tcW w:w="2545" w:type="dxa"/>
            <w:gridSpan w:val="2"/>
            <w:tcBorders>
              <w:left w:val="single" w:sz="6" w:space="0" w:color="000000"/>
              <w:bottom w:val="single" w:sz="4" w:space="0" w:color="auto"/>
              <w:right w:val="single" w:sz="6" w:space="0" w:color="000000"/>
            </w:tcBorders>
          </w:tcPr>
          <w:p w14:paraId="2A79BF0E" w14:textId="77777777" w:rsidR="00BD1585" w:rsidRDefault="00BD1585" w:rsidP="00BD1585">
            <w:pPr>
              <w:pStyle w:val="naisc"/>
              <w:spacing w:before="0" w:after="0"/>
              <w:ind w:firstLine="5"/>
            </w:pPr>
          </w:p>
          <w:p w14:paraId="1BA33902" w14:textId="77777777" w:rsidR="00BD1585" w:rsidRDefault="00BD1585" w:rsidP="00BD1585">
            <w:pPr>
              <w:pStyle w:val="naisc"/>
              <w:spacing w:before="0" w:after="0"/>
              <w:ind w:firstLine="5"/>
              <w:jc w:val="both"/>
            </w:pPr>
            <w:r w:rsidRPr="00913175">
              <w:t>17. Prekursoru operatori un prekursoru lietotāji (tikai tie, kuri lieto 1. un 2.A kategorijas prekursorus) 15 dienu laikā pēc katra ceturkšņa beigām elektroniskā formā iesniedz aģentūrā informāciju par prekursoru apriti pagājušajā ceturksnī, norādot:</w:t>
            </w:r>
          </w:p>
          <w:p w14:paraId="5FCEBFB1" w14:textId="77777777" w:rsidR="00BD1585" w:rsidRDefault="00BD1585" w:rsidP="00BD1585">
            <w:pPr>
              <w:pStyle w:val="naisc"/>
              <w:spacing w:before="0" w:after="0"/>
              <w:ind w:firstLine="5"/>
              <w:jc w:val="both"/>
            </w:pPr>
          </w:p>
          <w:p w14:paraId="199CCB76" w14:textId="77777777" w:rsidR="00BD1585" w:rsidRPr="00D137E7" w:rsidRDefault="00BD1585" w:rsidP="00BD1585">
            <w:pPr>
              <w:pStyle w:val="naisc"/>
              <w:spacing w:before="0" w:after="0"/>
              <w:jc w:val="both"/>
            </w:pPr>
            <w:r w:rsidRPr="00D137E7">
              <w:t xml:space="preserve">13. Aģentūra pieņem lēmumu par licences vai reģistrācijas apturēšanu uz laiku līdz sešiem mēnešiem, ja operatora </w:t>
            </w:r>
            <w:r w:rsidRPr="00D137E7">
              <w:lastRenderedPageBreak/>
              <w:t>vai lietotāja darbība vai bezdarbība atbilst regulas Nr. 273/2004 3.panta 4., 5. vai 6.b punktā ietvertajiem apstākļiem.</w:t>
            </w:r>
          </w:p>
          <w:p w14:paraId="2F361F65" w14:textId="77777777" w:rsidR="00BD1585" w:rsidRPr="00D137E7" w:rsidRDefault="00BD1585" w:rsidP="00BD1585">
            <w:pPr>
              <w:pStyle w:val="naisc"/>
              <w:spacing w:before="0" w:after="0"/>
              <w:jc w:val="both"/>
            </w:pPr>
          </w:p>
          <w:p w14:paraId="4A5F4201" w14:textId="77777777" w:rsidR="00BD1585" w:rsidRPr="00D137E7" w:rsidRDefault="00BD1585" w:rsidP="00BD1585">
            <w:pPr>
              <w:pStyle w:val="Title"/>
              <w:jc w:val="both"/>
              <w:outlineLvl w:val="0"/>
              <w:rPr>
                <w:sz w:val="24"/>
                <w:szCs w:val="24"/>
              </w:rPr>
            </w:pPr>
            <w:r w:rsidRPr="00D137E7">
              <w:rPr>
                <w:sz w:val="24"/>
                <w:szCs w:val="24"/>
              </w:rPr>
              <w:t>16. Aģentūra anulē licenci vai reģistrāciju, ja:</w:t>
            </w:r>
          </w:p>
          <w:p w14:paraId="4373F1CF" w14:textId="77777777" w:rsidR="00BD1585" w:rsidRPr="00D137E7" w:rsidRDefault="00BD1585" w:rsidP="00BD1585">
            <w:pPr>
              <w:pStyle w:val="Title"/>
              <w:jc w:val="both"/>
              <w:outlineLvl w:val="0"/>
              <w:rPr>
                <w:sz w:val="24"/>
                <w:szCs w:val="24"/>
              </w:rPr>
            </w:pPr>
            <w:r w:rsidRPr="00D137E7">
              <w:rPr>
                <w:sz w:val="24"/>
                <w:szCs w:val="24"/>
              </w:rPr>
              <w:t>16.3. operatora vai lietotāja darbība vai bezdarbība atbilst regulas Nr. 273/2004 3.panta 4., 5. vai 6.b punktā ietvertajiem apstākļiem.</w:t>
            </w:r>
          </w:p>
          <w:p w14:paraId="52107D0C" w14:textId="77777777" w:rsidR="00BD1585" w:rsidRPr="00253BE6" w:rsidRDefault="00BD1585" w:rsidP="00BD1585">
            <w:pPr>
              <w:pStyle w:val="Title"/>
              <w:jc w:val="both"/>
              <w:outlineLvl w:val="0"/>
              <w:rPr>
                <w:sz w:val="24"/>
                <w:szCs w:val="24"/>
              </w:rPr>
            </w:pPr>
          </w:p>
          <w:p w14:paraId="5D9A0FF2" w14:textId="77777777" w:rsidR="00BD1585" w:rsidRPr="00A15DE4" w:rsidRDefault="00BD1585" w:rsidP="00BD1585">
            <w:pPr>
              <w:pStyle w:val="naisc"/>
              <w:spacing w:before="0" w:after="0"/>
              <w:jc w:val="both"/>
              <w:rPr>
                <w:color w:val="385623" w:themeColor="accent6" w:themeShade="80"/>
              </w:rPr>
            </w:pPr>
          </w:p>
          <w:p w14:paraId="7A62A7E7" w14:textId="77777777" w:rsidR="00BD1585" w:rsidRPr="00384BDE" w:rsidRDefault="00BD1585" w:rsidP="00BD1585">
            <w:pPr>
              <w:pStyle w:val="naisc"/>
              <w:spacing w:before="0" w:after="0"/>
              <w:ind w:firstLine="5"/>
              <w:jc w:val="both"/>
            </w:pPr>
          </w:p>
        </w:tc>
        <w:tc>
          <w:tcPr>
            <w:tcW w:w="4961" w:type="dxa"/>
            <w:tcBorders>
              <w:left w:val="single" w:sz="6" w:space="0" w:color="000000"/>
              <w:bottom w:val="single" w:sz="4" w:space="0" w:color="auto"/>
              <w:right w:val="single" w:sz="6" w:space="0" w:color="000000"/>
            </w:tcBorders>
          </w:tcPr>
          <w:p w14:paraId="35D045D3" w14:textId="77777777" w:rsidR="00BD1585" w:rsidRDefault="00BD1585" w:rsidP="00BD1585">
            <w:pPr>
              <w:pStyle w:val="naisc"/>
              <w:spacing w:before="0" w:after="0"/>
            </w:pPr>
            <w:r w:rsidRPr="00801C24">
              <w:rPr>
                <w:b/>
              </w:rPr>
              <w:lastRenderedPageBreak/>
              <w:t>Tieslietu ministrija</w:t>
            </w:r>
          </w:p>
          <w:p w14:paraId="121381B4" w14:textId="77777777" w:rsidR="00BD1585" w:rsidRDefault="00BD1585" w:rsidP="00BD1585">
            <w:pPr>
              <w:pStyle w:val="naisc"/>
              <w:spacing w:before="0" w:after="0"/>
              <w:jc w:val="left"/>
            </w:pPr>
            <w:r>
              <w:t>22.07.2019. Nr. 1-9.1/748</w:t>
            </w:r>
          </w:p>
          <w:p w14:paraId="116385E6" w14:textId="77777777" w:rsidR="00BD1585" w:rsidRDefault="00BD1585" w:rsidP="00BD1585">
            <w:pPr>
              <w:pStyle w:val="naisc"/>
              <w:jc w:val="both"/>
            </w:pPr>
            <w:r>
              <w:t xml:space="preserve">Projekta anotācijas V sadaļas 1.b tabulā norādīts, ka Komisijas 2015. gada 25. jūnija deleģētās regulas (ES) Nr.2015/1013,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trešām valstīm, 10. panta 1. un 2. punkta prasības ir ieviestas projekta 17. punktā. Savukārt minētās tabulas D ailē norādīts, ka projekta 17. punktā noteikto informāciju prekursoru operators sniedz papildus minētajā regulā noteiktajam. </w:t>
            </w:r>
          </w:p>
          <w:p w14:paraId="3214822D" w14:textId="77777777" w:rsidR="00BD1585" w:rsidRDefault="00BD1585" w:rsidP="00BD1585">
            <w:pPr>
              <w:pStyle w:val="naisc"/>
              <w:jc w:val="both"/>
            </w:pPr>
            <w:r>
              <w:t xml:space="preserve">Norādām, ka atbilstoši Ministru kabineta 2009. gada 15. decembra instrukcijas Nr. 19 "Tiesību akta projekta sākotnējās ietekmes izvērtēšanas </w:t>
            </w:r>
            <w:r>
              <w:lastRenderedPageBreak/>
              <w:t xml:space="preserve">kārtība" (turpmāk – instrukcija) 56.4. apakšpunktam V sadaļas 1. tabulas D ailē norāda, vai attiecīgais projekta punkts, apakšpunkts paredz stingrākas prasības, nekā paredzēts attiecīgajā ES tiesību akta pantā, daļā, punktā, apakšpunktā. Ja projekts paredz stingrākas prasības: sniedz attiecīgu skaidrojumu par šādu prasību nepieciešamību un samērīgumu un norāda iespējamās alternatīvas (t.sk. alternatīvas, kas neparedz tiesiskā regulējuma izstrādi) – kādos gadījumos būtu iespējams izvairīties no stingrāku prasību noteikšanas, nekā paredzēts attiecīgajos Eiropas Savienības tiesību aktos. </w:t>
            </w:r>
          </w:p>
          <w:p w14:paraId="57D2C5F9" w14:textId="77777777" w:rsidR="00BD1585" w:rsidRDefault="00BD1585" w:rsidP="00BD1585">
            <w:pPr>
              <w:pStyle w:val="naisc"/>
              <w:jc w:val="both"/>
            </w:pPr>
            <w:r>
              <w:t xml:space="preserve">Tādējādi lūdzam skaidrot minētajā D ailē, kāda veida informāciju prekursoru operators sniedz papildus regulā noteiktajam un kādēļ, vienlaikus aizpildot minēto D aili atbilstoši instrukcijas 56.4. apakšpunktā noteiktajam. </w:t>
            </w:r>
          </w:p>
          <w:p w14:paraId="4C01C230" w14:textId="77777777" w:rsidR="00BD1585" w:rsidRDefault="00BD1585" w:rsidP="00BD1585">
            <w:pPr>
              <w:pStyle w:val="naisc"/>
              <w:jc w:val="both"/>
            </w:pPr>
            <w:r>
              <w:t>Vienlaikus lūdzam izvērtēt un precizēt projekta 17. punkta ievaddaļu, svītrojot tajā pieturzīmi iekavas un vārdus “tikai tie”. Vēršam uzmanību, ka nav viennozīmīgi skaidrs, vai projekta 17. punkta ievaddaļas iekavās norādītais teksts ir attecināms gan uz prekursoru operatoriem un lietotājiem, vai tikai uz prekursoru lietotājiem.</w:t>
            </w:r>
          </w:p>
          <w:p w14:paraId="7A839861" w14:textId="77777777" w:rsidR="00BD1585" w:rsidRDefault="00BD1585" w:rsidP="00BD1585">
            <w:pPr>
              <w:pStyle w:val="naisc"/>
              <w:spacing w:before="0" w:after="0"/>
              <w:jc w:val="both"/>
            </w:pPr>
            <w:r>
              <w:t>Tādējādi lūdzam izvērtēt projekta 17. punkta ievaddaļas redakciju un izteikt to viennozīmīgi skaidri.</w:t>
            </w:r>
          </w:p>
          <w:p w14:paraId="2579C57D" w14:textId="77777777" w:rsidR="00BD1585" w:rsidRDefault="00BD1585" w:rsidP="00BD1585">
            <w:pPr>
              <w:pStyle w:val="naisc"/>
              <w:spacing w:before="0" w:after="0"/>
              <w:jc w:val="both"/>
            </w:pPr>
          </w:p>
          <w:p w14:paraId="4B9A16D0" w14:textId="77777777" w:rsidR="00BD1585" w:rsidRPr="00D137E7" w:rsidRDefault="00BD1585" w:rsidP="00BD1585">
            <w:pPr>
              <w:pStyle w:val="naisc"/>
              <w:spacing w:before="0" w:after="0"/>
              <w:jc w:val="both"/>
            </w:pPr>
            <w:r w:rsidRPr="00D137E7">
              <w:t xml:space="preserve">16.08.2019. </w:t>
            </w:r>
          </w:p>
          <w:p w14:paraId="716A118F" w14:textId="77777777" w:rsidR="00BD1585" w:rsidRPr="00D137E7" w:rsidRDefault="00BD1585" w:rsidP="00BD1585">
            <w:pPr>
              <w:shd w:val="clear" w:color="auto" w:fill="FFFFFF"/>
              <w:jc w:val="both"/>
            </w:pPr>
          </w:p>
          <w:p w14:paraId="1D697128" w14:textId="034FBC21" w:rsidR="00BD1585" w:rsidRPr="00D137E7" w:rsidRDefault="00BD1585" w:rsidP="00CC2E9A">
            <w:pPr>
              <w:pStyle w:val="naisc"/>
              <w:spacing w:before="0" w:after="0"/>
              <w:jc w:val="both"/>
              <w:rPr>
                <w:color w:val="385623" w:themeColor="accent6" w:themeShade="80"/>
              </w:rPr>
            </w:pPr>
            <w:r w:rsidRPr="00D137E7">
              <w:t xml:space="preserve">Lūdzam atkārtoti izvērtēt projekta 11. punkta nosacījumu atbilstību Komisijas 2015.gada </w:t>
            </w:r>
            <w:r w:rsidRPr="00D137E7">
              <w:lastRenderedPageBreak/>
              <w:t>25.jūnija īstenošanas regula (ES) Nr.2015/1013,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trešām valstīm (turpmāk - Regula) 10. panta 1. un 2. punkta prasībām. Norādām, ka projekta anotācijas I sadaļas 1. tabulas D ailē iekļautais skaidrojums nav pietiekams un daļēju atbilst Ministru kabineta 2009. gada 15. decembra instrukcijas Nr. 19 "Tiesību akta projekta sākotnējās ietekmes izvērtēšanas kārtība" (turpmāk – instrukcija) 56.4. apakšpunktam, kas nosaka, ka V sadaļas 1. tabulas D ailē norāda, vai</w:t>
            </w:r>
            <w:r w:rsidR="00CC2E9A" w:rsidRPr="00D137E7">
              <w:t xml:space="preserve"> </w:t>
            </w:r>
            <w:r w:rsidRPr="00D137E7">
              <w:t>attiecīgais projekta punkts, apakšpunkts paredz stingrākas prasības, nekā paredzēts attiecīgajā ES tiesību akta pantā, daļā, punktā, apakšpunktā. Ja projekts paredz stingrākas prasības: sniedz attiecīgu skaidrojumu par šādu prasību nepieciešamību un samērīgumu un norāda iespējamās alternatīvas (t.sk</w:t>
            </w:r>
            <w:r w:rsidRPr="00D137E7">
              <w:rPr>
                <w:color w:val="385623" w:themeColor="accent6" w:themeShade="80"/>
              </w:rPr>
              <w:t xml:space="preserve">. </w:t>
            </w:r>
            <w:r w:rsidRPr="00D137E7">
              <w:t>alternatīvas, kas neparedz tiesiskā regulējuma izstrādi) – kādos gadījumos būtu iespējams izvairīties no stingrāku prasību noteikšanas, nekā paredzēts attiecīgajos Eiropas Savienības tiesību aktos.</w:t>
            </w:r>
          </w:p>
          <w:p w14:paraId="7126DACD" w14:textId="77777777" w:rsidR="00BD1585" w:rsidRPr="00A15DE4" w:rsidRDefault="00BD1585" w:rsidP="00BD1585">
            <w:pPr>
              <w:shd w:val="clear" w:color="auto" w:fill="FFFFFF"/>
              <w:jc w:val="both"/>
              <w:rPr>
                <w:color w:val="385623" w:themeColor="accent6" w:themeShade="80"/>
              </w:rPr>
            </w:pPr>
            <w:r w:rsidRPr="00A15DE4">
              <w:rPr>
                <w:color w:val="385623" w:themeColor="accent6" w:themeShade="80"/>
              </w:rPr>
              <w:t> </w:t>
            </w:r>
          </w:p>
          <w:p w14:paraId="7AA4F16A" w14:textId="77777777" w:rsidR="00BD1585" w:rsidRPr="00A15DE4" w:rsidRDefault="00BD1585" w:rsidP="00BD1585">
            <w:pPr>
              <w:pStyle w:val="naisc"/>
              <w:spacing w:before="0" w:after="0"/>
              <w:jc w:val="left"/>
              <w:rPr>
                <w:color w:val="385623" w:themeColor="accent6" w:themeShade="80"/>
              </w:rPr>
            </w:pPr>
          </w:p>
          <w:p w14:paraId="24CE74F5" w14:textId="77777777" w:rsidR="00BD1585" w:rsidRDefault="00BD1585" w:rsidP="00BD1585">
            <w:pPr>
              <w:pStyle w:val="naisc"/>
              <w:spacing w:before="0" w:after="0"/>
              <w:jc w:val="both"/>
            </w:pPr>
          </w:p>
        </w:tc>
        <w:tc>
          <w:tcPr>
            <w:tcW w:w="2977" w:type="dxa"/>
            <w:gridSpan w:val="2"/>
            <w:tcBorders>
              <w:left w:val="single" w:sz="6" w:space="0" w:color="000000"/>
              <w:bottom w:val="single" w:sz="4" w:space="0" w:color="auto"/>
              <w:right w:val="single" w:sz="6" w:space="0" w:color="000000"/>
            </w:tcBorders>
          </w:tcPr>
          <w:p w14:paraId="1F69A1D0" w14:textId="77777777" w:rsidR="00BD1585" w:rsidRPr="00D137E7" w:rsidRDefault="00BD1585" w:rsidP="00BD1585">
            <w:pPr>
              <w:pStyle w:val="naisc"/>
              <w:spacing w:before="0" w:after="0"/>
              <w:jc w:val="both"/>
            </w:pPr>
          </w:p>
          <w:p w14:paraId="327174FE" w14:textId="77777777" w:rsidR="00BD4234" w:rsidRPr="00DA43EF" w:rsidRDefault="00BD1585" w:rsidP="00BD1585">
            <w:pPr>
              <w:pStyle w:val="naisc"/>
              <w:spacing w:before="0" w:after="0"/>
              <w:jc w:val="both"/>
              <w:rPr>
                <w:b/>
              </w:rPr>
            </w:pPr>
            <w:r w:rsidRPr="00DA43EF">
              <w:rPr>
                <w:b/>
              </w:rPr>
              <w:t>Ņemts vērā</w:t>
            </w:r>
          </w:p>
          <w:p w14:paraId="45A1F23D" w14:textId="77777777" w:rsidR="00BD1585" w:rsidRPr="00D137E7" w:rsidRDefault="00BD1585" w:rsidP="00BD1585">
            <w:pPr>
              <w:pStyle w:val="naisc"/>
              <w:spacing w:before="0" w:after="0"/>
              <w:jc w:val="both"/>
            </w:pPr>
          </w:p>
          <w:p w14:paraId="70D6F050" w14:textId="77777777" w:rsidR="00BD1585" w:rsidRPr="00D137E7" w:rsidRDefault="00BD1585" w:rsidP="00BD1585">
            <w:pPr>
              <w:pStyle w:val="naisc"/>
              <w:spacing w:before="0" w:after="0"/>
              <w:jc w:val="both"/>
            </w:pPr>
            <w:r w:rsidRPr="00D137E7">
              <w:t>Izvērtēts, precizēts projekts un anotācija.</w:t>
            </w:r>
          </w:p>
          <w:p w14:paraId="00CE2B52" w14:textId="77777777" w:rsidR="00BD1585" w:rsidRPr="00D137E7" w:rsidRDefault="00BD1585" w:rsidP="00BD1585">
            <w:pPr>
              <w:pStyle w:val="naisc"/>
              <w:spacing w:before="0" w:after="0"/>
              <w:jc w:val="both"/>
            </w:pPr>
          </w:p>
          <w:p w14:paraId="00609ED1" w14:textId="77777777" w:rsidR="00BD1585" w:rsidRPr="00D137E7" w:rsidRDefault="00BD1585" w:rsidP="00BD1585">
            <w:pPr>
              <w:pStyle w:val="naisc"/>
              <w:spacing w:before="0" w:after="0"/>
              <w:jc w:val="both"/>
            </w:pPr>
            <w:r w:rsidRPr="00D137E7">
              <w:t>Atskaišu iesniegšanas termiņš – reizi ceturksnī – jāsaglabā n</w:t>
            </w:r>
            <w:r w:rsidRPr="00D137E7">
              <w:rPr>
                <w:shd w:val="clear" w:color="auto" w:fill="FFFFFF"/>
              </w:rPr>
              <w:t xml:space="preserve">olūkā kontrolēt un uzraudzīt noteiktas vielas, ko bieži izmanto narkotisko vai psihotropo vielu nelikumīgai ražošanai, lai savlaicīgi pamanītu aizdomīgus darījumus. </w:t>
            </w:r>
            <w:r w:rsidRPr="00D137E7">
              <w:t xml:space="preserve"> </w:t>
            </w:r>
            <w:r w:rsidR="00FC4A36" w:rsidRPr="00D137E7">
              <w:t xml:space="preserve">Šādas prasības leģitīmais mērķis ir sabiedrības veselības interešu aizsardzība, jo </w:t>
            </w:r>
            <w:r w:rsidRPr="00D137E7">
              <w:t>do</w:t>
            </w:r>
            <w:r w:rsidR="00FC4A36" w:rsidRPr="00D137E7">
              <w:t>d</w:t>
            </w:r>
            <w:r w:rsidRPr="00D137E7">
              <w:t xml:space="preserve"> iespēju efektīvi un operatīvi novērst  </w:t>
            </w:r>
            <w:r w:rsidRPr="00D137E7">
              <w:lastRenderedPageBreak/>
              <w:t>attiecīgo vielu nokļūšanu nelegālā apritē.</w:t>
            </w:r>
            <w:r w:rsidR="00FC4A36" w:rsidRPr="00D137E7">
              <w:t xml:space="preserve"> </w:t>
            </w:r>
            <w:r w:rsidRPr="00D137E7">
              <w:t xml:space="preserve"> Līdzīga uzraudzība noteikta arī Lietuvā.</w:t>
            </w:r>
          </w:p>
          <w:p w14:paraId="15B969FB" w14:textId="15577A4D" w:rsidR="00BD1585" w:rsidRPr="00D137E7" w:rsidRDefault="00BD1585" w:rsidP="00BD1585">
            <w:pPr>
              <w:pStyle w:val="naisc"/>
              <w:spacing w:before="0" w:after="0"/>
              <w:jc w:val="both"/>
            </w:pPr>
            <w:r w:rsidRPr="00D137E7">
              <w:rPr>
                <w:sz w:val="23"/>
                <w:szCs w:val="23"/>
              </w:rPr>
              <w:br/>
            </w:r>
            <w:r w:rsidRPr="00D137E7">
              <w:rPr>
                <w:shd w:val="clear" w:color="auto" w:fill="FFFFFF"/>
              </w:rPr>
              <w:t xml:space="preserve">Tā, </w:t>
            </w:r>
            <w:r w:rsidRPr="00D137E7">
              <w:rPr>
                <w:i/>
                <w:shd w:val="clear" w:color="auto" w:fill="FFFFFF"/>
              </w:rPr>
              <w:t>piemēram</w:t>
            </w:r>
            <w:r w:rsidRPr="00D137E7">
              <w:rPr>
                <w:shd w:val="clear" w:color="auto" w:fill="FFFFFF"/>
              </w:rPr>
              <w:t>, pēc Zāļu valsts aģentūras sniegtās informācijas:</w:t>
            </w:r>
            <w:r w:rsidRPr="00D137E7">
              <w:rPr>
                <w:sz w:val="23"/>
                <w:szCs w:val="23"/>
              </w:rPr>
              <w:br/>
            </w:r>
            <w:r w:rsidRPr="00D137E7">
              <w:rPr>
                <w:shd w:val="clear" w:color="auto" w:fill="FFFFFF"/>
              </w:rPr>
              <w:t xml:space="preserve">1. Etiķskābes anhidrīdu izmanto nelegālai heroīna ražošanai. </w:t>
            </w:r>
            <w:r w:rsidR="008C625E" w:rsidRPr="00D137E7">
              <w:rPr>
                <w:shd w:val="clear" w:color="auto" w:fill="FFFFFF"/>
              </w:rPr>
              <w:t>Turklāt</w:t>
            </w:r>
            <w:r w:rsidRPr="00D137E7">
              <w:rPr>
                <w:shd w:val="clear" w:color="auto" w:fill="FFFFFF"/>
              </w:rPr>
              <w:t xml:space="preserve"> heroīna ražošana ES pēdējā gada laikā ir stipri pieaugusi tādējādi EK ir rosinājusi pievērst pastiprinātu uzmanību etiķskābes anhidrīda apritei. </w:t>
            </w:r>
            <w:r w:rsidRPr="00D137E7">
              <w:rPr>
                <w:sz w:val="23"/>
                <w:szCs w:val="23"/>
              </w:rPr>
              <w:br/>
            </w:r>
            <w:r w:rsidRPr="00D137E7">
              <w:rPr>
                <w:shd w:val="clear" w:color="auto" w:fill="FFFFFF"/>
              </w:rPr>
              <w:t>Ja saņemtajā pārskatā (piemēram par prekursoru apriti 1.ceturksnī) norādīts, ka viela ir pārdota komersantam, kas nav reģistrējies kā prekursoru operators (tas ir pieļaujams, ja gadā nepārsniedz 100</w:t>
            </w:r>
            <w:r w:rsidR="00726D1F" w:rsidRPr="00D137E7">
              <w:rPr>
                <w:shd w:val="clear" w:color="auto" w:fill="FFFFFF"/>
              </w:rPr>
              <w:t xml:space="preserve"> </w:t>
            </w:r>
            <w:r w:rsidRPr="00D137E7">
              <w:rPr>
                <w:shd w:val="clear" w:color="auto" w:fill="FFFFFF"/>
              </w:rPr>
              <w:t xml:space="preserve">litrus saskaņā ar EK regulu Nr.273), </w:t>
            </w:r>
            <w:r w:rsidR="008C625E" w:rsidRPr="00D137E7">
              <w:rPr>
                <w:shd w:val="clear" w:color="auto" w:fill="FFFFFF"/>
              </w:rPr>
              <w:t>ir iespējams</w:t>
            </w:r>
            <w:r w:rsidRPr="00D137E7">
              <w:rPr>
                <w:shd w:val="clear" w:color="auto" w:fill="FFFFFF"/>
              </w:rPr>
              <w:t xml:space="preserve"> tūlītēji pārliecināties, vai komersantam viela nepieciešama legāliem mērķiem un attiecīgi rīkoties. Ja savukārt pārskatu saņemam tikai nākošā gada </w:t>
            </w:r>
            <w:r w:rsidRPr="00D137E7">
              <w:rPr>
                <w:shd w:val="clear" w:color="auto" w:fill="FFFFFF"/>
              </w:rPr>
              <w:lastRenderedPageBreak/>
              <w:t xml:space="preserve">februārī par visu iepriekšējo gadu, iespējams, ka šim komersantam viela pārdota vairākkārt un tiek izmantota nelegālām darbībām. Respektīvi </w:t>
            </w:r>
            <w:r w:rsidR="008C625E" w:rsidRPr="00D137E7">
              <w:rPr>
                <w:shd w:val="clear" w:color="auto" w:fill="FFFFFF"/>
              </w:rPr>
              <w:t>ir iespēja</w:t>
            </w:r>
            <w:r w:rsidRPr="00D137E7">
              <w:rPr>
                <w:shd w:val="clear" w:color="auto" w:fill="FFFFFF"/>
              </w:rPr>
              <w:t xml:space="preserve"> savlaicīgi rīkoties pārskatus saņemot reizi ceturksnī, tādējādi arī izpildot EK prasības stingrāk kontrolēt apriti.</w:t>
            </w:r>
            <w:r w:rsidRPr="00D137E7">
              <w:rPr>
                <w:sz w:val="23"/>
                <w:szCs w:val="23"/>
                <w:shd w:val="clear" w:color="auto" w:fill="FFFFFF"/>
              </w:rPr>
              <w:t> </w:t>
            </w:r>
            <w:r w:rsidRPr="00D137E7">
              <w:rPr>
                <w:sz w:val="23"/>
                <w:szCs w:val="23"/>
              </w:rPr>
              <w:br/>
            </w:r>
            <w:r w:rsidRPr="00D137E7">
              <w:rPr>
                <w:sz w:val="23"/>
                <w:szCs w:val="23"/>
              </w:rPr>
              <w:br/>
            </w:r>
            <w:r w:rsidRPr="00D137E7">
              <w:rPr>
                <w:shd w:val="clear" w:color="auto" w:fill="FFFFFF"/>
              </w:rPr>
              <w:t xml:space="preserve">2. Brīvprātīgi kontrolējamo vielu sarakstā iekļauta viela gamma </w:t>
            </w:r>
            <w:proofErr w:type="spellStart"/>
            <w:r w:rsidRPr="00D137E7">
              <w:rPr>
                <w:shd w:val="clear" w:color="auto" w:fill="FFFFFF"/>
              </w:rPr>
              <w:t>butirolaktons</w:t>
            </w:r>
            <w:proofErr w:type="spellEnd"/>
            <w:r w:rsidRPr="00D137E7">
              <w:rPr>
                <w:shd w:val="clear" w:color="auto" w:fill="FFFFFF"/>
              </w:rPr>
              <w:t xml:space="preserve">, ko privātpersonas izmanto apreibināšanās nolūkos. Latvijā tā tiek kontrolēta kā narkotiska viela un to atļauts ievest tikai ar Zāļu valsts aģentūras izsniegtu atļauju. Tomēr vairāki uzņēmēji, kas tirgojas ar ķīmijas precēm iesaistās šīs vielas apritē. Ja </w:t>
            </w:r>
            <w:r w:rsidR="008C625E" w:rsidRPr="00D137E7">
              <w:rPr>
                <w:shd w:val="clear" w:color="auto" w:fill="FFFFFF"/>
              </w:rPr>
              <w:t>tiek saņemta</w:t>
            </w:r>
            <w:r w:rsidRPr="00D137E7">
              <w:rPr>
                <w:shd w:val="clear" w:color="auto" w:fill="FFFFFF"/>
              </w:rPr>
              <w:t xml:space="preserve"> informāciju par </w:t>
            </w:r>
            <w:r w:rsidR="008C625E" w:rsidRPr="00D137E7">
              <w:rPr>
                <w:shd w:val="clear" w:color="auto" w:fill="FFFFFF"/>
              </w:rPr>
              <w:t>ceturksnī</w:t>
            </w:r>
            <w:r w:rsidRPr="00D137E7">
              <w:rPr>
                <w:shd w:val="clear" w:color="auto" w:fill="FFFFFF"/>
              </w:rPr>
              <w:t xml:space="preserve"> iepirktiem, pārdotiem gamma </w:t>
            </w:r>
            <w:proofErr w:type="spellStart"/>
            <w:r w:rsidRPr="00D137E7">
              <w:rPr>
                <w:shd w:val="clear" w:color="auto" w:fill="FFFFFF"/>
              </w:rPr>
              <w:t>butirolaktona</w:t>
            </w:r>
            <w:proofErr w:type="spellEnd"/>
            <w:r w:rsidRPr="00D137E7">
              <w:rPr>
                <w:shd w:val="clear" w:color="auto" w:fill="FFFFFF"/>
              </w:rPr>
              <w:t xml:space="preserve"> daudzumiem, tūlītēji reaģējot var novērst tālāku šīs vielas apriti. Savukārt, ja pārskatu saņemam 1x gadā, tad tūlītēja iesaiste izpaliek, jo </w:t>
            </w:r>
            <w:r w:rsidRPr="00D137E7">
              <w:rPr>
                <w:shd w:val="clear" w:color="auto" w:fill="FFFFFF"/>
              </w:rPr>
              <w:lastRenderedPageBreak/>
              <w:t>viela sen jau ir ievesta un tālāk pārdota.</w:t>
            </w:r>
            <w:r w:rsidRPr="00D137E7">
              <w:rPr>
                <w:sz w:val="23"/>
                <w:szCs w:val="23"/>
                <w:shd w:val="clear" w:color="auto" w:fill="FFFFFF"/>
              </w:rPr>
              <w:t> </w:t>
            </w:r>
            <w:r w:rsidRPr="00D137E7">
              <w:rPr>
                <w:sz w:val="23"/>
                <w:szCs w:val="23"/>
              </w:rPr>
              <w:br/>
            </w:r>
            <w:r w:rsidRPr="00D137E7">
              <w:rPr>
                <w:shd w:val="clear" w:color="auto" w:fill="FFFFFF"/>
              </w:rPr>
              <w:t xml:space="preserve">Piemēram, saņemot pārskatu par prekursoru apriti š.g.1.ceturksnī, </w:t>
            </w:r>
            <w:r w:rsidR="008C625E" w:rsidRPr="00D137E7">
              <w:rPr>
                <w:shd w:val="clear" w:color="auto" w:fill="FFFFFF"/>
              </w:rPr>
              <w:t>tika konstatēts</w:t>
            </w:r>
            <w:r w:rsidRPr="00D137E7">
              <w:rPr>
                <w:shd w:val="clear" w:color="auto" w:fill="FFFFFF"/>
              </w:rPr>
              <w:t xml:space="preserve">, ka </w:t>
            </w:r>
            <w:r w:rsidR="008C625E" w:rsidRPr="00D137E7">
              <w:rPr>
                <w:shd w:val="clear" w:color="auto" w:fill="FFFFFF"/>
              </w:rPr>
              <w:t>viens</w:t>
            </w:r>
            <w:r w:rsidRPr="00D137E7">
              <w:rPr>
                <w:shd w:val="clear" w:color="auto" w:fill="FFFFFF"/>
              </w:rPr>
              <w:t xml:space="preserve"> komersants ir iepircis un tālāk pārdevis gamma </w:t>
            </w:r>
            <w:proofErr w:type="spellStart"/>
            <w:r w:rsidRPr="00D137E7">
              <w:rPr>
                <w:shd w:val="clear" w:color="auto" w:fill="FFFFFF"/>
              </w:rPr>
              <w:t>butirolaktonu</w:t>
            </w:r>
            <w:proofErr w:type="spellEnd"/>
            <w:r w:rsidRPr="00D137E7">
              <w:rPr>
                <w:shd w:val="clear" w:color="auto" w:fill="FFFFFF"/>
              </w:rPr>
              <w:t xml:space="preserve"> (Aģentūra nekādu atļauju šīm darbībām nebija izsniegusi un arī nevarēja izsniegt, jo nebija likumīga pamata). Iepirktie un pārdotie daudzumi nebija lieli, bet ja nebūtu tūlītējas aģentūras un Veselības inspekcijas iesaistes, iespējams gadā apjomi būtu krietni lielāki.  </w:t>
            </w:r>
            <w:r w:rsidRPr="00D137E7">
              <w:rPr>
                <w:sz w:val="23"/>
                <w:szCs w:val="23"/>
                <w:shd w:val="clear" w:color="auto" w:fill="FFFFFF"/>
              </w:rPr>
              <w:t> </w:t>
            </w:r>
          </w:p>
        </w:tc>
        <w:tc>
          <w:tcPr>
            <w:tcW w:w="2835" w:type="dxa"/>
            <w:tcBorders>
              <w:top w:val="single" w:sz="4" w:space="0" w:color="auto"/>
              <w:left w:val="single" w:sz="4" w:space="0" w:color="auto"/>
              <w:bottom w:val="single" w:sz="4" w:space="0" w:color="auto"/>
            </w:tcBorders>
          </w:tcPr>
          <w:p w14:paraId="05238E0D" w14:textId="77777777" w:rsidR="00BD1585" w:rsidRDefault="00BD1585" w:rsidP="00BD1585">
            <w:pPr>
              <w:jc w:val="center"/>
            </w:pPr>
          </w:p>
          <w:p w14:paraId="708627D5" w14:textId="77777777" w:rsidR="008C368E" w:rsidRPr="008C368E" w:rsidRDefault="008C368E" w:rsidP="008C368E">
            <w:pPr>
              <w:jc w:val="both"/>
              <w:rPr>
                <w:color w:val="000000"/>
                <w:szCs w:val="28"/>
              </w:rPr>
            </w:pPr>
            <w:r w:rsidRPr="008C368E">
              <w:rPr>
                <w:color w:val="000000"/>
                <w:szCs w:val="28"/>
              </w:rPr>
              <w:t xml:space="preserve">11. Ceturkšņa beigās prekursoru operatori, kuri veic darbības ar 1. un 2.A kategorijas prekursoriem, 15 dienu laikā, izmantojot aģentūras tīmekļvietnē pieejamo tiešsaistes formu, elektroniski izsniedz aģentūrā ceturkšņa pārskatu par prekursoru apriti. Pārskatā par katru prekursoru norāda šādu informāciju: </w:t>
            </w:r>
          </w:p>
          <w:p w14:paraId="65B30E0A" w14:textId="77777777" w:rsidR="008C368E" w:rsidRPr="008C368E" w:rsidRDefault="008C368E" w:rsidP="008C368E">
            <w:pPr>
              <w:jc w:val="both"/>
              <w:rPr>
                <w:color w:val="000000"/>
                <w:szCs w:val="28"/>
              </w:rPr>
            </w:pPr>
            <w:r w:rsidRPr="008C368E">
              <w:rPr>
                <w:color w:val="000000"/>
                <w:szCs w:val="28"/>
              </w:rPr>
              <w:t xml:space="preserve">11.1. nosaukumu, papildus norādot arī tās kombinētās nomenklatūras (CN) kodu un ķīmisko vielu reģistra (Chemical </w:t>
            </w:r>
            <w:proofErr w:type="spellStart"/>
            <w:r w:rsidRPr="008C368E">
              <w:rPr>
                <w:color w:val="000000"/>
                <w:szCs w:val="28"/>
              </w:rPr>
              <w:t>Abstracts</w:t>
            </w:r>
            <w:proofErr w:type="spellEnd"/>
            <w:r w:rsidRPr="008C368E">
              <w:rPr>
                <w:color w:val="000000"/>
                <w:szCs w:val="28"/>
              </w:rPr>
              <w:t xml:space="preserve"> </w:t>
            </w:r>
            <w:proofErr w:type="spellStart"/>
            <w:r w:rsidRPr="008C368E">
              <w:rPr>
                <w:color w:val="000000"/>
                <w:szCs w:val="28"/>
              </w:rPr>
              <w:t>Service</w:t>
            </w:r>
            <w:proofErr w:type="spellEnd"/>
            <w:r w:rsidRPr="008C368E">
              <w:rPr>
                <w:color w:val="000000"/>
                <w:szCs w:val="28"/>
              </w:rPr>
              <w:t xml:space="preserve"> (CAS)) kodu;</w:t>
            </w:r>
          </w:p>
          <w:p w14:paraId="212E729F" w14:textId="77777777" w:rsidR="008C368E" w:rsidRPr="008C368E" w:rsidRDefault="008C368E" w:rsidP="008C368E">
            <w:pPr>
              <w:jc w:val="both"/>
              <w:rPr>
                <w:color w:val="000000"/>
                <w:szCs w:val="28"/>
              </w:rPr>
            </w:pPr>
            <w:r w:rsidRPr="008C368E">
              <w:rPr>
                <w:color w:val="000000"/>
                <w:szCs w:val="28"/>
              </w:rPr>
              <w:lastRenderedPageBreak/>
              <w:t>11.2. atlikumu (daudzumu atbilstošā mērvienībā) ceturkšņa sākumā;</w:t>
            </w:r>
          </w:p>
          <w:p w14:paraId="0DF00133" w14:textId="77777777" w:rsidR="008C368E" w:rsidRPr="008C368E" w:rsidRDefault="008C368E" w:rsidP="008C368E">
            <w:pPr>
              <w:jc w:val="both"/>
              <w:rPr>
                <w:color w:val="000000"/>
                <w:szCs w:val="28"/>
              </w:rPr>
            </w:pPr>
            <w:r w:rsidRPr="008C368E">
              <w:rPr>
                <w:color w:val="000000"/>
                <w:szCs w:val="28"/>
              </w:rPr>
              <w:t>11.3. iegūto prekursoru daudzumu (atbilstošā mērvienībā) un informāciju par piegādātāju:</w:t>
            </w:r>
          </w:p>
          <w:p w14:paraId="4B6AC749" w14:textId="77777777" w:rsidR="008C368E" w:rsidRPr="008C368E" w:rsidRDefault="008C368E" w:rsidP="008C368E">
            <w:pPr>
              <w:jc w:val="both"/>
              <w:rPr>
                <w:color w:val="000000"/>
                <w:szCs w:val="28"/>
              </w:rPr>
            </w:pPr>
            <w:r w:rsidRPr="008C368E">
              <w:rPr>
                <w:color w:val="000000"/>
                <w:szCs w:val="28"/>
              </w:rPr>
              <w:t>11.3.1. juridiskai personai – nosaukumu, reģistrācijas numuru un juridisko adresi;</w:t>
            </w:r>
          </w:p>
          <w:p w14:paraId="5A6C197A" w14:textId="77777777" w:rsidR="008C368E" w:rsidRPr="008C368E" w:rsidRDefault="008C368E" w:rsidP="008C368E">
            <w:pPr>
              <w:jc w:val="both"/>
              <w:rPr>
                <w:color w:val="000000"/>
                <w:szCs w:val="28"/>
              </w:rPr>
            </w:pPr>
            <w:r w:rsidRPr="008C368E">
              <w:rPr>
                <w:color w:val="000000"/>
                <w:szCs w:val="28"/>
              </w:rPr>
              <w:t>11.3.2. fiziskai personai – vārdu un uzvārdu, personas kodu un saimnieciskās darbības vietas vai deklarētās dzīvesvietas adresi;</w:t>
            </w:r>
          </w:p>
          <w:p w14:paraId="001A54FC" w14:textId="77777777" w:rsidR="008C368E" w:rsidRPr="008C368E" w:rsidRDefault="008C368E" w:rsidP="008C368E">
            <w:pPr>
              <w:jc w:val="both"/>
              <w:rPr>
                <w:color w:val="000000"/>
                <w:szCs w:val="28"/>
              </w:rPr>
            </w:pPr>
            <w:r w:rsidRPr="008C368E">
              <w:rPr>
                <w:color w:val="000000"/>
                <w:szCs w:val="28"/>
              </w:rPr>
              <w:t>11.4. izplatīto prekursoru daudzumu (atbilstošā mērvienībā) un informāciju par ieguvēju:</w:t>
            </w:r>
          </w:p>
          <w:p w14:paraId="0D3AFE19" w14:textId="77777777" w:rsidR="008C368E" w:rsidRPr="008C368E" w:rsidRDefault="008C368E" w:rsidP="008C368E">
            <w:pPr>
              <w:jc w:val="both"/>
              <w:rPr>
                <w:color w:val="000000"/>
                <w:szCs w:val="28"/>
              </w:rPr>
            </w:pPr>
            <w:r w:rsidRPr="008C368E">
              <w:rPr>
                <w:color w:val="000000"/>
                <w:szCs w:val="28"/>
              </w:rPr>
              <w:t>11.4.1. juridiskai personai – nosaukumu, reģistrācijas numuru un juridisko adresi;</w:t>
            </w:r>
          </w:p>
          <w:p w14:paraId="2B32C18D" w14:textId="77777777" w:rsidR="008C368E" w:rsidRPr="008C368E" w:rsidRDefault="008C368E" w:rsidP="008C368E">
            <w:pPr>
              <w:jc w:val="both"/>
              <w:rPr>
                <w:color w:val="000000"/>
                <w:szCs w:val="28"/>
              </w:rPr>
            </w:pPr>
            <w:r w:rsidRPr="008C368E">
              <w:rPr>
                <w:color w:val="000000"/>
                <w:szCs w:val="28"/>
              </w:rPr>
              <w:t>11.4.2. fiziskai personai – vārdu un uzvārdu, personas kodu un saimnieciskās</w:t>
            </w:r>
          </w:p>
          <w:p w14:paraId="5538167A" w14:textId="77777777" w:rsidR="008C368E" w:rsidRPr="008C368E" w:rsidRDefault="008C368E" w:rsidP="008C368E">
            <w:pPr>
              <w:jc w:val="both"/>
              <w:rPr>
                <w:color w:val="000000"/>
                <w:szCs w:val="28"/>
              </w:rPr>
            </w:pPr>
            <w:r w:rsidRPr="008C368E">
              <w:rPr>
                <w:color w:val="000000"/>
                <w:szCs w:val="28"/>
              </w:rPr>
              <w:t>11.5. izlietoto prekursoru daudzumu (atbilstošā mērvienībā) un konkrētā apjoma izlietojuma mērķi;</w:t>
            </w:r>
          </w:p>
          <w:p w14:paraId="63C33639" w14:textId="77777777" w:rsidR="008C368E" w:rsidRPr="008C368E" w:rsidRDefault="008C368E" w:rsidP="008C368E">
            <w:pPr>
              <w:jc w:val="both"/>
              <w:rPr>
                <w:color w:val="000000"/>
                <w:szCs w:val="28"/>
              </w:rPr>
            </w:pPr>
            <w:r w:rsidRPr="008C368E">
              <w:rPr>
                <w:color w:val="000000"/>
                <w:szCs w:val="28"/>
              </w:rPr>
              <w:t>11.6. iznīcināto prekursoru daudzumu (atbilstošā mērvienībā);</w:t>
            </w:r>
          </w:p>
          <w:p w14:paraId="562489B3" w14:textId="605D72EE" w:rsidR="00BD1585" w:rsidRDefault="008C368E" w:rsidP="008C368E">
            <w:pPr>
              <w:rPr>
                <w:color w:val="000000"/>
                <w:szCs w:val="28"/>
              </w:rPr>
            </w:pPr>
            <w:r w:rsidRPr="008C368E">
              <w:rPr>
                <w:color w:val="000000"/>
                <w:szCs w:val="28"/>
              </w:rPr>
              <w:lastRenderedPageBreak/>
              <w:t>11.7. atlikumu (daudzumu atbilstošā mērvienībā) ceturkšņa beigās.</w:t>
            </w:r>
          </w:p>
          <w:p w14:paraId="7C0EF32B" w14:textId="77777777" w:rsidR="008C368E" w:rsidRDefault="008C368E" w:rsidP="008C368E">
            <w:pPr>
              <w:rPr>
                <w:color w:val="000000"/>
                <w:szCs w:val="28"/>
              </w:rPr>
            </w:pPr>
          </w:p>
          <w:p w14:paraId="52C37A42" w14:textId="77777777" w:rsidR="00BD4234" w:rsidRPr="00D137E7" w:rsidRDefault="00BD4234" w:rsidP="00BD4234">
            <w:pPr>
              <w:rPr>
                <w:color w:val="000000"/>
                <w:szCs w:val="28"/>
              </w:rPr>
            </w:pPr>
            <w:r w:rsidRPr="00D137E7">
              <w:rPr>
                <w:color w:val="000000"/>
                <w:szCs w:val="28"/>
              </w:rPr>
              <w:t>Skatīt projekta anotāciju (V sadaļa)</w:t>
            </w:r>
          </w:p>
          <w:p w14:paraId="303614D6" w14:textId="77777777" w:rsidR="00BD1585" w:rsidRPr="00D137E7" w:rsidRDefault="00BD1585" w:rsidP="00BD1585">
            <w:pPr>
              <w:jc w:val="both"/>
              <w:rPr>
                <w:color w:val="000000"/>
                <w:szCs w:val="28"/>
              </w:rPr>
            </w:pPr>
          </w:p>
          <w:p w14:paraId="5850FBA5" w14:textId="00177E7E" w:rsidR="00BD1585" w:rsidRDefault="008C368E" w:rsidP="008C368E">
            <w:pPr>
              <w:pStyle w:val="naisc"/>
              <w:spacing w:before="0" w:after="0"/>
              <w:jc w:val="both"/>
            </w:pPr>
            <w:r w:rsidRPr="008C368E">
              <w:t>13. Aģentūra var pieņemt lēmumu par licences vai reģistrācijas apturēšanu uz laiku līdz sešiem mēnešiem regulas Nr. 273/2004 3. panta 4., 5. vai 6.b punktā noteiktajos gadījumos.</w:t>
            </w:r>
          </w:p>
          <w:p w14:paraId="205C4778" w14:textId="77777777" w:rsidR="008C368E" w:rsidRPr="00D137E7" w:rsidRDefault="008C368E" w:rsidP="008C368E">
            <w:pPr>
              <w:pStyle w:val="naisc"/>
              <w:spacing w:before="0" w:after="0"/>
              <w:jc w:val="both"/>
            </w:pPr>
          </w:p>
          <w:p w14:paraId="4A4E0CD5" w14:textId="77777777" w:rsidR="008C368E" w:rsidRPr="008C368E" w:rsidRDefault="008C368E" w:rsidP="008C368E">
            <w:pPr>
              <w:pStyle w:val="Title"/>
              <w:jc w:val="both"/>
              <w:outlineLvl w:val="0"/>
              <w:rPr>
                <w:sz w:val="24"/>
                <w:szCs w:val="24"/>
              </w:rPr>
            </w:pPr>
            <w:r w:rsidRPr="008C368E">
              <w:rPr>
                <w:sz w:val="24"/>
                <w:szCs w:val="24"/>
              </w:rPr>
              <w:t>16. Aģentūra var pieņemt lēmumu par licences vai reģistrācijas anulēšanu:</w:t>
            </w:r>
          </w:p>
          <w:p w14:paraId="2F4F232B" w14:textId="77777777" w:rsidR="008C368E" w:rsidRPr="008C368E" w:rsidRDefault="008C368E" w:rsidP="008C368E">
            <w:pPr>
              <w:pStyle w:val="Title"/>
              <w:jc w:val="both"/>
              <w:outlineLvl w:val="0"/>
              <w:rPr>
                <w:sz w:val="24"/>
                <w:szCs w:val="24"/>
              </w:rPr>
            </w:pPr>
            <w:r w:rsidRPr="008C368E">
              <w:rPr>
                <w:sz w:val="24"/>
                <w:szCs w:val="24"/>
              </w:rPr>
              <w:t>16.1. ja trūkumi, kas bija licences vai reģistrācijas apturēšanas iemesls, noteiktajā termiņā nav novērsti vai aģentūrā nav iesniegts iesniegums par licences vai reģistrācijas darbības atjaunošanu;</w:t>
            </w:r>
          </w:p>
          <w:p w14:paraId="0A04EFA8" w14:textId="77777777" w:rsidR="008C368E" w:rsidRPr="008C368E" w:rsidRDefault="008C368E" w:rsidP="008C368E">
            <w:pPr>
              <w:pStyle w:val="Title"/>
              <w:jc w:val="both"/>
              <w:outlineLvl w:val="0"/>
              <w:rPr>
                <w:sz w:val="24"/>
                <w:szCs w:val="24"/>
              </w:rPr>
            </w:pPr>
            <w:r w:rsidRPr="008C368E">
              <w:rPr>
                <w:sz w:val="24"/>
                <w:szCs w:val="24"/>
              </w:rPr>
              <w:t>16.2. ja saņemts prekursoru operatora vai prekursoru lietotāja iesniegums par licences vai reģistrācijas anulēšanu sakarā ar prekursoru aprites darbības izbeigšanu;</w:t>
            </w:r>
          </w:p>
          <w:p w14:paraId="76D79839" w14:textId="7A6ABAFF" w:rsidR="00BD1585" w:rsidRDefault="008C368E" w:rsidP="008C368E">
            <w:pPr>
              <w:jc w:val="both"/>
            </w:pPr>
            <w:r w:rsidRPr="008C368E">
              <w:lastRenderedPageBreak/>
              <w:t>16.3. regulas Nr. 273/2004 3. panta 4., 5. vai 6.b punktā noteiktajos gadījumos.</w:t>
            </w:r>
          </w:p>
        </w:tc>
      </w:tr>
      <w:tr w:rsidR="00BD1585" w:rsidRPr="00712B66" w14:paraId="4009C91F" w14:textId="77777777" w:rsidTr="009F0876">
        <w:tc>
          <w:tcPr>
            <w:tcW w:w="708" w:type="dxa"/>
            <w:tcBorders>
              <w:left w:val="single" w:sz="6" w:space="0" w:color="000000"/>
              <w:bottom w:val="single" w:sz="4" w:space="0" w:color="auto"/>
              <w:right w:val="single" w:sz="6" w:space="0" w:color="000000"/>
            </w:tcBorders>
          </w:tcPr>
          <w:p w14:paraId="03DE1A59" w14:textId="77777777" w:rsidR="00BD1585" w:rsidRDefault="00BD1585" w:rsidP="00BD1585">
            <w:pPr>
              <w:pStyle w:val="naisc"/>
              <w:spacing w:before="0" w:after="0"/>
              <w:ind w:firstLine="720"/>
            </w:pPr>
            <w:r>
              <w:lastRenderedPageBreak/>
              <w:t>114</w:t>
            </w:r>
          </w:p>
        </w:tc>
        <w:tc>
          <w:tcPr>
            <w:tcW w:w="2545" w:type="dxa"/>
            <w:gridSpan w:val="2"/>
            <w:tcBorders>
              <w:left w:val="single" w:sz="6" w:space="0" w:color="000000"/>
              <w:bottom w:val="single" w:sz="4" w:space="0" w:color="auto"/>
              <w:right w:val="single" w:sz="6" w:space="0" w:color="000000"/>
            </w:tcBorders>
          </w:tcPr>
          <w:p w14:paraId="7AA57D14" w14:textId="77777777" w:rsidR="00BD1585" w:rsidRDefault="00BD1585" w:rsidP="00BD1585">
            <w:pPr>
              <w:pStyle w:val="naisc"/>
              <w:spacing w:before="0" w:after="0"/>
              <w:ind w:firstLine="5"/>
            </w:pPr>
          </w:p>
          <w:p w14:paraId="39BC63AC" w14:textId="77777777" w:rsidR="00BD1585" w:rsidRPr="00384BDE" w:rsidRDefault="00BD1585" w:rsidP="00BD1585">
            <w:pPr>
              <w:pStyle w:val="naisc"/>
              <w:spacing w:before="0" w:after="0"/>
              <w:ind w:firstLine="5"/>
              <w:jc w:val="both"/>
            </w:pPr>
            <w:r w:rsidRPr="00543978">
              <w:rPr>
                <w:color w:val="000000"/>
                <w:szCs w:val="28"/>
              </w:rPr>
              <w:t>1</w:t>
            </w:r>
            <w:r>
              <w:rPr>
                <w:color w:val="000000"/>
                <w:szCs w:val="28"/>
              </w:rPr>
              <w:t>8</w:t>
            </w:r>
            <w:r w:rsidRPr="00543978">
              <w:rPr>
                <w:color w:val="000000"/>
                <w:szCs w:val="28"/>
              </w:rPr>
              <w:t>. Šo noteikumu 1</w:t>
            </w:r>
            <w:r>
              <w:rPr>
                <w:color w:val="000000"/>
                <w:szCs w:val="28"/>
              </w:rPr>
              <w:t>7</w:t>
            </w:r>
            <w:r w:rsidRPr="00543978">
              <w:rPr>
                <w:color w:val="000000"/>
                <w:szCs w:val="28"/>
              </w:rPr>
              <w:t>.punktā minēto informāciju par prekursoru apriti aģentūra nekavējoties dara pieejamu inspekcijai.</w:t>
            </w:r>
          </w:p>
        </w:tc>
        <w:tc>
          <w:tcPr>
            <w:tcW w:w="4961" w:type="dxa"/>
            <w:tcBorders>
              <w:left w:val="single" w:sz="6" w:space="0" w:color="000000"/>
              <w:bottom w:val="single" w:sz="4" w:space="0" w:color="auto"/>
              <w:right w:val="single" w:sz="6" w:space="0" w:color="000000"/>
            </w:tcBorders>
          </w:tcPr>
          <w:p w14:paraId="0B489D9F" w14:textId="77777777" w:rsidR="00BD1585" w:rsidRDefault="00BD1585" w:rsidP="00BD1585">
            <w:pPr>
              <w:pStyle w:val="naisc"/>
              <w:spacing w:before="0" w:after="0"/>
            </w:pPr>
            <w:r w:rsidRPr="00801C24">
              <w:rPr>
                <w:b/>
              </w:rPr>
              <w:t>Tieslietu ministrija</w:t>
            </w:r>
          </w:p>
          <w:p w14:paraId="7BD391F5" w14:textId="77777777" w:rsidR="00BD1585" w:rsidRDefault="00BD1585" w:rsidP="00BD1585">
            <w:pPr>
              <w:pStyle w:val="naisc"/>
              <w:spacing w:before="0" w:after="0"/>
              <w:jc w:val="left"/>
            </w:pPr>
            <w:r>
              <w:t>22.07.2019. Nr. 1-9.1/748</w:t>
            </w:r>
          </w:p>
          <w:p w14:paraId="7E9362DB" w14:textId="77777777" w:rsidR="00BD1585" w:rsidRDefault="00BD1585" w:rsidP="00BD1585">
            <w:pPr>
              <w:pStyle w:val="naisc"/>
              <w:spacing w:before="0" w:after="0"/>
              <w:jc w:val="left"/>
            </w:pPr>
          </w:p>
          <w:p w14:paraId="77445953" w14:textId="77777777" w:rsidR="00BD1585" w:rsidRDefault="00BD1585" w:rsidP="00BD1585">
            <w:pPr>
              <w:pStyle w:val="naisc"/>
              <w:spacing w:before="0" w:after="0"/>
              <w:jc w:val="both"/>
            </w:pPr>
            <w:r w:rsidRPr="00653980">
              <w:t>Projekta 18. punktā paredzēto regulējumu par aģentūras pienākumu informēt Veselības inspekciju nepieciešams svītrot, jo šāda norma neatbilst likuma pilnvarojumam. Vēršam uzmanību, ka informēšanas un iestāžu sadarbības pienākums jau izriet no likuma normu regulējuma un Veselības inspekcija bez aktuālas informācijas nevar veikt likuma 44. pantā noteiktos pienākumus.</w:t>
            </w:r>
          </w:p>
        </w:tc>
        <w:tc>
          <w:tcPr>
            <w:tcW w:w="2977" w:type="dxa"/>
            <w:gridSpan w:val="2"/>
            <w:tcBorders>
              <w:left w:val="single" w:sz="6" w:space="0" w:color="000000"/>
              <w:bottom w:val="single" w:sz="4" w:space="0" w:color="auto"/>
              <w:right w:val="single" w:sz="6" w:space="0" w:color="000000"/>
            </w:tcBorders>
          </w:tcPr>
          <w:p w14:paraId="1423C967" w14:textId="77777777" w:rsidR="00BD1585" w:rsidRDefault="00BD1585" w:rsidP="00BD1585">
            <w:pPr>
              <w:pStyle w:val="naisc"/>
              <w:spacing w:before="0" w:after="0"/>
              <w:ind w:firstLine="720"/>
            </w:pPr>
          </w:p>
          <w:p w14:paraId="3BF23ED3" w14:textId="77777777" w:rsidR="00BD1585" w:rsidRPr="0010266F" w:rsidRDefault="00BD1585" w:rsidP="00BD1585">
            <w:pPr>
              <w:pStyle w:val="naisc"/>
              <w:spacing w:before="0" w:after="0"/>
              <w:rPr>
                <w:b/>
              </w:rPr>
            </w:pPr>
            <w:r>
              <w:rPr>
                <w:b/>
              </w:rPr>
              <w:t>Ņemts vērā</w:t>
            </w:r>
          </w:p>
        </w:tc>
        <w:tc>
          <w:tcPr>
            <w:tcW w:w="2835" w:type="dxa"/>
            <w:tcBorders>
              <w:top w:val="single" w:sz="4" w:space="0" w:color="auto"/>
              <w:left w:val="single" w:sz="4" w:space="0" w:color="auto"/>
              <w:bottom w:val="single" w:sz="4" w:space="0" w:color="auto"/>
            </w:tcBorders>
          </w:tcPr>
          <w:p w14:paraId="5760E64A" w14:textId="77777777" w:rsidR="00BD1585" w:rsidRDefault="00BD1585" w:rsidP="00BD1585">
            <w:pPr>
              <w:jc w:val="center"/>
            </w:pPr>
          </w:p>
          <w:p w14:paraId="3B6F8338" w14:textId="77777777" w:rsidR="00BD1585" w:rsidRDefault="00BD1585" w:rsidP="00BD1585">
            <w:pPr>
              <w:jc w:val="center"/>
            </w:pPr>
            <w:r>
              <w:t>Norma svītrota</w:t>
            </w:r>
          </w:p>
        </w:tc>
      </w:tr>
      <w:tr w:rsidR="00BD1585" w:rsidRPr="00712B66" w14:paraId="3A5F6707" w14:textId="77777777" w:rsidTr="009F0876">
        <w:tc>
          <w:tcPr>
            <w:tcW w:w="708" w:type="dxa"/>
            <w:tcBorders>
              <w:left w:val="single" w:sz="6" w:space="0" w:color="000000"/>
              <w:bottom w:val="single" w:sz="4" w:space="0" w:color="auto"/>
              <w:right w:val="single" w:sz="6" w:space="0" w:color="000000"/>
            </w:tcBorders>
          </w:tcPr>
          <w:p w14:paraId="52757291" w14:textId="77777777" w:rsidR="00BD1585" w:rsidRDefault="00BD1585" w:rsidP="00BD1585">
            <w:pPr>
              <w:pStyle w:val="naisc"/>
              <w:spacing w:before="0" w:after="0"/>
              <w:ind w:firstLine="720"/>
            </w:pPr>
            <w:r>
              <w:t>115</w:t>
            </w:r>
          </w:p>
        </w:tc>
        <w:tc>
          <w:tcPr>
            <w:tcW w:w="2545" w:type="dxa"/>
            <w:gridSpan w:val="2"/>
            <w:tcBorders>
              <w:left w:val="single" w:sz="6" w:space="0" w:color="000000"/>
              <w:bottom w:val="single" w:sz="4" w:space="0" w:color="auto"/>
              <w:right w:val="single" w:sz="6" w:space="0" w:color="000000"/>
            </w:tcBorders>
          </w:tcPr>
          <w:p w14:paraId="7EB90960" w14:textId="77777777" w:rsidR="00BD1585" w:rsidRDefault="00BD1585" w:rsidP="00BD1585">
            <w:pPr>
              <w:pStyle w:val="naisc"/>
              <w:spacing w:before="0" w:after="0"/>
            </w:pPr>
          </w:p>
          <w:p w14:paraId="158739C7" w14:textId="77777777" w:rsidR="002D45FD" w:rsidRDefault="002D45FD" w:rsidP="00BD1585">
            <w:pPr>
              <w:pStyle w:val="naisc"/>
              <w:spacing w:before="0" w:after="0"/>
              <w:jc w:val="both"/>
              <w:rPr>
                <w:szCs w:val="28"/>
              </w:rPr>
            </w:pPr>
          </w:p>
          <w:p w14:paraId="0CFD24D8" w14:textId="77777777" w:rsidR="002D45FD" w:rsidRDefault="002D45FD" w:rsidP="00BD1585">
            <w:pPr>
              <w:pStyle w:val="naisc"/>
              <w:spacing w:before="0" w:after="0"/>
              <w:jc w:val="both"/>
              <w:rPr>
                <w:szCs w:val="28"/>
              </w:rPr>
            </w:pPr>
          </w:p>
          <w:p w14:paraId="1BA9ACE0" w14:textId="7FC03D50" w:rsidR="00BD1585" w:rsidRPr="00384BDE" w:rsidRDefault="00BD1585" w:rsidP="00BD1585">
            <w:pPr>
              <w:pStyle w:val="naisc"/>
              <w:spacing w:before="0" w:after="0"/>
              <w:jc w:val="both"/>
            </w:pPr>
            <w:r w:rsidRPr="00F535C9">
              <w:rPr>
                <w:szCs w:val="28"/>
              </w:rPr>
              <w:t>1</w:t>
            </w:r>
            <w:r>
              <w:rPr>
                <w:szCs w:val="28"/>
              </w:rPr>
              <w:t>9</w:t>
            </w:r>
            <w:r w:rsidRPr="00F535C9">
              <w:rPr>
                <w:szCs w:val="28"/>
              </w:rPr>
              <w:t>. Inspekcija nekavējoties informē Valsts policiju un aģentūru, ja ir</w:t>
            </w:r>
            <w:r>
              <w:rPr>
                <w:szCs w:val="28"/>
              </w:rPr>
              <w:t xml:space="preserve"> pamatotas aizdomas par prekursoru novirzīšanu nelegālajā apritē.</w:t>
            </w:r>
          </w:p>
        </w:tc>
        <w:tc>
          <w:tcPr>
            <w:tcW w:w="4961" w:type="dxa"/>
            <w:tcBorders>
              <w:left w:val="single" w:sz="6" w:space="0" w:color="000000"/>
              <w:bottom w:val="single" w:sz="4" w:space="0" w:color="auto"/>
              <w:right w:val="single" w:sz="6" w:space="0" w:color="000000"/>
            </w:tcBorders>
          </w:tcPr>
          <w:p w14:paraId="5759D0BC" w14:textId="77777777" w:rsidR="00BD1585" w:rsidRDefault="00BD1585" w:rsidP="00BD1585">
            <w:pPr>
              <w:pStyle w:val="naisc"/>
              <w:spacing w:before="0" w:after="0"/>
            </w:pPr>
            <w:r w:rsidRPr="00801C24">
              <w:rPr>
                <w:b/>
              </w:rPr>
              <w:lastRenderedPageBreak/>
              <w:t>Tieslietu ministrija</w:t>
            </w:r>
          </w:p>
          <w:p w14:paraId="2BA9A174" w14:textId="77777777" w:rsidR="00BD1585" w:rsidRDefault="00BD1585" w:rsidP="00BD1585">
            <w:pPr>
              <w:pStyle w:val="naisc"/>
              <w:spacing w:before="0" w:after="0"/>
              <w:jc w:val="left"/>
            </w:pPr>
            <w:r>
              <w:t>22.07.2019. Nr. 1-9.1/748</w:t>
            </w:r>
          </w:p>
          <w:p w14:paraId="25A39ADC" w14:textId="77777777" w:rsidR="00BD1585" w:rsidRDefault="00BD1585" w:rsidP="00BD1585">
            <w:pPr>
              <w:pStyle w:val="naisc"/>
              <w:spacing w:before="0" w:after="0"/>
              <w:jc w:val="left"/>
            </w:pPr>
          </w:p>
          <w:p w14:paraId="1078BAD9" w14:textId="77777777" w:rsidR="00BD1585" w:rsidRDefault="00BD1585" w:rsidP="00BD1585">
            <w:pPr>
              <w:pStyle w:val="naisc"/>
              <w:spacing w:before="0" w:after="0"/>
              <w:jc w:val="both"/>
            </w:pPr>
            <w:r w:rsidRPr="00653980">
              <w:t>Projekta 19. punktā paredzēto regulējumu par Valsts policijas informēšanu nepieciešams svītrot, jo šāda norma neatbilst likuma pilnvarojumam. Vēršam uzmanību, ka informēšanas pienākums jau izriet no likuma normu regulējuma. Turklāt vārdi “pamatotas aizdomas” ir krimināltiesisks jēdziens, un tas nav jāizmanto valsts pārvaldei paredzētā regulējumā, jo to var dažādi interpretēt.</w:t>
            </w:r>
          </w:p>
        </w:tc>
        <w:tc>
          <w:tcPr>
            <w:tcW w:w="2977" w:type="dxa"/>
            <w:gridSpan w:val="2"/>
            <w:tcBorders>
              <w:left w:val="single" w:sz="6" w:space="0" w:color="000000"/>
              <w:bottom w:val="single" w:sz="4" w:space="0" w:color="auto"/>
              <w:right w:val="single" w:sz="6" w:space="0" w:color="000000"/>
            </w:tcBorders>
          </w:tcPr>
          <w:p w14:paraId="02A4D0E8" w14:textId="77777777" w:rsidR="00BD1585" w:rsidRDefault="00BD1585" w:rsidP="00BD1585">
            <w:pPr>
              <w:pStyle w:val="naisc"/>
              <w:spacing w:before="0" w:after="0"/>
              <w:ind w:firstLine="720"/>
            </w:pPr>
          </w:p>
          <w:p w14:paraId="07EEFEFE" w14:textId="77777777" w:rsidR="00BD1585" w:rsidRDefault="00BD1585" w:rsidP="00BD1585">
            <w:pPr>
              <w:pStyle w:val="naisc"/>
              <w:spacing w:before="0" w:after="0"/>
            </w:pPr>
            <w:r>
              <w:rPr>
                <w:b/>
              </w:rPr>
              <w:t>Ņemts vērā</w:t>
            </w:r>
          </w:p>
        </w:tc>
        <w:tc>
          <w:tcPr>
            <w:tcW w:w="2835" w:type="dxa"/>
            <w:tcBorders>
              <w:top w:val="single" w:sz="4" w:space="0" w:color="auto"/>
              <w:left w:val="single" w:sz="4" w:space="0" w:color="auto"/>
              <w:bottom w:val="single" w:sz="4" w:space="0" w:color="auto"/>
            </w:tcBorders>
          </w:tcPr>
          <w:p w14:paraId="76B91E47" w14:textId="77777777" w:rsidR="00BD1585" w:rsidRDefault="00BD1585" w:rsidP="00BD1585">
            <w:pPr>
              <w:jc w:val="center"/>
            </w:pPr>
          </w:p>
          <w:p w14:paraId="36CB8FFB" w14:textId="77777777" w:rsidR="00BD1585" w:rsidRDefault="00BD1585" w:rsidP="00BD1585">
            <w:pPr>
              <w:jc w:val="center"/>
            </w:pPr>
            <w:r>
              <w:t>Norma svītrota</w:t>
            </w:r>
          </w:p>
        </w:tc>
      </w:tr>
      <w:tr w:rsidR="00BD1585" w:rsidRPr="00712B66" w14:paraId="07D3AC3C" w14:textId="77777777" w:rsidTr="009F0876">
        <w:tc>
          <w:tcPr>
            <w:tcW w:w="708" w:type="dxa"/>
            <w:tcBorders>
              <w:left w:val="single" w:sz="6" w:space="0" w:color="000000"/>
              <w:bottom w:val="single" w:sz="4" w:space="0" w:color="auto"/>
              <w:right w:val="single" w:sz="6" w:space="0" w:color="000000"/>
            </w:tcBorders>
          </w:tcPr>
          <w:p w14:paraId="79003F05" w14:textId="77777777" w:rsidR="00BD1585" w:rsidRDefault="00BD1585" w:rsidP="00BD1585">
            <w:pPr>
              <w:pStyle w:val="naisc"/>
              <w:spacing w:before="0" w:after="0"/>
              <w:ind w:firstLine="720"/>
            </w:pPr>
            <w:r>
              <w:t>116</w:t>
            </w:r>
          </w:p>
        </w:tc>
        <w:tc>
          <w:tcPr>
            <w:tcW w:w="2545" w:type="dxa"/>
            <w:gridSpan w:val="2"/>
            <w:tcBorders>
              <w:left w:val="single" w:sz="6" w:space="0" w:color="000000"/>
              <w:bottom w:val="single" w:sz="4" w:space="0" w:color="auto"/>
              <w:right w:val="single" w:sz="6" w:space="0" w:color="000000"/>
            </w:tcBorders>
          </w:tcPr>
          <w:p w14:paraId="197EADF6" w14:textId="77777777" w:rsidR="00BD1585" w:rsidRPr="00384BDE" w:rsidRDefault="00BD1585" w:rsidP="00BD1585">
            <w:pPr>
              <w:pStyle w:val="naisc"/>
              <w:spacing w:before="0" w:after="0"/>
              <w:ind w:firstLine="720"/>
            </w:pPr>
          </w:p>
        </w:tc>
        <w:tc>
          <w:tcPr>
            <w:tcW w:w="4961" w:type="dxa"/>
            <w:tcBorders>
              <w:left w:val="single" w:sz="6" w:space="0" w:color="000000"/>
              <w:bottom w:val="single" w:sz="4" w:space="0" w:color="auto"/>
              <w:right w:val="single" w:sz="6" w:space="0" w:color="000000"/>
            </w:tcBorders>
          </w:tcPr>
          <w:p w14:paraId="543D4C2E" w14:textId="77777777" w:rsidR="00B7614C" w:rsidRDefault="00B7614C" w:rsidP="00BD1585">
            <w:pPr>
              <w:pStyle w:val="naisc"/>
              <w:spacing w:before="0" w:after="0"/>
              <w:rPr>
                <w:b/>
              </w:rPr>
            </w:pPr>
          </w:p>
          <w:p w14:paraId="2BE475AF" w14:textId="7850F113" w:rsidR="00BD1585" w:rsidRDefault="00BD1585" w:rsidP="00BD1585">
            <w:pPr>
              <w:pStyle w:val="naisc"/>
              <w:spacing w:before="0" w:after="0"/>
            </w:pPr>
            <w:r w:rsidRPr="00801C24">
              <w:rPr>
                <w:b/>
              </w:rPr>
              <w:t>Tieslietu ministrija</w:t>
            </w:r>
          </w:p>
          <w:p w14:paraId="786868C5" w14:textId="77777777" w:rsidR="00B7614C" w:rsidRDefault="00B7614C" w:rsidP="00BD1585">
            <w:pPr>
              <w:pStyle w:val="naisc"/>
              <w:spacing w:before="0" w:after="0"/>
              <w:jc w:val="left"/>
            </w:pPr>
          </w:p>
          <w:p w14:paraId="768380B4" w14:textId="4EA0584D" w:rsidR="00BD1585" w:rsidRDefault="00BD1585" w:rsidP="00BD1585">
            <w:pPr>
              <w:pStyle w:val="naisc"/>
              <w:spacing w:before="0" w:after="0"/>
              <w:jc w:val="left"/>
            </w:pPr>
            <w:r>
              <w:t>22.07.2019. Nr. 1-9.1/748</w:t>
            </w:r>
          </w:p>
          <w:p w14:paraId="2DED7A32" w14:textId="77777777" w:rsidR="00BD1585" w:rsidRDefault="00BD1585" w:rsidP="00BD1585">
            <w:pPr>
              <w:pStyle w:val="naisc"/>
              <w:spacing w:before="0" w:after="0"/>
              <w:jc w:val="left"/>
            </w:pPr>
          </w:p>
          <w:p w14:paraId="3002D923" w14:textId="77777777" w:rsidR="00BD1585" w:rsidRDefault="00BD1585" w:rsidP="00BD1585">
            <w:pPr>
              <w:pStyle w:val="naisc"/>
              <w:spacing w:before="0" w:after="0"/>
              <w:jc w:val="both"/>
            </w:pPr>
            <w:r w:rsidRPr="00653980">
              <w:t>Lūdzam precizēt projekta VI sadaļas 1. un 2. punktu atbilstoši instrukcijas 61. un 62. punktam.</w:t>
            </w:r>
          </w:p>
          <w:p w14:paraId="0A758CEF" w14:textId="602CC15C" w:rsidR="00B7614C" w:rsidRDefault="00B7614C" w:rsidP="00BD1585">
            <w:pPr>
              <w:pStyle w:val="naisc"/>
              <w:spacing w:before="0" w:after="0"/>
              <w:jc w:val="both"/>
            </w:pPr>
          </w:p>
        </w:tc>
        <w:tc>
          <w:tcPr>
            <w:tcW w:w="2977" w:type="dxa"/>
            <w:gridSpan w:val="2"/>
            <w:tcBorders>
              <w:left w:val="single" w:sz="6" w:space="0" w:color="000000"/>
              <w:bottom w:val="single" w:sz="4" w:space="0" w:color="auto"/>
              <w:right w:val="single" w:sz="6" w:space="0" w:color="000000"/>
            </w:tcBorders>
          </w:tcPr>
          <w:p w14:paraId="5AAC6C36" w14:textId="77777777" w:rsidR="00BD1585" w:rsidRDefault="00BD1585" w:rsidP="00BD1585">
            <w:pPr>
              <w:pStyle w:val="naisc"/>
              <w:spacing w:before="0" w:after="0"/>
            </w:pPr>
          </w:p>
          <w:p w14:paraId="23C04715" w14:textId="77777777" w:rsidR="00BD1585" w:rsidRPr="00E96E71" w:rsidRDefault="00BD1585" w:rsidP="00BD1585">
            <w:pPr>
              <w:pStyle w:val="naisc"/>
              <w:spacing w:before="0" w:after="0"/>
              <w:rPr>
                <w:b/>
              </w:rPr>
            </w:pPr>
            <w:r w:rsidRPr="00E96E71">
              <w:rPr>
                <w:b/>
              </w:rPr>
              <w:t>Ņemts vērā</w:t>
            </w:r>
          </w:p>
        </w:tc>
        <w:tc>
          <w:tcPr>
            <w:tcW w:w="2835" w:type="dxa"/>
            <w:tcBorders>
              <w:top w:val="single" w:sz="4" w:space="0" w:color="auto"/>
              <w:left w:val="single" w:sz="4" w:space="0" w:color="auto"/>
              <w:bottom w:val="single" w:sz="4" w:space="0" w:color="auto"/>
            </w:tcBorders>
          </w:tcPr>
          <w:p w14:paraId="2273C6F3" w14:textId="77777777" w:rsidR="00BD1585" w:rsidRDefault="00BD1585" w:rsidP="00BD1585">
            <w:pPr>
              <w:jc w:val="center"/>
            </w:pPr>
          </w:p>
          <w:p w14:paraId="715D32A3" w14:textId="77777777" w:rsidR="00BD1585" w:rsidRDefault="00BD1585" w:rsidP="00BD1585">
            <w:pPr>
              <w:jc w:val="both"/>
            </w:pPr>
            <w:r>
              <w:t>Precizēta projekta anotācija</w:t>
            </w:r>
          </w:p>
          <w:p w14:paraId="4EA41558" w14:textId="0BA26DDB" w:rsidR="00D137E7" w:rsidRPr="00D137E7" w:rsidRDefault="00D137E7" w:rsidP="00D137E7">
            <w:pPr>
              <w:jc w:val="center"/>
            </w:pPr>
          </w:p>
        </w:tc>
      </w:tr>
      <w:tr w:rsidR="00D137E7" w:rsidRPr="00712B66" w14:paraId="5770EC31" w14:textId="77777777" w:rsidTr="009F0876">
        <w:tc>
          <w:tcPr>
            <w:tcW w:w="708" w:type="dxa"/>
            <w:tcBorders>
              <w:left w:val="single" w:sz="6" w:space="0" w:color="000000"/>
              <w:bottom w:val="single" w:sz="4" w:space="0" w:color="auto"/>
              <w:right w:val="single" w:sz="6" w:space="0" w:color="000000"/>
            </w:tcBorders>
          </w:tcPr>
          <w:p w14:paraId="6AEA88F8" w14:textId="78B757C0" w:rsidR="00D137E7" w:rsidRDefault="00D137E7" w:rsidP="00D137E7">
            <w:pPr>
              <w:pStyle w:val="naisc"/>
              <w:spacing w:before="0" w:after="0"/>
            </w:pPr>
            <w:r>
              <w:t>17</w:t>
            </w:r>
          </w:p>
        </w:tc>
        <w:tc>
          <w:tcPr>
            <w:tcW w:w="2545" w:type="dxa"/>
            <w:gridSpan w:val="2"/>
            <w:tcBorders>
              <w:left w:val="single" w:sz="6" w:space="0" w:color="000000"/>
              <w:bottom w:val="single" w:sz="4" w:space="0" w:color="auto"/>
              <w:right w:val="single" w:sz="6" w:space="0" w:color="000000"/>
            </w:tcBorders>
          </w:tcPr>
          <w:p w14:paraId="4D02C42D" w14:textId="77777777" w:rsidR="00D137E7" w:rsidRDefault="00D137E7" w:rsidP="0003677C">
            <w:pPr>
              <w:pStyle w:val="naisc"/>
              <w:spacing w:before="0" w:after="0"/>
            </w:pPr>
          </w:p>
          <w:p w14:paraId="42956FE7" w14:textId="7E2CC644" w:rsidR="0003677C" w:rsidRPr="00384BDE" w:rsidRDefault="0003677C" w:rsidP="00DD2DD4">
            <w:pPr>
              <w:pStyle w:val="naisc"/>
              <w:spacing w:before="0" w:after="0"/>
              <w:jc w:val="both"/>
            </w:pPr>
            <w:r>
              <w:rPr>
                <w:szCs w:val="28"/>
              </w:rPr>
              <w:t>18. Noteikumi stājas spēkā 2019. gada 1. septembrī.</w:t>
            </w:r>
          </w:p>
        </w:tc>
        <w:tc>
          <w:tcPr>
            <w:tcW w:w="4961" w:type="dxa"/>
            <w:tcBorders>
              <w:left w:val="single" w:sz="6" w:space="0" w:color="000000"/>
              <w:bottom w:val="single" w:sz="4" w:space="0" w:color="auto"/>
              <w:right w:val="single" w:sz="6" w:space="0" w:color="000000"/>
            </w:tcBorders>
          </w:tcPr>
          <w:p w14:paraId="62E6296D" w14:textId="77777777" w:rsidR="00D137E7" w:rsidRDefault="00D137E7" w:rsidP="00D137E7">
            <w:pPr>
              <w:pStyle w:val="naisc"/>
              <w:spacing w:before="0" w:after="0"/>
              <w:rPr>
                <w:b/>
              </w:rPr>
            </w:pPr>
          </w:p>
          <w:p w14:paraId="0C58F983" w14:textId="77777777" w:rsidR="00D137E7" w:rsidRDefault="00D137E7" w:rsidP="00D137E7">
            <w:pPr>
              <w:pStyle w:val="naisc"/>
              <w:spacing w:before="0" w:after="0"/>
              <w:rPr>
                <w:b/>
              </w:rPr>
            </w:pPr>
            <w:r w:rsidRPr="00801C24">
              <w:rPr>
                <w:b/>
              </w:rPr>
              <w:t>Tieslietu ministrija</w:t>
            </w:r>
          </w:p>
          <w:p w14:paraId="6BA3D9C4" w14:textId="588855DC" w:rsidR="00D137E7" w:rsidRDefault="00D137E7" w:rsidP="00D137E7">
            <w:pPr>
              <w:pStyle w:val="naisc"/>
              <w:spacing w:before="0" w:after="0"/>
              <w:rPr>
                <w:b/>
              </w:rPr>
            </w:pPr>
          </w:p>
          <w:p w14:paraId="0152C25A" w14:textId="2675DEED" w:rsidR="00B7614C" w:rsidRPr="00B7614C" w:rsidRDefault="00B7614C" w:rsidP="00B7614C">
            <w:pPr>
              <w:pStyle w:val="naisc"/>
              <w:spacing w:before="0" w:after="0"/>
              <w:jc w:val="both"/>
            </w:pPr>
            <w:r w:rsidRPr="00B7614C">
              <w:t>30.08.2019.</w:t>
            </w:r>
          </w:p>
          <w:p w14:paraId="356FE83D" w14:textId="77777777" w:rsidR="00B7614C" w:rsidRDefault="00B7614C" w:rsidP="00B7614C">
            <w:pPr>
              <w:pStyle w:val="naisc"/>
              <w:spacing w:before="0" w:after="0"/>
              <w:jc w:val="both"/>
              <w:rPr>
                <w:b/>
              </w:rPr>
            </w:pPr>
          </w:p>
          <w:p w14:paraId="45430468" w14:textId="24B8D446" w:rsidR="00397D24" w:rsidRPr="00397D24" w:rsidRDefault="00397D24" w:rsidP="00DD2DD4">
            <w:pPr>
              <w:pStyle w:val="naisc"/>
              <w:spacing w:before="0" w:after="0"/>
              <w:jc w:val="both"/>
            </w:pPr>
            <w:r w:rsidRPr="00397D24">
              <w:t xml:space="preserve">Vēršam uzmanību, ka saskaņā ar Oficiālo publikāciju un tiesiskās informācijas likuma 9. panta ceturto daļu normatīvajam aktam vai tā daļai nav atpakaļejoša spēka, izņemot likumā īpaši paredzētus gadījumus. Tā kā projektu vairs nav iespējams izskatīt un pieņemt līdz 2019. gada 1. septembrim, lūdzam svītrot projekta 18. punktu vai precizēt projekta spēkā stāšanās laiku, lai tas nebūtu ar atpakaļejošu spēku, ka arī atbilstoši </w:t>
            </w:r>
            <w:r w:rsidRPr="00397D24">
              <w:lastRenderedPageBreak/>
              <w:t>precizēt projekta sākotnējās ietekmes novērtējuma ziņojuma (anotācija) kopsavilkumu.</w:t>
            </w:r>
          </w:p>
          <w:p w14:paraId="79F2DAA3" w14:textId="4C68CD96" w:rsidR="00D137E7" w:rsidRPr="00801C24" w:rsidRDefault="00D137E7" w:rsidP="00D137E7">
            <w:pPr>
              <w:pStyle w:val="naisc"/>
              <w:spacing w:before="0" w:after="0"/>
              <w:rPr>
                <w:b/>
              </w:rPr>
            </w:pPr>
          </w:p>
        </w:tc>
        <w:tc>
          <w:tcPr>
            <w:tcW w:w="2977" w:type="dxa"/>
            <w:gridSpan w:val="2"/>
            <w:tcBorders>
              <w:left w:val="single" w:sz="6" w:space="0" w:color="000000"/>
              <w:bottom w:val="single" w:sz="4" w:space="0" w:color="auto"/>
              <w:right w:val="single" w:sz="6" w:space="0" w:color="000000"/>
            </w:tcBorders>
          </w:tcPr>
          <w:p w14:paraId="29B245A1" w14:textId="77777777" w:rsidR="00D137E7" w:rsidRDefault="00D137E7" w:rsidP="00D137E7">
            <w:pPr>
              <w:pStyle w:val="naisc"/>
              <w:spacing w:before="0" w:after="0"/>
            </w:pPr>
          </w:p>
          <w:p w14:paraId="74BAAABA" w14:textId="21EFECE3" w:rsidR="0003677C" w:rsidRPr="0003677C" w:rsidRDefault="0003677C" w:rsidP="00D137E7">
            <w:pPr>
              <w:pStyle w:val="naisc"/>
              <w:spacing w:before="0" w:after="0"/>
              <w:rPr>
                <w:b/>
              </w:rPr>
            </w:pPr>
            <w:r w:rsidRPr="0003677C">
              <w:rPr>
                <w:b/>
              </w:rPr>
              <w:t>Ņemts vērā</w:t>
            </w:r>
          </w:p>
        </w:tc>
        <w:tc>
          <w:tcPr>
            <w:tcW w:w="2835" w:type="dxa"/>
            <w:tcBorders>
              <w:top w:val="single" w:sz="4" w:space="0" w:color="auto"/>
              <w:left w:val="single" w:sz="4" w:space="0" w:color="auto"/>
              <w:bottom w:val="single" w:sz="4" w:space="0" w:color="auto"/>
            </w:tcBorders>
          </w:tcPr>
          <w:p w14:paraId="4C6026C6" w14:textId="77777777" w:rsidR="00D137E7" w:rsidRDefault="00D137E7" w:rsidP="00D137E7">
            <w:pPr>
              <w:jc w:val="center"/>
            </w:pPr>
          </w:p>
          <w:p w14:paraId="3834AA2A" w14:textId="3565E1EC" w:rsidR="009D6AFF" w:rsidRDefault="009D6AFF" w:rsidP="00D137E7">
            <w:pPr>
              <w:jc w:val="center"/>
            </w:pPr>
            <w:r>
              <w:t>Projekta 18.punkts svītrots</w:t>
            </w:r>
          </w:p>
        </w:tc>
      </w:tr>
      <w:tr w:rsidR="00D137E7" w:rsidRPr="00712B66" w14:paraId="568AA45A" w14:textId="77777777" w:rsidTr="009F0876">
        <w:tc>
          <w:tcPr>
            <w:tcW w:w="708" w:type="dxa"/>
            <w:tcBorders>
              <w:left w:val="single" w:sz="6" w:space="0" w:color="000000"/>
              <w:bottom w:val="single" w:sz="4" w:space="0" w:color="auto"/>
              <w:right w:val="single" w:sz="6" w:space="0" w:color="000000"/>
            </w:tcBorders>
          </w:tcPr>
          <w:p w14:paraId="1F1DF458" w14:textId="39E9B575" w:rsidR="00D137E7" w:rsidRPr="0049722A" w:rsidRDefault="00D137E7" w:rsidP="00D137E7">
            <w:pPr>
              <w:pStyle w:val="naisc"/>
              <w:spacing w:before="0" w:after="0"/>
            </w:pPr>
            <w:r w:rsidRPr="0049722A">
              <w:t>18</w:t>
            </w:r>
          </w:p>
        </w:tc>
        <w:tc>
          <w:tcPr>
            <w:tcW w:w="2545" w:type="dxa"/>
            <w:gridSpan w:val="2"/>
            <w:tcBorders>
              <w:left w:val="single" w:sz="6" w:space="0" w:color="000000"/>
              <w:bottom w:val="single" w:sz="4" w:space="0" w:color="auto"/>
              <w:right w:val="single" w:sz="6" w:space="0" w:color="000000"/>
            </w:tcBorders>
          </w:tcPr>
          <w:p w14:paraId="21E99DC6" w14:textId="77777777" w:rsidR="00D137E7" w:rsidRPr="0049722A" w:rsidRDefault="00D137E7" w:rsidP="00DD2DD4">
            <w:pPr>
              <w:pStyle w:val="naisc"/>
              <w:spacing w:before="0" w:after="0"/>
              <w:jc w:val="both"/>
            </w:pPr>
          </w:p>
          <w:p w14:paraId="4B4D3620" w14:textId="77777777" w:rsidR="007072F3" w:rsidRPr="0049722A" w:rsidRDefault="007072F3" w:rsidP="00DD2DD4">
            <w:pPr>
              <w:pStyle w:val="naisc"/>
              <w:jc w:val="both"/>
            </w:pPr>
            <w:r w:rsidRPr="0049722A">
              <w:t>9. Aģentūra savā tīmekļa vietnē nodrošina publiski pieejamu šādu informāciju:</w:t>
            </w:r>
          </w:p>
          <w:p w14:paraId="6C224EB3" w14:textId="77777777" w:rsidR="007072F3" w:rsidRPr="0049722A" w:rsidRDefault="007072F3" w:rsidP="00DD2DD4">
            <w:pPr>
              <w:pStyle w:val="naisc"/>
              <w:jc w:val="both"/>
            </w:pPr>
            <w:r w:rsidRPr="0049722A">
              <w:t>9.1. par licencēm:</w:t>
            </w:r>
          </w:p>
          <w:p w14:paraId="7B322A80" w14:textId="77777777" w:rsidR="007072F3" w:rsidRPr="0049722A" w:rsidRDefault="007072F3" w:rsidP="00DD2DD4">
            <w:pPr>
              <w:pStyle w:val="naisc"/>
              <w:jc w:val="both"/>
            </w:pPr>
            <w:r w:rsidRPr="0049722A">
              <w:t>9.1.1. licences saņēmēja dati (fiziskās personas vārds, uzvārds, juridiskās personas nosaukums, reģistrācijas numurs un juridiskā adrese);</w:t>
            </w:r>
          </w:p>
          <w:p w14:paraId="4E956BE8" w14:textId="77777777" w:rsidR="007072F3" w:rsidRPr="0049722A" w:rsidRDefault="007072F3" w:rsidP="00DD2DD4">
            <w:pPr>
              <w:pStyle w:val="naisc"/>
              <w:jc w:val="both"/>
            </w:pPr>
            <w:r w:rsidRPr="0049722A">
              <w:t>9.1.2. par prekursoru aprites uzraudzību atbildīgās personas (turpmāk – atbildīgā persona) vārds, uzvārds, tālruņa numurs un elektroniskā pasta adrese;</w:t>
            </w:r>
          </w:p>
          <w:p w14:paraId="5559836A" w14:textId="77777777" w:rsidR="007072F3" w:rsidRPr="0049722A" w:rsidRDefault="007072F3" w:rsidP="00DD2DD4">
            <w:pPr>
              <w:pStyle w:val="naisc"/>
              <w:jc w:val="both"/>
            </w:pPr>
            <w:r w:rsidRPr="0049722A">
              <w:t>9.1.3. licences numurs;</w:t>
            </w:r>
          </w:p>
          <w:p w14:paraId="66135511" w14:textId="77777777" w:rsidR="007072F3" w:rsidRPr="0049722A" w:rsidRDefault="007072F3" w:rsidP="00DD2DD4">
            <w:pPr>
              <w:pStyle w:val="naisc"/>
              <w:jc w:val="both"/>
            </w:pPr>
            <w:r w:rsidRPr="0049722A">
              <w:t>9.1.4. licences izsniegšanas datums;</w:t>
            </w:r>
          </w:p>
          <w:p w14:paraId="0EB36C08" w14:textId="77777777" w:rsidR="007072F3" w:rsidRPr="0049722A" w:rsidRDefault="007072F3" w:rsidP="00DD2DD4">
            <w:pPr>
              <w:pStyle w:val="naisc"/>
              <w:jc w:val="both"/>
            </w:pPr>
            <w:r w:rsidRPr="0049722A">
              <w:t>9.2. par reģistrāciju:</w:t>
            </w:r>
          </w:p>
          <w:p w14:paraId="1444363E" w14:textId="77777777" w:rsidR="007072F3" w:rsidRPr="0049722A" w:rsidRDefault="007072F3" w:rsidP="00DD2DD4">
            <w:pPr>
              <w:pStyle w:val="naisc"/>
              <w:jc w:val="both"/>
            </w:pPr>
            <w:r w:rsidRPr="0049722A">
              <w:t xml:space="preserve">9.2.1. reģistrētās personas dati (fiziskās </w:t>
            </w:r>
            <w:r w:rsidRPr="0049722A">
              <w:lastRenderedPageBreak/>
              <w:t>personas vārds, uzvārds,, juridiskās personas nosaukums, reģistrācijas numurs un juridiskā adrese);</w:t>
            </w:r>
          </w:p>
          <w:p w14:paraId="17E19901" w14:textId="77777777" w:rsidR="007072F3" w:rsidRPr="0049722A" w:rsidRDefault="007072F3" w:rsidP="00DD2DD4">
            <w:pPr>
              <w:pStyle w:val="naisc"/>
              <w:jc w:val="both"/>
            </w:pPr>
            <w:r w:rsidRPr="0049722A">
              <w:t>9.2.2. atbildīgās personas vārds, uzvārds, tālruņa numurs un elektroniskā pasta adrese;</w:t>
            </w:r>
          </w:p>
          <w:p w14:paraId="44B782D8" w14:textId="77777777" w:rsidR="007072F3" w:rsidRPr="0049722A" w:rsidRDefault="007072F3" w:rsidP="00DD2DD4">
            <w:pPr>
              <w:pStyle w:val="naisc"/>
              <w:jc w:val="both"/>
            </w:pPr>
            <w:r w:rsidRPr="0049722A">
              <w:t>9.2.3. reģistrācijas numurs;</w:t>
            </w:r>
          </w:p>
          <w:p w14:paraId="2984FBCD" w14:textId="77777777" w:rsidR="007072F3" w:rsidRPr="0049722A" w:rsidRDefault="007072F3" w:rsidP="00DD2DD4">
            <w:pPr>
              <w:pStyle w:val="naisc"/>
              <w:spacing w:before="0" w:after="0"/>
              <w:jc w:val="both"/>
            </w:pPr>
            <w:r w:rsidRPr="0049722A">
              <w:t>9.2.4. reģistrācijas datums.</w:t>
            </w:r>
          </w:p>
          <w:p w14:paraId="5B3387F8" w14:textId="79AE29C2" w:rsidR="0073078A" w:rsidRPr="0049722A" w:rsidRDefault="0073078A" w:rsidP="00DD2DD4">
            <w:pPr>
              <w:pStyle w:val="naisc"/>
              <w:spacing w:before="0" w:after="0"/>
              <w:jc w:val="both"/>
            </w:pPr>
          </w:p>
        </w:tc>
        <w:tc>
          <w:tcPr>
            <w:tcW w:w="4961" w:type="dxa"/>
            <w:tcBorders>
              <w:left w:val="single" w:sz="6" w:space="0" w:color="000000"/>
              <w:bottom w:val="single" w:sz="4" w:space="0" w:color="auto"/>
              <w:right w:val="single" w:sz="6" w:space="0" w:color="000000"/>
            </w:tcBorders>
          </w:tcPr>
          <w:p w14:paraId="3B53E94C" w14:textId="77777777" w:rsidR="00D137E7" w:rsidRPr="0049722A" w:rsidRDefault="00D137E7" w:rsidP="00D137E7">
            <w:pPr>
              <w:pStyle w:val="naisc"/>
              <w:spacing w:before="0" w:after="0"/>
            </w:pPr>
          </w:p>
          <w:p w14:paraId="4AD2B169" w14:textId="77777777" w:rsidR="00D137E7" w:rsidRPr="0049722A" w:rsidRDefault="00D137E7" w:rsidP="00D137E7">
            <w:pPr>
              <w:pStyle w:val="naisc"/>
              <w:spacing w:before="0" w:after="0"/>
              <w:rPr>
                <w:b/>
              </w:rPr>
            </w:pPr>
            <w:r w:rsidRPr="0049722A">
              <w:rPr>
                <w:b/>
              </w:rPr>
              <w:t>Tieslietu ministrija</w:t>
            </w:r>
          </w:p>
          <w:p w14:paraId="0DBE4FDE" w14:textId="713A2C55" w:rsidR="00D137E7" w:rsidRPr="0049722A" w:rsidRDefault="00D137E7" w:rsidP="00D137E7">
            <w:pPr>
              <w:pStyle w:val="naisc"/>
              <w:spacing w:before="0" w:after="0"/>
            </w:pPr>
          </w:p>
          <w:p w14:paraId="5FC3BB54" w14:textId="2547BA24" w:rsidR="00F65FFB" w:rsidRPr="0049722A" w:rsidRDefault="00F65FFB" w:rsidP="00F65FFB">
            <w:pPr>
              <w:pStyle w:val="naisc"/>
              <w:spacing w:before="0" w:after="0"/>
              <w:jc w:val="both"/>
            </w:pPr>
            <w:r w:rsidRPr="0049722A">
              <w:t>30.08.2019.</w:t>
            </w:r>
          </w:p>
          <w:p w14:paraId="7213A7F3" w14:textId="77777777" w:rsidR="00F65FFB" w:rsidRPr="0049722A" w:rsidRDefault="00F65FFB" w:rsidP="00D137E7">
            <w:pPr>
              <w:pStyle w:val="naisc"/>
              <w:spacing w:before="0" w:after="0"/>
            </w:pPr>
          </w:p>
          <w:p w14:paraId="1449DFC8" w14:textId="422CD2D7" w:rsidR="00D92BF4" w:rsidRPr="0049722A" w:rsidRDefault="00D92BF4" w:rsidP="00DD2DD4">
            <w:pPr>
              <w:pStyle w:val="naisc"/>
              <w:jc w:val="both"/>
            </w:pPr>
            <w:r w:rsidRPr="0049722A">
              <w:t>Lūdzam atkārtoti izvērtēt projekta 9. punkta atbilstību projekta izdošanas tiesiskajam pamatam - Narkotisko un psihotropo vielu un zāļu, kā arī prekursoru likumīgās aprites likuma (turpmāk - likums) 42.</w:t>
            </w:r>
            <w:r w:rsidRPr="0049722A">
              <w:rPr>
                <w:vertAlign w:val="superscript"/>
              </w:rPr>
              <w:t>1</w:t>
            </w:r>
            <w:r w:rsidRPr="0049722A">
              <w:t xml:space="preserve"> panta ceturtajai daļai un 42.</w:t>
            </w:r>
            <w:r w:rsidRPr="0049722A">
              <w:rPr>
                <w:vertAlign w:val="superscript"/>
              </w:rPr>
              <w:t>2</w:t>
            </w:r>
            <w:r w:rsidRPr="0049722A">
              <w:t xml:space="preserve"> panta otrajai daļai.</w:t>
            </w:r>
          </w:p>
          <w:p w14:paraId="711AB007" w14:textId="77777777" w:rsidR="00D92BF4" w:rsidRPr="0049722A" w:rsidRDefault="00D92BF4" w:rsidP="00DD2DD4">
            <w:pPr>
              <w:pStyle w:val="naisc"/>
              <w:jc w:val="both"/>
            </w:pPr>
            <w:r w:rsidRPr="0049722A">
              <w:t>Vēršam uzmanību, ka no likumā ietvertā pilnvarojuma Ministru kabinetam neizriet tiesības noteikt Zāļu valsts aģentūrai pienākumu publicēt noteiktu informāciju savā tīmekļvietnē.</w:t>
            </w:r>
          </w:p>
          <w:p w14:paraId="27DFFB79" w14:textId="77777777" w:rsidR="00D92BF4" w:rsidRPr="0049722A" w:rsidRDefault="00D92BF4" w:rsidP="00DD2DD4">
            <w:pPr>
              <w:pStyle w:val="naisc"/>
              <w:jc w:val="both"/>
            </w:pPr>
            <w:r w:rsidRPr="0049722A">
              <w:t>Tādējādi projekta 9. punkts būtu svītrojams no projekta, jo tas neatbilst likumā noteiktajam pilnvarojumam.</w:t>
            </w:r>
          </w:p>
          <w:p w14:paraId="3D658267" w14:textId="381704F0" w:rsidR="00D137E7" w:rsidRPr="0049722A" w:rsidRDefault="00D92BF4" w:rsidP="00DD2DD4">
            <w:pPr>
              <w:pStyle w:val="naisc"/>
              <w:spacing w:before="0" w:after="0"/>
              <w:jc w:val="both"/>
            </w:pPr>
            <w:r w:rsidRPr="0049722A">
              <w:t>Projekta anotācijā norādīts, ka projekta 9. punkts nepieciešams, lai viens komersants varētu pārliecināties par to, ka cits komersants ir saņēmis licenci un reģistrēts, jo regulas 273/2004 un 111/2005 pieļauj slēgt darījumus ar prekursoriem tikai starp licencētiem un reģistrētiem komersantiem. Neiebilstam, ka normatīvi būtu jānostiprina kārtība, kādā komersants var pārliecināties, ka cits komersants ir saņēmis licenci un reģistrēts, tomēr tas nebūtu nosakāms projekta ietvaros.</w:t>
            </w:r>
          </w:p>
          <w:p w14:paraId="66252F12" w14:textId="3B8BB51C" w:rsidR="006D4686" w:rsidRPr="0049722A" w:rsidRDefault="006D4686" w:rsidP="00DD2DD4">
            <w:pPr>
              <w:pStyle w:val="naisc"/>
              <w:spacing w:before="0" w:after="0"/>
              <w:jc w:val="both"/>
            </w:pPr>
          </w:p>
          <w:p w14:paraId="65424153" w14:textId="0B0F0E3F" w:rsidR="006D4686" w:rsidRPr="0049722A" w:rsidRDefault="006D4686" w:rsidP="006D4686">
            <w:pPr>
              <w:pStyle w:val="naisc"/>
              <w:spacing w:before="0" w:after="0"/>
              <w:jc w:val="both"/>
            </w:pPr>
            <w:r w:rsidRPr="0049722A">
              <w:t xml:space="preserve">08.10.2019. </w:t>
            </w:r>
            <w:proofErr w:type="spellStart"/>
            <w:r w:rsidRPr="0049722A">
              <w:t>starpministriju</w:t>
            </w:r>
            <w:proofErr w:type="spellEnd"/>
            <w:r w:rsidRPr="0049722A">
              <w:t xml:space="preserve"> saskaņošanas sanāksmē</w:t>
            </w:r>
            <w:r w:rsidR="002C605A" w:rsidRPr="0049722A">
              <w:t xml:space="preserve"> izteiktais iebildums:</w:t>
            </w:r>
          </w:p>
          <w:p w14:paraId="79AFB867" w14:textId="39D0FB5F" w:rsidR="006D4686" w:rsidRPr="0049722A" w:rsidRDefault="006D4686" w:rsidP="00DD2DD4">
            <w:pPr>
              <w:pStyle w:val="naisc"/>
              <w:spacing w:before="0" w:after="0"/>
              <w:jc w:val="both"/>
            </w:pPr>
          </w:p>
          <w:p w14:paraId="21484CC5" w14:textId="749DDE88" w:rsidR="006D4686" w:rsidRPr="0049722A" w:rsidRDefault="006D4686" w:rsidP="00DD2DD4">
            <w:pPr>
              <w:pStyle w:val="naisc"/>
              <w:spacing w:before="0" w:after="0"/>
              <w:jc w:val="both"/>
            </w:pPr>
            <w:r w:rsidRPr="0049722A">
              <w:t>Projekta 7.3. un 7.4. apakšpunktu ievada daļas dublē Administratīvā procesa likumu – lēmuma pieņemšanas process ir noteikts šajā likumā. Regula satur jau licences formu</w:t>
            </w:r>
            <w:r w:rsidR="00B65A79" w:rsidRPr="0049722A">
              <w:t>. Bet šādas informācijas publicēšanai likumā nav dots pilnvarojums Ministru kabinetam.</w:t>
            </w:r>
            <w:r w:rsidRPr="0049722A">
              <w:t xml:space="preserve"> </w:t>
            </w:r>
            <w:r w:rsidR="00B65A79" w:rsidRPr="0049722A">
              <w:t>T</w:t>
            </w:r>
            <w:r w:rsidRPr="0049722A">
              <w:t>ādēļ ir jāsvītro 7.3. un 7.4.apakšpunkti</w:t>
            </w:r>
            <w:r w:rsidR="0093694C" w:rsidRPr="0049722A">
              <w:t>, jo tie nav nepieciešami</w:t>
            </w:r>
            <w:r w:rsidRPr="0049722A">
              <w:t>.</w:t>
            </w:r>
            <w:r w:rsidR="001E5A92" w:rsidRPr="0049722A">
              <w:t xml:space="preserve"> Var arī pārveidot 7.3. un 7.4.apakšpunktus tā, lai informācijas publicēšana būtu kā daļa no procesa, piemēram, normu sākot ar vārdiem “pieņemot lēmumu”.</w:t>
            </w:r>
          </w:p>
          <w:p w14:paraId="62F4112E" w14:textId="0FECE29D" w:rsidR="00D137E7" w:rsidRPr="0049722A" w:rsidRDefault="00D137E7" w:rsidP="00D137E7">
            <w:pPr>
              <w:pStyle w:val="naisc"/>
              <w:spacing w:before="0" w:after="0"/>
            </w:pPr>
          </w:p>
        </w:tc>
        <w:tc>
          <w:tcPr>
            <w:tcW w:w="2977" w:type="dxa"/>
            <w:gridSpan w:val="2"/>
            <w:tcBorders>
              <w:left w:val="single" w:sz="6" w:space="0" w:color="000000"/>
              <w:bottom w:val="single" w:sz="4" w:space="0" w:color="auto"/>
              <w:right w:val="single" w:sz="6" w:space="0" w:color="000000"/>
            </w:tcBorders>
          </w:tcPr>
          <w:p w14:paraId="36C5C388" w14:textId="77777777" w:rsidR="00D137E7" w:rsidRPr="0049722A" w:rsidRDefault="00D137E7" w:rsidP="00D137E7">
            <w:pPr>
              <w:pStyle w:val="naisc"/>
              <w:spacing w:before="0" w:after="0"/>
            </w:pPr>
          </w:p>
          <w:p w14:paraId="7CB5B3A2" w14:textId="15D2D953" w:rsidR="00785D11" w:rsidRPr="0049722A" w:rsidRDefault="003F21EE" w:rsidP="00D137E7">
            <w:pPr>
              <w:pStyle w:val="naisc"/>
              <w:spacing w:before="0" w:after="0"/>
              <w:rPr>
                <w:b/>
              </w:rPr>
            </w:pPr>
            <w:r w:rsidRPr="0049722A">
              <w:rPr>
                <w:b/>
              </w:rPr>
              <w:t>Vienošanās panākta saskaņošanas sanāksmē</w:t>
            </w:r>
          </w:p>
          <w:p w14:paraId="1A0042C6" w14:textId="77777777" w:rsidR="00785D11" w:rsidRPr="0049722A" w:rsidRDefault="00785D11" w:rsidP="00D137E7">
            <w:pPr>
              <w:pStyle w:val="naisc"/>
              <w:spacing w:before="0" w:after="0"/>
            </w:pPr>
          </w:p>
          <w:p w14:paraId="5AFB10D0" w14:textId="77777777" w:rsidR="00785D11" w:rsidRPr="0049722A" w:rsidRDefault="00785D11" w:rsidP="00DD2DD4">
            <w:pPr>
              <w:pStyle w:val="naisc"/>
              <w:spacing w:before="0" w:after="0"/>
              <w:jc w:val="both"/>
            </w:pPr>
            <w:r w:rsidRPr="0049722A">
              <w:t>Svītrots projekta 9.punkts, papildināts projekta 7.punkts – attiecīgās informācijas publicēšana Zāļu valsts aģentūras tīmekļa vietnē ir daļa no licences izsniegšanas un personas reģistrācijas procesa</w:t>
            </w:r>
            <w:r w:rsidR="00064A47" w:rsidRPr="0049722A">
              <w:t>.</w:t>
            </w:r>
          </w:p>
          <w:p w14:paraId="3FF23D9F" w14:textId="77777777" w:rsidR="0093694C" w:rsidRPr="0049722A" w:rsidRDefault="0093694C" w:rsidP="00DD2DD4">
            <w:pPr>
              <w:pStyle w:val="naisc"/>
              <w:spacing w:before="0" w:after="0"/>
              <w:jc w:val="both"/>
            </w:pPr>
          </w:p>
          <w:p w14:paraId="3291AD77" w14:textId="77777777" w:rsidR="0093694C" w:rsidRPr="0049722A" w:rsidRDefault="0093694C" w:rsidP="00DD2DD4">
            <w:pPr>
              <w:pStyle w:val="naisc"/>
              <w:spacing w:before="0" w:after="0"/>
              <w:jc w:val="both"/>
            </w:pPr>
            <w:r w:rsidRPr="0049722A">
              <w:t xml:space="preserve">Projekta 7.3. un 7.4.apakšpunkti nav </w:t>
            </w:r>
            <w:r w:rsidR="00B65A79" w:rsidRPr="0049722A">
              <w:t>regulā sniegtā licences parauga atšifrējums – tas ir tiesiskais pamats publicēt noteiktu informāciju par personu, kas ir prekursoru operators – lai citi prekursoru operatori un muitas iestādes varētu ātri pārliecināties par otras darījuma puses tiesībām veikt noteikta veida darījumus.</w:t>
            </w:r>
          </w:p>
          <w:p w14:paraId="53357B28" w14:textId="77777777" w:rsidR="00B65A79" w:rsidRPr="0049722A" w:rsidRDefault="00B65A79" w:rsidP="00DD2DD4">
            <w:pPr>
              <w:pStyle w:val="naisc"/>
              <w:spacing w:before="0" w:after="0"/>
              <w:jc w:val="both"/>
            </w:pPr>
          </w:p>
          <w:p w14:paraId="4F95D7A3" w14:textId="251A49C9" w:rsidR="00B65A79" w:rsidRPr="0049722A" w:rsidRDefault="00B65A79" w:rsidP="00B65A79">
            <w:pPr>
              <w:pStyle w:val="naisc"/>
              <w:jc w:val="both"/>
            </w:pPr>
            <w:r w:rsidRPr="0049722A">
              <w:t xml:space="preserve">Narkotisko un psihotropo vielu un zāļu, kā arī prekursoru likumīgās aprites </w:t>
            </w:r>
          </w:p>
          <w:p w14:paraId="191B9D76" w14:textId="77777777" w:rsidR="00B65A79" w:rsidRPr="0049722A" w:rsidRDefault="00B65A79" w:rsidP="00B65A79">
            <w:pPr>
              <w:pStyle w:val="naisc"/>
              <w:spacing w:before="0" w:after="0"/>
              <w:jc w:val="both"/>
            </w:pPr>
            <w:r w:rsidRPr="0049722A">
              <w:lastRenderedPageBreak/>
              <w:t>likuma 42.</w:t>
            </w:r>
            <w:r w:rsidRPr="0049722A">
              <w:rPr>
                <w:vertAlign w:val="superscript"/>
              </w:rPr>
              <w:t>1</w:t>
            </w:r>
            <w:r w:rsidRPr="0049722A">
              <w:t xml:space="preserve"> panta ceturtajā  daļā ir dots pilnvarojums Ministru kabinetam</w:t>
            </w:r>
            <w:r w:rsidR="00050410" w:rsidRPr="0049722A">
              <w:t xml:space="preserve"> noteikt licencēšanas un reģistrācijas kārtību. </w:t>
            </w:r>
            <w:r w:rsidRPr="0049722A">
              <w:t xml:space="preserve">Šīs informācijas publicēšana </w:t>
            </w:r>
            <w:r w:rsidR="00050410" w:rsidRPr="0049722A">
              <w:t>ir neatņemama licencēšanas un reģistrācijas procesa sastāvdaļa. Līdzīgs regulējums jau ir ietverts</w:t>
            </w:r>
            <w:r w:rsidR="00CA2506" w:rsidRPr="0049722A">
              <w:t>, piemēram,</w:t>
            </w:r>
            <w:r w:rsidR="00050410" w:rsidRPr="0049722A">
              <w:t xml:space="preserve"> Farmācijas likuma 5.panta 17.punktā un Ministru kabineta</w:t>
            </w:r>
            <w:r w:rsidR="00CA2506" w:rsidRPr="0049722A">
              <w:t xml:space="preserve"> 2004.gada</w:t>
            </w:r>
            <w:r w:rsidR="00050410" w:rsidRPr="0049722A">
              <w:t xml:space="preserve"> 27.a</w:t>
            </w:r>
            <w:r w:rsidR="00CA2506" w:rsidRPr="0049722A">
              <w:t>prīļa noteikumos Nr. “Farmaceitu un farmaceitu asistentu reģistrēšanas kārtība”, Farmācijas likuma 5.panta 3.punktu un Ministru kabineta 2007.gada 26.jūnija noteikumiem Nr.416 “Zāļu izplatīšanas un kvalitātes kontroles kārtība”.</w:t>
            </w:r>
          </w:p>
          <w:p w14:paraId="4843F49E" w14:textId="57E22112" w:rsidR="00CA2506" w:rsidRPr="0049722A" w:rsidRDefault="00CA2506" w:rsidP="00B65A79">
            <w:pPr>
              <w:pStyle w:val="naisc"/>
              <w:spacing w:before="0" w:after="0"/>
              <w:jc w:val="both"/>
            </w:pPr>
          </w:p>
        </w:tc>
        <w:tc>
          <w:tcPr>
            <w:tcW w:w="2835" w:type="dxa"/>
            <w:tcBorders>
              <w:top w:val="single" w:sz="4" w:space="0" w:color="auto"/>
              <w:left w:val="single" w:sz="4" w:space="0" w:color="auto"/>
              <w:bottom w:val="single" w:sz="4" w:space="0" w:color="auto"/>
            </w:tcBorders>
          </w:tcPr>
          <w:p w14:paraId="1F59F058" w14:textId="77777777" w:rsidR="002D45FD" w:rsidRDefault="002D45FD" w:rsidP="008C368E">
            <w:pPr>
              <w:jc w:val="both"/>
            </w:pPr>
          </w:p>
          <w:p w14:paraId="11CF0D9D" w14:textId="667B32D5" w:rsidR="008C368E" w:rsidRDefault="008C368E" w:rsidP="008C368E">
            <w:pPr>
              <w:jc w:val="both"/>
            </w:pPr>
            <w:r>
              <w:t>6. Aģentūra:</w:t>
            </w:r>
          </w:p>
          <w:p w14:paraId="4F49EDD1" w14:textId="77777777" w:rsidR="008C368E" w:rsidRDefault="008C368E" w:rsidP="008C368E">
            <w:pPr>
              <w:jc w:val="both"/>
            </w:pPr>
            <w:r>
              <w:t>6.1. izvērtē šo noteikumu 2. un 3. punktā minētos iesniegumus un pārliecinās, vai tie atbilst šo noteikumu 2. vai 3. punktā minētajiem nosacījumiem;</w:t>
            </w:r>
          </w:p>
          <w:p w14:paraId="62354417" w14:textId="77777777" w:rsidR="008C368E" w:rsidRDefault="008C368E" w:rsidP="008C368E">
            <w:pPr>
              <w:jc w:val="both"/>
            </w:pPr>
            <w:r>
              <w:t>6.2. Sodu reģistrā pārliecinās, ka iesniedzējs – fiziskā persona un iesniedzēja – juridiskās personas – valdes locekļi, dalībnieki – fiziskās personas, prokūristi un pilnvarnieki nav sodīti par noziedzīgu nodarījumu, kā arī nav administratīvi sodīti par pārkāpumiem, kas saistīti ar narkotisko un psihotropo vielu, prekursoru vai neklasificēto vielu apriti;</w:t>
            </w:r>
          </w:p>
          <w:p w14:paraId="3082060A" w14:textId="77777777" w:rsidR="008C368E" w:rsidRDefault="008C368E" w:rsidP="008C368E">
            <w:pPr>
              <w:jc w:val="both"/>
            </w:pPr>
            <w:r>
              <w:t>6.3. pieņemot lēmumu par licences izsniegšanu, savā tīmekļa vietnē norāda šādu informāciju:</w:t>
            </w:r>
          </w:p>
          <w:p w14:paraId="072E85C1" w14:textId="77777777" w:rsidR="008C368E" w:rsidRDefault="008C368E" w:rsidP="008C368E">
            <w:pPr>
              <w:jc w:val="both"/>
            </w:pPr>
            <w:r>
              <w:t xml:space="preserve">6.3.1. licences saņēmēja datus (fiziskās personas vārdu, uzvārdu, juridiskās </w:t>
            </w:r>
            <w:r>
              <w:lastRenderedPageBreak/>
              <w:t>personas nosaukumu, reģistrācijas numuru un juridisko adresi);</w:t>
            </w:r>
          </w:p>
          <w:p w14:paraId="1ECDE19B" w14:textId="77777777" w:rsidR="008C368E" w:rsidRDefault="008C368E" w:rsidP="008C368E">
            <w:pPr>
              <w:jc w:val="both"/>
            </w:pPr>
            <w:r>
              <w:t>6.3.2. par prekursoru aprites uzraudzību atbildīgās personas (turpmāk – atbildīgā persona) vārdu, uzvārdu, tālruņa numuru un elektroniskā pasta adresi;</w:t>
            </w:r>
          </w:p>
          <w:p w14:paraId="5B54BC64" w14:textId="77777777" w:rsidR="008C368E" w:rsidRDefault="008C368E" w:rsidP="008C368E">
            <w:pPr>
              <w:jc w:val="both"/>
            </w:pPr>
            <w:r>
              <w:t>6.3.3. licences numuru;</w:t>
            </w:r>
          </w:p>
          <w:p w14:paraId="5CCC344C" w14:textId="77777777" w:rsidR="008C368E" w:rsidRDefault="008C368E" w:rsidP="008C368E">
            <w:pPr>
              <w:jc w:val="both"/>
            </w:pPr>
            <w:r>
              <w:t>6.3.4. licences izsniegšanas datumu;</w:t>
            </w:r>
          </w:p>
          <w:p w14:paraId="20FF3E00" w14:textId="77777777" w:rsidR="008C368E" w:rsidRDefault="008C368E" w:rsidP="008C368E">
            <w:pPr>
              <w:jc w:val="both"/>
            </w:pPr>
            <w:r>
              <w:t xml:space="preserve">6.4. pieņemot lēmumu par personas reģistrāciju, savā tīmekļa vietnē norāda šādu informāciju: </w:t>
            </w:r>
          </w:p>
          <w:p w14:paraId="7AFA392C" w14:textId="77777777" w:rsidR="008C368E" w:rsidRDefault="008C368E" w:rsidP="008C368E">
            <w:pPr>
              <w:jc w:val="both"/>
            </w:pPr>
            <w:r>
              <w:t>6.4.1. reģistrētās personas datus (fiziskās personas vārds, uzvārds, juridiskās personas nosaukums, reģistrācijas numurs un juridiskā adrese);</w:t>
            </w:r>
          </w:p>
          <w:p w14:paraId="6C704F82" w14:textId="77777777" w:rsidR="008C368E" w:rsidRDefault="008C368E" w:rsidP="008C368E">
            <w:pPr>
              <w:jc w:val="both"/>
            </w:pPr>
            <w:r>
              <w:t>6.4.2. atbildīgās personas vārdu, uzvārdu, tālruņa numuru un elektroniskā pasta adresi;</w:t>
            </w:r>
          </w:p>
          <w:p w14:paraId="2BA71840" w14:textId="77777777" w:rsidR="008C368E" w:rsidRDefault="008C368E" w:rsidP="008C368E">
            <w:pPr>
              <w:jc w:val="both"/>
            </w:pPr>
            <w:r>
              <w:t>6.4.3. reģistrācijas numuru;</w:t>
            </w:r>
          </w:p>
          <w:p w14:paraId="720C223E" w14:textId="445A29FD" w:rsidR="00D137E7" w:rsidRPr="0049722A" w:rsidRDefault="008C368E" w:rsidP="008C368E">
            <w:pPr>
              <w:jc w:val="both"/>
            </w:pPr>
            <w:r>
              <w:t>6.4.4. reģistrācijas datumu.</w:t>
            </w:r>
          </w:p>
        </w:tc>
      </w:tr>
      <w:tr w:rsidR="00D137E7" w:rsidRPr="00712B66" w14:paraId="44D9ABA9" w14:textId="77777777" w:rsidTr="009F0876">
        <w:tc>
          <w:tcPr>
            <w:tcW w:w="708" w:type="dxa"/>
            <w:tcBorders>
              <w:left w:val="single" w:sz="6" w:space="0" w:color="000000"/>
              <w:bottom w:val="single" w:sz="4" w:space="0" w:color="auto"/>
              <w:right w:val="single" w:sz="6" w:space="0" w:color="000000"/>
            </w:tcBorders>
          </w:tcPr>
          <w:p w14:paraId="3B3B0373" w14:textId="02857E8A" w:rsidR="00D137E7" w:rsidRDefault="00D137E7" w:rsidP="00D137E7">
            <w:pPr>
              <w:pStyle w:val="naisc"/>
              <w:spacing w:before="0" w:after="0"/>
            </w:pPr>
            <w:r>
              <w:lastRenderedPageBreak/>
              <w:t>19</w:t>
            </w:r>
          </w:p>
        </w:tc>
        <w:tc>
          <w:tcPr>
            <w:tcW w:w="2545" w:type="dxa"/>
            <w:gridSpan w:val="2"/>
            <w:tcBorders>
              <w:left w:val="single" w:sz="6" w:space="0" w:color="000000"/>
              <w:bottom w:val="single" w:sz="4" w:space="0" w:color="auto"/>
              <w:right w:val="single" w:sz="6" w:space="0" w:color="000000"/>
            </w:tcBorders>
          </w:tcPr>
          <w:p w14:paraId="6200365B" w14:textId="77777777" w:rsidR="00D137E7" w:rsidRPr="00384BDE" w:rsidRDefault="00D137E7" w:rsidP="00D137E7">
            <w:pPr>
              <w:pStyle w:val="naisc"/>
              <w:spacing w:before="0" w:after="0"/>
              <w:ind w:firstLine="720"/>
            </w:pPr>
          </w:p>
        </w:tc>
        <w:tc>
          <w:tcPr>
            <w:tcW w:w="4961" w:type="dxa"/>
            <w:tcBorders>
              <w:left w:val="single" w:sz="6" w:space="0" w:color="000000"/>
              <w:bottom w:val="single" w:sz="4" w:space="0" w:color="auto"/>
              <w:right w:val="single" w:sz="6" w:space="0" w:color="000000"/>
            </w:tcBorders>
          </w:tcPr>
          <w:p w14:paraId="08638F5A" w14:textId="77777777" w:rsidR="00D137E7" w:rsidRDefault="00D137E7" w:rsidP="00D137E7">
            <w:pPr>
              <w:pStyle w:val="naisc"/>
              <w:spacing w:before="0" w:after="0"/>
              <w:rPr>
                <w:b/>
              </w:rPr>
            </w:pPr>
          </w:p>
          <w:p w14:paraId="47E9A561" w14:textId="77777777" w:rsidR="00D137E7" w:rsidRDefault="00D137E7" w:rsidP="00D137E7">
            <w:pPr>
              <w:pStyle w:val="naisc"/>
              <w:spacing w:before="0" w:after="0"/>
              <w:rPr>
                <w:b/>
              </w:rPr>
            </w:pPr>
            <w:r w:rsidRPr="00801C24">
              <w:rPr>
                <w:b/>
              </w:rPr>
              <w:t>Tieslietu ministrija</w:t>
            </w:r>
          </w:p>
          <w:p w14:paraId="150C7409" w14:textId="38E6B53F" w:rsidR="00D137E7" w:rsidRDefault="00D137E7" w:rsidP="00D137E7">
            <w:pPr>
              <w:pStyle w:val="naisc"/>
              <w:spacing w:before="0" w:after="0"/>
            </w:pPr>
          </w:p>
          <w:p w14:paraId="05C40B21" w14:textId="55CC25E8" w:rsidR="009C11DB" w:rsidRDefault="009C11DB" w:rsidP="009C11DB">
            <w:pPr>
              <w:pStyle w:val="naisc"/>
              <w:spacing w:before="0" w:after="0"/>
              <w:jc w:val="both"/>
            </w:pPr>
            <w:r>
              <w:t>30.08.2019.</w:t>
            </w:r>
          </w:p>
          <w:p w14:paraId="08FCC4CB" w14:textId="77777777" w:rsidR="009C11DB" w:rsidRPr="009C11DB" w:rsidRDefault="009C11DB" w:rsidP="00D137E7">
            <w:pPr>
              <w:pStyle w:val="naisc"/>
              <w:spacing w:before="0" w:after="0"/>
            </w:pPr>
          </w:p>
          <w:p w14:paraId="7DD9FF65" w14:textId="77777777" w:rsidR="00D137E7" w:rsidRPr="00B7614C" w:rsidRDefault="00B7614C" w:rsidP="00DD2DD4">
            <w:pPr>
              <w:pStyle w:val="naisc"/>
              <w:spacing w:before="0" w:after="0"/>
              <w:jc w:val="both"/>
              <w:rPr>
                <w:color w:val="000000"/>
              </w:rPr>
            </w:pPr>
            <w:r w:rsidRPr="00B7614C">
              <w:rPr>
                <w:color w:val="000000"/>
              </w:rPr>
              <w:t>Lūdzam projekta anotācijas I sadaļas 2. punktā sniegt izvērstāku skaidrojumu projekta 11. punkta nepieciešamībai un pamatotībai, norādot arī, ja iespējams, projekta izziņas 13. punktā ietverto Veselības ministrijas skaidrojumu.</w:t>
            </w:r>
          </w:p>
          <w:p w14:paraId="3D322A42" w14:textId="1AF681B0" w:rsidR="00B7614C" w:rsidRPr="00801C24" w:rsidRDefault="00B7614C" w:rsidP="00D137E7">
            <w:pPr>
              <w:pStyle w:val="naisc"/>
              <w:spacing w:before="0" w:after="0"/>
              <w:rPr>
                <w:b/>
              </w:rPr>
            </w:pPr>
          </w:p>
        </w:tc>
        <w:tc>
          <w:tcPr>
            <w:tcW w:w="2977" w:type="dxa"/>
            <w:gridSpan w:val="2"/>
            <w:tcBorders>
              <w:left w:val="single" w:sz="6" w:space="0" w:color="000000"/>
              <w:bottom w:val="single" w:sz="4" w:space="0" w:color="auto"/>
              <w:right w:val="single" w:sz="6" w:space="0" w:color="000000"/>
            </w:tcBorders>
          </w:tcPr>
          <w:p w14:paraId="6111F64B" w14:textId="77777777" w:rsidR="00D137E7" w:rsidRDefault="00D137E7" w:rsidP="00D137E7">
            <w:pPr>
              <w:pStyle w:val="naisc"/>
              <w:spacing w:before="0" w:after="0"/>
            </w:pPr>
          </w:p>
          <w:p w14:paraId="488C00B7" w14:textId="1B802CB3" w:rsidR="00CE205C" w:rsidRPr="00CE205C" w:rsidRDefault="00CE205C" w:rsidP="00D137E7">
            <w:pPr>
              <w:pStyle w:val="naisc"/>
              <w:spacing w:before="0" w:after="0"/>
              <w:rPr>
                <w:b/>
              </w:rPr>
            </w:pPr>
            <w:r w:rsidRPr="00CE205C">
              <w:rPr>
                <w:b/>
              </w:rPr>
              <w:t>Ņemts vērā</w:t>
            </w:r>
          </w:p>
        </w:tc>
        <w:tc>
          <w:tcPr>
            <w:tcW w:w="2835" w:type="dxa"/>
            <w:tcBorders>
              <w:top w:val="single" w:sz="4" w:space="0" w:color="auto"/>
              <w:left w:val="single" w:sz="4" w:space="0" w:color="auto"/>
              <w:bottom w:val="single" w:sz="4" w:space="0" w:color="auto"/>
            </w:tcBorders>
          </w:tcPr>
          <w:p w14:paraId="642AAD44" w14:textId="77777777" w:rsidR="00D137E7" w:rsidRDefault="00D137E7" w:rsidP="00D137E7">
            <w:pPr>
              <w:jc w:val="center"/>
            </w:pPr>
          </w:p>
          <w:p w14:paraId="3E04450C" w14:textId="2052D233" w:rsidR="00CE205C" w:rsidRDefault="00B06FD0" w:rsidP="00D137E7">
            <w:pPr>
              <w:jc w:val="center"/>
            </w:pPr>
            <w:r>
              <w:t>Papildināta projekta anotācija</w:t>
            </w:r>
          </w:p>
        </w:tc>
      </w:tr>
      <w:tr w:rsidR="00954320" w:rsidRPr="00712B66" w14:paraId="06636830" w14:textId="77777777" w:rsidTr="009F0876">
        <w:tc>
          <w:tcPr>
            <w:tcW w:w="708" w:type="dxa"/>
            <w:tcBorders>
              <w:left w:val="single" w:sz="6" w:space="0" w:color="000000"/>
              <w:bottom w:val="single" w:sz="4" w:space="0" w:color="auto"/>
              <w:right w:val="single" w:sz="6" w:space="0" w:color="000000"/>
            </w:tcBorders>
          </w:tcPr>
          <w:p w14:paraId="7D1E5418" w14:textId="77777777" w:rsidR="00954320" w:rsidRPr="00E13990" w:rsidRDefault="00954320" w:rsidP="00D137E7">
            <w:pPr>
              <w:pStyle w:val="naisc"/>
              <w:spacing w:before="0" w:after="0"/>
            </w:pPr>
          </w:p>
          <w:p w14:paraId="6D4C74E6" w14:textId="430EA3E9" w:rsidR="00170693" w:rsidRPr="00E13990" w:rsidRDefault="00170693" w:rsidP="00D137E7">
            <w:pPr>
              <w:pStyle w:val="naisc"/>
              <w:spacing w:before="0" w:after="0"/>
            </w:pPr>
            <w:r w:rsidRPr="00E13990">
              <w:t>20.</w:t>
            </w:r>
          </w:p>
        </w:tc>
        <w:tc>
          <w:tcPr>
            <w:tcW w:w="2545" w:type="dxa"/>
            <w:gridSpan w:val="2"/>
            <w:tcBorders>
              <w:left w:val="single" w:sz="6" w:space="0" w:color="000000"/>
              <w:bottom w:val="single" w:sz="4" w:space="0" w:color="auto"/>
              <w:right w:val="single" w:sz="6" w:space="0" w:color="000000"/>
            </w:tcBorders>
          </w:tcPr>
          <w:p w14:paraId="08920298" w14:textId="77777777" w:rsidR="00954320" w:rsidRPr="00E13990" w:rsidRDefault="00954320" w:rsidP="00170693">
            <w:pPr>
              <w:pStyle w:val="naisc"/>
              <w:spacing w:before="0" w:after="0"/>
            </w:pPr>
          </w:p>
          <w:p w14:paraId="33776A4D" w14:textId="77777777" w:rsidR="00170693" w:rsidRPr="00E13990" w:rsidRDefault="001E5A92" w:rsidP="00930A92">
            <w:pPr>
              <w:pStyle w:val="naisc"/>
              <w:spacing w:before="0" w:after="0"/>
              <w:jc w:val="both"/>
              <w:rPr>
                <w:szCs w:val="28"/>
              </w:rPr>
            </w:pPr>
            <w:r w:rsidRPr="00E13990">
              <w:rPr>
                <w:szCs w:val="28"/>
              </w:rPr>
              <w:t xml:space="preserve">6. Lai pārliecinātos par prekursoru operatoru atbilstību šo noteikumu un </w:t>
            </w:r>
            <w:r w:rsidRPr="00E13990">
              <w:rPr>
                <w:color w:val="000000"/>
                <w:szCs w:val="28"/>
              </w:rPr>
              <w:t xml:space="preserve">regulas Nr. 273/2004, kā arī </w:t>
            </w:r>
            <w:r w:rsidRPr="00E13990">
              <w:rPr>
                <w:szCs w:val="28"/>
              </w:rPr>
              <w:t>regulas Nr. 111/2005 prasībām, Veselības inspekcija (turpmāk − inspekcija) pirms licences izsniegšanas veic pārbaudi attiecīgajā objektā.</w:t>
            </w:r>
          </w:p>
          <w:p w14:paraId="292D7FF6" w14:textId="22F8879D" w:rsidR="001E5A92" w:rsidRPr="00E13990" w:rsidRDefault="001E5A92" w:rsidP="00170693">
            <w:pPr>
              <w:pStyle w:val="naisc"/>
              <w:spacing w:before="0" w:after="0"/>
            </w:pPr>
          </w:p>
        </w:tc>
        <w:tc>
          <w:tcPr>
            <w:tcW w:w="4961" w:type="dxa"/>
            <w:tcBorders>
              <w:left w:val="single" w:sz="6" w:space="0" w:color="000000"/>
              <w:bottom w:val="single" w:sz="4" w:space="0" w:color="auto"/>
              <w:right w:val="single" w:sz="6" w:space="0" w:color="000000"/>
            </w:tcBorders>
          </w:tcPr>
          <w:p w14:paraId="356A7AD1" w14:textId="77777777" w:rsidR="00954320" w:rsidRPr="00E13990" w:rsidRDefault="00954320" w:rsidP="00D137E7">
            <w:pPr>
              <w:pStyle w:val="naisc"/>
              <w:spacing w:before="0" w:after="0"/>
              <w:rPr>
                <w:b/>
              </w:rPr>
            </w:pPr>
          </w:p>
          <w:p w14:paraId="18583B81" w14:textId="0BEF7432" w:rsidR="003C2838" w:rsidRPr="00E13990" w:rsidRDefault="003C2838" w:rsidP="00D137E7">
            <w:pPr>
              <w:pStyle w:val="naisc"/>
              <w:spacing w:before="0" w:after="0"/>
              <w:rPr>
                <w:b/>
              </w:rPr>
            </w:pPr>
            <w:r w:rsidRPr="00E13990">
              <w:rPr>
                <w:b/>
              </w:rPr>
              <w:t>Tieslietu ministrija</w:t>
            </w:r>
          </w:p>
          <w:p w14:paraId="25501BC7" w14:textId="77777777" w:rsidR="003C2838" w:rsidRPr="00E13990" w:rsidRDefault="003C2838" w:rsidP="00D137E7">
            <w:pPr>
              <w:pStyle w:val="naisc"/>
              <w:spacing w:before="0" w:after="0"/>
              <w:rPr>
                <w:b/>
              </w:rPr>
            </w:pPr>
          </w:p>
          <w:p w14:paraId="5FD84819" w14:textId="36E93598" w:rsidR="003C2838" w:rsidRPr="00E13990" w:rsidRDefault="002C605A" w:rsidP="00170693">
            <w:pPr>
              <w:pStyle w:val="naisc"/>
              <w:spacing w:before="0" w:after="0"/>
              <w:jc w:val="both"/>
            </w:pPr>
            <w:r w:rsidRPr="00E13990">
              <w:t xml:space="preserve">08.10.2019. </w:t>
            </w:r>
            <w:proofErr w:type="spellStart"/>
            <w:r w:rsidRPr="00E13990">
              <w:t>starpministriju</w:t>
            </w:r>
            <w:proofErr w:type="spellEnd"/>
            <w:r w:rsidRPr="00E13990">
              <w:t xml:space="preserve"> saskaņošanas sanāksmē izteiktais iebildums:</w:t>
            </w:r>
          </w:p>
          <w:p w14:paraId="490AB5A5" w14:textId="3AE74F16" w:rsidR="00170693" w:rsidRPr="00E13990" w:rsidRDefault="00170693" w:rsidP="00170693">
            <w:pPr>
              <w:pStyle w:val="naisc"/>
              <w:spacing w:before="0" w:after="0"/>
              <w:jc w:val="both"/>
            </w:pPr>
          </w:p>
          <w:p w14:paraId="56D1D828" w14:textId="67747187" w:rsidR="00170693" w:rsidRPr="00E13990" w:rsidRDefault="00CA2B35" w:rsidP="00170693">
            <w:pPr>
              <w:pStyle w:val="naisc"/>
              <w:spacing w:before="0" w:after="0"/>
              <w:jc w:val="both"/>
            </w:pPr>
            <w:r w:rsidRPr="00E13990">
              <w:t xml:space="preserve">Lasot 6.punktu, rodas iespaids, ka Veselības inspekcija </w:t>
            </w:r>
            <w:r w:rsidR="001E5A92" w:rsidRPr="00E13990">
              <w:t>ir tā iestāde, kas pieņem lēmumu. Tas ir vai nu jāsvītro vai jāintegrē 7.3. un 7.4.apakšpunktā. Vai arī jāpārveido 6.punkts, lai būtu skaidrs, ka lēmumu pieņem Zāļu valsts aģentūra, nevis Veselības inspekcija.</w:t>
            </w:r>
            <w:r w:rsidR="00AA434E" w:rsidRPr="00E13990">
              <w:t xml:space="preserve"> Vajadzētu arī 6.punktā minēt prasības prekursoru uzglabāšanai, nevis šo noteikumu un regulas 273/2004 prasības.</w:t>
            </w:r>
          </w:p>
          <w:p w14:paraId="5192C321" w14:textId="0D465FDD" w:rsidR="003C2838" w:rsidRPr="00E13990" w:rsidRDefault="003C2838" w:rsidP="00D137E7">
            <w:pPr>
              <w:pStyle w:val="naisc"/>
              <w:spacing w:before="0" w:after="0"/>
              <w:rPr>
                <w:b/>
              </w:rPr>
            </w:pPr>
          </w:p>
        </w:tc>
        <w:tc>
          <w:tcPr>
            <w:tcW w:w="2977" w:type="dxa"/>
            <w:gridSpan w:val="2"/>
            <w:tcBorders>
              <w:left w:val="single" w:sz="6" w:space="0" w:color="000000"/>
              <w:bottom w:val="single" w:sz="4" w:space="0" w:color="auto"/>
              <w:right w:val="single" w:sz="6" w:space="0" w:color="000000"/>
            </w:tcBorders>
          </w:tcPr>
          <w:p w14:paraId="3D5318B6" w14:textId="77777777" w:rsidR="00954320" w:rsidRPr="00E13990" w:rsidRDefault="00954320" w:rsidP="00D137E7">
            <w:pPr>
              <w:pStyle w:val="naisc"/>
              <w:spacing w:before="0" w:after="0"/>
            </w:pPr>
          </w:p>
          <w:p w14:paraId="06549CC3" w14:textId="5A16299F" w:rsidR="00170693" w:rsidRPr="00E13990" w:rsidRDefault="003F21EE" w:rsidP="00D137E7">
            <w:pPr>
              <w:pStyle w:val="naisc"/>
              <w:spacing w:before="0" w:after="0"/>
              <w:rPr>
                <w:b/>
              </w:rPr>
            </w:pPr>
            <w:r w:rsidRPr="00E13990">
              <w:rPr>
                <w:b/>
              </w:rPr>
              <w:t>Vienošanās panākta saskaņošanas sanāksmē</w:t>
            </w:r>
          </w:p>
        </w:tc>
        <w:tc>
          <w:tcPr>
            <w:tcW w:w="2835" w:type="dxa"/>
            <w:tcBorders>
              <w:top w:val="single" w:sz="4" w:space="0" w:color="auto"/>
              <w:left w:val="single" w:sz="4" w:space="0" w:color="auto"/>
              <w:bottom w:val="single" w:sz="4" w:space="0" w:color="auto"/>
            </w:tcBorders>
          </w:tcPr>
          <w:p w14:paraId="51DF1FFF" w14:textId="77777777" w:rsidR="00954320" w:rsidRPr="00E13990" w:rsidRDefault="00954320" w:rsidP="00D137E7">
            <w:pPr>
              <w:jc w:val="center"/>
            </w:pPr>
          </w:p>
          <w:p w14:paraId="770E9B29" w14:textId="327D6FBC" w:rsidR="00170693" w:rsidRPr="00E13990" w:rsidRDefault="0038373E" w:rsidP="00930A92">
            <w:pPr>
              <w:jc w:val="both"/>
            </w:pPr>
            <w:r w:rsidRPr="0038373E">
              <w:rPr>
                <w:szCs w:val="28"/>
              </w:rPr>
              <w:t>5. Pirms aģentūra pieņem lēmumu par licences izsniegšanu vai atteikumu izsniegt licenci, Veselības inspekcija (turpmāk − inspekcija) veic pārbaudi attiecīgajā objektā, lai pārliecinātos, vai prekursoru operators izpilda prekursoru uzglabāšanas prasības.</w:t>
            </w:r>
          </w:p>
        </w:tc>
      </w:tr>
      <w:tr w:rsidR="005E58F6" w:rsidRPr="00712B66" w14:paraId="6B0DF608" w14:textId="77777777" w:rsidTr="00F833D6">
        <w:tc>
          <w:tcPr>
            <w:tcW w:w="708" w:type="dxa"/>
            <w:tcBorders>
              <w:left w:val="single" w:sz="6" w:space="0" w:color="000000"/>
              <w:bottom w:val="single" w:sz="4" w:space="0" w:color="auto"/>
              <w:right w:val="single" w:sz="6" w:space="0" w:color="000000"/>
            </w:tcBorders>
            <w:shd w:val="clear" w:color="auto" w:fill="auto"/>
          </w:tcPr>
          <w:p w14:paraId="5A197697" w14:textId="65DE4693" w:rsidR="005E58F6" w:rsidRPr="00E13990" w:rsidRDefault="005E58F6" w:rsidP="00D137E7">
            <w:pPr>
              <w:pStyle w:val="naisc"/>
              <w:spacing w:before="0" w:after="0"/>
            </w:pPr>
            <w:r>
              <w:t>21</w:t>
            </w:r>
            <w:r w:rsidR="004C7B27">
              <w:t>.</w:t>
            </w:r>
          </w:p>
        </w:tc>
        <w:tc>
          <w:tcPr>
            <w:tcW w:w="2545" w:type="dxa"/>
            <w:gridSpan w:val="2"/>
            <w:tcBorders>
              <w:left w:val="single" w:sz="6" w:space="0" w:color="000000"/>
              <w:bottom w:val="single" w:sz="4" w:space="0" w:color="auto"/>
              <w:right w:val="single" w:sz="6" w:space="0" w:color="000000"/>
            </w:tcBorders>
            <w:shd w:val="clear" w:color="auto" w:fill="auto"/>
          </w:tcPr>
          <w:p w14:paraId="61F5EC33" w14:textId="77777777" w:rsidR="002D45FD" w:rsidRDefault="002D45FD" w:rsidP="00F833D6">
            <w:pPr>
              <w:pStyle w:val="naisc"/>
              <w:spacing w:before="0" w:after="0"/>
              <w:jc w:val="both"/>
            </w:pPr>
          </w:p>
          <w:p w14:paraId="1DE77625" w14:textId="58662713" w:rsidR="005E58F6" w:rsidRPr="00E13990" w:rsidRDefault="00F44106" w:rsidP="00F833D6">
            <w:pPr>
              <w:pStyle w:val="naisc"/>
              <w:spacing w:before="0" w:after="0"/>
              <w:jc w:val="both"/>
            </w:pPr>
            <w:r w:rsidRPr="00F44106">
              <w:t xml:space="preserve">3. Lai personu reģistrētu darbībai ar 2. un 3. kategorijas prekursoriem (turpmāk – reģistrācija), prekursoru operators un prekursoru lietotājs iesniedz aģentūrā iesniegumu. Iesniegumā </w:t>
            </w:r>
            <w:r w:rsidRPr="00F44106">
              <w:lastRenderedPageBreak/>
              <w:t>norāda informāciju saskaņā ar regulas Nr. 2015/1011 5. panta 2. un 4. punktu.</w:t>
            </w:r>
          </w:p>
        </w:tc>
        <w:tc>
          <w:tcPr>
            <w:tcW w:w="4961" w:type="dxa"/>
            <w:tcBorders>
              <w:left w:val="single" w:sz="6" w:space="0" w:color="000000"/>
              <w:bottom w:val="single" w:sz="4" w:space="0" w:color="auto"/>
              <w:right w:val="single" w:sz="6" w:space="0" w:color="000000"/>
            </w:tcBorders>
            <w:shd w:val="clear" w:color="auto" w:fill="auto"/>
          </w:tcPr>
          <w:p w14:paraId="364DFFA0" w14:textId="77777777" w:rsidR="00F44106" w:rsidRPr="00C20A54" w:rsidRDefault="00F44106" w:rsidP="00F44106">
            <w:pPr>
              <w:pStyle w:val="naisc"/>
              <w:spacing w:before="0" w:after="0"/>
              <w:rPr>
                <w:b/>
              </w:rPr>
            </w:pPr>
            <w:r w:rsidRPr="00C20A54">
              <w:rPr>
                <w:b/>
              </w:rPr>
              <w:lastRenderedPageBreak/>
              <w:t>Tieslietu ministrija</w:t>
            </w:r>
          </w:p>
          <w:p w14:paraId="69547A7C" w14:textId="77777777" w:rsidR="00F44106" w:rsidRPr="00C20A54" w:rsidRDefault="00F44106" w:rsidP="00F44106">
            <w:pPr>
              <w:pStyle w:val="naisc"/>
              <w:spacing w:before="0" w:after="0"/>
              <w:rPr>
                <w:b/>
              </w:rPr>
            </w:pPr>
          </w:p>
          <w:p w14:paraId="68EBCD52" w14:textId="77777777" w:rsidR="00F44106" w:rsidRPr="00C20A54" w:rsidRDefault="00F44106" w:rsidP="00F44106">
            <w:pPr>
              <w:pStyle w:val="naisc"/>
              <w:spacing w:before="0" w:after="0"/>
              <w:jc w:val="left"/>
              <w:rPr>
                <w:b/>
              </w:rPr>
            </w:pPr>
            <w:r w:rsidRPr="00C20A54">
              <w:t xml:space="preserve">08.10.2019. </w:t>
            </w:r>
            <w:proofErr w:type="spellStart"/>
            <w:r w:rsidRPr="00C20A54">
              <w:t>starpministriju</w:t>
            </w:r>
            <w:proofErr w:type="spellEnd"/>
            <w:r w:rsidRPr="00C20A54">
              <w:t xml:space="preserve"> saskaņošanas sanāksmē izteiktais iebildums:</w:t>
            </w:r>
          </w:p>
          <w:p w14:paraId="3930C0AB" w14:textId="77777777" w:rsidR="00F44106" w:rsidRPr="00C20A54" w:rsidRDefault="00F44106" w:rsidP="00F44106">
            <w:pPr>
              <w:pStyle w:val="naisc"/>
              <w:spacing w:before="0" w:after="0"/>
              <w:rPr>
                <w:b/>
              </w:rPr>
            </w:pPr>
          </w:p>
          <w:p w14:paraId="53AC2383" w14:textId="1E5C3FF5" w:rsidR="005E58F6" w:rsidRPr="00E13990" w:rsidRDefault="00F44106" w:rsidP="00F833D6">
            <w:pPr>
              <w:pStyle w:val="naisc"/>
              <w:spacing w:before="0" w:after="0"/>
              <w:jc w:val="both"/>
              <w:rPr>
                <w:b/>
              </w:rPr>
            </w:pPr>
            <w:r w:rsidRPr="00C20A54">
              <w:t xml:space="preserve">Projekta 3.punktā ir minēti arī 3.kategorijas prekursori, par kuriem likumā nekas nav runāts. Līdz ar to 3.punkts neatbilst likumā dotajam pilnvarojumam Ministru kabinetam, jo </w:t>
            </w:r>
            <w:r w:rsidRPr="00C20A54">
              <w:lastRenderedPageBreak/>
              <w:t>pilnvarojumā nekā nav par 3.kategorijas prekursoriem.</w:t>
            </w:r>
          </w:p>
        </w:tc>
        <w:tc>
          <w:tcPr>
            <w:tcW w:w="2977" w:type="dxa"/>
            <w:gridSpan w:val="2"/>
            <w:tcBorders>
              <w:left w:val="single" w:sz="6" w:space="0" w:color="000000"/>
              <w:bottom w:val="single" w:sz="4" w:space="0" w:color="auto"/>
              <w:right w:val="single" w:sz="6" w:space="0" w:color="000000"/>
            </w:tcBorders>
            <w:shd w:val="clear" w:color="auto" w:fill="auto"/>
          </w:tcPr>
          <w:p w14:paraId="676B4E19" w14:textId="77777777" w:rsidR="005E58F6" w:rsidRDefault="00F833D6" w:rsidP="00D137E7">
            <w:pPr>
              <w:pStyle w:val="naisc"/>
              <w:spacing w:before="0" w:after="0"/>
              <w:rPr>
                <w:b/>
              </w:rPr>
            </w:pPr>
            <w:r w:rsidRPr="00F833D6">
              <w:rPr>
                <w:b/>
              </w:rPr>
              <w:lastRenderedPageBreak/>
              <w:t>Ņemts vērā</w:t>
            </w:r>
          </w:p>
          <w:p w14:paraId="0638B2EB" w14:textId="77777777" w:rsidR="00F833D6" w:rsidRDefault="00F833D6" w:rsidP="00D137E7">
            <w:pPr>
              <w:pStyle w:val="naisc"/>
              <w:spacing w:before="0" w:after="0"/>
              <w:rPr>
                <w:b/>
              </w:rPr>
            </w:pPr>
          </w:p>
          <w:p w14:paraId="0DDB29AA" w14:textId="32D81609" w:rsidR="00F833D6" w:rsidRPr="00F833D6" w:rsidRDefault="00F833D6" w:rsidP="00D137E7">
            <w:pPr>
              <w:pStyle w:val="naisc"/>
              <w:spacing w:before="0" w:after="0"/>
            </w:pPr>
            <w:r w:rsidRPr="00F833D6">
              <w:t>Precizēts noteikumu projekta 3. un 4. punkts</w:t>
            </w:r>
          </w:p>
        </w:tc>
        <w:tc>
          <w:tcPr>
            <w:tcW w:w="2835" w:type="dxa"/>
            <w:tcBorders>
              <w:top w:val="single" w:sz="4" w:space="0" w:color="auto"/>
              <w:left w:val="single" w:sz="4" w:space="0" w:color="auto"/>
              <w:bottom w:val="single" w:sz="4" w:space="0" w:color="auto"/>
            </w:tcBorders>
            <w:shd w:val="clear" w:color="auto" w:fill="auto"/>
          </w:tcPr>
          <w:p w14:paraId="0E6CC1F4" w14:textId="77777777" w:rsidR="002D45FD" w:rsidRDefault="002D45FD" w:rsidP="0038373E">
            <w:pPr>
              <w:jc w:val="both"/>
            </w:pPr>
          </w:p>
          <w:p w14:paraId="2BDA26C4" w14:textId="32735ABD" w:rsidR="005E58F6" w:rsidRPr="00E13990" w:rsidRDefault="0038373E" w:rsidP="0038373E">
            <w:pPr>
              <w:jc w:val="both"/>
            </w:pPr>
            <w:r w:rsidRPr="0038373E">
              <w:t xml:space="preserve">3. Lai personu reģistrētu darbībai ar 2. kategorijas prekursoriem (turpmāk – reģistrācija), prekursoru operators un prekursoru lietotājs iesniedz aģentūrā iesniegumu. Iesniegumā norāda informāciju saskaņā </w:t>
            </w:r>
            <w:r w:rsidRPr="0038373E">
              <w:lastRenderedPageBreak/>
              <w:t>ar regulas Nr. 2015/1011 5. panta 2. un 4. punktu.</w:t>
            </w:r>
          </w:p>
        </w:tc>
      </w:tr>
      <w:tr w:rsidR="00954320" w:rsidRPr="00712B66" w14:paraId="0438EF9D" w14:textId="77777777" w:rsidTr="009F0876">
        <w:tc>
          <w:tcPr>
            <w:tcW w:w="708" w:type="dxa"/>
            <w:tcBorders>
              <w:left w:val="single" w:sz="6" w:space="0" w:color="000000"/>
              <w:bottom w:val="single" w:sz="4" w:space="0" w:color="auto"/>
              <w:right w:val="single" w:sz="6" w:space="0" w:color="000000"/>
            </w:tcBorders>
          </w:tcPr>
          <w:p w14:paraId="487F7892" w14:textId="77777777" w:rsidR="00954320" w:rsidRPr="00E13990" w:rsidRDefault="00954320" w:rsidP="00D137E7">
            <w:pPr>
              <w:pStyle w:val="naisc"/>
              <w:spacing w:before="0" w:after="0"/>
            </w:pPr>
          </w:p>
          <w:p w14:paraId="289BEC29" w14:textId="0148FC2E" w:rsidR="006D2334" w:rsidRPr="00E13990" w:rsidRDefault="006D2334" w:rsidP="00D137E7">
            <w:pPr>
              <w:pStyle w:val="naisc"/>
              <w:spacing w:before="0" w:after="0"/>
            </w:pPr>
            <w:r w:rsidRPr="00E13990">
              <w:t>2</w:t>
            </w:r>
            <w:r w:rsidR="00050B1F">
              <w:t>2</w:t>
            </w:r>
            <w:r w:rsidRPr="00E13990">
              <w:t>.</w:t>
            </w:r>
          </w:p>
        </w:tc>
        <w:tc>
          <w:tcPr>
            <w:tcW w:w="2545" w:type="dxa"/>
            <w:gridSpan w:val="2"/>
            <w:tcBorders>
              <w:left w:val="single" w:sz="6" w:space="0" w:color="000000"/>
              <w:bottom w:val="single" w:sz="4" w:space="0" w:color="auto"/>
              <w:right w:val="single" w:sz="6" w:space="0" w:color="000000"/>
            </w:tcBorders>
          </w:tcPr>
          <w:p w14:paraId="3D08EB94" w14:textId="77777777" w:rsidR="00954320" w:rsidRPr="00E13990" w:rsidRDefault="00954320" w:rsidP="006D2334">
            <w:pPr>
              <w:pStyle w:val="naisc"/>
              <w:spacing w:before="0" w:after="0"/>
              <w:jc w:val="left"/>
            </w:pPr>
          </w:p>
          <w:p w14:paraId="1A4261D0" w14:textId="77777777" w:rsidR="006D2334" w:rsidRPr="00E13990" w:rsidRDefault="006D2334" w:rsidP="00930A92">
            <w:pPr>
              <w:pStyle w:val="naisc"/>
              <w:jc w:val="both"/>
            </w:pPr>
            <w:r w:rsidRPr="00E13990">
              <w:t>4. Darbībai ar 2. un 3. kategorijas prekursoriem papildus Eiropas Parlamenta un Padomes 2004. gada 11. februāra regulas (EK) Nr. 273/2004 par narkotisko vielu prekursoriem (turpmāk − regula Nr. 273/2004) 3. panta 6. punktā noteiktajam reģistrējas arī:</w:t>
            </w:r>
          </w:p>
          <w:p w14:paraId="7FAF2241" w14:textId="77777777" w:rsidR="006D2334" w:rsidRPr="00E13990" w:rsidRDefault="006D2334" w:rsidP="00930A92">
            <w:pPr>
              <w:pStyle w:val="naisc"/>
              <w:jc w:val="both"/>
            </w:pPr>
            <w:r w:rsidRPr="00E13990">
              <w:t xml:space="preserve">4.1. prekursoru operators, kurš ir iesaistīts Padomes 2004. gada 22. decembra Regulas (EK) Nr. 111/2005, ar ko paredz noteikumus par uzraudzību attiecībā uz narkotisko vielu prekursoru tirdzniecību starp Kopienu un trešajām valstīm (turpmāk – regula Nr. 111/2005) pielikuma 3. kategorijā uzskaitīto </w:t>
            </w:r>
            <w:r w:rsidRPr="00E13990">
              <w:lastRenderedPageBreak/>
              <w:t>prekursoru eksportā, ja kopējais to eksportētais daudzums iepriekšējā kalendārajā gadā pārsniedz regulas 2015/1011 1. pielikumā noteiktos daudzumus.</w:t>
            </w:r>
          </w:p>
          <w:p w14:paraId="7CC21291" w14:textId="77777777" w:rsidR="006D2334" w:rsidRPr="00E13990" w:rsidRDefault="006D2334" w:rsidP="00930A92">
            <w:pPr>
              <w:pStyle w:val="naisc"/>
              <w:spacing w:before="0" w:after="0"/>
              <w:jc w:val="both"/>
            </w:pPr>
            <w:r w:rsidRPr="00E13990">
              <w:t>4.2. prekursoru operators, kurš ir iesaistīts tādu maisījumu eksportā, kuri satur regulas Nr. 111/2005 pielikuma 3. kategorijā uzskaitītos prekursorus, ja maisījumos ietvertais kopējais prekursoru daudzums iepriekšējā kalendārajā gadā pārsniedz regulas 2015/1011 1. pielikumā noteiktos daudzumus.</w:t>
            </w:r>
          </w:p>
          <w:p w14:paraId="00BF98DF" w14:textId="2E097CE3" w:rsidR="006D2334" w:rsidRPr="00E13990" w:rsidRDefault="006D2334" w:rsidP="006D2334">
            <w:pPr>
              <w:pStyle w:val="naisc"/>
              <w:spacing w:before="0" w:after="0"/>
              <w:jc w:val="left"/>
            </w:pPr>
          </w:p>
        </w:tc>
        <w:tc>
          <w:tcPr>
            <w:tcW w:w="4961" w:type="dxa"/>
            <w:tcBorders>
              <w:left w:val="single" w:sz="6" w:space="0" w:color="000000"/>
              <w:bottom w:val="single" w:sz="4" w:space="0" w:color="auto"/>
              <w:right w:val="single" w:sz="6" w:space="0" w:color="000000"/>
            </w:tcBorders>
          </w:tcPr>
          <w:p w14:paraId="3151A57F" w14:textId="6E05A302" w:rsidR="00954320" w:rsidRPr="00E13990" w:rsidRDefault="00954320" w:rsidP="00D137E7">
            <w:pPr>
              <w:pStyle w:val="naisc"/>
              <w:spacing w:before="0" w:after="0"/>
              <w:rPr>
                <w:b/>
              </w:rPr>
            </w:pPr>
          </w:p>
          <w:p w14:paraId="37292924" w14:textId="77777777" w:rsidR="00A2576A" w:rsidRPr="00E13990" w:rsidRDefault="00A2576A" w:rsidP="00A2576A">
            <w:pPr>
              <w:pStyle w:val="naisc"/>
              <w:spacing w:before="0" w:after="0"/>
              <w:rPr>
                <w:b/>
              </w:rPr>
            </w:pPr>
            <w:r w:rsidRPr="00E13990">
              <w:rPr>
                <w:b/>
              </w:rPr>
              <w:t>Tieslietu ministrija</w:t>
            </w:r>
          </w:p>
          <w:p w14:paraId="411C1635" w14:textId="77777777" w:rsidR="00A2576A" w:rsidRPr="00E13990" w:rsidRDefault="00A2576A" w:rsidP="00A2576A">
            <w:pPr>
              <w:pStyle w:val="naisc"/>
              <w:spacing w:before="0" w:after="0"/>
              <w:rPr>
                <w:b/>
              </w:rPr>
            </w:pPr>
          </w:p>
          <w:p w14:paraId="694B83ED" w14:textId="6D8CB7B5" w:rsidR="00A2576A" w:rsidRPr="00E13990" w:rsidRDefault="00A2576A" w:rsidP="00A2576A">
            <w:pPr>
              <w:pStyle w:val="naisc"/>
              <w:spacing w:before="0" w:after="0"/>
              <w:jc w:val="both"/>
              <w:rPr>
                <w:b/>
              </w:rPr>
            </w:pPr>
            <w:r w:rsidRPr="00E13990">
              <w:t xml:space="preserve">08.10.2019. </w:t>
            </w:r>
            <w:proofErr w:type="spellStart"/>
            <w:r w:rsidRPr="00E13990">
              <w:t>starpministriju</w:t>
            </w:r>
            <w:proofErr w:type="spellEnd"/>
            <w:r w:rsidRPr="00E13990">
              <w:t xml:space="preserve"> saskaņošanas sanāksmē izteiktais iebildums:</w:t>
            </w:r>
          </w:p>
          <w:p w14:paraId="571AB89C" w14:textId="77777777" w:rsidR="00A2576A" w:rsidRPr="00E13990" w:rsidRDefault="00A2576A" w:rsidP="00D137E7">
            <w:pPr>
              <w:pStyle w:val="naisc"/>
              <w:spacing w:before="0" w:after="0"/>
              <w:rPr>
                <w:b/>
              </w:rPr>
            </w:pPr>
          </w:p>
          <w:p w14:paraId="67FD008C" w14:textId="2CFC39C4" w:rsidR="00497810" w:rsidRPr="00E13990" w:rsidRDefault="00A2576A" w:rsidP="00497810">
            <w:pPr>
              <w:pStyle w:val="naisc"/>
              <w:spacing w:before="0" w:after="0"/>
              <w:jc w:val="both"/>
            </w:pPr>
            <w:r w:rsidRPr="00E13990">
              <w:t>P</w:t>
            </w:r>
            <w:r w:rsidR="00497810" w:rsidRPr="00E13990">
              <w:t>rojekta 4.punkts neatbilst</w:t>
            </w:r>
            <w:r w:rsidRPr="00E13990">
              <w:t xml:space="preserve"> likumā dotajam</w:t>
            </w:r>
            <w:r w:rsidR="00497810" w:rsidRPr="00E13990">
              <w:t xml:space="preserve"> pilnvarojumam</w:t>
            </w:r>
            <w:r w:rsidRPr="00E13990">
              <w:t xml:space="preserve"> Ministru kabinetam</w:t>
            </w:r>
            <w:r w:rsidR="00497810" w:rsidRPr="00E13990">
              <w:t>, jo tas paredz pienākumu reģistrēties</w:t>
            </w:r>
            <w:r w:rsidRPr="00E13990">
              <w:t xml:space="preserve"> noteiktām personām – tas iziet ārpus jēdziena “kārtība” un ir </w:t>
            </w:r>
            <w:proofErr w:type="spellStart"/>
            <w:r w:rsidRPr="00E13990">
              <w:t>materiāltiesiska</w:t>
            </w:r>
            <w:proofErr w:type="spellEnd"/>
            <w:r w:rsidRPr="00E13990">
              <w:t xml:space="preserve"> norma</w:t>
            </w:r>
            <w:r w:rsidR="00497810" w:rsidRPr="00E13990">
              <w:t>.</w:t>
            </w:r>
            <w:r w:rsidR="00E005A1" w:rsidRPr="00E13990">
              <w:t xml:space="preserve"> Lai varētu projektā iekļaut </w:t>
            </w:r>
            <w:proofErr w:type="spellStart"/>
            <w:r w:rsidR="00E005A1" w:rsidRPr="00E13990">
              <w:t>materiāltiesiskas</w:t>
            </w:r>
            <w:proofErr w:type="spellEnd"/>
            <w:r w:rsidR="00E005A1" w:rsidRPr="00E13990">
              <w:t xml:space="preserve"> normas, tam ir tieši jābūt paredzētam likumā dotajā pilnvarojumā.</w:t>
            </w:r>
            <w:r w:rsidR="00497810" w:rsidRPr="00E13990">
              <w:t xml:space="preserve"> Tādēļ </w:t>
            </w:r>
            <w:r w:rsidRPr="00E13990">
              <w:t>projekta 4.punkts</w:t>
            </w:r>
            <w:r w:rsidR="00497810" w:rsidRPr="00E13990">
              <w:t xml:space="preserve"> ir jāsvītro.</w:t>
            </w:r>
            <w:r w:rsidR="00E005A1" w:rsidRPr="00E13990">
              <w:t xml:space="preserve"> </w:t>
            </w:r>
            <w:r w:rsidR="00A52557" w:rsidRPr="00E13990">
              <w:t>Vai arī projekta 4. un 5.punkts ir jāapvieno, lai radītu procesuālo normu, kas atbilstu dotajam deleģējumam.</w:t>
            </w:r>
          </w:p>
          <w:p w14:paraId="4A4F870E" w14:textId="77777777" w:rsidR="00497810" w:rsidRPr="00E13990" w:rsidRDefault="00497810" w:rsidP="00D137E7">
            <w:pPr>
              <w:pStyle w:val="naisc"/>
              <w:spacing w:before="0" w:after="0"/>
              <w:rPr>
                <w:b/>
              </w:rPr>
            </w:pPr>
          </w:p>
          <w:p w14:paraId="51584A6C" w14:textId="2446C710" w:rsidR="00497810" w:rsidRPr="00E13990" w:rsidRDefault="00497810" w:rsidP="00D137E7">
            <w:pPr>
              <w:pStyle w:val="naisc"/>
              <w:spacing w:before="0" w:after="0"/>
              <w:rPr>
                <w:b/>
              </w:rPr>
            </w:pPr>
          </w:p>
        </w:tc>
        <w:tc>
          <w:tcPr>
            <w:tcW w:w="2977" w:type="dxa"/>
            <w:gridSpan w:val="2"/>
            <w:tcBorders>
              <w:left w:val="single" w:sz="6" w:space="0" w:color="000000"/>
              <w:bottom w:val="single" w:sz="4" w:space="0" w:color="auto"/>
              <w:right w:val="single" w:sz="6" w:space="0" w:color="000000"/>
            </w:tcBorders>
          </w:tcPr>
          <w:p w14:paraId="3722E407" w14:textId="51F1E16B" w:rsidR="00954320" w:rsidRPr="00E13990" w:rsidRDefault="00954320" w:rsidP="00D137E7">
            <w:pPr>
              <w:pStyle w:val="naisc"/>
              <w:spacing w:before="0" w:after="0"/>
            </w:pPr>
          </w:p>
          <w:p w14:paraId="488F797A" w14:textId="577FF754" w:rsidR="00A2576A" w:rsidRPr="00E13990" w:rsidRDefault="0038373E" w:rsidP="00D137E7">
            <w:pPr>
              <w:pStyle w:val="naisc"/>
              <w:spacing w:before="0" w:after="0"/>
            </w:pPr>
            <w:r>
              <w:rPr>
                <w:b/>
              </w:rPr>
              <w:t>Ņemts vērā</w:t>
            </w:r>
          </w:p>
          <w:p w14:paraId="432BFFE8" w14:textId="634037F1" w:rsidR="00A2576A" w:rsidRPr="00E13990" w:rsidRDefault="00A2576A" w:rsidP="00930A92">
            <w:pPr>
              <w:pStyle w:val="naisc"/>
              <w:spacing w:before="0" w:after="0"/>
              <w:jc w:val="both"/>
            </w:pPr>
          </w:p>
        </w:tc>
        <w:tc>
          <w:tcPr>
            <w:tcW w:w="2835" w:type="dxa"/>
            <w:tcBorders>
              <w:top w:val="single" w:sz="4" w:space="0" w:color="auto"/>
              <w:left w:val="single" w:sz="4" w:space="0" w:color="auto"/>
              <w:bottom w:val="single" w:sz="4" w:space="0" w:color="auto"/>
            </w:tcBorders>
          </w:tcPr>
          <w:p w14:paraId="0EB88167" w14:textId="77777777" w:rsidR="006D2334" w:rsidRPr="00E13990" w:rsidRDefault="006D2334" w:rsidP="0038373E"/>
          <w:p w14:paraId="1952BCCE" w14:textId="77777777" w:rsidR="0038373E" w:rsidRDefault="0038373E" w:rsidP="0038373E">
            <w:pPr>
              <w:jc w:val="both"/>
            </w:pPr>
            <w:r>
              <w:t>4. Prekursoru operators, kurš:</w:t>
            </w:r>
          </w:p>
          <w:p w14:paraId="1621E2E3" w14:textId="77777777" w:rsidR="0038373E" w:rsidRDefault="0038373E" w:rsidP="0038373E">
            <w:pPr>
              <w:jc w:val="both"/>
            </w:pPr>
            <w:r>
              <w:t>4.1. ir iesaistīts Padomes 2004. gada 22. decembra Regulas (EK) Nr. 111/2005, ar ko paredz noteikumus par uzraudzību attiecībā uz narkotisko vielu prekursoru tirdzniecību starp Kopienu un trešajām valstīm (turpmāk – regula Nr. 111/2005) pielikuma 3. kategorijā uzskaitīto prekursoru eksportā, reģistrējas darbībai ar 2. kategorijas prekursoriem, nekavējoties iesniedzot aģentūrā šo noteikumu 3. punktā minēto reģistrācijas iesniegumu pēc tam, kad kārtējā kalendārajā gadā eksportētās vielas daudzums pārsniedz regulas 2015/1011 1. pielikumā noteikto daudzumu;</w:t>
            </w:r>
          </w:p>
          <w:p w14:paraId="0A053117" w14:textId="2D09CCD9" w:rsidR="006D2334" w:rsidRPr="00E13990" w:rsidRDefault="0038373E" w:rsidP="0038373E">
            <w:pPr>
              <w:jc w:val="both"/>
            </w:pPr>
            <w:r>
              <w:lastRenderedPageBreak/>
              <w:t>4.2. ir iesaistīts tādu maisījumu eksportā, kuri satur regulas Nr. 111/2005 pielikuma 3. kategorijā uzskaitītos prekursorus, reģistrējas darbībai ar 2. kategorijas prekursoriem, nekavējoties iesniedzot aģentūrā šo noteikumu 3. punktā minēto reģistrācijas iesniegumu pēc tam, kad maisījumos ietvertais kopējais eksportēto 3. kategorijas prekursoru daudzums kalendārajā gadā pārsniedz regulas 2015/1011 1. pielikumā noteiktos daudzumus.</w:t>
            </w:r>
          </w:p>
        </w:tc>
      </w:tr>
      <w:tr w:rsidR="00954320" w:rsidRPr="00712B66" w14:paraId="78683236" w14:textId="77777777" w:rsidTr="009F0876">
        <w:tc>
          <w:tcPr>
            <w:tcW w:w="708" w:type="dxa"/>
            <w:tcBorders>
              <w:left w:val="single" w:sz="6" w:space="0" w:color="000000"/>
              <w:bottom w:val="single" w:sz="4" w:space="0" w:color="auto"/>
              <w:right w:val="single" w:sz="6" w:space="0" w:color="000000"/>
            </w:tcBorders>
          </w:tcPr>
          <w:p w14:paraId="375014F1" w14:textId="77777777" w:rsidR="00954320" w:rsidRPr="00E13990" w:rsidRDefault="00954320" w:rsidP="00D137E7">
            <w:pPr>
              <w:pStyle w:val="naisc"/>
              <w:spacing w:before="0" w:after="0"/>
            </w:pPr>
          </w:p>
          <w:p w14:paraId="1651E093" w14:textId="7D1B77E6" w:rsidR="006D52FA" w:rsidRPr="00E13990" w:rsidRDefault="006D52FA" w:rsidP="00D137E7">
            <w:pPr>
              <w:pStyle w:val="naisc"/>
              <w:spacing w:before="0" w:after="0"/>
            </w:pPr>
            <w:r w:rsidRPr="00E13990">
              <w:t>2</w:t>
            </w:r>
            <w:r w:rsidR="00050B1F">
              <w:t>3</w:t>
            </w:r>
            <w:r w:rsidRPr="00E13990">
              <w:t>.</w:t>
            </w:r>
          </w:p>
        </w:tc>
        <w:tc>
          <w:tcPr>
            <w:tcW w:w="2545" w:type="dxa"/>
            <w:gridSpan w:val="2"/>
            <w:tcBorders>
              <w:left w:val="single" w:sz="6" w:space="0" w:color="000000"/>
              <w:bottom w:val="single" w:sz="4" w:space="0" w:color="auto"/>
              <w:right w:val="single" w:sz="6" w:space="0" w:color="000000"/>
            </w:tcBorders>
          </w:tcPr>
          <w:p w14:paraId="6C482707" w14:textId="77777777" w:rsidR="002D45FD" w:rsidRDefault="002D45FD" w:rsidP="00930A92">
            <w:pPr>
              <w:pStyle w:val="naisc"/>
              <w:jc w:val="both"/>
            </w:pPr>
          </w:p>
          <w:p w14:paraId="59D67CB8" w14:textId="7D597771" w:rsidR="008F6509" w:rsidRPr="00E13990" w:rsidRDefault="008F6509" w:rsidP="00930A92">
            <w:pPr>
              <w:pStyle w:val="naisc"/>
              <w:jc w:val="both"/>
            </w:pPr>
            <w:r w:rsidRPr="00E13990">
              <w:t xml:space="preserve">10. Prekursoru operatori un prekursoru lietotāji, kuri lieto 1. un 2.A kategorijas prekursorus, 15 dienu laikā pēc katra ceturkšņa beigām elektroniskā formā iesniedz aģentūrā </w:t>
            </w:r>
            <w:r w:rsidRPr="00E13990">
              <w:lastRenderedPageBreak/>
              <w:t>informāciju par prekursoru apriti pagājušajā ceturksnī, norādot:</w:t>
            </w:r>
          </w:p>
          <w:p w14:paraId="147B8520" w14:textId="77777777" w:rsidR="008F6509" w:rsidRPr="00E13990" w:rsidRDefault="008F6509" w:rsidP="00930A92">
            <w:pPr>
              <w:pStyle w:val="naisc"/>
              <w:jc w:val="both"/>
            </w:pPr>
            <w:r w:rsidRPr="00E13990">
              <w:t>10.1. par saņemtajiem prekursoriem:</w:t>
            </w:r>
          </w:p>
          <w:p w14:paraId="61AECDC7" w14:textId="77777777" w:rsidR="008F6509" w:rsidRPr="00E13990" w:rsidRDefault="008F6509" w:rsidP="00930A92">
            <w:pPr>
              <w:pStyle w:val="naisc"/>
              <w:jc w:val="both"/>
            </w:pPr>
            <w:r w:rsidRPr="00E13990">
              <w:t>10.1.1. nosaukumu;</w:t>
            </w:r>
          </w:p>
          <w:p w14:paraId="0A192B21" w14:textId="77777777" w:rsidR="008F6509" w:rsidRPr="00E13990" w:rsidRDefault="008F6509" w:rsidP="00930A92">
            <w:pPr>
              <w:pStyle w:val="naisc"/>
              <w:jc w:val="both"/>
            </w:pPr>
            <w:r w:rsidRPr="00E13990">
              <w:t>10.1.2. kombinētās nomenklatūras (KN) kodu;</w:t>
            </w:r>
          </w:p>
          <w:p w14:paraId="029850AE" w14:textId="77777777" w:rsidR="008F6509" w:rsidRPr="00E13990" w:rsidRDefault="008F6509" w:rsidP="00930A92">
            <w:pPr>
              <w:pStyle w:val="naisc"/>
              <w:jc w:val="both"/>
            </w:pPr>
            <w:r w:rsidRPr="00E13990">
              <w:t xml:space="preserve">10.1.3. ķīmisko vielu reģistra Chemical </w:t>
            </w:r>
            <w:proofErr w:type="spellStart"/>
            <w:r w:rsidRPr="00E13990">
              <w:t>Abstracts</w:t>
            </w:r>
            <w:proofErr w:type="spellEnd"/>
            <w:r w:rsidRPr="00E13990">
              <w:t xml:space="preserve"> </w:t>
            </w:r>
            <w:proofErr w:type="spellStart"/>
            <w:r w:rsidRPr="00E13990">
              <w:t>Service</w:t>
            </w:r>
            <w:proofErr w:type="spellEnd"/>
            <w:r w:rsidRPr="00E13990">
              <w:t xml:space="preserve"> (CAS) numuru;</w:t>
            </w:r>
          </w:p>
          <w:p w14:paraId="285BE5D3" w14:textId="77777777" w:rsidR="008F6509" w:rsidRPr="00E13990" w:rsidRDefault="008F6509" w:rsidP="00930A92">
            <w:pPr>
              <w:pStyle w:val="naisc"/>
              <w:jc w:val="both"/>
            </w:pPr>
            <w:r w:rsidRPr="00E13990">
              <w:t>10.1.4. daudzumu;</w:t>
            </w:r>
          </w:p>
          <w:p w14:paraId="688C957C" w14:textId="77777777" w:rsidR="008F6509" w:rsidRPr="00E13990" w:rsidRDefault="008F6509" w:rsidP="00930A92">
            <w:pPr>
              <w:pStyle w:val="naisc"/>
              <w:jc w:val="both"/>
            </w:pPr>
            <w:r w:rsidRPr="00E13990">
              <w:t>10.1.5. piegādātāja datus (fiziskās personas vārds, uzvārds, personas kods, juridiskās personas nosaukums, reģistrācijas numurs un juridiskā adrese);</w:t>
            </w:r>
          </w:p>
          <w:p w14:paraId="744FB1FA" w14:textId="77777777" w:rsidR="008F6509" w:rsidRPr="00E13990" w:rsidRDefault="008F6509" w:rsidP="00930A92">
            <w:pPr>
              <w:pStyle w:val="naisc"/>
              <w:jc w:val="both"/>
            </w:pPr>
            <w:r w:rsidRPr="00E13990">
              <w:t>10.2. par piegādātajiem prekursoriem:</w:t>
            </w:r>
          </w:p>
          <w:p w14:paraId="306BAE4B" w14:textId="77777777" w:rsidR="008F6509" w:rsidRPr="00E13990" w:rsidRDefault="008F6509" w:rsidP="00930A92">
            <w:pPr>
              <w:pStyle w:val="naisc"/>
              <w:jc w:val="both"/>
            </w:pPr>
            <w:r w:rsidRPr="00E13990">
              <w:t>10.2.1. nosaukumu;</w:t>
            </w:r>
          </w:p>
          <w:p w14:paraId="2E0A516F" w14:textId="77777777" w:rsidR="008F6509" w:rsidRPr="00E13990" w:rsidRDefault="008F6509" w:rsidP="00930A92">
            <w:pPr>
              <w:pStyle w:val="naisc"/>
              <w:jc w:val="both"/>
            </w:pPr>
            <w:r w:rsidRPr="00E13990">
              <w:t>10.2.2. KN kodu;</w:t>
            </w:r>
          </w:p>
          <w:p w14:paraId="5CE2CF29" w14:textId="77777777" w:rsidR="008F6509" w:rsidRPr="00E13990" w:rsidRDefault="008F6509" w:rsidP="00930A92">
            <w:pPr>
              <w:pStyle w:val="naisc"/>
              <w:jc w:val="both"/>
            </w:pPr>
            <w:r w:rsidRPr="00E13990">
              <w:t xml:space="preserve">10.2.3. CAS kodu;  </w:t>
            </w:r>
          </w:p>
          <w:p w14:paraId="04324ECF" w14:textId="77777777" w:rsidR="008F6509" w:rsidRPr="00E13990" w:rsidRDefault="008F6509" w:rsidP="00930A92">
            <w:pPr>
              <w:pStyle w:val="naisc"/>
              <w:jc w:val="both"/>
            </w:pPr>
            <w:r w:rsidRPr="00E13990">
              <w:t>10.2.4. daudzumu;</w:t>
            </w:r>
          </w:p>
          <w:p w14:paraId="190618CB" w14:textId="77777777" w:rsidR="008F6509" w:rsidRPr="00E13990" w:rsidRDefault="008F6509" w:rsidP="00930A92">
            <w:pPr>
              <w:pStyle w:val="naisc"/>
              <w:jc w:val="both"/>
            </w:pPr>
            <w:r w:rsidRPr="00E13990">
              <w:t xml:space="preserve">10.2.5. saņēmēja datus (fiziskās personas vārds, </w:t>
            </w:r>
            <w:r w:rsidRPr="00E13990">
              <w:lastRenderedPageBreak/>
              <w:t>uzvārds, personas kods, juridiskās personas nosaukums, reģistrācijas numurs un juridiskā adrese);</w:t>
            </w:r>
          </w:p>
          <w:p w14:paraId="19F1E310" w14:textId="77777777" w:rsidR="008F6509" w:rsidRPr="00E13990" w:rsidRDefault="008F6509" w:rsidP="00930A92">
            <w:pPr>
              <w:pStyle w:val="naisc"/>
              <w:jc w:val="both"/>
            </w:pPr>
            <w:r w:rsidRPr="00E13990">
              <w:t>10.3. par izlietotajiem prekursoriem:</w:t>
            </w:r>
          </w:p>
          <w:p w14:paraId="6FA0A2F1" w14:textId="77777777" w:rsidR="008F6509" w:rsidRPr="00E13990" w:rsidRDefault="008F6509" w:rsidP="00930A92">
            <w:pPr>
              <w:pStyle w:val="naisc"/>
              <w:jc w:val="both"/>
            </w:pPr>
            <w:r w:rsidRPr="00E13990">
              <w:t>10.3.1. nosaukumu;</w:t>
            </w:r>
          </w:p>
          <w:p w14:paraId="0097F85B" w14:textId="77777777" w:rsidR="008F6509" w:rsidRPr="00E13990" w:rsidRDefault="008F6509" w:rsidP="00930A92">
            <w:pPr>
              <w:pStyle w:val="naisc"/>
              <w:jc w:val="both"/>
            </w:pPr>
            <w:r w:rsidRPr="00E13990">
              <w:t>10.3.2. KN kodu;</w:t>
            </w:r>
          </w:p>
          <w:p w14:paraId="611F77D3" w14:textId="77777777" w:rsidR="008F6509" w:rsidRPr="00E13990" w:rsidRDefault="008F6509" w:rsidP="00930A92">
            <w:pPr>
              <w:pStyle w:val="naisc"/>
              <w:jc w:val="both"/>
            </w:pPr>
            <w:r w:rsidRPr="00E13990">
              <w:t>10.3.3. CAS kodu;</w:t>
            </w:r>
          </w:p>
          <w:p w14:paraId="0F44BF69" w14:textId="77777777" w:rsidR="008F6509" w:rsidRPr="00E13990" w:rsidRDefault="008F6509" w:rsidP="00930A92">
            <w:pPr>
              <w:pStyle w:val="naisc"/>
              <w:jc w:val="both"/>
            </w:pPr>
            <w:r w:rsidRPr="00E13990">
              <w:t>10.3.4. daudzumu;</w:t>
            </w:r>
          </w:p>
          <w:p w14:paraId="4E3950D1" w14:textId="77777777" w:rsidR="00954320" w:rsidRPr="00E13990" w:rsidRDefault="008F6509" w:rsidP="00930A92">
            <w:pPr>
              <w:pStyle w:val="naisc"/>
              <w:spacing w:before="0" w:after="0"/>
              <w:jc w:val="both"/>
            </w:pPr>
            <w:r w:rsidRPr="00E13990">
              <w:t>10.3.5. izlietošanas nolūku.</w:t>
            </w:r>
          </w:p>
          <w:p w14:paraId="5E212E82" w14:textId="54369D31" w:rsidR="0077467D" w:rsidRPr="00E13990" w:rsidRDefault="0077467D" w:rsidP="008F6509">
            <w:pPr>
              <w:pStyle w:val="naisc"/>
              <w:spacing w:before="0" w:after="0"/>
              <w:jc w:val="left"/>
            </w:pPr>
          </w:p>
        </w:tc>
        <w:tc>
          <w:tcPr>
            <w:tcW w:w="4961" w:type="dxa"/>
            <w:tcBorders>
              <w:left w:val="single" w:sz="6" w:space="0" w:color="000000"/>
              <w:bottom w:val="single" w:sz="4" w:space="0" w:color="auto"/>
              <w:right w:val="single" w:sz="6" w:space="0" w:color="000000"/>
            </w:tcBorders>
          </w:tcPr>
          <w:p w14:paraId="0C50DCB9" w14:textId="23EDD2E3" w:rsidR="00954320" w:rsidRPr="00E13990" w:rsidRDefault="00954320" w:rsidP="00D137E7">
            <w:pPr>
              <w:pStyle w:val="naisc"/>
              <w:spacing w:before="0" w:after="0"/>
              <w:rPr>
                <w:b/>
              </w:rPr>
            </w:pPr>
          </w:p>
          <w:p w14:paraId="1E2B14FA" w14:textId="77777777" w:rsidR="00D27376" w:rsidRPr="00E13990" w:rsidRDefault="00D27376" w:rsidP="00D27376">
            <w:pPr>
              <w:pStyle w:val="naisc"/>
              <w:spacing w:before="0" w:after="0"/>
              <w:rPr>
                <w:b/>
              </w:rPr>
            </w:pPr>
            <w:r w:rsidRPr="00E13990">
              <w:rPr>
                <w:b/>
              </w:rPr>
              <w:t>Tieslietu ministrija</w:t>
            </w:r>
          </w:p>
          <w:p w14:paraId="75D08C1D" w14:textId="77777777" w:rsidR="00D27376" w:rsidRPr="00E13990" w:rsidRDefault="00D27376" w:rsidP="00D27376">
            <w:pPr>
              <w:pStyle w:val="naisc"/>
              <w:spacing w:before="0" w:after="0"/>
              <w:rPr>
                <w:b/>
              </w:rPr>
            </w:pPr>
          </w:p>
          <w:p w14:paraId="75C02262" w14:textId="5C9C37CF" w:rsidR="00D27376" w:rsidRPr="00E13990" w:rsidRDefault="00D27376" w:rsidP="00D27376">
            <w:pPr>
              <w:pStyle w:val="naisc"/>
              <w:spacing w:before="0" w:after="0"/>
              <w:rPr>
                <w:b/>
              </w:rPr>
            </w:pPr>
            <w:r w:rsidRPr="00E13990">
              <w:t xml:space="preserve">08.10.2019. </w:t>
            </w:r>
            <w:proofErr w:type="spellStart"/>
            <w:r w:rsidRPr="00E13990">
              <w:t>starpministriju</w:t>
            </w:r>
            <w:proofErr w:type="spellEnd"/>
            <w:r w:rsidRPr="00E13990">
              <w:t xml:space="preserve"> saskaņošanas sanāksmē izteiktais iebildums:</w:t>
            </w:r>
          </w:p>
          <w:p w14:paraId="37ED1AD4" w14:textId="77777777" w:rsidR="00D27376" w:rsidRPr="00E13990" w:rsidRDefault="00D27376" w:rsidP="00D137E7">
            <w:pPr>
              <w:pStyle w:val="naisc"/>
              <w:spacing w:before="0" w:after="0"/>
              <w:rPr>
                <w:b/>
              </w:rPr>
            </w:pPr>
          </w:p>
          <w:p w14:paraId="7B201F3C" w14:textId="4E32C807" w:rsidR="00D27376" w:rsidRPr="00E13990" w:rsidRDefault="00D27376" w:rsidP="00D27376">
            <w:pPr>
              <w:pStyle w:val="naisc"/>
              <w:jc w:val="both"/>
            </w:pPr>
            <w:r w:rsidRPr="00E13990">
              <w:t xml:space="preserve">Projekta 10.punkts attiecas uz prekursoru operatoriem un prekursoru lietotājiem, bet likumā Ministru kabinetam dotais deleģējums Narkotisko un psihotropo vielu un zāļu, kā arī prekursoru </w:t>
            </w:r>
            <w:r w:rsidRPr="00E13990">
              <w:lastRenderedPageBreak/>
              <w:t>likumīgās aprites likuma 42.</w:t>
            </w:r>
            <w:r w:rsidRPr="00E13990">
              <w:rPr>
                <w:vertAlign w:val="superscript"/>
              </w:rPr>
              <w:t>2</w:t>
            </w:r>
            <w:r w:rsidRPr="00E13990">
              <w:t xml:space="preserve"> panta otrajā daļā  ietver tikai prekursoru operatoru. Tādēļ prekursoru lietotāji būtu jāsvītro no projekta 10.punkta.</w:t>
            </w:r>
            <w:r w:rsidR="008F6509" w:rsidRPr="00E13990">
              <w:t xml:space="preserve"> Tāpat arī projekta 10.punktā būtu jāprecizē, vai ir CAS kods vai CAS numurs.</w:t>
            </w:r>
          </w:p>
          <w:p w14:paraId="3A021987" w14:textId="15305B02" w:rsidR="00D27376" w:rsidRPr="00E13990" w:rsidRDefault="00D27376" w:rsidP="00D137E7">
            <w:pPr>
              <w:pStyle w:val="naisc"/>
              <w:spacing w:before="0" w:after="0"/>
              <w:rPr>
                <w:b/>
              </w:rPr>
            </w:pPr>
          </w:p>
        </w:tc>
        <w:tc>
          <w:tcPr>
            <w:tcW w:w="2977" w:type="dxa"/>
            <w:gridSpan w:val="2"/>
            <w:tcBorders>
              <w:left w:val="single" w:sz="6" w:space="0" w:color="000000"/>
              <w:bottom w:val="single" w:sz="4" w:space="0" w:color="auto"/>
              <w:right w:val="single" w:sz="6" w:space="0" w:color="000000"/>
            </w:tcBorders>
          </w:tcPr>
          <w:p w14:paraId="45D28F84" w14:textId="77777777" w:rsidR="00954320" w:rsidRPr="00E13990" w:rsidRDefault="00954320" w:rsidP="00D137E7">
            <w:pPr>
              <w:pStyle w:val="naisc"/>
              <w:spacing w:before="0" w:after="0"/>
            </w:pPr>
          </w:p>
          <w:p w14:paraId="39D889C7" w14:textId="77777777" w:rsidR="008F6509" w:rsidRPr="00E13990" w:rsidRDefault="008F6509" w:rsidP="008F6509">
            <w:pPr>
              <w:pStyle w:val="naisc"/>
              <w:spacing w:before="0" w:after="0"/>
            </w:pPr>
            <w:r w:rsidRPr="00E13990">
              <w:rPr>
                <w:b/>
              </w:rPr>
              <w:t>Vienošanās panākta saskaņošanas sanāksmē</w:t>
            </w:r>
            <w:r w:rsidRPr="00E13990">
              <w:t xml:space="preserve"> </w:t>
            </w:r>
          </w:p>
          <w:p w14:paraId="7D9A23E2" w14:textId="28E07418" w:rsidR="008F6509" w:rsidRPr="00E13990" w:rsidRDefault="008F6509" w:rsidP="00D137E7">
            <w:pPr>
              <w:pStyle w:val="naisc"/>
              <w:spacing w:before="0" w:after="0"/>
            </w:pPr>
          </w:p>
        </w:tc>
        <w:tc>
          <w:tcPr>
            <w:tcW w:w="2835" w:type="dxa"/>
            <w:tcBorders>
              <w:top w:val="single" w:sz="4" w:space="0" w:color="auto"/>
              <w:left w:val="single" w:sz="4" w:space="0" w:color="auto"/>
              <w:bottom w:val="single" w:sz="4" w:space="0" w:color="auto"/>
            </w:tcBorders>
          </w:tcPr>
          <w:p w14:paraId="675AEDAF" w14:textId="77777777" w:rsidR="002D45FD" w:rsidRDefault="002D45FD" w:rsidP="0038373E">
            <w:pPr>
              <w:jc w:val="both"/>
            </w:pPr>
          </w:p>
          <w:p w14:paraId="2904AB7D" w14:textId="270E36D9" w:rsidR="0038373E" w:rsidRDefault="0038373E" w:rsidP="0038373E">
            <w:pPr>
              <w:jc w:val="both"/>
            </w:pPr>
            <w:r>
              <w:t xml:space="preserve">11. Ceturkšņa beigās prekursoru operatori, kuri veic darbības ar 1. un 2.A kategorijas prekursoriem, 15 dienu laikā, izmantojot aģentūras tīmekļvietnē pieejamo tiešsaistes formu, elektroniski izsniedz aģentūrā ceturkšņa </w:t>
            </w:r>
            <w:r>
              <w:lastRenderedPageBreak/>
              <w:t xml:space="preserve">pārskatu par prekursoru apriti. Pārskatā par katru prekursoru norāda šādu informāciju: </w:t>
            </w:r>
          </w:p>
          <w:p w14:paraId="33339FCB" w14:textId="77777777" w:rsidR="0038373E" w:rsidRDefault="0038373E" w:rsidP="0038373E">
            <w:pPr>
              <w:jc w:val="both"/>
            </w:pPr>
            <w:r>
              <w:t xml:space="preserve">11.1. nosaukumu, papildus norādot arī tās kombinētās nomenklatūras (CN) kodu un ķīmisko vielu reģistra (Chemical </w:t>
            </w:r>
            <w:proofErr w:type="spellStart"/>
            <w:r>
              <w:t>Abstracts</w:t>
            </w:r>
            <w:proofErr w:type="spellEnd"/>
            <w:r>
              <w:t xml:space="preserve"> </w:t>
            </w:r>
            <w:proofErr w:type="spellStart"/>
            <w:r>
              <w:t>Service</w:t>
            </w:r>
            <w:proofErr w:type="spellEnd"/>
            <w:r>
              <w:t xml:space="preserve"> (CAS)) kodu;</w:t>
            </w:r>
          </w:p>
          <w:p w14:paraId="5E86103A" w14:textId="77777777" w:rsidR="0038373E" w:rsidRDefault="0038373E" w:rsidP="0038373E">
            <w:pPr>
              <w:jc w:val="both"/>
            </w:pPr>
            <w:r>
              <w:t>11.2. atlikumu (daudzumu atbilstošā mērvienībā) ceturkšņa sākumā;</w:t>
            </w:r>
          </w:p>
          <w:p w14:paraId="582966F9" w14:textId="77777777" w:rsidR="0038373E" w:rsidRDefault="0038373E" w:rsidP="0038373E">
            <w:pPr>
              <w:jc w:val="both"/>
            </w:pPr>
            <w:r>
              <w:t>11.3. iegūto prekursoru daudzumu (atbilstošā mērvienībā) un informāciju par piegādātāju:</w:t>
            </w:r>
          </w:p>
          <w:p w14:paraId="4760397F" w14:textId="77777777" w:rsidR="0038373E" w:rsidRDefault="0038373E" w:rsidP="0038373E">
            <w:pPr>
              <w:jc w:val="both"/>
            </w:pPr>
            <w:r>
              <w:t>11.3.1. juridiskai personai – nosaukumu, reģistrācijas numuru un juridisko adresi;</w:t>
            </w:r>
          </w:p>
          <w:p w14:paraId="518A8B36" w14:textId="77777777" w:rsidR="0038373E" w:rsidRDefault="0038373E" w:rsidP="0038373E">
            <w:pPr>
              <w:jc w:val="both"/>
            </w:pPr>
            <w:r>
              <w:t>11.3.2. fiziskai personai – vārdu un uzvārdu, personas kodu un saimnieciskās darbības vietas vai deklarētās dzīvesvietas adresi;</w:t>
            </w:r>
          </w:p>
          <w:p w14:paraId="4B0B7ACC" w14:textId="77777777" w:rsidR="0038373E" w:rsidRDefault="0038373E" w:rsidP="0038373E">
            <w:pPr>
              <w:jc w:val="both"/>
            </w:pPr>
            <w:r>
              <w:t>11.4. izplatīto prekursoru daudzumu (atbilstošā mērvienībā) un informāciju par ieguvēju:</w:t>
            </w:r>
          </w:p>
          <w:p w14:paraId="1272B855" w14:textId="77777777" w:rsidR="0038373E" w:rsidRDefault="0038373E" w:rsidP="0038373E">
            <w:pPr>
              <w:jc w:val="both"/>
            </w:pPr>
            <w:r>
              <w:t>11.4.1. juridiskai personai – nosaukumu, reģistrācijas numuru un juridisko adresi;</w:t>
            </w:r>
          </w:p>
          <w:p w14:paraId="56164EA6" w14:textId="77777777" w:rsidR="0038373E" w:rsidRDefault="0038373E" w:rsidP="0038373E">
            <w:pPr>
              <w:jc w:val="both"/>
            </w:pPr>
            <w:r>
              <w:lastRenderedPageBreak/>
              <w:t>11.4.2. fiziskai personai – vārdu un uzvārdu, personas kodu un saimnieciskās</w:t>
            </w:r>
          </w:p>
          <w:p w14:paraId="30D411DE" w14:textId="77777777" w:rsidR="0038373E" w:rsidRDefault="0038373E" w:rsidP="0038373E">
            <w:pPr>
              <w:jc w:val="both"/>
            </w:pPr>
            <w:r>
              <w:t>11.5. izlietoto prekursoru daudzumu (atbilstošā mērvienībā) un konkrētā apjoma izlietojuma mērķi;</w:t>
            </w:r>
          </w:p>
          <w:p w14:paraId="52BE4A23" w14:textId="77777777" w:rsidR="0038373E" w:rsidRDefault="0038373E" w:rsidP="0038373E">
            <w:pPr>
              <w:jc w:val="both"/>
            </w:pPr>
            <w:r>
              <w:t>11.6. iznīcināto prekursoru daudzumu (atbilstošā mērvienībā);</w:t>
            </w:r>
          </w:p>
          <w:p w14:paraId="692F0E68" w14:textId="77777777" w:rsidR="0038373E" w:rsidRDefault="0038373E" w:rsidP="0038373E">
            <w:pPr>
              <w:jc w:val="both"/>
            </w:pPr>
            <w:r>
              <w:t>11.7. atlikumu (daudzumu atbilstošā mērvienībā) ceturkšņa beigās.</w:t>
            </w:r>
          </w:p>
          <w:p w14:paraId="1D5F9F1F" w14:textId="5C2F98C5" w:rsidR="008F6509" w:rsidRPr="00E13990" w:rsidRDefault="008F6509" w:rsidP="00930A92">
            <w:pPr>
              <w:jc w:val="both"/>
            </w:pPr>
          </w:p>
        </w:tc>
      </w:tr>
      <w:tr w:rsidR="00954320" w:rsidRPr="00712B66" w14:paraId="33C7E650" w14:textId="77777777" w:rsidTr="009F0876">
        <w:tc>
          <w:tcPr>
            <w:tcW w:w="708" w:type="dxa"/>
            <w:tcBorders>
              <w:left w:val="single" w:sz="6" w:space="0" w:color="000000"/>
              <w:bottom w:val="single" w:sz="4" w:space="0" w:color="auto"/>
              <w:right w:val="single" w:sz="6" w:space="0" w:color="000000"/>
            </w:tcBorders>
          </w:tcPr>
          <w:p w14:paraId="1C671EB0" w14:textId="77777777" w:rsidR="00954320" w:rsidRPr="00E13990" w:rsidRDefault="00954320" w:rsidP="00D137E7">
            <w:pPr>
              <w:pStyle w:val="naisc"/>
              <w:spacing w:before="0" w:after="0"/>
            </w:pPr>
          </w:p>
          <w:p w14:paraId="534B2AC7" w14:textId="52580465" w:rsidR="00BD6ADF" w:rsidRPr="00E13990" w:rsidRDefault="00BD6ADF" w:rsidP="00D137E7">
            <w:pPr>
              <w:pStyle w:val="naisc"/>
              <w:spacing w:before="0" w:after="0"/>
            </w:pPr>
            <w:r w:rsidRPr="00E13990">
              <w:t>2</w:t>
            </w:r>
            <w:r w:rsidR="00050B1F">
              <w:t>4</w:t>
            </w:r>
            <w:r w:rsidRPr="00E13990">
              <w:t>.</w:t>
            </w:r>
          </w:p>
        </w:tc>
        <w:tc>
          <w:tcPr>
            <w:tcW w:w="2545" w:type="dxa"/>
            <w:gridSpan w:val="2"/>
            <w:tcBorders>
              <w:left w:val="single" w:sz="6" w:space="0" w:color="000000"/>
              <w:bottom w:val="single" w:sz="4" w:space="0" w:color="auto"/>
              <w:right w:val="single" w:sz="6" w:space="0" w:color="000000"/>
            </w:tcBorders>
          </w:tcPr>
          <w:p w14:paraId="76D51B46" w14:textId="77777777" w:rsidR="0077467D" w:rsidRPr="00E13990" w:rsidRDefault="0077467D" w:rsidP="00BD6ADF">
            <w:pPr>
              <w:pStyle w:val="naisc"/>
              <w:spacing w:before="0" w:after="0"/>
              <w:jc w:val="left"/>
              <w:rPr>
                <w:color w:val="000000"/>
                <w:szCs w:val="28"/>
              </w:rPr>
            </w:pPr>
          </w:p>
          <w:p w14:paraId="05B4F1A9" w14:textId="07DE50F9" w:rsidR="00954320" w:rsidRPr="00E13990" w:rsidRDefault="00BD6ADF" w:rsidP="00930A92">
            <w:pPr>
              <w:pStyle w:val="naisc"/>
              <w:spacing w:before="0" w:after="0"/>
              <w:jc w:val="both"/>
            </w:pPr>
            <w:r w:rsidRPr="00E13990">
              <w:rPr>
                <w:color w:val="000000"/>
                <w:szCs w:val="28"/>
              </w:rPr>
              <w:t>11. </w:t>
            </w:r>
            <w:r w:rsidRPr="00E13990">
              <w:t xml:space="preserve">Ja, veicot prekursoru aprites kontroli, inspekcija konstatē šo noteikumu 12. punktā vai 15.3. apakšpunktā minētos apstākļus vai konstatē, ka nav novērsti iepriekšējā pārbaudē konstatētie trūkumi, tā triju darba dienu laikā pēc pārkāpuma konstatēšanas sniedz aģentūrai priekšlikumu par licences vai </w:t>
            </w:r>
            <w:r w:rsidRPr="00E13990">
              <w:lastRenderedPageBreak/>
              <w:t>reģistrācijas apturēšanu vai anulēšanu.</w:t>
            </w:r>
          </w:p>
        </w:tc>
        <w:tc>
          <w:tcPr>
            <w:tcW w:w="4961" w:type="dxa"/>
            <w:tcBorders>
              <w:left w:val="single" w:sz="6" w:space="0" w:color="000000"/>
              <w:bottom w:val="single" w:sz="4" w:space="0" w:color="auto"/>
              <w:right w:val="single" w:sz="6" w:space="0" w:color="000000"/>
            </w:tcBorders>
          </w:tcPr>
          <w:p w14:paraId="63C7F7C1" w14:textId="77777777" w:rsidR="00954320" w:rsidRPr="00E13990" w:rsidRDefault="00954320" w:rsidP="00D137E7">
            <w:pPr>
              <w:pStyle w:val="naisc"/>
              <w:spacing w:before="0" w:after="0"/>
              <w:rPr>
                <w:b/>
              </w:rPr>
            </w:pPr>
          </w:p>
          <w:p w14:paraId="5638376F" w14:textId="77777777" w:rsidR="00BD6ADF" w:rsidRPr="00E13990" w:rsidRDefault="00BD6ADF" w:rsidP="00BD6ADF">
            <w:pPr>
              <w:pStyle w:val="naisc"/>
              <w:spacing w:before="0" w:after="0"/>
              <w:rPr>
                <w:b/>
              </w:rPr>
            </w:pPr>
            <w:r w:rsidRPr="00E13990">
              <w:rPr>
                <w:b/>
              </w:rPr>
              <w:t>Tieslietu ministrija</w:t>
            </w:r>
          </w:p>
          <w:p w14:paraId="45B38E8A" w14:textId="77777777" w:rsidR="00BD6ADF" w:rsidRPr="00E13990" w:rsidRDefault="00BD6ADF" w:rsidP="00BD6ADF">
            <w:pPr>
              <w:pStyle w:val="naisc"/>
              <w:spacing w:before="0" w:after="0"/>
              <w:rPr>
                <w:b/>
              </w:rPr>
            </w:pPr>
          </w:p>
          <w:p w14:paraId="6EDE0379" w14:textId="14702F95" w:rsidR="00BD6ADF" w:rsidRPr="00E13990" w:rsidRDefault="00BD6ADF" w:rsidP="001D4640">
            <w:pPr>
              <w:pStyle w:val="naisc"/>
              <w:spacing w:before="0" w:after="0"/>
              <w:jc w:val="both"/>
              <w:rPr>
                <w:b/>
              </w:rPr>
            </w:pPr>
            <w:r w:rsidRPr="00E13990">
              <w:t xml:space="preserve">08.10.2019. </w:t>
            </w:r>
            <w:proofErr w:type="spellStart"/>
            <w:r w:rsidRPr="00E13990">
              <w:t>starpministriju</w:t>
            </w:r>
            <w:proofErr w:type="spellEnd"/>
            <w:r w:rsidRPr="00E13990">
              <w:t xml:space="preserve"> saskaņošanas sanāksmē izteiktais iebildums:</w:t>
            </w:r>
          </w:p>
          <w:p w14:paraId="4B53D1D2" w14:textId="77777777" w:rsidR="00BD6ADF" w:rsidRPr="00E13990" w:rsidRDefault="00BD6ADF" w:rsidP="00D137E7">
            <w:pPr>
              <w:pStyle w:val="naisc"/>
              <w:spacing w:before="0" w:after="0"/>
              <w:rPr>
                <w:b/>
              </w:rPr>
            </w:pPr>
          </w:p>
          <w:p w14:paraId="09A787CF" w14:textId="623960A5" w:rsidR="001D4640" w:rsidRPr="00E13990" w:rsidRDefault="001D4640" w:rsidP="001D4640">
            <w:pPr>
              <w:pStyle w:val="naisc"/>
              <w:spacing w:before="0" w:after="0"/>
              <w:jc w:val="both"/>
            </w:pPr>
            <w:r w:rsidRPr="00E13990">
              <w:t>Projekta 11.punktā tā vietā lai atsauktos uz projekta 12. un 15.3.punktu, būtu jāveido atsauce uz regulām, ko arī satur atsaucē minētie punkti.</w:t>
            </w:r>
          </w:p>
        </w:tc>
        <w:tc>
          <w:tcPr>
            <w:tcW w:w="2977" w:type="dxa"/>
            <w:gridSpan w:val="2"/>
            <w:tcBorders>
              <w:left w:val="single" w:sz="6" w:space="0" w:color="000000"/>
              <w:bottom w:val="single" w:sz="4" w:space="0" w:color="auto"/>
              <w:right w:val="single" w:sz="6" w:space="0" w:color="000000"/>
            </w:tcBorders>
          </w:tcPr>
          <w:p w14:paraId="464C63A7" w14:textId="77777777" w:rsidR="00954320" w:rsidRPr="00E13990" w:rsidRDefault="00954320" w:rsidP="00D137E7">
            <w:pPr>
              <w:pStyle w:val="naisc"/>
              <w:spacing w:before="0" w:after="0"/>
            </w:pPr>
          </w:p>
          <w:p w14:paraId="7B97CA51" w14:textId="77777777" w:rsidR="0077467D" w:rsidRPr="00E13990" w:rsidRDefault="0077467D" w:rsidP="0077467D">
            <w:pPr>
              <w:pStyle w:val="naisc"/>
              <w:spacing w:before="0" w:after="0"/>
            </w:pPr>
            <w:r w:rsidRPr="00E13990">
              <w:rPr>
                <w:b/>
              </w:rPr>
              <w:t>Vienošanās panākta saskaņošanas sanāksmē</w:t>
            </w:r>
            <w:r w:rsidRPr="00E13990">
              <w:t xml:space="preserve"> </w:t>
            </w:r>
          </w:p>
          <w:p w14:paraId="7B11D880" w14:textId="199D6585" w:rsidR="0077467D" w:rsidRPr="00E13990" w:rsidRDefault="0077467D" w:rsidP="00D137E7">
            <w:pPr>
              <w:pStyle w:val="naisc"/>
              <w:spacing w:before="0" w:after="0"/>
            </w:pPr>
          </w:p>
        </w:tc>
        <w:tc>
          <w:tcPr>
            <w:tcW w:w="2835" w:type="dxa"/>
            <w:tcBorders>
              <w:top w:val="single" w:sz="4" w:space="0" w:color="auto"/>
              <w:left w:val="single" w:sz="4" w:space="0" w:color="auto"/>
              <w:bottom w:val="single" w:sz="4" w:space="0" w:color="auto"/>
            </w:tcBorders>
          </w:tcPr>
          <w:p w14:paraId="7DBCEF55" w14:textId="77777777" w:rsidR="00954320" w:rsidRPr="00E13990" w:rsidRDefault="00954320" w:rsidP="00D137E7">
            <w:pPr>
              <w:jc w:val="center"/>
            </w:pPr>
          </w:p>
          <w:p w14:paraId="76ABB190" w14:textId="775BCDDF" w:rsidR="0077467D" w:rsidRPr="00E13990" w:rsidRDefault="0038373E" w:rsidP="00930A92">
            <w:pPr>
              <w:jc w:val="both"/>
            </w:pPr>
            <w:r w:rsidRPr="0038373E">
              <w:rPr>
                <w:color w:val="000000"/>
                <w:szCs w:val="28"/>
              </w:rPr>
              <w:t>12. Ja, veicot prekursoru aprites kontroli, inspekcija konstatē regulas Nr. 273/2004 3. panta 4., 5. vai 6.b punktā minētos apstākļus vai konstatē, ka nav novērsti iepriekšējā pārbaudē konstatētie trūkumi, tā triju darba dienu laikā pēc pārkāpuma konstatēšanas sniedz aģentūrai priekšlikumu par licences vai reģistrācijas apturēšanu vai anulēšanu.</w:t>
            </w:r>
          </w:p>
        </w:tc>
      </w:tr>
      <w:tr w:rsidR="00954320" w:rsidRPr="00712B66" w14:paraId="488C19E0" w14:textId="77777777" w:rsidTr="009F0876">
        <w:tc>
          <w:tcPr>
            <w:tcW w:w="708" w:type="dxa"/>
            <w:tcBorders>
              <w:left w:val="single" w:sz="6" w:space="0" w:color="000000"/>
              <w:bottom w:val="single" w:sz="4" w:space="0" w:color="auto"/>
              <w:right w:val="single" w:sz="6" w:space="0" w:color="000000"/>
            </w:tcBorders>
          </w:tcPr>
          <w:p w14:paraId="4C87A7D7" w14:textId="77777777" w:rsidR="00954320" w:rsidRPr="00E13990" w:rsidRDefault="00954320" w:rsidP="00D137E7">
            <w:pPr>
              <w:pStyle w:val="naisc"/>
              <w:spacing w:before="0" w:after="0"/>
            </w:pPr>
          </w:p>
          <w:p w14:paraId="770404D1" w14:textId="39CB82B1" w:rsidR="0085519D" w:rsidRPr="00E13990" w:rsidRDefault="0085519D" w:rsidP="00D137E7">
            <w:pPr>
              <w:pStyle w:val="naisc"/>
              <w:spacing w:before="0" w:after="0"/>
            </w:pPr>
            <w:r w:rsidRPr="00E13990">
              <w:t>2</w:t>
            </w:r>
            <w:r w:rsidR="00050B1F">
              <w:t>5</w:t>
            </w:r>
            <w:r w:rsidRPr="00E13990">
              <w:t>.</w:t>
            </w:r>
          </w:p>
        </w:tc>
        <w:tc>
          <w:tcPr>
            <w:tcW w:w="2545" w:type="dxa"/>
            <w:gridSpan w:val="2"/>
            <w:tcBorders>
              <w:left w:val="single" w:sz="6" w:space="0" w:color="000000"/>
              <w:bottom w:val="single" w:sz="4" w:space="0" w:color="auto"/>
              <w:right w:val="single" w:sz="6" w:space="0" w:color="000000"/>
            </w:tcBorders>
          </w:tcPr>
          <w:p w14:paraId="42CEBA7F" w14:textId="77777777" w:rsidR="00954320" w:rsidRPr="00E13990" w:rsidRDefault="00954320" w:rsidP="00016618">
            <w:pPr>
              <w:pStyle w:val="naisc"/>
              <w:spacing w:before="0" w:after="0"/>
            </w:pPr>
          </w:p>
          <w:p w14:paraId="5CD3F601" w14:textId="77777777" w:rsidR="00016618" w:rsidRPr="00E13990" w:rsidRDefault="00016618" w:rsidP="00930A92">
            <w:pPr>
              <w:pStyle w:val="naisc"/>
              <w:spacing w:before="0" w:after="0"/>
              <w:jc w:val="both"/>
              <w:rPr>
                <w:color w:val="000000"/>
                <w:szCs w:val="28"/>
              </w:rPr>
            </w:pPr>
            <w:r w:rsidRPr="00E13990">
              <w:rPr>
                <w:color w:val="000000"/>
                <w:szCs w:val="28"/>
              </w:rPr>
              <w:t>12. Aģentūra pieņem lēmumu par licences vai reģistrācijas apturēšanu uz laiku līdz sešiem mēnešiem regulas Nr. 273/2004 3. panta 4., 5. vai 6.b punktā noteiktajos gadījumos.</w:t>
            </w:r>
          </w:p>
          <w:p w14:paraId="46E5F668" w14:textId="77777777" w:rsidR="00016618" w:rsidRPr="00E13990" w:rsidRDefault="00016618" w:rsidP="00930A92">
            <w:pPr>
              <w:pStyle w:val="naisc"/>
              <w:spacing w:before="0" w:after="0"/>
              <w:jc w:val="both"/>
              <w:rPr>
                <w:color w:val="000000"/>
                <w:szCs w:val="28"/>
              </w:rPr>
            </w:pPr>
          </w:p>
          <w:p w14:paraId="4ABEE5C7" w14:textId="77777777" w:rsidR="00016618" w:rsidRPr="00E13990" w:rsidRDefault="00016618" w:rsidP="00930A92">
            <w:pPr>
              <w:pStyle w:val="naisc"/>
              <w:jc w:val="both"/>
            </w:pPr>
            <w:r w:rsidRPr="00E13990">
              <w:t>15. Aģentūra anulē licenci vai reģistrāciju:</w:t>
            </w:r>
          </w:p>
          <w:p w14:paraId="1881D724" w14:textId="77777777" w:rsidR="00016618" w:rsidRPr="00E13990" w:rsidRDefault="00016618" w:rsidP="00930A92">
            <w:pPr>
              <w:pStyle w:val="naisc"/>
              <w:jc w:val="both"/>
            </w:pPr>
            <w:r w:rsidRPr="00E13990">
              <w:t>15.1. ja trūkumi, kas bija licences vai reģistrācijas apturēšanas iemesls, noteiktajā termiņā nav novērsti vai aģentūrā nav iesniegts iesniegums par licences vai reģistrācijas darbības atjaunošanu;</w:t>
            </w:r>
          </w:p>
          <w:p w14:paraId="48273D5F" w14:textId="77777777" w:rsidR="00016618" w:rsidRPr="00E13990" w:rsidRDefault="00016618" w:rsidP="00930A92">
            <w:pPr>
              <w:pStyle w:val="naisc"/>
              <w:jc w:val="both"/>
            </w:pPr>
            <w:r w:rsidRPr="00E13990">
              <w:t>15.2. ja saņemts prekursoru operatora vai prekursoru lietotāja iesniegums par licences vai reģistrācijas anulēšanu sakarā ar prekursoru aprites darbības izbeigšanu;</w:t>
            </w:r>
          </w:p>
          <w:p w14:paraId="7039B4AB" w14:textId="246A2F51" w:rsidR="00016618" w:rsidRPr="00E13990" w:rsidRDefault="00016618" w:rsidP="00930A92">
            <w:pPr>
              <w:pStyle w:val="naisc"/>
              <w:spacing w:before="0" w:after="0"/>
              <w:jc w:val="both"/>
            </w:pPr>
            <w:r w:rsidRPr="00E13990">
              <w:lastRenderedPageBreak/>
              <w:t>15.3. regulas Nr. 273/2004 3. panta 4., 5. vai 6.b punktā noteiktajos gadījumos.</w:t>
            </w:r>
          </w:p>
        </w:tc>
        <w:tc>
          <w:tcPr>
            <w:tcW w:w="4961" w:type="dxa"/>
            <w:tcBorders>
              <w:left w:val="single" w:sz="6" w:space="0" w:color="000000"/>
              <w:bottom w:val="single" w:sz="4" w:space="0" w:color="auto"/>
              <w:right w:val="single" w:sz="6" w:space="0" w:color="000000"/>
            </w:tcBorders>
          </w:tcPr>
          <w:p w14:paraId="675DC1E2" w14:textId="77777777" w:rsidR="0085519D" w:rsidRPr="00E13990" w:rsidRDefault="0085519D" w:rsidP="0085519D">
            <w:pPr>
              <w:pStyle w:val="naisc"/>
              <w:spacing w:before="0" w:after="0"/>
              <w:rPr>
                <w:b/>
              </w:rPr>
            </w:pPr>
          </w:p>
          <w:p w14:paraId="4F8032D0" w14:textId="4DA2532D" w:rsidR="0085519D" w:rsidRPr="00E13990" w:rsidRDefault="0085519D" w:rsidP="0085519D">
            <w:pPr>
              <w:pStyle w:val="naisc"/>
              <w:spacing w:before="0" w:after="0"/>
              <w:rPr>
                <w:b/>
              </w:rPr>
            </w:pPr>
            <w:r w:rsidRPr="00E13990">
              <w:rPr>
                <w:b/>
              </w:rPr>
              <w:t>Tieslietu ministrija</w:t>
            </w:r>
          </w:p>
          <w:p w14:paraId="042A419D" w14:textId="77777777" w:rsidR="0085519D" w:rsidRPr="00E13990" w:rsidRDefault="0085519D" w:rsidP="0085519D">
            <w:pPr>
              <w:pStyle w:val="naisc"/>
              <w:spacing w:before="0" w:after="0"/>
              <w:rPr>
                <w:b/>
              </w:rPr>
            </w:pPr>
          </w:p>
          <w:p w14:paraId="6423D4A9" w14:textId="12E3E175" w:rsidR="0085519D" w:rsidRPr="00E13990" w:rsidRDefault="0085519D" w:rsidP="0085519D">
            <w:pPr>
              <w:pStyle w:val="naisc"/>
              <w:spacing w:before="0" w:after="0"/>
              <w:jc w:val="both"/>
            </w:pPr>
            <w:r w:rsidRPr="00E13990">
              <w:t xml:space="preserve">08.10.2019. </w:t>
            </w:r>
            <w:proofErr w:type="spellStart"/>
            <w:r w:rsidRPr="00E13990">
              <w:t>starpministriju</w:t>
            </w:r>
            <w:proofErr w:type="spellEnd"/>
            <w:r w:rsidRPr="00E13990">
              <w:t xml:space="preserve"> saskaņošanas sanāksmē izteiktais iebildums:</w:t>
            </w:r>
          </w:p>
          <w:p w14:paraId="4B4CFDA0" w14:textId="63AABED6" w:rsidR="0085519D" w:rsidRPr="00E13990" w:rsidRDefault="0085519D" w:rsidP="0085519D">
            <w:pPr>
              <w:pStyle w:val="naisc"/>
              <w:spacing w:before="0" w:after="0"/>
              <w:jc w:val="both"/>
            </w:pPr>
          </w:p>
          <w:p w14:paraId="2867FE2C" w14:textId="0D24017B" w:rsidR="0085519D" w:rsidRPr="00E13990" w:rsidRDefault="00E3382A" w:rsidP="0085519D">
            <w:pPr>
              <w:pStyle w:val="naisc"/>
              <w:spacing w:before="0" w:after="0"/>
              <w:jc w:val="both"/>
            </w:pPr>
            <w:r w:rsidRPr="00E13990">
              <w:t>Projekta 12. un 15.punktā ir noteikts imperatīvs pienākums aģentūrai attiecīgi pieņemt lēmumu par reģistrācijas vai licences apturēšanu vai anulēšanu.</w:t>
            </w:r>
            <w:r w:rsidR="00016618" w:rsidRPr="00E13990">
              <w:t xml:space="preserve"> Tajā pašā laikā regulā 273/2004 ir dota lēmuma pieņemšanas un arī satura brīvība.</w:t>
            </w:r>
          </w:p>
          <w:p w14:paraId="70D506DE" w14:textId="77777777" w:rsidR="00954320" w:rsidRPr="00E13990" w:rsidRDefault="00954320" w:rsidP="00D137E7">
            <w:pPr>
              <w:pStyle w:val="naisc"/>
              <w:spacing w:before="0" w:after="0"/>
              <w:rPr>
                <w:b/>
              </w:rPr>
            </w:pPr>
          </w:p>
        </w:tc>
        <w:tc>
          <w:tcPr>
            <w:tcW w:w="2977" w:type="dxa"/>
            <w:gridSpan w:val="2"/>
            <w:tcBorders>
              <w:left w:val="single" w:sz="6" w:space="0" w:color="000000"/>
              <w:bottom w:val="single" w:sz="4" w:space="0" w:color="auto"/>
              <w:right w:val="single" w:sz="6" w:space="0" w:color="000000"/>
            </w:tcBorders>
          </w:tcPr>
          <w:p w14:paraId="354F37F0" w14:textId="77777777" w:rsidR="00954320" w:rsidRPr="00E13990" w:rsidRDefault="00954320" w:rsidP="00D137E7">
            <w:pPr>
              <w:pStyle w:val="naisc"/>
              <w:spacing w:before="0" w:after="0"/>
            </w:pPr>
          </w:p>
          <w:p w14:paraId="7DEEC558" w14:textId="77777777" w:rsidR="00016618" w:rsidRPr="00E13990" w:rsidRDefault="00016618" w:rsidP="00016618">
            <w:pPr>
              <w:pStyle w:val="naisc"/>
              <w:spacing w:before="0" w:after="0"/>
            </w:pPr>
            <w:r w:rsidRPr="00E13990">
              <w:rPr>
                <w:b/>
              </w:rPr>
              <w:t>Vienošanās panākta saskaņošanas sanāksmē</w:t>
            </w:r>
            <w:r w:rsidRPr="00E13990">
              <w:t xml:space="preserve"> </w:t>
            </w:r>
          </w:p>
          <w:p w14:paraId="37757181" w14:textId="18A60D0C" w:rsidR="00016618" w:rsidRPr="00E13990" w:rsidRDefault="00016618" w:rsidP="00D137E7">
            <w:pPr>
              <w:pStyle w:val="naisc"/>
              <w:spacing w:before="0" w:after="0"/>
            </w:pPr>
          </w:p>
        </w:tc>
        <w:tc>
          <w:tcPr>
            <w:tcW w:w="2835" w:type="dxa"/>
            <w:tcBorders>
              <w:top w:val="single" w:sz="4" w:space="0" w:color="auto"/>
              <w:left w:val="single" w:sz="4" w:space="0" w:color="auto"/>
              <w:bottom w:val="single" w:sz="4" w:space="0" w:color="auto"/>
            </w:tcBorders>
          </w:tcPr>
          <w:p w14:paraId="6AB150E1" w14:textId="77777777" w:rsidR="00954320" w:rsidRPr="00E13990" w:rsidRDefault="00954320" w:rsidP="00D137E7">
            <w:pPr>
              <w:jc w:val="center"/>
            </w:pPr>
          </w:p>
          <w:p w14:paraId="1C0AF09A" w14:textId="369B0D8C" w:rsidR="00016618" w:rsidRDefault="0038373E" w:rsidP="00930A92">
            <w:pPr>
              <w:jc w:val="both"/>
              <w:rPr>
                <w:color w:val="000000"/>
                <w:szCs w:val="28"/>
              </w:rPr>
            </w:pPr>
            <w:r w:rsidRPr="0038373E">
              <w:rPr>
                <w:color w:val="000000"/>
                <w:szCs w:val="28"/>
              </w:rPr>
              <w:t>13. Aģentūra var pieņemt lēmumu par licences vai reģistrācijas apturēšanu uz laiku līdz sešiem mēnešiem regulas Nr. 273/2004 3. panta 4., 5. vai 6.b punktā noteiktajos gadījumos.</w:t>
            </w:r>
          </w:p>
          <w:p w14:paraId="75638DB2" w14:textId="77777777" w:rsidR="0038373E" w:rsidRPr="00E13990" w:rsidRDefault="0038373E" w:rsidP="00930A92">
            <w:pPr>
              <w:jc w:val="both"/>
              <w:rPr>
                <w:color w:val="000000"/>
                <w:szCs w:val="28"/>
              </w:rPr>
            </w:pPr>
          </w:p>
          <w:p w14:paraId="5DCD136D" w14:textId="77777777" w:rsidR="0038373E" w:rsidRDefault="0038373E" w:rsidP="0038373E">
            <w:pPr>
              <w:jc w:val="both"/>
            </w:pPr>
            <w:r>
              <w:t>16. Aģentūra var pieņemt lēmumu par licences vai reģistrācijas anulēšanu:</w:t>
            </w:r>
          </w:p>
          <w:p w14:paraId="1F6F1F95" w14:textId="77777777" w:rsidR="0038373E" w:rsidRDefault="0038373E" w:rsidP="0038373E">
            <w:pPr>
              <w:jc w:val="both"/>
            </w:pPr>
            <w:r>
              <w:t>16.1. ja trūkumi, kas bija licences vai reģistrācijas apturēšanas iemesls, noteiktajā termiņā nav novērsti vai aģentūrā nav iesniegts iesniegums par licences vai reģistrācijas darbības atjaunošanu;</w:t>
            </w:r>
          </w:p>
          <w:p w14:paraId="051B4896" w14:textId="77777777" w:rsidR="0038373E" w:rsidRDefault="0038373E" w:rsidP="0038373E">
            <w:pPr>
              <w:jc w:val="both"/>
            </w:pPr>
            <w:r>
              <w:t>16.2. ja saņemts prekursoru operatora vai prekursoru lietotāja iesniegums par licences vai reģistrācijas anulēšanu sakarā ar prekursoru aprites darbības izbeigšanu;</w:t>
            </w:r>
          </w:p>
          <w:p w14:paraId="2F902945" w14:textId="02BC517A" w:rsidR="00016618" w:rsidRPr="00E13990" w:rsidRDefault="0038373E" w:rsidP="0038373E">
            <w:pPr>
              <w:jc w:val="both"/>
            </w:pPr>
            <w:r>
              <w:t>16.3. regulas Nr. 273/2004 3. panta 4., 5. vai 6.b punktā noteiktajos gadījumos.</w:t>
            </w:r>
          </w:p>
        </w:tc>
      </w:tr>
      <w:tr w:rsidR="00954320" w:rsidRPr="00712B66" w14:paraId="503A789F" w14:textId="77777777" w:rsidTr="009F0876">
        <w:tc>
          <w:tcPr>
            <w:tcW w:w="708" w:type="dxa"/>
            <w:tcBorders>
              <w:left w:val="single" w:sz="6" w:space="0" w:color="000000"/>
              <w:bottom w:val="single" w:sz="4" w:space="0" w:color="auto"/>
              <w:right w:val="single" w:sz="6" w:space="0" w:color="000000"/>
            </w:tcBorders>
          </w:tcPr>
          <w:p w14:paraId="392502F5" w14:textId="77777777" w:rsidR="00954320" w:rsidRPr="00E13990" w:rsidRDefault="00954320" w:rsidP="00D137E7">
            <w:pPr>
              <w:pStyle w:val="naisc"/>
              <w:spacing w:before="0" w:after="0"/>
            </w:pPr>
          </w:p>
          <w:p w14:paraId="3E67DDFB" w14:textId="4E089BD4" w:rsidR="00334308" w:rsidRPr="00E13990" w:rsidRDefault="00334308" w:rsidP="00D137E7">
            <w:pPr>
              <w:pStyle w:val="naisc"/>
              <w:spacing w:before="0" w:after="0"/>
            </w:pPr>
            <w:r w:rsidRPr="00E13990">
              <w:t>2</w:t>
            </w:r>
            <w:r w:rsidR="00050B1F">
              <w:t>6</w:t>
            </w:r>
            <w:r w:rsidRPr="00E13990">
              <w:t>.</w:t>
            </w:r>
          </w:p>
        </w:tc>
        <w:tc>
          <w:tcPr>
            <w:tcW w:w="2545" w:type="dxa"/>
            <w:gridSpan w:val="2"/>
            <w:tcBorders>
              <w:left w:val="single" w:sz="6" w:space="0" w:color="000000"/>
              <w:bottom w:val="single" w:sz="4" w:space="0" w:color="auto"/>
              <w:right w:val="single" w:sz="6" w:space="0" w:color="000000"/>
            </w:tcBorders>
          </w:tcPr>
          <w:p w14:paraId="632B8A5E" w14:textId="77777777" w:rsidR="00954320" w:rsidRPr="00E13990" w:rsidRDefault="00954320" w:rsidP="00334308">
            <w:pPr>
              <w:pStyle w:val="naisc"/>
              <w:spacing w:before="0" w:after="0"/>
              <w:jc w:val="left"/>
            </w:pPr>
          </w:p>
          <w:p w14:paraId="31BBAE91" w14:textId="7BEB53CF" w:rsidR="00334308" w:rsidRPr="00E13990" w:rsidRDefault="00334308" w:rsidP="00930A92">
            <w:pPr>
              <w:pStyle w:val="naisc"/>
              <w:spacing w:before="0" w:after="0"/>
              <w:jc w:val="both"/>
            </w:pPr>
            <w:r w:rsidRPr="00E13990">
              <w:t>15. Lēmumu par licences vai reģistrācijas apturēšanu, kā arī par licences vai reģistrācijas anulēšanu aģentūra triju darba dienu laikā pēc lēmuma pieņemšanas elektroniski nosūta attiecīgi prekursoru operatoram vai prekursoru lietotājam un inspekcijai, kā arī aktualizē informāciju par licenci un reģistrāciju aģentūras tīmekļa vietnē un narkotisko vielu prekursoru Eiropas datu bāzē saskaņā ar regulas Nr. 2015/1013 12. panta 2. punktu.</w:t>
            </w:r>
          </w:p>
        </w:tc>
        <w:tc>
          <w:tcPr>
            <w:tcW w:w="4961" w:type="dxa"/>
            <w:tcBorders>
              <w:left w:val="single" w:sz="6" w:space="0" w:color="000000"/>
              <w:bottom w:val="single" w:sz="4" w:space="0" w:color="auto"/>
              <w:right w:val="single" w:sz="6" w:space="0" w:color="000000"/>
            </w:tcBorders>
          </w:tcPr>
          <w:p w14:paraId="30700876" w14:textId="77777777" w:rsidR="00954320" w:rsidRPr="00E13990" w:rsidRDefault="00954320" w:rsidP="00D137E7">
            <w:pPr>
              <w:pStyle w:val="naisc"/>
              <w:spacing w:before="0" w:after="0"/>
              <w:rPr>
                <w:b/>
              </w:rPr>
            </w:pPr>
          </w:p>
          <w:p w14:paraId="42AD1F3E" w14:textId="77777777" w:rsidR="00334308" w:rsidRPr="00E13990" w:rsidRDefault="00334308" w:rsidP="00334308">
            <w:pPr>
              <w:pStyle w:val="naisc"/>
              <w:spacing w:before="0" w:after="0"/>
              <w:rPr>
                <w:b/>
              </w:rPr>
            </w:pPr>
            <w:r w:rsidRPr="00E13990">
              <w:rPr>
                <w:b/>
              </w:rPr>
              <w:t>Tieslietu ministrija</w:t>
            </w:r>
          </w:p>
          <w:p w14:paraId="0694784D" w14:textId="77777777" w:rsidR="00334308" w:rsidRPr="00E13990" w:rsidRDefault="00334308" w:rsidP="00334308">
            <w:pPr>
              <w:pStyle w:val="naisc"/>
              <w:spacing w:before="0" w:after="0"/>
              <w:rPr>
                <w:b/>
              </w:rPr>
            </w:pPr>
          </w:p>
          <w:p w14:paraId="08D7CF3C" w14:textId="77777777" w:rsidR="00334308" w:rsidRPr="00E13990" w:rsidRDefault="00334308" w:rsidP="00334308">
            <w:pPr>
              <w:pStyle w:val="naisc"/>
              <w:spacing w:before="0" w:after="0"/>
              <w:jc w:val="both"/>
            </w:pPr>
            <w:r w:rsidRPr="00E13990">
              <w:t xml:space="preserve">08.10.2019. </w:t>
            </w:r>
            <w:proofErr w:type="spellStart"/>
            <w:r w:rsidRPr="00E13990">
              <w:t>starpministriju</w:t>
            </w:r>
            <w:proofErr w:type="spellEnd"/>
            <w:r w:rsidRPr="00E13990">
              <w:t xml:space="preserve"> saskaņošanas sanāksmē izteiktais iebildums:</w:t>
            </w:r>
          </w:p>
          <w:p w14:paraId="30B59F4D" w14:textId="5A35D92F" w:rsidR="00334308" w:rsidRPr="00E13990" w:rsidRDefault="00334308" w:rsidP="00D137E7">
            <w:pPr>
              <w:pStyle w:val="naisc"/>
              <w:spacing w:before="0" w:after="0"/>
              <w:rPr>
                <w:b/>
              </w:rPr>
            </w:pPr>
          </w:p>
          <w:p w14:paraId="5ED9B63D" w14:textId="65645DD1" w:rsidR="00334308" w:rsidRPr="00E13990" w:rsidRDefault="00E732F1" w:rsidP="00334308">
            <w:pPr>
              <w:pStyle w:val="naisc"/>
              <w:spacing w:before="0" w:after="0"/>
              <w:jc w:val="both"/>
            </w:pPr>
            <w:r w:rsidRPr="00E13990">
              <w:t>Projekta 16.punktā nedrīkst norādīt, ka lēmumu par licences vai reģistrācijas apturēšanu, kā arī par licences vai reģistrācijas anulēšanu aģentūra nosūta tikai elektroniski – tas ir pretrunā ar Administratīvā procesa likumu.</w:t>
            </w:r>
          </w:p>
          <w:p w14:paraId="0824B5FD" w14:textId="55015F66" w:rsidR="00334308" w:rsidRPr="00E13990" w:rsidRDefault="00334308" w:rsidP="00D137E7">
            <w:pPr>
              <w:pStyle w:val="naisc"/>
              <w:spacing w:before="0" w:after="0"/>
              <w:rPr>
                <w:b/>
              </w:rPr>
            </w:pPr>
          </w:p>
        </w:tc>
        <w:tc>
          <w:tcPr>
            <w:tcW w:w="2977" w:type="dxa"/>
            <w:gridSpan w:val="2"/>
            <w:tcBorders>
              <w:left w:val="single" w:sz="6" w:space="0" w:color="000000"/>
              <w:bottom w:val="single" w:sz="4" w:space="0" w:color="auto"/>
              <w:right w:val="single" w:sz="6" w:space="0" w:color="000000"/>
            </w:tcBorders>
          </w:tcPr>
          <w:p w14:paraId="73E2D4FC" w14:textId="77777777" w:rsidR="00954320" w:rsidRPr="00E13990" w:rsidRDefault="00954320" w:rsidP="00D137E7">
            <w:pPr>
              <w:pStyle w:val="naisc"/>
              <w:spacing w:before="0" w:after="0"/>
            </w:pPr>
          </w:p>
          <w:p w14:paraId="6011BF48" w14:textId="77777777" w:rsidR="00334308" w:rsidRPr="00E13990" w:rsidRDefault="00334308" w:rsidP="00334308">
            <w:pPr>
              <w:pStyle w:val="naisc"/>
              <w:spacing w:before="0" w:after="0"/>
            </w:pPr>
            <w:r w:rsidRPr="00E13990">
              <w:rPr>
                <w:b/>
              </w:rPr>
              <w:t>Vienošanās panākta saskaņošanas sanāksmē</w:t>
            </w:r>
            <w:r w:rsidRPr="00E13990">
              <w:t xml:space="preserve"> </w:t>
            </w:r>
          </w:p>
          <w:p w14:paraId="03665F10" w14:textId="405765A2" w:rsidR="00334308" w:rsidRPr="00E13990" w:rsidRDefault="00334308" w:rsidP="00D137E7">
            <w:pPr>
              <w:pStyle w:val="naisc"/>
              <w:spacing w:before="0" w:after="0"/>
            </w:pPr>
          </w:p>
        </w:tc>
        <w:tc>
          <w:tcPr>
            <w:tcW w:w="2835" w:type="dxa"/>
            <w:tcBorders>
              <w:top w:val="single" w:sz="4" w:space="0" w:color="auto"/>
              <w:left w:val="single" w:sz="4" w:space="0" w:color="auto"/>
              <w:bottom w:val="single" w:sz="4" w:space="0" w:color="auto"/>
            </w:tcBorders>
          </w:tcPr>
          <w:p w14:paraId="5267D73B" w14:textId="77777777" w:rsidR="00954320" w:rsidRPr="00E13990" w:rsidRDefault="00954320" w:rsidP="00D137E7">
            <w:pPr>
              <w:jc w:val="center"/>
            </w:pPr>
          </w:p>
          <w:p w14:paraId="0959AC7A" w14:textId="239EAD18" w:rsidR="00334308" w:rsidRPr="00E13990" w:rsidRDefault="0038373E" w:rsidP="00930A92">
            <w:pPr>
              <w:jc w:val="both"/>
            </w:pPr>
            <w:r w:rsidRPr="0038373E">
              <w:rPr>
                <w:szCs w:val="28"/>
              </w:rPr>
              <w:t>17. Lēmumu par licences vai reģistrācijas apturēšanu, kā arī par licences vai reģistrācijas anulēšanu, aģentūra triju darba dienu laikā pēc lēmuma pieņemšanas nosūta attiecīgi prekursoru operatoram vai prekursoru lietotājam un inspekcijai, kā arī aktualizē informāciju par licenci un reģistrāciju aģentūras tīmekļa vietnē un narkotisko vielu prekursoru Eiropas datu bāzē saskaņā ar regulas Nr. 2015/1013 12. panta 2. punktu.</w:t>
            </w:r>
          </w:p>
        </w:tc>
      </w:tr>
      <w:tr w:rsidR="00954320" w:rsidRPr="00712B66" w14:paraId="2119093C" w14:textId="77777777" w:rsidTr="009F0876">
        <w:tc>
          <w:tcPr>
            <w:tcW w:w="708" w:type="dxa"/>
            <w:tcBorders>
              <w:left w:val="single" w:sz="6" w:space="0" w:color="000000"/>
              <w:bottom w:val="single" w:sz="4" w:space="0" w:color="auto"/>
              <w:right w:val="single" w:sz="6" w:space="0" w:color="000000"/>
            </w:tcBorders>
          </w:tcPr>
          <w:p w14:paraId="49F984E1" w14:textId="77777777" w:rsidR="00954320" w:rsidRPr="00E13990" w:rsidRDefault="00954320" w:rsidP="00D137E7">
            <w:pPr>
              <w:pStyle w:val="naisc"/>
              <w:spacing w:before="0" w:after="0"/>
            </w:pPr>
          </w:p>
          <w:p w14:paraId="19BEBCF2" w14:textId="60076535" w:rsidR="00334308" w:rsidRPr="00E13990" w:rsidRDefault="00334308" w:rsidP="00D137E7">
            <w:pPr>
              <w:pStyle w:val="naisc"/>
              <w:spacing w:before="0" w:after="0"/>
            </w:pPr>
            <w:r w:rsidRPr="00E13990">
              <w:t>2</w:t>
            </w:r>
            <w:r w:rsidR="00050B1F">
              <w:t>7</w:t>
            </w:r>
            <w:r w:rsidRPr="00E13990">
              <w:t>.</w:t>
            </w:r>
          </w:p>
        </w:tc>
        <w:tc>
          <w:tcPr>
            <w:tcW w:w="2545" w:type="dxa"/>
            <w:gridSpan w:val="2"/>
            <w:tcBorders>
              <w:left w:val="single" w:sz="6" w:space="0" w:color="000000"/>
              <w:bottom w:val="single" w:sz="4" w:space="0" w:color="auto"/>
              <w:right w:val="single" w:sz="6" w:space="0" w:color="000000"/>
            </w:tcBorders>
          </w:tcPr>
          <w:p w14:paraId="4563432A" w14:textId="77777777" w:rsidR="00954320" w:rsidRPr="00E13990" w:rsidRDefault="00954320" w:rsidP="00D137E7">
            <w:pPr>
              <w:pStyle w:val="naisc"/>
              <w:spacing w:before="0" w:after="0"/>
              <w:ind w:firstLine="720"/>
            </w:pPr>
          </w:p>
        </w:tc>
        <w:tc>
          <w:tcPr>
            <w:tcW w:w="4961" w:type="dxa"/>
            <w:tcBorders>
              <w:left w:val="single" w:sz="6" w:space="0" w:color="000000"/>
              <w:bottom w:val="single" w:sz="4" w:space="0" w:color="auto"/>
              <w:right w:val="single" w:sz="6" w:space="0" w:color="000000"/>
            </w:tcBorders>
          </w:tcPr>
          <w:p w14:paraId="4F8C908F" w14:textId="77777777" w:rsidR="00954320" w:rsidRPr="00E13990" w:rsidRDefault="00954320" w:rsidP="00D137E7">
            <w:pPr>
              <w:pStyle w:val="naisc"/>
              <w:spacing w:before="0" w:after="0"/>
              <w:rPr>
                <w:b/>
              </w:rPr>
            </w:pPr>
          </w:p>
          <w:p w14:paraId="3BCD840A" w14:textId="77777777" w:rsidR="00334308" w:rsidRPr="00E13990" w:rsidRDefault="00334308" w:rsidP="00334308">
            <w:pPr>
              <w:pStyle w:val="naisc"/>
              <w:spacing w:before="0" w:after="0"/>
              <w:rPr>
                <w:b/>
              </w:rPr>
            </w:pPr>
            <w:r w:rsidRPr="00E13990">
              <w:rPr>
                <w:b/>
              </w:rPr>
              <w:t>Tieslietu ministrija</w:t>
            </w:r>
          </w:p>
          <w:p w14:paraId="564F435B" w14:textId="77777777" w:rsidR="00334308" w:rsidRPr="00E13990" w:rsidRDefault="00334308" w:rsidP="00334308">
            <w:pPr>
              <w:pStyle w:val="naisc"/>
              <w:spacing w:before="0" w:after="0"/>
              <w:rPr>
                <w:b/>
              </w:rPr>
            </w:pPr>
          </w:p>
          <w:p w14:paraId="38E1718A" w14:textId="296FDEA4" w:rsidR="00334308" w:rsidRPr="00E13990" w:rsidRDefault="00334308" w:rsidP="00334308">
            <w:pPr>
              <w:pStyle w:val="naisc"/>
              <w:spacing w:before="0" w:after="0"/>
              <w:jc w:val="both"/>
            </w:pPr>
            <w:r w:rsidRPr="00E13990">
              <w:t xml:space="preserve">08.10.2019. </w:t>
            </w:r>
            <w:proofErr w:type="spellStart"/>
            <w:r w:rsidRPr="00E13990">
              <w:t>starpministriju</w:t>
            </w:r>
            <w:proofErr w:type="spellEnd"/>
            <w:r w:rsidRPr="00E13990">
              <w:t xml:space="preserve"> saskaņošanas sanāksmē izteiktais iebildums:</w:t>
            </w:r>
          </w:p>
          <w:p w14:paraId="43BCFB97" w14:textId="440CAAAB" w:rsidR="00334308" w:rsidRPr="00E13990" w:rsidRDefault="00334308" w:rsidP="00334308">
            <w:pPr>
              <w:pStyle w:val="naisc"/>
              <w:spacing w:before="0" w:after="0"/>
              <w:jc w:val="both"/>
            </w:pPr>
          </w:p>
          <w:p w14:paraId="34FC41A8" w14:textId="735F3FE0" w:rsidR="00334308" w:rsidRPr="00E13990" w:rsidRDefault="00334308" w:rsidP="00334308">
            <w:pPr>
              <w:pStyle w:val="naisc"/>
              <w:spacing w:before="0" w:after="0"/>
              <w:jc w:val="both"/>
              <w:rPr>
                <w:b/>
              </w:rPr>
            </w:pPr>
            <w:r w:rsidRPr="00E13990">
              <w:lastRenderedPageBreak/>
              <w:t>Anotācijas VII. sadaļas 1. un 3. punktā tiek norādīta Valsts policija, bet projektā Valsts policija nav minēta. Līdz ar to Valsts policija būtu svītrojama no projekta izpildē iesaistīto institūciju saraksta.</w:t>
            </w:r>
          </w:p>
          <w:p w14:paraId="0C148564" w14:textId="5E929816" w:rsidR="00334308" w:rsidRPr="00E13990" w:rsidRDefault="00334308" w:rsidP="00D137E7">
            <w:pPr>
              <w:pStyle w:val="naisc"/>
              <w:spacing w:before="0" w:after="0"/>
              <w:rPr>
                <w:b/>
              </w:rPr>
            </w:pPr>
          </w:p>
        </w:tc>
        <w:tc>
          <w:tcPr>
            <w:tcW w:w="2977" w:type="dxa"/>
            <w:gridSpan w:val="2"/>
            <w:tcBorders>
              <w:left w:val="single" w:sz="6" w:space="0" w:color="000000"/>
              <w:bottom w:val="single" w:sz="4" w:space="0" w:color="auto"/>
              <w:right w:val="single" w:sz="6" w:space="0" w:color="000000"/>
            </w:tcBorders>
          </w:tcPr>
          <w:p w14:paraId="6EF70A95" w14:textId="77777777" w:rsidR="00954320" w:rsidRPr="00E13990" w:rsidRDefault="00954320" w:rsidP="00D137E7">
            <w:pPr>
              <w:pStyle w:val="naisc"/>
              <w:spacing w:before="0" w:after="0"/>
            </w:pPr>
          </w:p>
          <w:p w14:paraId="165DF416" w14:textId="77777777" w:rsidR="00334308" w:rsidRPr="00E13990" w:rsidRDefault="00334308" w:rsidP="00334308">
            <w:pPr>
              <w:pStyle w:val="naisc"/>
              <w:spacing w:before="0" w:after="0"/>
            </w:pPr>
            <w:r w:rsidRPr="00E13990">
              <w:rPr>
                <w:b/>
              </w:rPr>
              <w:t>Vienošanās panākta saskaņošanas sanāksmē</w:t>
            </w:r>
            <w:r w:rsidRPr="00E13990">
              <w:t xml:space="preserve"> </w:t>
            </w:r>
          </w:p>
          <w:p w14:paraId="0A4E0CB9" w14:textId="1A05E38B" w:rsidR="00334308" w:rsidRPr="00E13990" w:rsidRDefault="00334308" w:rsidP="00D137E7">
            <w:pPr>
              <w:pStyle w:val="naisc"/>
              <w:spacing w:before="0" w:after="0"/>
            </w:pPr>
          </w:p>
        </w:tc>
        <w:tc>
          <w:tcPr>
            <w:tcW w:w="2835" w:type="dxa"/>
            <w:tcBorders>
              <w:top w:val="single" w:sz="4" w:space="0" w:color="auto"/>
              <w:left w:val="single" w:sz="4" w:space="0" w:color="auto"/>
              <w:bottom w:val="single" w:sz="4" w:space="0" w:color="auto"/>
            </w:tcBorders>
          </w:tcPr>
          <w:p w14:paraId="4AA52DC3" w14:textId="77777777" w:rsidR="00954320" w:rsidRPr="00E13990" w:rsidRDefault="00954320" w:rsidP="00D137E7">
            <w:pPr>
              <w:jc w:val="center"/>
            </w:pPr>
          </w:p>
          <w:p w14:paraId="6F4ABBF1" w14:textId="7D38F34A" w:rsidR="00334308" w:rsidRPr="00E13990" w:rsidRDefault="00334308" w:rsidP="00D137E7">
            <w:pPr>
              <w:jc w:val="center"/>
            </w:pPr>
            <w:r w:rsidRPr="00E13990">
              <w:t>Precizēta projekta anotācija</w:t>
            </w:r>
          </w:p>
        </w:tc>
      </w:tr>
      <w:tr w:rsidR="00BD1585" w:rsidRPr="00712B66" w14:paraId="552C06C7" w14:textId="77777777" w:rsidTr="009F0876">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5E83366A" w14:textId="77777777" w:rsidR="00BD1585" w:rsidRPr="00712B66" w:rsidRDefault="00BD1585" w:rsidP="00BD1585">
            <w:pPr>
              <w:pStyle w:val="naiskr"/>
              <w:spacing w:before="0" w:after="0"/>
            </w:pPr>
          </w:p>
          <w:p w14:paraId="6ACB5852" w14:textId="77777777" w:rsidR="00BD1585" w:rsidRPr="00712B66" w:rsidRDefault="00BD1585" w:rsidP="00BD1585">
            <w:pPr>
              <w:pStyle w:val="naiskr"/>
              <w:spacing w:before="0" w:after="0"/>
            </w:pPr>
            <w:r w:rsidRPr="00712B66">
              <w:t>Atbildīgā amatpersona</w:t>
            </w:r>
          </w:p>
        </w:tc>
        <w:tc>
          <w:tcPr>
            <w:tcW w:w="6179" w:type="dxa"/>
            <w:gridSpan w:val="3"/>
          </w:tcPr>
          <w:p w14:paraId="16083D80" w14:textId="77777777" w:rsidR="00BD1585" w:rsidRPr="00712B66" w:rsidRDefault="00BD1585" w:rsidP="00BD1585">
            <w:pPr>
              <w:pStyle w:val="naiskr"/>
              <w:spacing w:before="0" w:after="0"/>
              <w:ind w:firstLine="720"/>
            </w:pPr>
            <w:r w:rsidRPr="00712B66">
              <w:t>  </w:t>
            </w:r>
          </w:p>
        </w:tc>
      </w:tr>
      <w:tr w:rsidR="00BD1585" w:rsidRPr="00712B66" w14:paraId="73F93720" w14:textId="77777777" w:rsidTr="009F0876">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150CF1BD" w14:textId="77777777" w:rsidR="00BD1585" w:rsidRPr="00712B66" w:rsidRDefault="00BD1585" w:rsidP="00BD1585">
            <w:pPr>
              <w:pStyle w:val="naiskr"/>
              <w:spacing w:before="0" w:after="0"/>
              <w:ind w:firstLine="720"/>
            </w:pPr>
          </w:p>
        </w:tc>
        <w:tc>
          <w:tcPr>
            <w:tcW w:w="6179" w:type="dxa"/>
            <w:gridSpan w:val="3"/>
            <w:tcBorders>
              <w:top w:val="single" w:sz="6" w:space="0" w:color="000000"/>
            </w:tcBorders>
          </w:tcPr>
          <w:p w14:paraId="2CA2934A" w14:textId="77777777" w:rsidR="00BD1585" w:rsidRPr="00712B66" w:rsidRDefault="00BD1585" w:rsidP="00BD1585">
            <w:pPr>
              <w:pStyle w:val="naisc"/>
              <w:spacing w:before="0" w:after="0"/>
              <w:ind w:firstLine="720"/>
            </w:pPr>
            <w:r w:rsidRPr="00712B66">
              <w:t>(paraksts*)</w:t>
            </w:r>
          </w:p>
        </w:tc>
      </w:tr>
    </w:tbl>
    <w:p w14:paraId="3AC4BE23" w14:textId="77777777" w:rsidR="007116C7" w:rsidRDefault="007116C7" w:rsidP="00DB7395">
      <w:pPr>
        <w:pStyle w:val="naisf"/>
        <w:spacing w:before="0" w:after="0"/>
        <w:ind w:firstLine="720"/>
      </w:pPr>
    </w:p>
    <w:p w14:paraId="28BF13C4" w14:textId="77777777" w:rsidR="003B71E0" w:rsidRPr="00712B66" w:rsidRDefault="003B71E0" w:rsidP="00DB7395">
      <w:pPr>
        <w:pStyle w:val="naisf"/>
        <w:spacing w:before="0" w:after="0"/>
        <w:ind w:firstLine="720"/>
      </w:pPr>
    </w:p>
    <w:p w14:paraId="456611E1" w14:textId="77777777" w:rsidR="00317DC7" w:rsidRPr="00712B66"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77C8D01C" w14:textId="196337B4" w:rsidR="004373E1" w:rsidRPr="00712B66" w:rsidRDefault="00050B1F" w:rsidP="0038373E">
      <w:pPr>
        <w:pStyle w:val="naisf"/>
        <w:spacing w:before="0" w:after="0"/>
        <w:ind w:firstLine="3544"/>
      </w:pPr>
      <w:r>
        <w:t>Alvis Bless</w:t>
      </w:r>
    </w:p>
    <w:tbl>
      <w:tblPr>
        <w:tblW w:w="0" w:type="auto"/>
        <w:tblLook w:val="00A0" w:firstRow="1" w:lastRow="0" w:firstColumn="1" w:lastColumn="0" w:noHBand="0" w:noVBand="0"/>
      </w:tblPr>
      <w:tblGrid>
        <w:gridCol w:w="8268"/>
      </w:tblGrid>
      <w:tr w:rsidR="008655A2" w:rsidRPr="00712B66" w14:paraId="77EE3D7D" w14:textId="77777777">
        <w:tc>
          <w:tcPr>
            <w:tcW w:w="8268" w:type="dxa"/>
            <w:tcBorders>
              <w:top w:val="single" w:sz="4" w:space="0" w:color="000000"/>
            </w:tcBorders>
          </w:tcPr>
          <w:p w14:paraId="6DE4A72C"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3B6D2DD1" w14:textId="77777777">
        <w:tc>
          <w:tcPr>
            <w:tcW w:w="8268" w:type="dxa"/>
            <w:tcBorders>
              <w:bottom w:val="single" w:sz="4" w:space="0" w:color="000000"/>
            </w:tcBorders>
          </w:tcPr>
          <w:p w14:paraId="09B9E404" w14:textId="52D47DFC" w:rsidR="008655A2" w:rsidRPr="00712B66" w:rsidRDefault="000F4ECE" w:rsidP="0036160E">
            <w:r>
              <w:tab/>
              <w:t xml:space="preserve">Veselības ministrijas </w:t>
            </w:r>
            <w:r w:rsidR="00050B1F">
              <w:t>Juridiskās nodaļas juriskonsults</w:t>
            </w:r>
          </w:p>
        </w:tc>
      </w:tr>
      <w:tr w:rsidR="008655A2" w:rsidRPr="00712B66" w14:paraId="5EB442EF" w14:textId="77777777">
        <w:tc>
          <w:tcPr>
            <w:tcW w:w="8268" w:type="dxa"/>
            <w:tcBorders>
              <w:top w:val="single" w:sz="4" w:space="0" w:color="000000"/>
            </w:tcBorders>
          </w:tcPr>
          <w:p w14:paraId="668385E3" w14:textId="77777777" w:rsidR="008655A2" w:rsidRPr="00712B66" w:rsidRDefault="00184479" w:rsidP="00184479">
            <w:pPr>
              <w:jc w:val="center"/>
            </w:pPr>
            <w:r>
              <w:t>(</w:t>
            </w:r>
            <w:r w:rsidR="008655A2" w:rsidRPr="00712B66">
              <w:t>amats</w:t>
            </w:r>
            <w:r>
              <w:t>)</w:t>
            </w:r>
          </w:p>
        </w:tc>
      </w:tr>
      <w:tr w:rsidR="008655A2" w:rsidRPr="00712B66" w14:paraId="657CA678" w14:textId="77777777">
        <w:tc>
          <w:tcPr>
            <w:tcW w:w="8268" w:type="dxa"/>
            <w:tcBorders>
              <w:bottom w:val="single" w:sz="4" w:space="0" w:color="000000"/>
            </w:tcBorders>
          </w:tcPr>
          <w:p w14:paraId="4478B320" w14:textId="598FE077" w:rsidR="008655A2" w:rsidRPr="00712B66" w:rsidRDefault="000F4ECE" w:rsidP="00050B1F">
            <w:pPr>
              <w:jc w:val="center"/>
            </w:pPr>
            <w:r w:rsidRPr="000F4ECE">
              <w:t>67876</w:t>
            </w:r>
            <w:r w:rsidR="00050B1F">
              <w:t>177</w:t>
            </w:r>
          </w:p>
        </w:tc>
      </w:tr>
      <w:tr w:rsidR="008655A2" w:rsidRPr="00712B66" w14:paraId="19D3BA0F" w14:textId="77777777">
        <w:tc>
          <w:tcPr>
            <w:tcW w:w="8268" w:type="dxa"/>
            <w:tcBorders>
              <w:top w:val="single" w:sz="4" w:space="0" w:color="000000"/>
            </w:tcBorders>
          </w:tcPr>
          <w:p w14:paraId="7A0B2D3F" w14:textId="77777777" w:rsidR="008655A2" w:rsidRPr="00712B66" w:rsidRDefault="00184479" w:rsidP="00184479">
            <w:pPr>
              <w:jc w:val="center"/>
            </w:pPr>
            <w:r>
              <w:t>(</w:t>
            </w:r>
            <w:r w:rsidR="008655A2" w:rsidRPr="00712B66">
              <w:t>tālruņa un faksa numurs</w:t>
            </w:r>
            <w:r>
              <w:t>)</w:t>
            </w:r>
          </w:p>
        </w:tc>
      </w:tr>
      <w:tr w:rsidR="008655A2" w:rsidRPr="00712B66" w14:paraId="04A08F35" w14:textId="77777777">
        <w:tc>
          <w:tcPr>
            <w:tcW w:w="8268" w:type="dxa"/>
            <w:tcBorders>
              <w:bottom w:val="single" w:sz="4" w:space="0" w:color="000000"/>
            </w:tcBorders>
          </w:tcPr>
          <w:p w14:paraId="6A9581C7" w14:textId="26A69F66" w:rsidR="008655A2" w:rsidRPr="00712B66" w:rsidRDefault="000F4ECE" w:rsidP="0036160E">
            <w:r>
              <w:tab/>
            </w:r>
            <w:r>
              <w:tab/>
            </w:r>
            <w:r>
              <w:tab/>
            </w:r>
            <w:r>
              <w:tab/>
            </w:r>
            <w:r w:rsidR="00050B1F">
              <w:t>Alvis.Bless@vm.gov.lv</w:t>
            </w:r>
          </w:p>
        </w:tc>
      </w:tr>
      <w:tr w:rsidR="008655A2" w:rsidRPr="00712B66" w14:paraId="5BC3D3B6" w14:textId="77777777">
        <w:tc>
          <w:tcPr>
            <w:tcW w:w="8268" w:type="dxa"/>
            <w:tcBorders>
              <w:top w:val="single" w:sz="4" w:space="0" w:color="000000"/>
            </w:tcBorders>
          </w:tcPr>
          <w:p w14:paraId="1EA2848D" w14:textId="77777777" w:rsidR="008655A2" w:rsidRPr="00712B66" w:rsidRDefault="00184479" w:rsidP="00184479">
            <w:pPr>
              <w:jc w:val="center"/>
            </w:pPr>
            <w:r>
              <w:t>(</w:t>
            </w:r>
            <w:r w:rsidR="008655A2" w:rsidRPr="00712B66">
              <w:t>e-pasta adrese</w:t>
            </w:r>
            <w:r>
              <w:t>)</w:t>
            </w:r>
          </w:p>
        </w:tc>
      </w:tr>
    </w:tbl>
    <w:p w14:paraId="5D5972E8" w14:textId="77777777" w:rsidR="007116C7" w:rsidRPr="00050B1F" w:rsidRDefault="007116C7" w:rsidP="00015C84">
      <w:pPr>
        <w:pStyle w:val="naisf"/>
        <w:spacing w:before="0" w:after="0"/>
        <w:ind w:firstLine="0"/>
        <w:jc w:val="left"/>
        <w:rPr>
          <w:sz w:val="28"/>
          <w:szCs w:val="28"/>
        </w:rPr>
      </w:pPr>
    </w:p>
    <w:sectPr w:rsidR="007116C7" w:rsidRPr="00050B1F" w:rsidSect="00364BB6">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DD5E" w14:textId="77777777" w:rsidR="00DA2227" w:rsidRDefault="00DA2227">
      <w:r>
        <w:separator/>
      </w:r>
    </w:p>
  </w:endnote>
  <w:endnote w:type="continuationSeparator" w:id="0">
    <w:p w14:paraId="5EEB222E" w14:textId="77777777" w:rsidR="00DA2227" w:rsidRDefault="00DA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17C1" w14:textId="3A2B226C" w:rsidR="00C24AB7" w:rsidRPr="00015C84" w:rsidRDefault="00C24AB7" w:rsidP="00A65E66">
    <w:pPr>
      <w:pStyle w:val="Footer"/>
      <w:rPr>
        <w:sz w:val="20"/>
        <w:szCs w:val="20"/>
      </w:rPr>
    </w:pPr>
    <w:r>
      <w:rPr>
        <w:sz w:val="20"/>
        <w:szCs w:val="20"/>
      </w:rPr>
      <w:t>V</w:t>
    </w:r>
    <w:r w:rsidRPr="00015C84">
      <w:rPr>
        <w:sz w:val="20"/>
        <w:szCs w:val="20"/>
      </w:rPr>
      <w:t>Mizz_</w:t>
    </w:r>
    <w:r w:rsidR="009E1B9C">
      <w:rPr>
        <w:sz w:val="20"/>
        <w:szCs w:val="20"/>
      </w:rPr>
      <w:t>0</w:t>
    </w:r>
    <w:r w:rsidR="00F906CF">
      <w:rPr>
        <w:sz w:val="20"/>
        <w:szCs w:val="20"/>
      </w:rPr>
      <w:t>9</w:t>
    </w:r>
    <w:r w:rsidR="009E1B9C">
      <w:rPr>
        <w:sz w:val="20"/>
        <w:szCs w:val="20"/>
      </w:rPr>
      <w:t>0120</w:t>
    </w:r>
    <w:r w:rsidRPr="00015C84">
      <w:rPr>
        <w:sz w:val="20"/>
        <w:szCs w:val="20"/>
      </w:rPr>
      <w:t>_</w:t>
    </w:r>
    <w:r>
      <w:rPr>
        <w:sz w:val="20"/>
        <w:szCs w:val="20"/>
      </w:rPr>
      <w:t>Prekursori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DF36" w14:textId="25E1226B" w:rsidR="00C24AB7" w:rsidRPr="00015C84" w:rsidRDefault="00C24AB7" w:rsidP="00364BB6">
    <w:pPr>
      <w:pStyle w:val="Footer"/>
      <w:rPr>
        <w:sz w:val="20"/>
        <w:szCs w:val="20"/>
      </w:rPr>
    </w:pPr>
    <w:r>
      <w:rPr>
        <w:sz w:val="20"/>
        <w:szCs w:val="20"/>
      </w:rPr>
      <w:t>V</w:t>
    </w:r>
    <w:r w:rsidRPr="00015C84">
      <w:rPr>
        <w:sz w:val="20"/>
        <w:szCs w:val="20"/>
      </w:rPr>
      <w:t>Mizz_</w:t>
    </w:r>
    <w:r w:rsidR="009E1B9C">
      <w:rPr>
        <w:sz w:val="20"/>
        <w:szCs w:val="20"/>
      </w:rPr>
      <w:t>0</w:t>
    </w:r>
    <w:r w:rsidR="00F906CF">
      <w:rPr>
        <w:sz w:val="20"/>
        <w:szCs w:val="20"/>
      </w:rPr>
      <w:t>9</w:t>
    </w:r>
    <w:r w:rsidR="009E1B9C">
      <w:rPr>
        <w:sz w:val="20"/>
        <w:szCs w:val="20"/>
      </w:rPr>
      <w:t>0120</w:t>
    </w:r>
    <w:r w:rsidRPr="00015C84">
      <w:rPr>
        <w:sz w:val="20"/>
        <w:szCs w:val="20"/>
      </w:rPr>
      <w:t>_</w:t>
    </w:r>
    <w:r>
      <w:rPr>
        <w:sz w:val="20"/>
        <w:szCs w:val="20"/>
      </w:rPr>
      <w:t>Prekursori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08AE" w14:textId="77777777" w:rsidR="00DA2227" w:rsidRDefault="00DA2227">
      <w:r>
        <w:separator/>
      </w:r>
    </w:p>
  </w:footnote>
  <w:footnote w:type="continuationSeparator" w:id="0">
    <w:p w14:paraId="660AF092" w14:textId="77777777" w:rsidR="00DA2227" w:rsidRDefault="00DA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6FB7" w14:textId="77777777" w:rsidR="00C24AB7" w:rsidRDefault="00C24AB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BA310" w14:textId="77777777" w:rsidR="00C24AB7" w:rsidRDefault="00C24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3E0B" w14:textId="77777777" w:rsidR="00C24AB7" w:rsidRDefault="00C24AB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760490" w14:textId="77777777" w:rsidR="00C24AB7" w:rsidRDefault="00C24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209"/>
    <w:multiLevelType w:val="hybridMultilevel"/>
    <w:tmpl w:val="C81A0C78"/>
    <w:lvl w:ilvl="0" w:tplc="89DC2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1">
    <w:nsid w:val="073647CD"/>
    <w:multiLevelType w:val="hybridMultilevel"/>
    <w:tmpl w:val="219E1BF4"/>
    <w:lvl w:ilvl="0" w:tplc="1916ABA4">
      <w:start w:val="1"/>
      <w:numFmt w:val="decimal"/>
      <w:lvlText w:val="%1."/>
      <w:lvlJc w:val="left"/>
      <w:pPr>
        <w:ind w:left="785" w:hanging="360"/>
      </w:pPr>
      <w:rPr>
        <w:rFonts w:hint="default"/>
      </w:rPr>
    </w:lvl>
    <w:lvl w:ilvl="1" w:tplc="4BD6D4AC" w:tentative="1">
      <w:start w:val="1"/>
      <w:numFmt w:val="lowerLetter"/>
      <w:lvlText w:val="%2."/>
      <w:lvlJc w:val="left"/>
      <w:pPr>
        <w:ind w:left="1505" w:hanging="360"/>
      </w:pPr>
    </w:lvl>
    <w:lvl w:ilvl="2" w:tplc="59268A04" w:tentative="1">
      <w:start w:val="1"/>
      <w:numFmt w:val="lowerRoman"/>
      <w:lvlText w:val="%3."/>
      <w:lvlJc w:val="right"/>
      <w:pPr>
        <w:ind w:left="2225" w:hanging="180"/>
      </w:pPr>
    </w:lvl>
    <w:lvl w:ilvl="3" w:tplc="5AAC08AE" w:tentative="1">
      <w:start w:val="1"/>
      <w:numFmt w:val="decimal"/>
      <w:lvlText w:val="%4."/>
      <w:lvlJc w:val="left"/>
      <w:pPr>
        <w:ind w:left="2945" w:hanging="360"/>
      </w:pPr>
    </w:lvl>
    <w:lvl w:ilvl="4" w:tplc="53625328" w:tentative="1">
      <w:start w:val="1"/>
      <w:numFmt w:val="lowerLetter"/>
      <w:lvlText w:val="%5."/>
      <w:lvlJc w:val="left"/>
      <w:pPr>
        <w:ind w:left="3665" w:hanging="360"/>
      </w:pPr>
    </w:lvl>
    <w:lvl w:ilvl="5" w:tplc="9BDE215E" w:tentative="1">
      <w:start w:val="1"/>
      <w:numFmt w:val="lowerRoman"/>
      <w:lvlText w:val="%6."/>
      <w:lvlJc w:val="right"/>
      <w:pPr>
        <w:ind w:left="4385" w:hanging="180"/>
      </w:pPr>
    </w:lvl>
    <w:lvl w:ilvl="6" w:tplc="537AF970" w:tentative="1">
      <w:start w:val="1"/>
      <w:numFmt w:val="decimal"/>
      <w:lvlText w:val="%7."/>
      <w:lvlJc w:val="left"/>
      <w:pPr>
        <w:ind w:left="5105" w:hanging="360"/>
      </w:pPr>
    </w:lvl>
    <w:lvl w:ilvl="7" w:tplc="FB907C34" w:tentative="1">
      <w:start w:val="1"/>
      <w:numFmt w:val="lowerLetter"/>
      <w:lvlText w:val="%8."/>
      <w:lvlJc w:val="left"/>
      <w:pPr>
        <w:ind w:left="5825" w:hanging="360"/>
      </w:pPr>
    </w:lvl>
    <w:lvl w:ilvl="8" w:tplc="448289E4" w:tentative="1">
      <w:start w:val="1"/>
      <w:numFmt w:val="lowerRoman"/>
      <w:lvlText w:val="%9."/>
      <w:lvlJc w:val="right"/>
      <w:pPr>
        <w:ind w:left="6545"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514"/>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6618"/>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677C"/>
    <w:rsid w:val="000376CD"/>
    <w:rsid w:val="00040A5C"/>
    <w:rsid w:val="000410F6"/>
    <w:rsid w:val="00043005"/>
    <w:rsid w:val="0004345F"/>
    <w:rsid w:val="00044026"/>
    <w:rsid w:val="00044C00"/>
    <w:rsid w:val="00046075"/>
    <w:rsid w:val="00046CAD"/>
    <w:rsid w:val="00046F5C"/>
    <w:rsid w:val="00047385"/>
    <w:rsid w:val="00050410"/>
    <w:rsid w:val="00050554"/>
    <w:rsid w:val="00050B1F"/>
    <w:rsid w:val="00053706"/>
    <w:rsid w:val="00053E04"/>
    <w:rsid w:val="000579E6"/>
    <w:rsid w:val="00060E03"/>
    <w:rsid w:val="000641CE"/>
    <w:rsid w:val="00064A47"/>
    <w:rsid w:val="00065271"/>
    <w:rsid w:val="00066176"/>
    <w:rsid w:val="0006618D"/>
    <w:rsid w:val="00066885"/>
    <w:rsid w:val="0006694E"/>
    <w:rsid w:val="00066A37"/>
    <w:rsid w:val="00066F05"/>
    <w:rsid w:val="00072628"/>
    <w:rsid w:val="000728ED"/>
    <w:rsid w:val="000733F5"/>
    <w:rsid w:val="000733FF"/>
    <w:rsid w:val="0007577A"/>
    <w:rsid w:val="00076148"/>
    <w:rsid w:val="0007699E"/>
    <w:rsid w:val="000775D0"/>
    <w:rsid w:val="00081B0F"/>
    <w:rsid w:val="0008283D"/>
    <w:rsid w:val="00082C5E"/>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74B"/>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425B"/>
    <w:rsid w:val="000E5509"/>
    <w:rsid w:val="000E585F"/>
    <w:rsid w:val="000E66F8"/>
    <w:rsid w:val="000F054F"/>
    <w:rsid w:val="000F079D"/>
    <w:rsid w:val="000F0D9D"/>
    <w:rsid w:val="000F1D56"/>
    <w:rsid w:val="000F24A4"/>
    <w:rsid w:val="000F2534"/>
    <w:rsid w:val="000F28D9"/>
    <w:rsid w:val="000F2D43"/>
    <w:rsid w:val="000F2F9A"/>
    <w:rsid w:val="000F3AA0"/>
    <w:rsid w:val="000F4AEB"/>
    <w:rsid w:val="000F4B40"/>
    <w:rsid w:val="000F4C3B"/>
    <w:rsid w:val="000F4E7B"/>
    <w:rsid w:val="000F4ECE"/>
    <w:rsid w:val="000F57C3"/>
    <w:rsid w:val="000F5C37"/>
    <w:rsid w:val="000F5DF0"/>
    <w:rsid w:val="000F6A0B"/>
    <w:rsid w:val="000F7695"/>
    <w:rsid w:val="001012E3"/>
    <w:rsid w:val="00101EEB"/>
    <w:rsid w:val="0010266F"/>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27B08"/>
    <w:rsid w:val="0013053A"/>
    <w:rsid w:val="0013066A"/>
    <w:rsid w:val="00130FA5"/>
    <w:rsid w:val="001315EF"/>
    <w:rsid w:val="00131F39"/>
    <w:rsid w:val="00132375"/>
    <w:rsid w:val="00132E73"/>
    <w:rsid w:val="00133505"/>
    <w:rsid w:val="00134188"/>
    <w:rsid w:val="00137403"/>
    <w:rsid w:val="00140706"/>
    <w:rsid w:val="0014122A"/>
    <w:rsid w:val="00141E85"/>
    <w:rsid w:val="00142336"/>
    <w:rsid w:val="0014319C"/>
    <w:rsid w:val="001436B3"/>
    <w:rsid w:val="00143976"/>
    <w:rsid w:val="00143DAC"/>
    <w:rsid w:val="001445E9"/>
    <w:rsid w:val="00144622"/>
    <w:rsid w:val="00144781"/>
    <w:rsid w:val="00144917"/>
    <w:rsid w:val="0014702D"/>
    <w:rsid w:val="00147596"/>
    <w:rsid w:val="00152718"/>
    <w:rsid w:val="00152B1C"/>
    <w:rsid w:val="001530CF"/>
    <w:rsid w:val="00153F12"/>
    <w:rsid w:val="001543DB"/>
    <w:rsid w:val="00155473"/>
    <w:rsid w:val="00155DC2"/>
    <w:rsid w:val="00156D90"/>
    <w:rsid w:val="00156E9F"/>
    <w:rsid w:val="001574B0"/>
    <w:rsid w:val="00157A57"/>
    <w:rsid w:val="00157DB6"/>
    <w:rsid w:val="00157EC2"/>
    <w:rsid w:val="00161923"/>
    <w:rsid w:val="00162A68"/>
    <w:rsid w:val="00162E08"/>
    <w:rsid w:val="001633F1"/>
    <w:rsid w:val="0016531E"/>
    <w:rsid w:val="0016565C"/>
    <w:rsid w:val="00166314"/>
    <w:rsid w:val="00166746"/>
    <w:rsid w:val="00167590"/>
    <w:rsid w:val="00167918"/>
    <w:rsid w:val="00167C1E"/>
    <w:rsid w:val="0017043B"/>
    <w:rsid w:val="00170693"/>
    <w:rsid w:val="001706A1"/>
    <w:rsid w:val="00170914"/>
    <w:rsid w:val="00170B8A"/>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8FC"/>
    <w:rsid w:val="001926F2"/>
    <w:rsid w:val="00192CE6"/>
    <w:rsid w:val="00193BCE"/>
    <w:rsid w:val="00194B87"/>
    <w:rsid w:val="0019569A"/>
    <w:rsid w:val="00195962"/>
    <w:rsid w:val="001964E0"/>
    <w:rsid w:val="00197533"/>
    <w:rsid w:val="001977E7"/>
    <w:rsid w:val="00197A91"/>
    <w:rsid w:val="00197CCA"/>
    <w:rsid w:val="001A0D8A"/>
    <w:rsid w:val="001A192D"/>
    <w:rsid w:val="001A5C28"/>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F78"/>
    <w:rsid w:val="001C0824"/>
    <w:rsid w:val="001C0B83"/>
    <w:rsid w:val="001C1510"/>
    <w:rsid w:val="001C1989"/>
    <w:rsid w:val="001C28FD"/>
    <w:rsid w:val="001C3349"/>
    <w:rsid w:val="001C4ABA"/>
    <w:rsid w:val="001C546B"/>
    <w:rsid w:val="001C5EA2"/>
    <w:rsid w:val="001C6608"/>
    <w:rsid w:val="001C678F"/>
    <w:rsid w:val="001C6C7D"/>
    <w:rsid w:val="001D1CB1"/>
    <w:rsid w:val="001D2AC0"/>
    <w:rsid w:val="001D2DBA"/>
    <w:rsid w:val="001D2FD0"/>
    <w:rsid w:val="001D3830"/>
    <w:rsid w:val="001D3BA6"/>
    <w:rsid w:val="001D4640"/>
    <w:rsid w:val="001D5564"/>
    <w:rsid w:val="001D6FAA"/>
    <w:rsid w:val="001D70FA"/>
    <w:rsid w:val="001D7720"/>
    <w:rsid w:val="001D7BA9"/>
    <w:rsid w:val="001E039D"/>
    <w:rsid w:val="001E22E7"/>
    <w:rsid w:val="001E2714"/>
    <w:rsid w:val="001E398C"/>
    <w:rsid w:val="001E4456"/>
    <w:rsid w:val="001E485F"/>
    <w:rsid w:val="001E4DDC"/>
    <w:rsid w:val="001E5A92"/>
    <w:rsid w:val="001E774F"/>
    <w:rsid w:val="001E7C1D"/>
    <w:rsid w:val="001F073F"/>
    <w:rsid w:val="001F3009"/>
    <w:rsid w:val="001F3358"/>
    <w:rsid w:val="001F35CB"/>
    <w:rsid w:val="001F390F"/>
    <w:rsid w:val="001F3F0A"/>
    <w:rsid w:val="001F5CD1"/>
    <w:rsid w:val="001F6279"/>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0557"/>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820"/>
    <w:rsid w:val="00234C71"/>
    <w:rsid w:val="00235511"/>
    <w:rsid w:val="002366E0"/>
    <w:rsid w:val="00236DE1"/>
    <w:rsid w:val="002372EE"/>
    <w:rsid w:val="002372FD"/>
    <w:rsid w:val="0023764D"/>
    <w:rsid w:val="0024080B"/>
    <w:rsid w:val="00240A25"/>
    <w:rsid w:val="002415BC"/>
    <w:rsid w:val="002434B2"/>
    <w:rsid w:val="002442F4"/>
    <w:rsid w:val="002445EA"/>
    <w:rsid w:val="00244ECE"/>
    <w:rsid w:val="00244FC5"/>
    <w:rsid w:val="00245D1D"/>
    <w:rsid w:val="00250EDA"/>
    <w:rsid w:val="00251502"/>
    <w:rsid w:val="002518E8"/>
    <w:rsid w:val="00251C10"/>
    <w:rsid w:val="00252E1E"/>
    <w:rsid w:val="002538BA"/>
    <w:rsid w:val="00253BE6"/>
    <w:rsid w:val="00253CC2"/>
    <w:rsid w:val="0025469D"/>
    <w:rsid w:val="002552B1"/>
    <w:rsid w:val="00255D01"/>
    <w:rsid w:val="00256E55"/>
    <w:rsid w:val="00257E0E"/>
    <w:rsid w:val="00257FF4"/>
    <w:rsid w:val="002601C7"/>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178"/>
    <w:rsid w:val="002B6555"/>
    <w:rsid w:val="002C1A8B"/>
    <w:rsid w:val="002C2892"/>
    <w:rsid w:val="002C58AB"/>
    <w:rsid w:val="002C605A"/>
    <w:rsid w:val="002C6D84"/>
    <w:rsid w:val="002C7D21"/>
    <w:rsid w:val="002D1564"/>
    <w:rsid w:val="002D1CA4"/>
    <w:rsid w:val="002D2C09"/>
    <w:rsid w:val="002D2C45"/>
    <w:rsid w:val="002D45FD"/>
    <w:rsid w:val="002D4969"/>
    <w:rsid w:val="002D4E88"/>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1F03"/>
    <w:rsid w:val="002F2E62"/>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B04"/>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B7"/>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002"/>
    <w:rsid w:val="003333D4"/>
    <w:rsid w:val="00334308"/>
    <w:rsid w:val="00334951"/>
    <w:rsid w:val="00336411"/>
    <w:rsid w:val="0033678D"/>
    <w:rsid w:val="0033720D"/>
    <w:rsid w:val="003373E8"/>
    <w:rsid w:val="003443DD"/>
    <w:rsid w:val="00344D5A"/>
    <w:rsid w:val="00344F79"/>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373E"/>
    <w:rsid w:val="00383A5E"/>
    <w:rsid w:val="00384BDE"/>
    <w:rsid w:val="00397D24"/>
    <w:rsid w:val="003A112E"/>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838"/>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1EE"/>
    <w:rsid w:val="003F241E"/>
    <w:rsid w:val="003F28C0"/>
    <w:rsid w:val="003F52B2"/>
    <w:rsid w:val="003F716E"/>
    <w:rsid w:val="00400061"/>
    <w:rsid w:val="004002A8"/>
    <w:rsid w:val="0040068A"/>
    <w:rsid w:val="00400813"/>
    <w:rsid w:val="004013AD"/>
    <w:rsid w:val="0040151C"/>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1553"/>
    <w:rsid w:val="00422B23"/>
    <w:rsid w:val="00423A60"/>
    <w:rsid w:val="0042651C"/>
    <w:rsid w:val="00426E9B"/>
    <w:rsid w:val="00427D55"/>
    <w:rsid w:val="0043233C"/>
    <w:rsid w:val="0043280D"/>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47B98"/>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433"/>
    <w:rsid w:val="004624AE"/>
    <w:rsid w:val="0046250E"/>
    <w:rsid w:val="00462E9C"/>
    <w:rsid w:val="00464B48"/>
    <w:rsid w:val="00465231"/>
    <w:rsid w:val="004662AD"/>
    <w:rsid w:val="00466516"/>
    <w:rsid w:val="00467B65"/>
    <w:rsid w:val="00470838"/>
    <w:rsid w:val="00471EA5"/>
    <w:rsid w:val="004720C9"/>
    <w:rsid w:val="00472257"/>
    <w:rsid w:val="00472E49"/>
    <w:rsid w:val="004732BB"/>
    <w:rsid w:val="00474955"/>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22A"/>
    <w:rsid w:val="00497810"/>
    <w:rsid w:val="00497B51"/>
    <w:rsid w:val="00497D4A"/>
    <w:rsid w:val="004A0441"/>
    <w:rsid w:val="004A084C"/>
    <w:rsid w:val="004A15B3"/>
    <w:rsid w:val="004A1D01"/>
    <w:rsid w:val="004A26CA"/>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27"/>
    <w:rsid w:val="004C7B9C"/>
    <w:rsid w:val="004C7D55"/>
    <w:rsid w:val="004D089A"/>
    <w:rsid w:val="004D3184"/>
    <w:rsid w:val="004D5030"/>
    <w:rsid w:val="004D6045"/>
    <w:rsid w:val="004D7546"/>
    <w:rsid w:val="004D7CB1"/>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0F09"/>
    <w:rsid w:val="0050147C"/>
    <w:rsid w:val="0050182B"/>
    <w:rsid w:val="00502579"/>
    <w:rsid w:val="005029F7"/>
    <w:rsid w:val="00502E87"/>
    <w:rsid w:val="00503D4C"/>
    <w:rsid w:val="00504C0C"/>
    <w:rsid w:val="00504E48"/>
    <w:rsid w:val="005070FF"/>
    <w:rsid w:val="00512BBC"/>
    <w:rsid w:val="005134FB"/>
    <w:rsid w:val="005135FD"/>
    <w:rsid w:val="0051366C"/>
    <w:rsid w:val="00514149"/>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1C08"/>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57B7E"/>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17A"/>
    <w:rsid w:val="00584D1E"/>
    <w:rsid w:val="00586795"/>
    <w:rsid w:val="00586B82"/>
    <w:rsid w:val="00587E13"/>
    <w:rsid w:val="00590EFC"/>
    <w:rsid w:val="005933AA"/>
    <w:rsid w:val="005940AA"/>
    <w:rsid w:val="00594614"/>
    <w:rsid w:val="0059471C"/>
    <w:rsid w:val="00594E10"/>
    <w:rsid w:val="00596306"/>
    <w:rsid w:val="00596487"/>
    <w:rsid w:val="005A0809"/>
    <w:rsid w:val="005A0B91"/>
    <w:rsid w:val="005A1494"/>
    <w:rsid w:val="005A3590"/>
    <w:rsid w:val="005A3A3B"/>
    <w:rsid w:val="005A4A1C"/>
    <w:rsid w:val="005A5BD8"/>
    <w:rsid w:val="005A692A"/>
    <w:rsid w:val="005A6AB8"/>
    <w:rsid w:val="005A720E"/>
    <w:rsid w:val="005A768D"/>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58C8"/>
    <w:rsid w:val="005E58F6"/>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4EE"/>
    <w:rsid w:val="006003E5"/>
    <w:rsid w:val="00600617"/>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5CFD"/>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4FC5"/>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6D0"/>
    <w:rsid w:val="00650E84"/>
    <w:rsid w:val="0065198B"/>
    <w:rsid w:val="006525AF"/>
    <w:rsid w:val="0065266A"/>
    <w:rsid w:val="00653980"/>
    <w:rsid w:val="00653F9C"/>
    <w:rsid w:val="00655470"/>
    <w:rsid w:val="00656FEE"/>
    <w:rsid w:val="0065758F"/>
    <w:rsid w:val="00657FEA"/>
    <w:rsid w:val="00660897"/>
    <w:rsid w:val="00661028"/>
    <w:rsid w:val="006617BD"/>
    <w:rsid w:val="0066194D"/>
    <w:rsid w:val="00664695"/>
    <w:rsid w:val="00664840"/>
    <w:rsid w:val="00664B44"/>
    <w:rsid w:val="006652BF"/>
    <w:rsid w:val="0066630C"/>
    <w:rsid w:val="00667601"/>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FF5"/>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334"/>
    <w:rsid w:val="006D24A9"/>
    <w:rsid w:val="006D2AF3"/>
    <w:rsid w:val="006D4686"/>
    <w:rsid w:val="006D4D79"/>
    <w:rsid w:val="006D4FBD"/>
    <w:rsid w:val="006D52FA"/>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2945"/>
    <w:rsid w:val="006F37F7"/>
    <w:rsid w:val="006F4A61"/>
    <w:rsid w:val="006F4ADC"/>
    <w:rsid w:val="006F5850"/>
    <w:rsid w:val="006F643D"/>
    <w:rsid w:val="006F675C"/>
    <w:rsid w:val="006F6D13"/>
    <w:rsid w:val="006F7759"/>
    <w:rsid w:val="006F7D95"/>
    <w:rsid w:val="00700D41"/>
    <w:rsid w:val="00701B21"/>
    <w:rsid w:val="00702384"/>
    <w:rsid w:val="0070377C"/>
    <w:rsid w:val="00704BAE"/>
    <w:rsid w:val="00705807"/>
    <w:rsid w:val="00705C74"/>
    <w:rsid w:val="00705C78"/>
    <w:rsid w:val="007060E1"/>
    <w:rsid w:val="00706824"/>
    <w:rsid w:val="00706B85"/>
    <w:rsid w:val="007071FC"/>
    <w:rsid w:val="007072F3"/>
    <w:rsid w:val="00707C84"/>
    <w:rsid w:val="00710A59"/>
    <w:rsid w:val="00710FDE"/>
    <w:rsid w:val="007116C7"/>
    <w:rsid w:val="00711C5A"/>
    <w:rsid w:val="00712B66"/>
    <w:rsid w:val="00713C31"/>
    <w:rsid w:val="0071428D"/>
    <w:rsid w:val="007144C9"/>
    <w:rsid w:val="00714BBE"/>
    <w:rsid w:val="00716B3C"/>
    <w:rsid w:val="007170C2"/>
    <w:rsid w:val="0071712F"/>
    <w:rsid w:val="00717EE4"/>
    <w:rsid w:val="00717F2D"/>
    <w:rsid w:val="00720453"/>
    <w:rsid w:val="00720853"/>
    <w:rsid w:val="00722129"/>
    <w:rsid w:val="00724173"/>
    <w:rsid w:val="00726730"/>
    <w:rsid w:val="00726D1F"/>
    <w:rsid w:val="00727698"/>
    <w:rsid w:val="00730598"/>
    <w:rsid w:val="0073078A"/>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286F"/>
    <w:rsid w:val="007445E2"/>
    <w:rsid w:val="00745496"/>
    <w:rsid w:val="007460DA"/>
    <w:rsid w:val="0074705B"/>
    <w:rsid w:val="007470EC"/>
    <w:rsid w:val="0075020B"/>
    <w:rsid w:val="0075095A"/>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062E"/>
    <w:rsid w:val="00770C2F"/>
    <w:rsid w:val="00771067"/>
    <w:rsid w:val="007722ED"/>
    <w:rsid w:val="0077408B"/>
    <w:rsid w:val="0077467D"/>
    <w:rsid w:val="00774AF6"/>
    <w:rsid w:val="00774EC8"/>
    <w:rsid w:val="00776781"/>
    <w:rsid w:val="007776CC"/>
    <w:rsid w:val="00777CE9"/>
    <w:rsid w:val="00780D05"/>
    <w:rsid w:val="0078153C"/>
    <w:rsid w:val="00783C7B"/>
    <w:rsid w:val="0078480F"/>
    <w:rsid w:val="0078556C"/>
    <w:rsid w:val="007855C5"/>
    <w:rsid w:val="007856D3"/>
    <w:rsid w:val="00785ABD"/>
    <w:rsid w:val="00785D11"/>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285"/>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24"/>
    <w:rsid w:val="00801CBA"/>
    <w:rsid w:val="00801D92"/>
    <w:rsid w:val="00804BCF"/>
    <w:rsid w:val="00804FA4"/>
    <w:rsid w:val="00805275"/>
    <w:rsid w:val="00806A62"/>
    <w:rsid w:val="00806E55"/>
    <w:rsid w:val="008075CE"/>
    <w:rsid w:val="00812179"/>
    <w:rsid w:val="008124E2"/>
    <w:rsid w:val="00813928"/>
    <w:rsid w:val="00815155"/>
    <w:rsid w:val="00815321"/>
    <w:rsid w:val="008166DB"/>
    <w:rsid w:val="008173E0"/>
    <w:rsid w:val="008175C1"/>
    <w:rsid w:val="008200D4"/>
    <w:rsid w:val="00820370"/>
    <w:rsid w:val="00820CC6"/>
    <w:rsid w:val="00822AC8"/>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A78"/>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19D"/>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C7A"/>
    <w:rsid w:val="00867EB8"/>
    <w:rsid w:val="00870335"/>
    <w:rsid w:val="00870AA2"/>
    <w:rsid w:val="00873D88"/>
    <w:rsid w:val="0087433B"/>
    <w:rsid w:val="0087621E"/>
    <w:rsid w:val="008767B2"/>
    <w:rsid w:val="00877328"/>
    <w:rsid w:val="0087787A"/>
    <w:rsid w:val="008802F0"/>
    <w:rsid w:val="00880992"/>
    <w:rsid w:val="00881692"/>
    <w:rsid w:val="00883143"/>
    <w:rsid w:val="00883163"/>
    <w:rsid w:val="00883E22"/>
    <w:rsid w:val="00884EC8"/>
    <w:rsid w:val="00886154"/>
    <w:rsid w:val="00890277"/>
    <w:rsid w:val="0089061A"/>
    <w:rsid w:val="00890D46"/>
    <w:rsid w:val="008915C6"/>
    <w:rsid w:val="00891677"/>
    <w:rsid w:val="00892DB5"/>
    <w:rsid w:val="00894B61"/>
    <w:rsid w:val="00895123"/>
    <w:rsid w:val="00895255"/>
    <w:rsid w:val="00895DF1"/>
    <w:rsid w:val="00896645"/>
    <w:rsid w:val="008975D2"/>
    <w:rsid w:val="008A035B"/>
    <w:rsid w:val="008A0459"/>
    <w:rsid w:val="008A1218"/>
    <w:rsid w:val="008A15B6"/>
    <w:rsid w:val="008A1A6E"/>
    <w:rsid w:val="008A202A"/>
    <w:rsid w:val="008A36C9"/>
    <w:rsid w:val="008A5AF9"/>
    <w:rsid w:val="008A6BCA"/>
    <w:rsid w:val="008B16DE"/>
    <w:rsid w:val="008B251F"/>
    <w:rsid w:val="008B2602"/>
    <w:rsid w:val="008B2727"/>
    <w:rsid w:val="008B316B"/>
    <w:rsid w:val="008B3592"/>
    <w:rsid w:val="008B5059"/>
    <w:rsid w:val="008B5BF2"/>
    <w:rsid w:val="008B6934"/>
    <w:rsid w:val="008B6CF8"/>
    <w:rsid w:val="008B72F6"/>
    <w:rsid w:val="008C0A04"/>
    <w:rsid w:val="008C119E"/>
    <w:rsid w:val="008C1E24"/>
    <w:rsid w:val="008C296B"/>
    <w:rsid w:val="008C2A46"/>
    <w:rsid w:val="008C368E"/>
    <w:rsid w:val="008C4278"/>
    <w:rsid w:val="008C520E"/>
    <w:rsid w:val="008C563B"/>
    <w:rsid w:val="008C567E"/>
    <w:rsid w:val="008C5DEE"/>
    <w:rsid w:val="008C625E"/>
    <w:rsid w:val="008C6285"/>
    <w:rsid w:val="008C7182"/>
    <w:rsid w:val="008C7268"/>
    <w:rsid w:val="008C7CA5"/>
    <w:rsid w:val="008C7D9D"/>
    <w:rsid w:val="008D0416"/>
    <w:rsid w:val="008D046B"/>
    <w:rsid w:val="008D13C6"/>
    <w:rsid w:val="008D1B04"/>
    <w:rsid w:val="008D3235"/>
    <w:rsid w:val="008D33C8"/>
    <w:rsid w:val="008D3893"/>
    <w:rsid w:val="008D45CD"/>
    <w:rsid w:val="008D49DF"/>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8C0"/>
    <w:rsid w:val="008F5AEE"/>
    <w:rsid w:val="008F6509"/>
    <w:rsid w:val="008F6EAA"/>
    <w:rsid w:val="008F7800"/>
    <w:rsid w:val="008F7BCA"/>
    <w:rsid w:val="00900F4D"/>
    <w:rsid w:val="00901269"/>
    <w:rsid w:val="0090167B"/>
    <w:rsid w:val="009027EF"/>
    <w:rsid w:val="00902DEC"/>
    <w:rsid w:val="0090342E"/>
    <w:rsid w:val="00903D3A"/>
    <w:rsid w:val="009044B9"/>
    <w:rsid w:val="009047B1"/>
    <w:rsid w:val="00904C86"/>
    <w:rsid w:val="0090680D"/>
    <w:rsid w:val="0091045D"/>
    <w:rsid w:val="0091130A"/>
    <w:rsid w:val="0091281A"/>
    <w:rsid w:val="00912B24"/>
    <w:rsid w:val="00913175"/>
    <w:rsid w:val="009139B5"/>
    <w:rsid w:val="00914514"/>
    <w:rsid w:val="00914549"/>
    <w:rsid w:val="00914C08"/>
    <w:rsid w:val="00914F2F"/>
    <w:rsid w:val="00916057"/>
    <w:rsid w:val="00916AD1"/>
    <w:rsid w:val="00917637"/>
    <w:rsid w:val="00917FEE"/>
    <w:rsid w:val="0092023D"/>
    <w:rsid w:val="00920472"/>
    <w:rsid w:val="00920BF2"/>
    <w:rsid w:val="00921107"/>
    <w:rsid w:val="00921251"/>
    <w:rsid w:val="00921861"/>
    <w:rsid w:val="0092189E"/>
    <w:rsid w:val="00921963"/>
    <w:rsid w:val="009219FD"/>
    <w:rsid w:val="00921DF7"/>
    <w:rsid w:val="009257B0"/>
    <w:rsid w:val="009258BD"/>
    <w:rsid w:val="00925DEB"/>
    <w:rsid w:val="009263C0"/>
    <w:rsid w:val="009302D4"/>
    <w:rsid w:val="009307F2"/>
    <w:rsid w:val="00930A92"/>
    <w:rsid w:val="00930CEC"/>
    <w:rsid w:val="00930F4A"/>
    <w:rsid w:val="0093375E"/>
    <w:rsid w:val="00933BEF"/>
    <w:rsid w:val="0093694C"/>
    <w:rsid w:val="0093787E"/>
    <w:rsid w:val="009412CC"/>
    <w:rsid w:val="00941C36"/>
    <w:rsid w:val="0094388B"/>
    <w:rsid w:val="00943D09"/>
    <w:rsid w:val="00944826"/>
    <w:rsid w:val="009457A1"/>
    <w:rsid w:val="009475CA"/>
    <w:rsid w:val="00947C5D"/>
    <w:rsid w:val="00947CA9"/>
    <w:rsid w:val="00950478"/>
    <w:rsid w:val="00950888"/>
    <w:rsid w:val="00950AF9"/>
    <w:rsid w:val="00950B5F"/>
    <w:rsid w:val="00950D35"/>
    <w:rsid w:val="0095144C"/>
    <w:rsid w:val="0095165B"/>
    <w:rsid w:val="00951B17"/>
    <w:rsid w:val="00951B8D"/>
    <w:rsid w:val="009536A8"/>
    <w:rsid w:val="00954320"/>
    <w:rsid w:val="00954596"/>
    <w:rsid w:val="00955851"/>
    <w:rsid w:val="00955C63"/>
    <w:rsid w:val="00957E23"/>
    <w:rsid w:val="00961487"/>
    <w:rsid w:val="00961BA7"/>
    <w:rsid w:val="00961F01"/>
    <w:rsid w:val="00962162"/>
    <w:rsid w:val="009623BC"/>
    <w:rsid w:val="009628BE"/>
    <w:rsid w:val="009631C8"/>
    <w:rsid w:val="00963624"/>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224"/>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3EFA"/>
    <w:rsid w:val="009B4027"/>
    <w:rsid w:val="009B4975"/>
    <w:rsid w:val="009B561F"/>
    <w:rsid w:val="009B5773"/>
    <w:rsid w:val="009B5D2D"/>
    <w:rsid w:val="009C058F"/>
    <w:rsid w:val="009C11DB"/>
    <w:rsid w:val="009C2B3E"/>
    <w:rsid w:val="009C2EA2"/>
    <w:rsid w:val="009C3721"/>
    <w:rsid w:val="009C4141"/>
    <w:rsid w:val="009C44EA"/>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AFF"/>
    <w:rsid w:val="009D6CAA"/>
    <w:rsid w:val="009D6CF6"/>
    <w:rsid w:val="009D6E69"/>
    <w:rsid w:val="009D7C17"/>
    <w:rsid w:val="009E02DC"/>
    <w:rsid w:val="009E1B9C"/>
    <w:rsid w:val="009E2040"/>
    <w:rsid w:val="009E49AE"/>
    <w:rsid w:val="009E4DC7"/>
    <w:rsid w:val="009E660A"/>
    <w:rsid w:val="009E6B64"/>
    <w:rsid w:val="009E72E5"/>
    <w:rsid w:val="009F0876"/>
    <w:rsid w:val="009F46C8"/>
    <w:rsid w:val="009F4F2A"/>
    <w:rsid w:val="009F660B"/>
    <w:rsid w:val="009F671E"/>
    <w:rsid w:val="009F7C77"/>
    <w:rsid w:val="009F7ED1"/>
    <w:rsid w:val="00A0149B"/>
    <w:rsid w:val="00A01607"/>
    <w:rsid w:val="00A018D4"/>
    <w:rsid w:val="00A02F9D"/>
    <w:rsid w:val="00A03767"/>
    <w:rsid w:val="00A04834"/>
    <w:rsid w:val="00A05628"/>
    <w:rsid w:val="00A07DCF"/>
    <w:rsid w:val="00A10E74"/>
    <w:rsid w:val="00A11576"/>
    <w:rsid w:val="00A12979"/>
    <w:rsid w:val="00A12BDA"/>
    <w:rsid w:val="00A131A9"/>
    <w:rsid w:val="00A1496E"/>
    <w:rsid w:val="00A14F84"/>
    <w:rsid w:val="00A15DE4"/>
    <w:rsid w:val="00A16D6D"/>
    <w:rsid w:val="00A17C75"/>
    <w:rsid w:val="00A211C8"/>
    <w:rsid w:val="00A2121E"/>
    <w:rsid w:val="00A21EAC"/>
    <w:rsid w:val="00A22079"/>
    <w:rsid w:val="00A221DE"/>
    <w:rsid w:val="00A22CB2"/>
    <w:rsid w:val="00A23138"/>
    <w:rsid w:val="00A23940"/>
    <w:rsid w:val="00A23ECC"/>
    <w:rsid w:val="00A24CD3"/>
    <w:rsid w:val="00A25461"/>
    <w:rsid w:val="00A2576A"/>
    <w:rsid w:val="00A26367"/>
    <w:rsid w:val="00A2678A"/>
    <w:rsid w:val="00A269E1"/>
    <w:rsid w:val="00A27C1C"/>
    <w:rsid w:val="00A30F6A"/>
    <w:rsid w:val="00A32AEA"/>
    <w:rsid w:val="00A32F32"/>
    <w:rsid w:val="00A33E80"/>
    <w:rsid w:val="00A33EFE"/>
    <w:rsid w:val="00A4148D"/>
    <w:rsid w:val="00A42E1E"/>
    <w:rsid w:val="00A44D0E"/>
    <w:rsid w:val="00A4621D"/>
    <w:rsid w:val="00A509FB"/>
    <w:rsid w:val="00A51C19"/>
    <w:rsid w:val="00A51E04"/>
    <w:rsid w:val="00A522B5"/>
    <w:rsid w:val="00A52557"/>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2BA0"/>
    <w:rsid w:val="00A63AC9"/>
    <w:rsid w:val="00A64502"/>
    <w:rsid w:val="00A64B5F"/>
    <w:rsid w:val="00A65E66"/>
    <w:rsid w:val="00A65EA0"/>
    <w:rsid w:val="00A66517"/>
    <w:rsid w:val="00A67B0E"/>
    <w:rsid w:val="00A71143"/>
    <w:rsid w:val="00A718EF"/>
    <w:rsid w:val="00A72134"/>
    <w:rsid w:val="00A726A8"/>
    <w:rsid w:val="00A72951"/>
    <w:rsid w:val="00A732BF"/>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34E"/>
    <w:rsid w:val="00AA4A2C"/>
    <w:rsid w:val="00AA59A6"/>
    <w:rsid w:val="00AA6299"/>
    <w:rsid w:val="00AA6E05"/>
    <w:rsid w:val="00AB0262"/>
    <w:rsid w:val="00AB14A1"/>
    <w:rsid w:val="00AB202A"/>
    <w:rsid w:val="00AB4D1D"/>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29C0"/>
    <w:rsid w:val="00B03F92"/>
    <w:rsid w:val="00B055D8"/>
    <w:rsid w:val="00B06CD6"/>
    <w:rsid w:val="00B06EBC"/>
    <w:rsid w:val="00B06FD0"/>
    <w:rsid w:val="00B11D2D"/>
    <w:rsid w:val="00B123F0"/>
    <w:rsid w:val="00B12891"/>
    <w:rsid w:val="00B1310F"/>
    <w:rsid w:val="00B146C1"/>
    <w:rsid w:val="00B146E7"/>
    <w:rsid w:val="00B156DF"/>
    <w:rsid w:val="00B15ABB"/>
    <w:rsid w:val="00B16973"/>
    <w:rsid w:val="00B2036A"/>
    <w:rsid w:val="00B20A60"/>
    <w:rsid w:val="00B21057"/>
    <w:rsid w:val="00B2202B"/>
    <w:rsid w:val="00B23422"/>
    <w:rsid w:val="00B24948"/>
    <w:rsid w:val="00B24CBD"/>
    <w:rsid w:val="00B25CA3"/>
    <w:rsid w:val="00B30028"/>
    <w:rsid w:val="00B31E8D"/>
    <w:rsid w:val="00B3313B"/>
    <w:rsid w:val="00B331E8"/>
    <w:rsid w:val="00B331EA"/>
    <w:rsid w:val="00B33399"/>
    <w:rsid w:val="00B34732"/>
    <w:rsid w:val="00B353B8"/>
    <w:rsid w:val="00B35C56"/>
    <w:rsid w:val="00B36F17"/>
    <w:rsid w:val="00B372ED"/>
    <w:rsid w:val="00B40603"/>
    <w:rsid w:val="00B4083C"/>
    <w:rsid w:val="00B40AF6"/>
    <w:rsid w:val="00B41071"/>
    <w:rsid w:val="00B419C1"/>
    <w:rsid w:val="00B425C0"/>
    <w:rsid w:val="00B42DB6"/>
    <w:rsid w:val="00B46957"/>
    <w:rsid w:val="00B47B54"/>
    <w:rsid w:val="00B50E99"/>
    <w:rsid w:val="00B51926"/>
    <w:rsid w:val="00B51F9A"/>
    <w:rsid w:val="00B54DA7"/>
    <w:rsid w:val="00B5736D"/>
    <w:rsid w:val="00B600C6"/>
    <w:rsid w:val="00B60167"/>
    <w:rsid w:val="00B603F2"/>
    <w:rsid w:val="00B60FC0"/>
    <w:rsid w:val="00B61665"/>
    <w:rsid w:val="00B63528"/>
    <w:rsid w:val="00B63DAF"/>
    <w:rsid w:val="00B63E98"/>
    <w:rsid w:val="00B65754"/>
    <w:rsid w:val="00B65A79"/>
    <w:rsid w:val="00B661AA"/>
    <w:rsid w:val="00B66242"/>
    <w:rsid w:val="00B670D3"/>
    <w:rsid w:val="00B67958"/>
    <w:rsid w:val="00B701D1"/>
    <w:rsid w:val="00B716BB"/>
    <w:rsid w:val="00B716FD"/>
    <w:rsid w:val="00B734C2"/>
    <w:rsid w:val="00B73BDA"/>
    <w:rsid w:val="00B74053"/>
    <w:rsid w:val="00B7614C"/>
    <w:rsid w:val="00B765A0"/>
    <w:rsid w:val="00B76C02"/>
    <w:rsid w:val="00B77BD2"/>
    <w:rsid w:val="00B814CB"/>
    <w:rsid w:val="00B81B6A"/>
    <w:rsid w:val="00B820F4"/>
    <w:rsid w:val="00B835E0"/>
    <w:rsid w:val="00B8396D"/>
    <w:rsid w:val="00B90331"/>
    <w:rsid w:val="00B903ED"/>
    <w:rsid w:val="00B90B2D"/>
    <w:rsid w:val="00B935A1"/>
    <w:rsid w:val="00B937B0"/>
    <w:rsid w:val="00B95DAD"/>
    <w:rsid w:val="00B96C0C"/>
    <w:rsid w:val="00B9734D"/>
    <w:rsid w:val="00B97732"/>
    <w:rsid w:val="00B97C71"/>
    <w:rsid w:val="00BA27F4"/>
    <w:rsid w:val="00BA2E40"/>
    <w:rsid w:val="00BA3CB7"/>
    <w:rsid w:val="00BA41DE"/>
    <w:rsid w:val="00BA556C"/>
    <w:rsid w:val="00BB0F31"/>
    <w:rsid w:val="00BB15AB"/>
    <w:rsid w:val="00BB189B"/>
    <w:rsid w:val="00BB1D21"/>
    <w:rsid w:val="00BB2E51"/>
    <w:rsid w:val="00BB32A6"/>
    <w:rsid w:val="00BB4BEA"/>
    <w:rsid w:val="00BB4C1A"/>
    <w:rsid w:val="00BB50AB"/>
    <w:rsid w:val="00BB6664"/>
    <w:rsid w:val="00BC01FC"/>
    <w:rsid w:val="00BC0556"/>
    <w:rsid w:val="00BC1F79"/>
    <w:rsid w:val="00BC2201"/>
    <w:rsid w:val="00BC3C7A"/>
    <w:rsid w:val="00BC40B7"/>
    <w:rsid w:val="00BC7DC6"/>
    <w:rsid w:val="00BD1039"/>
    <w:rsid w:val="00BD13B5"/>
    <w:rsid w:val="00BD1585"/>
    <w:rsid w:val="00BD2EFC"/>
    <w:rsid w:val="00BD340E"/>
    <w:rsid w:val="00BD4234"/>
    <w:rsid w:val="00BD60AD"/>
    <w:rsid w:val="00BD6ADF"/>
    <w:rsid w:val="00BD6C02"/>
    <w:rsid w:val="00BE0BBD"/>
    <w:rsid w:val="00BE1244"/>
    <w:rsid w:val="00BE165D"/>
    <w:rsid w:val="00BE2394"/>
    <w:rsid w:val="00BE2702"/>
    <w:rsid w:val="00BE4326"/>
    <w:rsid w:val="00BE5F4F"/>
    <w:rsid w:val="00BE60DB"/>
    <w:rsid w:val="00BE7DE3"/>
    <w:rsid w:val="00BF0191"/>
    <w:rsid w:val="00BF13EC"/>
    <w:rsid w:val="00BF1C07"/>
    <w:rsid w:val="00BF3DEE"/>
    <w:rsid w:val="00BF54AC"/>
    <w:rsid w:val="00BF54BD"/>
    <w:rsid w:val="00BF6B8E"/>
    <w:rsid w:val="00C025A5"/>
    <w:rsid w:val="00C03C78"/>
    <w:rsid w:val="00C04FD3"/>
    <w:rsid w:val="00C05207"/>
    <w:rsid w:val="00C065A2"/>
    <w:rsid w:val="00C06B74"/>
    <w:rsid w:val="00C07919"/>
    <w:rsid w:val="00C103F9"/>
    <w:rsid w:val="00C104AC"/>
    <w:rsid w:val="00C110E1"/>
    <w:rsid w:val="00C1198F"/>
    <w:rsid w:val="00C11FA1"/>
    <w:rsid w:val="00C12E21"/>
    <w:rsid w:val="00C12E65"/>
    <w:rsid w:val="00C13C20"/>
    <w:rsid w:val="00C13F74"/>
    <w:rsid w:val="00C146D3"/>
    <w:rsid w:val="00C16BE0"/>
    <w:rsid w:val="00C20A54"/>
    <w:rsid w:val="00C21C39"/>
    <w:rsid w:val="00C2325C"/>
    <w:rsid w:val="00C239ED"/>
    <w:rsid w:val="00C24AB7"/>
    <w:rsid w:val="00C24D9D"/>
    <w:rsid w:val="00C25CF3"/>
    <w:rsid w:val="00C263E9"/>
    <w:rsid w:val="00C2775A"/>
    <w:rsid w:val="00C3063A"/>
    <w:rsid w:val="00C30BAD"/>
    <w:rsid w:val="00C31E8F"/>
    <w:rsid w:val="00C335DA"/>
    <w:rsid w:val="00C33AF5"/>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5BBF"/>
    <w:rsid w:val="00C7776C"/>
    <w:rsid w:val="00C8398D"/>
    <w:rsid w:val="00C84BC2"/>
    <w:rsid w:val="00C85139"/>
    <w:rsid w:val="00C85657"/>
    <w:rsid w:val="00C91C88"/>
    <w:rsid w:val="00C939C3"/>
    <w:rsid w:val="00C94228"/>
    <w:rsid w:val="00C96D56"/>
    <w:rsid w:val="00C977E6"/>
    <w:rsid w:val="00CA0020"/>
    <w:rsid w:val="00CA034A"/>
    <w:rsid w:val="00CA0B2E"/>
    <w:rsid w:val="00CA18CA"/>
    <w:rsid w:val="00CA2506"/>
    <w:rsid w:val="00CA2557"/>
    <w:rsid w:val="00CA2B35"/>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2E9A"/>
    <w:rsid w:val="00CC3222"/>
    <w:rsid w:val="00CC35F1"/>
    <w:rsid w:val="00CC35FF"/>
    <w:rsid w:val="00CD0E6E"/>
    <w:rsid w:val="00CD23AE"/>
    <w:rsid w:val="00CD27DF"/>
    <w:rsid w:val="00CD2D8A"/>
    <w:rsid w:val="00CD3BAC"/>
    <w:rsid w:val="00CD3FF2"/>
    <w:rsid w:val="00CD4A65"/>
    <w:rsid w:val="00CD4C40"/>
    <w:rsid w:val="00CD531F"/>
    <w:rsid w:val="00CD6FA3"/>
    <w:rsid w:val="00CE205C"/>
    <w:rsid w:val="00CE2184"/>
    <w:rsid w:val="00CE3B7F"/>
    <w:rsid w:val="00CE3FA2"/>
    <w:rsid w:val="00CE41A0"/>
    <w:rsid w:val="00CE4958"/>
    <w:rsid w:val="00CE68E2"/>
    <w:rsid w:val="00CE706E"/>
    <w:rsid w:val="00CE70B1"/>
    <w:rsid w:val="00CE7AE4"/>
    <w:rsid w:val="00CF089D"/>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E7"/>
    <w:rsid w:val="00D137F9"/>
    <w:rsid w:val="00D1458C"/>
    <w:rsid w:val="00D15775"/>
    <w:rsid w:val="00D1620E"/>
    <w:rsid w:val="00D16867"/>
    <w:rsid w:val="00D16EEC"/>
    <w:rsid w:val="00D2047A"/>
    <w:rsid w:val="00D20631"/>
    <w:rsid w:val="00D207FC"/>
    <w:rsid w:val="00D2260B"/>
    <w:rsid w:val="00D22D49"/>
    <w:rsid w:val="00D23930"/>
    <w:rsid w:val="00D23A23"/>
    <w:rsid w:val="00D24D8A"/>
    <w:rsid w:val="00D24DA4"/>
    <w:rsid w:val="00D25235"/>
    <w:rsid w:val="00D2531D"/>
    <w:rsid w:val="00D25383"/>
    <w:rsid w:val="00D25670"/>
    <w:rsid w:val="00D25A01"/>
    <w:rsid w:val="00D27376"/>
    <w:rsid w:val="00D301FF"/>
    <w:rsid w:val="00D3257F"/>
    <w:rsid w:val="00D340E2"/>
    <w:rsid w:val="00D36887"/>
    <w:rsid w:val="00D37563"/>
    <w:rsid w:val="00D379EB"/>
    <w:rsid w:val="00D400B8"/>
    <w:rsid w:val="00D4022C"/>
    <w:rsid w:val="00D41023"/>
    <w:rsid w:val="00D41C6C"/>
    <w:rsid w:val="00D42465"/>
    <w:rsid w:val="00D42E5B"/>
    <w:rsid w:val="00D439D1"/>
    <w:rsid w:val="00D43C50"/>
    <w:rsid w:val="00D43C68"/>
    <w:rsid w:val="00D444B2"/>
    <w:rsid w:val="00D453E4"/>
    <w:rsid w:val="00D47226"/>
    <w:rsid w:val="00D50B21"/>
    <w:rsid w:val="00D51349"/>
    <w:rsid w:val="00D527AF"/>
    <w:rsid w:val="00D529E1"/>
    <w:rsid w:val="00D534C2"/>
    <w:rsid w:val="00D5410F"/>
    <w:rsid w:val="00D564DF"/>
    <w:rsid w:val="00D576DD"/>
    <w:rsid w:val="00D57923"/>
    <w:rsid w:val="00D57CB4"/>
    <w:rsid w:val="00D611D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5DF7"/>
    <w:rsid w:val="00D762AC"/>
    <w:rsid w:val="00D775E7"/>
    <w:rsid w:val="00D77B9E"/>
    <w:rsid w:val="00D81CA9"/>
    <w:rsid w:val="00D839D8"/>
    <w:rsid w:val="00D83F9E"/>
    <w:rsid w:val="00D840C2"/>
    <w:rsid w:val="00D84562"/>
    <w:rsid w:val="00D85C16"/>
    <w:rsid w:val="00D86169"/>
    <w:rsid w:val="00D8732E"/>
    <w:rsid w:val="00D91294"/>
    <w:rsid w:val="00D9186A"/>
    <w:rsid w:val="00D92BF4"/>
    <w:rsid w:val="00D92D47"/>
    <w:rsid w:val="00D94213"/>
    <w:rsid w:val="00D94BEB"/>
    <w:rsid w:val="00D94EA5"/>
    <w:rsid w:val="00D95F32"/>
    <w:rsid w:val="00DA024A"/>
    <w:rsid w:val="00DA07EE"/>
    <w:rsid w:val="00DA0A58"/>
    <w:rsid w:val="00DA1C85"/>
    <w:rsid w:val="00DA1CC9"/>
    <w:rsid w:val="00DA2227"/>
    <w:rsid w:val="00DA2E58"/>
    <w:rsid w:val="00DA328E"/>
    <w:rsid w:val="00DA3AA6"/>
    <w:rsid w:val="00DA43EF"/>
    <w:rsid w:val="00DA46C1"/>
    <w:rsid w:val="00DA660E"/>
    <w:rsid w:val="00DA70DD"/>
    <w:rsid w:val="00DB088F"/>
    <w:rsid w:val="00DB0B4A"/>
    <w:rsid w:val="00DB1487"/>
    <w:rsid w:val="00DB19B4"/>
    <w:rsid w:val="00DB19F1"/>
    <w:rsid w:val="00DB26AE"/>
    <w:rsid w:val="00DB3CAE"/>
    <w:rsid w:val="00DB4411"/>
    <w:rsid w:val="00DB466D"/>
    <w:rsid w:val="00DB5FD0"/>
    <w:rsid w:val="00DB7395"/>
    <w:rsid w:val="00DB75C2"/>
    <w:rsid w:val="00DB7BCD"/>
    <w:rsid w:val="00DB7E2C"/>
    <w:rsid w:val="00DC027B"/>
    <w:rsid w:val="00DC0A64"/>
    <w:rsid w:val="00DC0CBB"/>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DD4"/>
    <w:rsid w:val="00DD2FE9"/>
    <w:rsid w:val="00DD307C"/>
    <w:rsid w:val="00DD3A7E"/>
    <w:rsid w:val="00DD434E"/>
    <w:rsid w:val="00DD4402"/>
    <w:rsid w:val="00DD60D0"/>
    <w:rsid w:val="00DD6200"/>
    <w:rsid w:val="00DD686C"/>
    <w:rsid w:val="00DD6E86"/>
    <w:rsid w:val="00DE0E5D"/>
    <w:rsid w:val="00DE1136"/>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5A1"/>
    <w:rsid w:val="00E00816"/>
    <w:rsid w:val="00E0239F"/>
    <w:rsid w:val="00E0267B"/>
    <w:rsid w:val="00E03F1B"/>
    <w:rsid w:val="00E04441"/>
    <w:rsid w:val="00E05F03"/>
    <w:rsid w:val="00E06370"/>
    <w:rsid w:val="00E06B7B"/>
    <w:rsid w:val="00E06E20"/>
    <w:rsid w:val="00E07DD9"/>
    <w:rsid w:val="00E102F8"/>
    <w:rsid w:val="00E12FCF"/>
    <w:rsid w:val="00E13273"/>
    <w:rsid w:val="00E13379"/>
    <w:rsid w:val="00E13990"/>
    <w:rsid w:val="00E139EE"/>
    <w:rsid w:val="00E14D83"/>
    <w:rsid w:val="00E14FA6"/>
    <w:rsid w:val="00E15A0D"/>
    <w:rsid w:val="00E16640"/>
    <w:rsid w:val="00E1740F"/>
    <w:rsid w:val="00E200CF"/>
    <w:rsid w:val="00E24287"/>
    <w:rsid w:val="00E31367"/>
    <w:rsid w:val="00E3181C"/>
    <w:rsid w:val="00E32EF3"/>
    <w:rsid w:val="00E3382A"/>
    <w:rsid w:val="00E33E21"/>
    <w:rsid w:val="00E34BC4"/>
    <w:rsid w:val="00E3540C"/>
    <w:rsid w:val="00E36187"/>
    <w:rsid w:val="00E36332"/>
    <w:rsid w:val="00E36C9B"/>
    <w:rsid w:val="00E373EF"/>
    <w:rsid w:val="00E37638"/>
    <w:rsid w:val="00E37E9D"/>
    <w:rsid w:val="00E41B71"/>
    <w:rsid w:val="00E42569"/>
    <w:rsid w:val="00E434A0"/>
    <w:rsid w:val="00E43A68"/>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92C"/>
    <w:rsid w:val="00E57EEB"/>
    <w:rsid w:val="00E60318"/>
    <w:rsid w:val="00E60BA8"/>
    <w:rsid w:val="00E61E25"/>
    <w:rsid w:val="00E61E28"/>
    <w:rsid w:val="00E628E4"/>
    <w:rsid w:val="00E631A4"/>
    <w:rsid w:val="00E647F7"/>
    <w:rsid w:val="00E64F97"/>
    <w:rsid w:val="00E65FF5"/>
    <w:rsid w:val="00E66857"/>
    <w:rsid w:val="00E67556"/>
    <w:rsid w:val="00E7126C"/>
    <w:rsid w:val="00E71CBE"/>
    <w:rsid w:val="00E7252F"/>
    <w:rsid w:val="00E732F1"/>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31E"/>
    <w:rsid w:val="00E968FD"/>
    <w:rsid w:val="00E96D55"/>
    <w:rsid w:val="00E96E71"/>
    <w:rsid w:val="00E97993"/>
    <w:rsid w:val="00EA0D5D"/>
    <w:rsid w:val="00EA1192"/>
    <w:rsid w:val="00EA153F"/>
    <w:rsid w:val="00EA2788"/>
    <w:rsid w:val="00EA2C6E"/>
    <w:rsid w:val="00EA4964"/>
    <w:rsid w:val="00EA4F1A"/>
    <w:rsid w:val="00EB02DE"/>
    <w:rsid w:val="00EB0A07"/>
    <w:rsid w:val="00EB1B69"/>
    <w:rsid w:val="00EB1C78"/>
    <w:rsid w:val="00EB2758"/>
    <w:rsid w:val="00EB3B46"/>
    <w:rsid w:val="00EB4F08"/>
    <w:rsid w:val="00EC2E07"/>
    <w:rsid w:val="00EC43C7"/>
    <w:rsid w:val="00EC465D"/>
    <w:rsid w:val="00EC5C89"/>
    <w:rsid w:val="00EC66D2"/>
    <w:rsid w:val="00EC67E7"/>
    <w:rsid w:val="00ED08E1"/>
    <w:rsid w:val="00ED0A1B"/>
    <w:rsid w:val="00ED21BC"/>
    <w:rsid w:val="00ED2FEC"/>
    <w:rsid w:val="00ED3F67"/>
    <w:rsid w:val="00ED440A"/>
    <w:rsid w:val="00ED7971"/>
    <w:rsid w:val="00EE0748"/>
    <w:rsid w:val="00EE29A0"/>
    <w:rsid w:val="00EE2CEA"/>
    <w:rsid w:val="00EE3365"/>
    <w:rsid w:val="00EE48DF"/>
    <w:rsid w:val="00EE4AB3"/>
    <w:rsid w:val="00EE53B9"/>
    <w:rsid w:val="00EE7405"/>
    <w:rsid w:val="00EF033E"/>
    <w:rsid w:val="00EF06EC"/>
    <w:rsid w:val="00EF0AF2"/>
    <w:rsid w:val="00EF14FF"/>
    <w:rsid w:val="00EF2BFE"/>
    <w:rsid w:val="00EF2D85"/>
    <w:rsid w:val="00EF402C"/>
    <w:rsid w:val="00EF45E0"/>
    <w:rsid w:val="00EF4A0B"/>
    <w:rsid w:val="00EF4E6F"/>
    <w:rsid w:val="00EF5C82"/>
    <w:rsid w:val="00EF7A15"/>
    <w:rsid w:val="00F01F8C"/>
    <w:rsid w:val="00F034C8"/>
    <w:rsid w:val="00F035A6"/>
    <w:rsid w:val="00F04AD0"/>
    <w:rsid w:val="00F10033"/>
    <w:rsid w:val="00F10848"/>
    <w:rsid w:val="00F10B68"/>
    <w:rsid w:val="00F11240"/>
    <w:rsid w:val="00F11F55"/>
    <w:rsid w:val="00F12DEC"/>
    <w:rsid w:val="00F13151"/>
    <w:rsid w:val="00F13610"/>
    <w:rsid w:val="00F15523"/>
    <w:rsid w:val="00F15D76"/>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382E"/>
    <w:rsid w:val="00F44106"/>
    <w:rsid w:val="00F445F6"/>
    <w:rsid w:val="00F4512F"/>
    <w:rsid w:val="00F45763"/>
    <w:rsid w:val="00F45BCF"/>
    <w:rsid w:val="00F45BEA"/>
    <w:rsid w:val="00F45CFE"/>
    <w:rsid w:val="00F46877"/>
    <w:rsid w:val="00F47F3E"/>
    <w:rsid w:val="00F5193E"/>
    <w:rsid w:val="00F523D7"/>
    <w:rsid w:val="00F530E6"/>
    <w:rsid w:val="00F532C7"/>
    <w:rsid w:val="00F53E92"/>
    <w:rsid w:val="00F54EE5"/>
    <w:rsid w:val="00F55358"/>
    <w:rsid w:val="00F5603C"/>
    <w:rsid w:val="00F5605C"/>
    <w:rsid w:val="00F564B9"/>
    <w:rsid w:val="00F57909"/>
    <w:rsid w:val="00F612D6"/>
    <w:rsid w:val="00F63400"/>
    <w:rsid w:val="00F636C6"/>
    <w:rsid w:val="00F6433D"/>
    <w:rsid w:val="00F6573E"/>
    <w:rsid w:val="00F65FFB"/>
    <w:rsid w:val="00F662EB"/>
    <w:rsid w:val="00F67606"/>
    <w:rsid w:val="00F67C08"/>
    <w:rsid w:val="00F70327"/>
    <w:rsid w:val="00F70FEF"/>
    <w:rsid w:val="00F72FA8"/>
    <w:rsid w:val="00F75415"/>
    <w:rsid w:val="00F773F9"/>
    <w:rsid w:val="00F77BDC"/>
    <w:rsid w:val="00F8101C"/>
    <w:rsid w:val="00F817B9"/>
    <w:rsid w:val="00F81CB7"/>
    <w:rsid w:val="00F82280"/>
    <w:rsid w:val="00F8235F"/>
    <w:rsid w:val="00F833D6"/>
    <w:rsid w:val="00F83A22"/>
    <w:rsid w:val="00F83A97"/>
    <w:rsid w:val="00F844F0"/>
    <w:rsid w:val="00F84895"/>
    <w:rsid w:val="00F84E9D"/>
    <w:rsid w:val="00F85386"/>
    <w:rsid w:val="00F85FCA"/>
    <w:rsid w:val="00F8659E"/>
    <w:rsid w:val="00F86CE4"/>
    <w:rsid w:val="00F86F42"/>
    <w:rsid w:val="00F906CF"/>
    <w:rsid w:val="00F910D3"/>
    <w:rsid w:val="00F91941"/>
    <w:rsid w:val="00F92E3F"/>
    <w:rsid w:val="00F938D2"/>
    <w:rsid w:val="00F96389"/>
    <w:rsid w:val="00F9650E"/>
    <w:rsid w:val="00F96B73"/>
    <w:rsid w:val="00F977C7"/>
    <w:rsid w:val="00FA0890"/>
    <w:rsid w:val="00FA164A"/>
    <w:rsid w:val="00FA2182"/>
    <w:rsid w:val="00FA3F3E"/>
    <w:rsid w:val="00FA4272"/>
    <w:rsid w:val="00FA4855"/>
    <w:rsid w:val="00FA4ACD"/>
    <w:rsid w:val="00FA6428"/>
    <w:rsid w:val="00FA7144"/>
    <w:rsid w:val="00FA7184"/>
    <w:rsid w:val="00FB1B3C"/>
    <w:rsid w:val="00FB1D9D"/>
    <w:rsid w:val="00FB3304"/>
    <w:rsid w:val="00FB46B8"/>
    <w:rsid w:val="00FB4B38"/>
    <w:rsid w:val="00FB54BB"/>
    <w:rsid w:val="00FB5AC0"/>
    <w:rsid w:val="00FB6C91"/>
    <w:rsid w:val="00FB74E8"/>
    <w:rsid w:val="00FB7EDE"/>
    <w:rsid w:val="00FC0263"/>
    <w:rsid w:val="00FC0348"/>
    <w:rsid w:val="00FC0FB5"/>
    <w:rsid w:val="00FC102A"/>
    <w:rsid w:val="00FC154C"/>
    <w:rsid w:val="00FC1DBC"/>
    <w:rsid w:val="00FC2637"/>
    <w:rsid w:val="00FC393B"/>
    <w:rsid w:val="00FC4052"/>
    <w:rsid w:val="00FC4A36"/>
    <w:rsid w:val="00FC5252"/>
    <w:rsid w:val="00FC6356"/>
    <w:rsid w:val="00FC6782"/>
    <w:rsid w:val="00FC7D01"/>
    <w:rsid w:val="00FD0130"/>
    <w:rsid w:val="00FD0373"/>
    <w:rsid w:val="00FD0582"/>
    <w:rsid w:val="00FD0C93"/>
    <w:rsid w:val="00FD1062"/>
    <w:rsid w:val="00FD2589"/>
    <w:rsid w:val="00FD4876"/>
    <w:rsid w:val="00FD52A3"/>
    <w:rsid w:val="00FD68D4"/>
    <w:rsid w:val="00FD7AF8"/>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645800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FFD3"/>
  <w15:chartTrackingRefBased/>
  <w15:docId w15:val="{A325F5F8-348D-48A3-B15A-B913CADA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A10E74"/>
    <w:pPr>
      <w:spacing w:before="100" w:beforeAutospacing="1" w:after="100" w:afterAutospacing="1"/>
    </w:pPr>
  </w:style>
  <w:style w:type="character" w:styleId="UnresolvedMention">
    <w:name w:val="Unresolved Mention"/>
    <w:basedOn w:val="DefaultParagraphFont"/>
    <w:uiPriority w:val="99"/>
    <w:semiHidden/>
    <w:unhideWhenUsed/>
    <w:rsid w:val="002F2E62"/>
    <w:rPr>
      <w:color w:val="605E5C"/>
      <w:shd w:val="clear" w:color="auto" w:fill="E1DFDD"/>
    </w:rPr>
  </w:style>
  <w:style w:type="character" w:customStyle="1" w:styleId="highlight">
    <w:name w:val="highlight"/>
    <w:basedOn w:val="DefaultParagraphFont"/>
    <w:rsid w:val="00822AC8"/>
  </w:style>
  <w:style w:type="paragraph" w:customStyle="1" w:styleId="norm">
    <w:name w:val="norm"/>
    <w:basedOn w:val="Normal"/>
    <w:rsid w:val="00142336"/>
    <w:pPr>
      <w:spacing w:before="100" w:beforeAutospacing="1" w:after="100" w:afterAutospacing="1"/>
    </w:pPr>
  </w:style>
  <w:style w:type="paragraph" w:customStyle="1" w:styleId="title-doc-first">
    <w:name w:val="title-doc-first"/>
    <w:basedOn w:val="Normal"/>
    <w:rsid w:val="0070377C"/>
    <w:pPr>
      <w:spacing w:before="100" w:beforeAutospacing="1" w:after="100" w:afterAutospacing="1"/>
    </w:pPr>
  </w:style>
  <w:style w:type="paragraph" w:customStyle="1" w:styleId="title-doc-last">
    <w:name w:val="title-doc-last"/>
    <w:basedOn w:val="Normal"/>
    <w:rsid w:val="0070377C"/>
    <w:pPr>
      <w:spacing w:before="100" w:beforeAutospacing="1" w:after="100" w:afterAutospacing="1"/>
    </w:pPr>
  </w:style>
  <w:style w:type="character" w:customStyle="1" w:styleId="boldface">
    <w:name w:val="boldface"/>
    <w:basedOn w:val="DefaultParagraphFont"/>
    <w:rsid w:val="0070377C"/>
  </w:style>
  <w:style w:type="paragraph" w:styleId="NoSpacing">
    <w:name w:val="No Spacing"/>
    <w:uiPriority w:val="1"/>
    <w:qFormat/>
    <w:rsid w:val="0070377C"/>
    <w:rPr>
      <w:sz w:val="24"/>
      <w:szCs w:val="24"/>
    </w:rPr>
  </w:style>
  <w:style w:type="paragraph" w:styleId="Title">
    <w:name w:val="Title"/>
    <w:basedOn w:val="Normal"/>
    <w:link w:val="TitleChar"/>
    <w:qFormat/>
    <w:locked/>
    <w:rsid w:val="00FB1B3C"/>
    <w:pPr>
      <w:jc w:val="center"/>
    </w:pPr>
    <w:rPr>
      <w:sz w:val="28"/>
      <w:szCs w:val="20"/>
      <w:lang w:eastAsia="en-US"/>
    </w:rPr>
  </w:style>
  <w:style w:type="character" w:customStyle="1" w:styleId="TitleChar">
    <w:name w:val="Title Char"/>
    <w:basedOn w:val="DefaultParagraphFont"/>
    <w:link w:val="Title"/>
    <w:rsid w:val="00FB1B3C"/>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366656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6258670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592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a.Berzina@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10" ma:contentTypeDescription="Create a new document." ma:contentTypeScope="" ma:versionID="1aba4a8747682c698267fa939eae9e0b">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9e03380cc909006a92187159f9744696"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4FE09-9017-4FE5-AE40-3022E5853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0C408-CAAE-4EB7-919E-82E745EEFF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4C47A-B5B9-41F4-AF23-3CFDCC992B1E}">
  <ds:schemaRefs>
    <ds:schemaRef ds:uri="http://schemas.microsoft.com/sharepoint/v3/contenttype/forms"/>
  </ds:schemaRefs>
</ds:datastoreItem>
</file>

<file path=customXml/itemProps4.xml><?xml version="1.0" encoding="utf-8"?>
<ds:datastoreItem xmlns:ds="http://schemas.openxmlformats.org/officeDocument/2006/customXml" ds:itemID="{7D52BDCE-B90E-4A6D-9069-CAF483F2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Pages>
  <Words>37224</Words>
  <Characters>21218</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Ministru kabineta noteikumu projekts "Prekursoru operatoru un prekursoru lietotāju reģistrēšanas un licencēšanas kārtība"</vt:lpstr>
    </vt:vector>
  </TitlesOfParts>
  <Company>Iestādes nosaukums</Company>
  <LinksUpToDate>false</LinksUpToDate>
  <CharactersWithSpaces>58326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"Prekursoru operatoru un prekursoru lietotāju reģistrēšanas un licencēšanas kārtība"</dc:title>
  <dc:subject>Izziņa</dc:subject>
  <dc:creator>Alvis Bless</dc:creator>
  <cp:keywords/>
  <dc:description>67876177, Alvis.Bless@vm.gov.lv</dc:description>
  <cp:lastModifiedBy>Alvis Bless</cp:lastModifiedBy>
  <cp:revision>28</cp:revision>
  <cp:lastPrinted>2009-04-08T08:39:00Z</cp:lastPrinted>
  <dcterms:created xsi:type="dcterms:W3CDTF">2019-10-16T07:17:00Z</dcterms:created>
  <dcterms:modified xsi:type="dcterms:W3CDTF">2020-01-09T08:48:00Z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