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1F655" w14:textId="32FE2A79" w:rsidR="00302D72" w:rsidRPr="00E8754F" w:rsidRDefault="00302D72" w:rsidP="00C84CCF">
      <w:pPr>
        <w:pStyle w:val="naislab"/>
        <w:spacing w:before="0" w:after="0"/>
        <w:jc w:val="center"/>
        <w:rPr>
          <w:b/>
          <w:sz w:val="28"/>
          <w:szCs w:val="28"/>
        </w:rPr>
      </w:pPr>
      <w:r w:rsidRPr="00E8754F">
        <w:rPr>
          <w:b/>
          <w:bCs/>
          <w:sz w:val="28"/>
          <w:szCs w:val="28"/>
          <w:lang w:eastAsia="en-GB"/>
        </w:rPr>
        <w:t xml:space="preserve">Ministru kabineta </w:t>
      </w:r>
      <w:r w:rsidRPr="0008052D">
        <w:rPr>
          <w:b/>
          <w:bCs/>
          <w:sz w:val="28"/>
          <w:szCs w:val="28"/>
          <w:lang w:eastAsia="en-GB"/>
        </w:rPr>
        <w:t>noteikumu projekta „</w:t>
      </w:r>
      <w:r w:rsidRPr="0008052D">
        <w:rPr>
          <w:b/>
          <w:sz w:val="28"/>
          <w:szCs w:val="28"/>
        </w:rPr>
        <w:t xml:space="preserve">Grozījumi Ministru kabineta </w:t>
      </w:r>
      <w:r w:rsidRPr="0008052D">
        <w:rPr>
          <w:b/>
          <w:sz w:val="28"/>
          <w:szCs w:val="28"/>
          <w:shd w:val="clear" w:color="auto" w:fill="FFFFFF"/>
        </w:rPr>
        <w:t>2005. gada 25. janvāra noteikumos Nr. 62 "Zivsaimniecības konsultatīvās padomes nolikums"</w:t>
      </w:r>
      <w:r w:rsidRPr="0008052D">
        <w:rPr>
          <w:b/>
          <w:sz w:val="28"/>
          <w:szCs w:val="28"/>
        </w:rPr>
        <w:t>” sākotnējās ietekmes novērtējuma</w:t>
      </w:r>
      <w:r w:rsidRPr="00E8754F">
        <w:rPr>
          <w:b/>
          <w:sz w:val="28"/>
          <w:szCs w:val="28"/>
        </w:rPr>
        <w:t xml:space="preserve"> </w:t>
      </w: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E8754F">
          <w:rPr>
            <w:b/>
            <w:sz w:val="28"/>
            <w:szCs w:val="28"/>
          </w:rPr>
          <w:t>ziņojums</w:t>
        </w:r>
      </w:smartTag>
      <w:r w:rsidRPr="00E8754F">
        <w:rPr>
          <w:b/>
          <w:sz w:val="28"/>
          <w:szCs w:val="28"/>
        </w:rPr>
        <w:t xml:space="preserve"> (anotācija) 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22"/>
        <w:gridCol w:w="5433"/>
      </w:tblGrid>
      <w:tr w:rsidR="00302D72" w:rsidRPr="00302D72" w14:paraId="6D08FF25" w14:textId="77777777" w:rsidTr="00302D72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9F3E79C" w14:textId="77777777" w:rsidR="00302D72" w:rsidRPr="00302D72" w:rsidRDefault="00302D72" w:rsidP="00302D72">
            <w:pPr>
              <w:rPr>
                <w:b/>
                <w:bCs/>
              </w:rPr>
            </w:pPr>
            <w:r w:rsidRPr="00302D72">
              <w:rPr>
                <w:b/>
                <w:bCs/>
              </w:rPr>
              <w:t>Tiesību akta projekta anotācijas kopsavilkums</w:t>
            </w:r>
          </w:p>
        </w:tc>
      </w:tr>
      <w:tr w:rsidR="00302D72" w:rsidRPr="00302D72" w14:paraId="1307A716" w14:textId="77777777" w:rsidTr="00302D72">
        <w:tc>
          <w:tcPr>
            <w:tcW w:w="2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D31267B" w14:textId="77777777" w:rsidR="00302D72" w:rsidRPr="00302D72" w:rsidRDefault="00302D72" w:rsidP="00302D72">
            <w:r w:rsidRPr="00302D72">
              <w:t>Mērķis, risinājums un projekta spēkā stāšanās laiks (500 zīmes bez atstarpēm)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9DEFDC" w14:textId="77777777" w:rsidR="00302D72" w:rsidRPr="00302D72" w:rsidRDefault="00952949" w:rsidP="00302D72">
            <w:r>
              <w:t>Nav attiecināms.</w:t>
            </w:r>
          </w:p>
        </w:tc>
      </w:tr>
    </w:tbl>
    <w:p w14:paraId="27A1BA81" w14:textId="77777777" w:rsidR="00302D72" w:rsidRPr="00302D72" w:rsidRDefault="00302D72" w:rsidP="00302D72">
      <w:r w:rsidRPr="00302D72"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3079"/>
        <w:gridCol w:w="5433"/>
      </w:tblGrid>
      <w:tr w:rsidR="00302D72" w:rsidRPr="00302D72" w14:paraId="050281B3" w14:textId="77777777" w:rsidTr="00302D72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27CB398" w14:textId="77777777" w:rsidR="00302D72" w:rsidRPr="00302D72" w:rsidRDefault="00302D72" w:rsidP="00302D72">
            <w:pPr>
              <w:rPr>
                <w:b/>
                <w:bCs/>
              </w:rPr>
            </w:pPr>
            <w:r w:rsidRPr="00302D72">
              <w:rPr>
                <w:b/>
                <w:bCs/>
              </w:rPr>
              <w:t>I. Tiesību akta projekta izstrādes nepieciešamība</w:t>
            </w:r>
          </w:p>
        </w:tc>
      </w:tr>
      <w:tr w:rsidR="00302D72" w:rsidRPr="00302D72" w14:paraId="2975EA44" w14:textId="77777777" w:rsidTr="00302D7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365B56" w14:textId="77777777" w:rsidR="00302D72" w:rsidRPr="00302D72" w:rsidRDefault="00302D72" w:rsidP="00302D72">
            <w:r w:rsidRPr="00302D72"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5AE2A0" w14:textId="77777777" w:rsidR="00302D72" w:rsidRPr="00302D72" w:rsidRDefault="00302D72" w:rsidP="00302D72">
            <w:r w:rsidRPr="00302D72">
              <w:t>Pamatojums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B4F05D" w14:textId="5BB021EC" w:rsidR="00302D72" w:rsidRPr="00302D72" w:rsidRDefault="00952949" w:rsidP="00302D72">
            <w:r w:rsidRPr="002424A8">
              <w:rPr>
                <w:iCs/>
                <w:shd w:val="clear" w:color="auto" w:fill="FFFFFF"/>
              </w:rPr>
              <w:t>Valsts pārvaldes iekārtas likuma 13. pants un </w:t>
            </w:r>
            <w:r w:rsidRPr="002424A8">
              <w:rPr>
                <w:iCs/>
              </w:rPr>
              <w:br/>
            </w:r>
            <w:r w:rsidRPr="002424A8">
              <w:rPr>
                <w:iCs/>
                <w:shd w:val="clear" w:color="auto" w:fill="FFFFFF"/>
              </w:rPr>
              <w:t>Lauksaimniecības un lauku attīstības likuma 12.</w:t>
            </w:r>
            <w:r w:rsidR="00C84CCF">
              <w:rPr>
                <w:iCs/>
                <w:shd w:val="clear" w:color="auto" w:fill="FFFFFF"/>
              </w:rPr>
              <w:t> </w:t>
            </w:r>
            <w:r w:rsidRPr="002424A8">
              <w:rPr>
                <w:iCs/>
                <w:shd w:val="clear" w:color="auto" w:fill="FFFFFF"/>
              </w:rPr>
              <w:t>panta trešā daļa</w:t>
            </w:r>
          </w:p>
        </w:tc>
      </w:tr>
      <w:tr w:rsidR="00302D72" w:rsidRPr="00302D72" w14:paraId="38B05DE7" w14:textId="77777777" w:rsidTr="00302D7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BA8FB4F" w14:textId="77777777" w:rsidR="00302D72" w:rsidRPr="00302D72" w:rsidRDefault="00302D72" w:rsidP="00302D72">
            <w:r w:rsidRPr="00302D72"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BDDFEB" w14:textId="77777777" w:rsidR="00302D72" w:rsidRPr="00302D72" w:rsidRDefault="00302D72" w:rsidP="00302D72">
            <w:r w:rsidRPr="00302D72">
              <w:t>Pašreizējā situācija un problēmas, kuru risināšanai tiesību akta projekts izstrādāts, tiesiskā regulējuma mērķis un būtība</w:t>
            </w:r>
            <w:r w:rsidR="00381F55">
              <w:t xml:space="preserve"> 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B43E228" w14:textId="4B700AD4" w:rsidR="00952949" w:rsidRPr="00064B05" w:rsidRDefault="00952949" w:rsidP="00064B05">
            <w:pPr>
              <w:pStyle w:val="naislab"/>
              <w:spacing w:before="0" w:after="0"/>
              <w:jc w:val="both"/>
            </w:pPr>
            <w:r>
              <w:t>Lai atvieglotu dokumentu apriti un mazinātu administratīvo slogu, tiek mainīts klātienē notikušo Zivsaimniecības konsultatīvās sēžu skaits, jo ne vienmēr ir pietiekams izskatāmo jautājumu loks, lai būtu lietderīgi organizēt sēdi klātienē.</w:t>
            </w:r>
            <w:r w:rsidR="00064B05">
              <w:t xml:space="preserve"> </w:t>
            </w:r>
            <w:r w:rsidR="00C84CCF">
              <w:t>Spēkā esošajos</w:t>
            </w:r>
            <w:r w:rsidR="00C84CCF" w:rsidRPr="0008052D">
              <w:rPr>
                <w:b/>
                <w:sz w:val="28"/>
                <w:szCs w:val="28"/>
              </w:rPr>
              <w:t xml:space="preserve"> </w:t>
            </w:r>
            <w:r w:rsidR="00064B05" w:rsidRPr="00064B05">
              <w:t xml:space="preserve">Ministru kabineta </w:t>
            </w:r>
            <w:r w:rsidR="00064B05" w:rsidRPr="00064B05">
              <w:rPr>
                <w:shd w:val="clear" w:color="auto" w:fill="FFFFFF"/>
              </w:rPr>
              <w:t>2005. gada 25. janvāra noteikumos Nr. 62 "Zivsaimniecības konsultatīvās padomes nolikums"</w:t>
            </w:r>
            <w:r w:rsidR="00064B05">
              <w:rPr>
                <w:shd w:val="clear" w:color="auto" w:fill="FFFFFF"/>
              </w:rPr>
              <w:t xml:space="preserve"> ir paredzēts, ka </w:t>
            </w:r>
            <w:r w:rsidR="004B13EF">
              <w:rPr>
                <w:shd w:val="clear" w:color="auto" w:fill="FFFFFF"/>
              </w:rPr>
              <w:t>P</w:t>
            </w:r>
            <w:r w:rsidR="00DD7D7A">
              <w:rPr>
                <w:shd w:val="clear" w:color="auto" w:fill="FFFFFF"/>
              </w:rPr>
              <w:t xml:space="preserve">adomes sēdes </w:t>
            </w:r>
            <w:r w:rsidR="004B13EF">
              <w:rPr>
                <w:shd w:val="clear" w:color="auto" w:fill="FFFFFF"/>
              </w:rPr>
              <w:t>notiek vismaz trīs reizes gadā</w:t>
            </w:r>
            <w:r w:rsidR="00064B05">
              <w:rPr>
                <w:shd w:val="clear" w:color="auto" w:fill="FFFFFF"/>
              </w:rPr>
              <w:t>.</w:t>
            </w:r>
          </w:p>
          <w:p w14:paraId="264803AE" w14:textId="6A6E0200" w:rsidR="00927FB9" w:rsidRDefault="00952949" w:rsidP="00064B05">
            <w:pPr>
              <w:jc w:val="both"/>
            </w:pPr>
            <w:r>
              <w:t xml:space="preserve">Vienlaikus, </w:t>
            </w:r>
            <w:r w:rsidR="00435C20">
              <w:t xml:space="preserve">lai apspriestos par darbu zvejniecībā un </w:t>
            </w:r>
            <w:r>
              <w:t xml:space="preserve">gatavojoties pārņemt </w:t>
            </w:r>
            <w:r w:rsidR="00C86D30" w:rsidRPr="00C86D30">
              <w:t>Padomes 2016. gada 19.</w:t>
            </w:r>
            <w:r w:rsidR="00C84CCF">
              <w:t> </w:t>
            </w:r>
            <w:r w:rsidR="00C86D30" w:rsidRPr="00C86D30">
              <w:t>decembra Direktīv</w:t>
            </w:r>
            <w:r w:rsidR="00C84CCF">
              <w:t>as</w:t>
            </w:r>
            <w:r w:rsidR="00C86D30" w:rsidRPr="00C86D30">
              <w:t xml:space="preserve"> 2017/159/ES</w:t>
            </w:r>
            <w:r>
              <w:t xml:space="preserve">, </w:t>
            </w:r>
            <w:r w:rsidRPr="002424A8">
              <w:rPr>
                <w:bCs/>
                <w:color w:val="000000"/>
                <w:shd w:val="clear" w:color="auto" w:fill="FFFFFF"/>
              </w:rPr>
              <w:t>ar ko īsteno Nolīgumu, ar ko īsteno Starptautiskās Darba organizācijas 2007. gada Konvenciju par darbu zvejniecībā, kas noslēgts 2012. gada 21. maijā starp Eiropas Savienības Lauksaimniecības kooperatīvu vispārējo konfederāciju (</w:t>
            </w:r>
            <w:r w:rsidRPr="002424A8">
              <w:rPr>
                <w:rStyle w:val="italic"/>
                <w:bCs/>
                <w:iCs/>
                <w:color w:val="000000"/>
                <w:shd w:val="clear" w:color="auto" w:fill="FFFFFF"/>
              </w:rPr>
              <w:t>COGECA</w:t>
            </w:r>
            <w:r w:rsidRPr="002424A8">
              <w:rPr>
                <w:bCs/>
                <w:color w:val="000000"/>
                <w:shd w:val="clear" w:color="auto" w:fill="FFFFFF"/>
              </w:rPr>
              <w:t>), Eiropas Transporta darbinieku federāciju (ETDF) un Eiropas Savienībā darbojošos Zvejnieku saimniecību nacionālo organizāciju asociāciju</w:t>
            </w:r>
            <w:r w:rsidRPr="00132DF5">
              <w:rPr>
                <w:bCs/>
                <w:i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132DF5">
              <w:rPr>
                <w:rStyle w:val="italic"/>
                <w:bCs/>
                <w:i/>
                <w:iCs/>
                <w:color w:val="000000"/>
                <w:shd w:val="clear" w:color="auto" w:fill="FFFFFF"/>
              </w:rPr>
              <w:t>Europêche</w:t>
            </w:r>
            <w:proofErr w:type="spellEnd"/>
            <w:r w:rsidRPr="00132DF5">
              <w:rPr>
                <w:bCs/>
                <w:i/>
                <w:color w:val="000000"/>
                <w:shd w:val="clear" w:color="auto" w:fill="FFFFFF"/>
              </w:rPr>
              <w:t>)</w:t>
            </w:r>
            <w:r w:rsidR="00C84CCF" w:rsidRPr="001B6E7E">
              <w:rPr>
                <w:bCs/>
                <w:iCs/>
                <w:color w:val="000000"/>
                <w:shd w:val="clear" w:color="auto" w:fill="FFFFFF"/>
              </w:rPr>
              <w:t>,</w:t>
            </w:r>
            <w:r w:rsidR="00684183">
              <w:rPr>
                <w:bCs/>
                <w:i/>
                <w:color w:val="000000"/>
                <w:shd w:val="clear" w:color="auto" w:fill="FFFFFF"/>
              </w:rPr>
              <w:t xml:space="preserve"> </w:t>
            </w:r>
            <w:r w:rsidR="00684183" w:rsidRPr="00684183">
              <w:rPr>
                <w:bCs/>
                <w:color w:val="000000"/>
                <w:shd w:val="clear" w:color="auto" w:fill="FFFFFF"/>
              </w:rPr>
              <w:t>(turpmāk</w:t>
            </w:r>
            <w:r w:rsidR="00C84CCF">
              <w:rPr>
                <w:bCs/>
                <w:color w:val="000000"/>
                <w:shd w:val="clear" w:color="auto" w:fill="FFFFFF"/>
              </w:rPr>
              <w:t> –</w:t>
            </w:r>
            <w:r w:rsidR="00684183" w:rsidRPr="00684183">
              <w:rPr>
                <w:bCs/>
                <w:color w:val="000000"/>
                <w:shd w:val="clear" w:color="auto" w:fill="FFFFFF"/>
              </w:rPr>
              <w:t xml:space="preserve"> Direktīva 2017/159)</w:t>
            </w:r>
            <w:r>
              <w:rPr>
                <w:bCs/>
                <w:i/>
                <w:color w:val="000000"/>
                <w:shd w:val="clear" w:color="auto" w:fill="FFFFFF"/>
              </w:rPr>
              <w:t xml:space="preserve"> </w:t>
            </w:r>
            <w:r>
              <w:t xml:space="preserve">prasības, </w:t>
            </w:r>
            <w:r w:rsidR="00130333">
              <w:t>noteikumos</w:t>
            </w:r>
            <w:r>
              <w:t xml:space="preserve"> tiek paredzēta kārtība, kādā izveidojama</w:t>
            </w:r>
            <w:r w:rsidRPr="00FE739B" w:rsidDel="003A4388">
              <w:rPr>
                <w:iCs/>
                <w:color w:val="000000"/>
              </w:rPr>
              <w:t xml:space="preserve"> </w:t>
            </w:r>
            <w:r>
              <w:t>konsultatīvā komisija par darbu zvejniecībā</w:t>
            </w:r>
            <w:r w:rsidR="00E12A17">
              <w:t>, tās kompetence un sastāvs</w:t>
            </w:r>
            <w:r w:rsidR="006A4D60">
              <w:t>.</w:t>
            </w:r>
            <w:r w:rsidR="00C677B7">
              <w:t xml:space="preserve"> </w:t>
            </w:r>
          </w:p>
          <w:p w14:paraId="33C1FA76" w14:textId="194FA48D" w:rsidR="00000CDE" w:rsidRDefault="00000CDE" w:rsidP="004C68FA">
            <w:pPr>
              <w:jc w:val="both"/>
              <w:rPr>
                <w:sz w:val="22"/>
              </w:rPr>
            </w:pPr>
            <w:r w:rsidRPr="004C68FA">
              <w:rPr>
                <w:iCs/>
              </w:rPr>
              <w:t xml:space="preserve">Lai pēc nepieciešamības īstenotu pasākumus Direktīvas </w:t>
            </w:r>
            <w:r w:rsidRPr="004C68FA">
              <w:rPr>
                <w:iCs/>
                <w:color w:val="000000"/>
                <w:shd w:val="clear" w:color="auto" w:fill="FFFFFF"/>
              </w:rPr>
              <w:t>2017/159</w:t>
            </w:r>
            <w:r w:rsidRPr="004C68FA">
              <w:rPr>
                <w:iCs/>
              </w:rPr>
              <w:t xml:space="preserve"> normu ieviešanai attiecībā uz zvejnieku drošību, veselības aizsardzību un noguruma mazināšanu, ar noteikumu projekta 25.1.</w:t>
            </w:r>
            <w:r w:rsidR="00C84CCF">
              <w:rPr>
                <w:iCs/>
              </w:rPr>
              <w:t> </w:t>
            </w:r>
            <w:r w:rsidRPr="004C68FA">
              <w:rPr>
                <w:iCs/>
              </w:rPr>
              <w:t xml:space="preserve">apakšpunktu pārņemta Direktīvas </w:t>
            </w:r>
            <w:r w:rsidRPr="004C68FA">
              <w:rPr>
                <w:iCs/>
                <w:color w:val="000000"/>
                <w:shd w:val="clear" w:color="auto" w:fill="FFFFFF"/>
              </w:rPr>
              <w:t>2017/159</w:t>
            </w:r>
            <w:r w:rsidRPr="004C68FA">
              <w:rPr>
                <w:iCs/>
              </w:rPr>
              <w:t xml:space="preserve"> 11. panta 2. punkta “a” apakšpunktā noteiktā prasība par apspriešanos</w:t>
            </w:r>
            <w:r>
              <w:rPr>
                <w:i/>
                <w:iCs/>
              </w:rPr>
              <w:t>.</w:t>
            </w:r>
          </w:p>
          <w:p w14:paraId="33B248F3" w14:textId="77777777" w:rsidR="002F1129" w:rsidRDefault="002F1129" w:rsidP="00064B05">
            <w:pPr>
              <w:jc w:val="both"/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 xml:space="preserve">Direktīva </w:t>
            </w:r>
            <w:r w:rsidR="006A549D">
              <w:t xml:space="preserve">2017/159 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ar šiem noteikumiem netiek pārņemta</w:t>
            </w:r>
            <w:r w:rsidR="00E12A17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 xml:space="preserve"> pilnībā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.</w:t>
            </w:r>
          </w:p>
          <w:p w14:paraId="59A56213" w14:textId="4DE9F404" w:rsidR="00064B05" w:rsidRPr="00302D72" w:rsidRDefault="00C84CCF" w:rsidP="00E12A17">
            <w:pPr>
              <w:jc w:val="both"/>
            </w:pPr>
            <w:r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lastRenderedPageBreak/>
              <w:t>Spēkā esoš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ajos</w:t>
            </w:r>
            <w:r w:rsidR="00064B05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 xml:space="preserve"> </w:t>
            </w:r>
            <w:r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 xml:space="preserve">normatīvajos aktos nav paredzēta </w:t>
            </w:r>
            <w:r w:rsidR="00064B05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komisija</w:t>
            </w:r>
            <w:r w:rsidR="00381F55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, kas nodrošinātu apspriešanos par darba jautājumiem zvejniecībā</w:t>
            </w:r>
            <w:r w:rsidR="00064B05">
              <w:rPr>
                <w:rFonts w:eastAsia="Times New Roman" w:cs="Times New Roman"/>
                <w:bCs/>
                <w:color w:val="000000"/>
                <w:szCs w:val="24"/>
                <w:lang w:eastAsia="lv-LV"/>
              </w:rPr>
              <w:t>.</w:t>
            </w:r>
            <w:r w:rsidR="00684183">
              <w:t xml:space="preserve"> </w:t>
            </w:r>
          </w:p>
        </w:tc>
      </w:tr>
      <w:tr w:rsidR="00302D72" w:rsidRPr="00302D72" w14:paraId="0BC40F52" w14:textId="77777777" w:rsidTr="00302D7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10F2914" w14:textId="77777777" w:rsidR="00302D72" w:rsidRPr="00302D72" w:rsidRDefault="00302D72" w:rsidP="00302D72">
            <w:r w:rsidRPr="00302D72"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DA7CD05" w14:textId="77777777" w:rsidR="00302D72" w:rsidRPr="00302D72" w:rsidRDefault="00302D72" w:rsidP="00302D72">
            <w:r w:rsidRPr="00302D72"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970E9BF" w14:textId="77777777" w:rsidR="00302D72" w:rsidRPr="00302D72" w:rsidRDefault="00952949" w:rsidP="00302D72">
            <w:r>
              <w:t>Zemkopības ministrija</w:t>
            </w:r>
          </w:p>
        </w:tc>
      </w:tr>
      <w:tr w:rsidR="00302D72" w:rsidRPr="00302D72" w14:paraId="50D8A75C" w14:textId="77777777" w:rsidTr="00302D7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8C627A" w14:textId="77777777" w:rsidR="00302D72" w:rsidRPr="00302D72" w:rsidRDefault="00302D72" w:rsidP="00302D72">
            <w:r w:rsidRPr="00302D72"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AACA2C" w14:textId="77777777" w:rsidR="00302D72" w:rsidRPr="00302D72" w:rsidRDefault="00302D72" w:rsidP="00302D72">
            <w:r w:rsidRPr="00302D72"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A1ACA88" w14:textId="35D0C0A2" w:rsidR="00302D72" w:rsidRPr="00302D72" w:rsidRDefault="00952949" w:rsidP="00302D72">
            <w:r>
              <w:t>Nav</w:t>
            </w:r>
            <w:r w:rsidR="00C84CCF">
              <w:t>.</w:t>
            </w:r>
          </w:p>
        </w:tc>
      </w:tr>
    </w:tbl>
    <w:p w14:paraId="22995A1A" w14:textId="77777777" w:rsidR="00302D72" w:rsidRPr="00302D72" w:rsidRDefault="00302D72" w:rsidP="00302D72">
      <w:r w:rsidRPr="00302D72"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3079"/>
        <w:gridCol w:w="5433"/>
      </w:tblGrid>
      <w:tr w:rsidR="00302D72" w:rsidRPr="00302D72" w14:paraId="716CD134" w14:textId="77777777" w:rsidTr="00302D72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0225D93" w14:textId="77777777" w:rsidR="00302D72" w:rsidRPr="00302D72" w:rsidRDefault="00302D72" w:rsidP="00302D72">
            <w:pPr>
              <w:rPr>
                <w:b/>
                <w:bCs/>
              </w:rPr>
            </w:pPr>
            <w:r w:rsidRPr="00302D72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302D72" w:rsidRPr="00302D72" w14:paraId="11954F29" w14:textId="77777777" w:rsidTr="00302D7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A29B05" w14:textId="77777777" w:rsidR="00302D72" w:rsidRPr="00302D72" w:rsidRDefault="00302D72" w:rsidP="00302D72">
            <w:r w:rsidRPr="00302D72"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21F4A5" w14:textId="77777777" w:rsidR="00302D72" w:rsidRPr="00302D72" w:rsidRDefault="00302D72" w:rsidP="00302D72">
            <w:r w:rsidRPr="00302D72"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CB33216" w14:textId="23431D83" w:rsidR="00302D72" w:rsidRPr="00302D72" w:rsidRDefault="00952949" w:rsidP="00952949">
            <w:pPr>
              <w:jc w:val="both"/>
            </w:pPr>
            <w:r>
              <w:rPr>
                <w:iCs/>
              </w:rPr>
              <w:t>Institūcijas un organizācijas, kuru pārstāvji ir deleģēti darbam Zivsaimniecības konsultatīvajā padomē</w:t>
            </w:r>
          </w:p>
        </w:tc>
      </w:tr>
      <w:tr w:rsidR="00302D72" w:rsidRPr="00302D72" w14:paraId="1764EF31" w14:textId="77777777" w:rsidTr="00302D7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0A9137" w14:textId="77777777" w:rsidR="00302D72" w:rsidRPr="00302D72" w:rsidRDefault="00302D72" w:rsidP="00302D72">
            <w:r w:rsidRPr="00302D72"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871C319" w14:textId="77777777" w:rsidR="00302D72" w:rsidRPr="00302D72" w:rsidRDefault="00302D72" w:rsidP="00302D72">
            <w:r w:rsidRPr="00302D72"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5660EF" w14:textId="77777777" w:rsidR="00952949" w:rsidRPr="00E8754F" w:rsidRDefault="00952949" w:rsidP="00952949">
            <w:pPr>
              <w:pStyle w:val="naiskr"/>
              <w:spacing w:before="0" w:after="0"/>
              <w:jc w:val="both"/>
              <w:rPr>
                <w:iCs/>
              </w:rPr>
            </w:pPr>
            <w:r w:rsidRPr="00E8754F">
              <w:rPr>
                <w:iCs/>
              </w:rPr>
              <w:t xml:space="preserve">Tieša ietekme uz tautsaimniecību nav paredzama. </w:t>
            </w:r>
          </w:p>
          <w:p w14:paraId="2FD19C46" w14:textId="20B54AAD" w:rsidR="00302D72" w:rsidRPr="00302D72" w:rsidRDefault="00952949" w:rsidP="00927FB9">
            <w:pPr>
              <w:jc w:val="both"/>
            </w:pPr>
            <w:r w:rsidRPr="00E8754F">
              <w:rPr>
                <w:iCs/>
              </w:rPr>
              <w:t>Grozījumi nerada papildu administratīvo slogu</w:t>
            </w:r>
            <w:r w:rsidR="00927FB9">
              <w:rPr>
                <w:iCs/>
              </w:rPr>
              <w:t xml:space="preserve">, bet </w:t>
            </w:r>
            <w:r w:rsidR="00C84CCF">
              <w:rPr>
                <w:iCs/>
              </w:rPr>
              <w:t>to</w:t>
            </w:r>
            <w:r w:rsidR="00927FB9">
              <w:rPr>
                <w:iCs/>
              </w:rPr>
              <w:t xml:space="preserve"> </w:t>
            </w:r>
            <w:r w:rsidR="00C84CCF">
              <w:rPr>
                <w:iCs/>
              </w:rPr>
              <w:t>atvieglo</w:t>
            </w:r>
            <w:r w:rsidR="00927FB9">
              <w:rPr>
                <w:iCs/>
              </w:rPr>
              <w:t xml:space="preserve">, </w:t>
            </w:r>
            <w:r w:rsidR="00C84CCF">
              <w:rPr>
                <w:iCs/>
              </w:rPr>
              <w:t>jo</w:t>
            </w:r>
            <w:r w:rsidR="008F2704">
              <w:rPr>
                <w:iCs/>
              </w:rPr>
              <w:t xml:space="preserve">, samazinot noteikumos paredzēto klātienes sēžu skaitu no </w:t>
            </w:r>
            <w:r w:rsidR="00C84CCF">
              <w:rPr>
                <w:iCs/>
              </w:rPr>
              <w:t>trim</w:t>
            </w:r>
            <w:r w:rsidR="008F2704">
              <w:rPr>
                <w:iCs/>
              </w:rPr>
              <w:t xml:space="preserve"> uz </w:t>
            </w:r>
            <w:r w:rsidR="00C84CCF">
              <w:rPr>
                <w:iCs/>
              </w:rPr>
              <w:t>divām</w:t>
            </w:r>
            <w:r w:rsidR="008F2704">
              <w:rPr>
                <w:iCs/>
              </w:rPr>
              <w:t xml:space="preserve">, </w:t>
            </w:r>
            <w:r w:rsidR="00927FB9">
              <w:rPr>
                <w:iCs/>
              </w:rPr>
              <w:t xml:space="preserve">Zivsaimniecības konsultatīvās padomes locekļiem, no kuriem liela daļa nedzīvo Rīgā, </w:t>
            </w:r>
            <w:r w:rsidR="0028608C">
              <w:rPr>
                <w:iCs/>
              </w:rPr>
              <w:t>būs retāk</w:t>
            </w:r>
            <w:r w:rsidR="00927FB9">
              <w:rPr>
                <w:iCs/>
              </w:rPr>
              <w:t xml:space="preserve"> jābrauc uz Rīgu, lai piedalītos Zivsaimniecības konsultatīvās padomes sēdē</w:t>
            </w:r>
            <w:r w:rsidR="00381F55">
              <w:rPr>
                <w:iCs/>
              </w:rPr>
              <w:t xml:space="preserve"> klātienē</w:t>
            </w:r>
            <w:r w:rsidRPr="00E8754F">
              <w:rPr>
                <w:iCs/>
              </w:rPr>
              <w:t>.</w:t>
            </w:r>
          </w:p>
        </w:tc>
      </w:tr>
      <w:tr w:rsidR="00302D72" w:rsidRPr="00302D72" w14:paraId="70DB4623" w14:textId="77777777" w:rsidTr="00302D7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638E267" w14:textId="77777777" w:rsidR="00302D72" w:rsidRPr="00302D72" w:rsidRDefault="00302D72" w:rsidP="00302D72">
            <w:r w:rsidRPr="00302D72"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F52345B" w14:textId="77777777" w:rsidR="00302D72" w:rsidRPr="00302D72" w:rsidRDefault="00302D72" w:rsidP="00302D72">
            <w:r w:rsidRPr="00302D72"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FAF3D9C" w14:textId="77777777" w:rsidR="00302D72" w:rsidRPr="00302D72" w:rsidRDefault="00952949" w:rsidP="00302D72">
            <w:r w:rsidRPr="00E8754F">
              <w:t>Nav paredzēts.</w:t>
            </w:r>
          </w:p>
        </w:tc>
      </w:tr>
      <w:tr w:rsidR="00302D72" w:rsidRPr="00302D72" w14:paraId="389D4CC8" w14:textId="77777777" w:rsidTr="00302D7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71E9CF6" w14:textId="77777777" w:rsidR="00302D72" w:rsidRPr="00302D72" w:rsidRDefault="00302D72" w:rsidP="00302D72">
            <w:r w:rsidRPr="00302D72"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C7840BD" w14:textId="77777777" w:rsidR="00302D72" w:rsidRPr="00302D72" w:rsidRDefault="00302D72" w:rsidP="00302D72">
            <w:r w:rsidRPr="00302D72"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C58756B" w14:textId="77777777" w:rsidR="00302D72" w:rsidRPr="00302D72" w:rsidRDefault="00952949" w:rsidP="00302D72">
            <w:r w:rsidRPr="00E8754F">
              <w:t>Nav paredzēts.</w:t>
            </w:r>
          </w:p>
        </w:tc>
      </w:tr>
      <w:tr w:rsidR="00302D72" w:rsidRPr="00302D72" w14:paraId="216F8160" w14:textId="77777777" w:rsidTr="00302D7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97765E" w14:textId="77777777" w:rsidR="00302D72" w:rsidRPr="00302D72" w:rsidRDefault="00302D72" w:rsidP="00302D72">
            <w:r w:rsidRPr="00302D72">
              <w:t>5.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A4A23B" w14:textId="77777777" w:rsidR="00302D72" w:rsidRPr="00302D72" w:rsidRDefault="00302D72" w:rsidP="00302D72">
            <w:r w:rsidRPr="00302D72"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F0801C" w14:textId="77777777" w:rsidR="00302D72" w:rsidRPr="00302D72" w:rsidRDefault="00952949" w:rsidP="00302D72">
            <w:r>
              <w:t>Nav.</w:t>
            </w:r>
          </w:p>
        </w:tc>
      </w:tr>
    </w:tbl>
    <w:p w14:paraId="4DC2F320" w14:textId="77777777" w:rsidR="00302D72" w:rsidRPr="00302D72" w:rsidRDefault="00302D72" w:rsidP="00302D72">
      <w:r w:rsidRPr="00302D72"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302D72" w:rsidRPr="00302D72" w14:paraId="58E1D2DD" w14:textId="77777777" w:rsidTr="00302D7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AF5F5C1" w14:textId="77777777" w:rsidR="00302D72" w:rsidRPr="00302D72" w:rsidRDefault="00302D72" w:rsidP="00302D72">
            <w:pPr>
              <w:rPr>
                <w:b/>
                <w:bCs/>
              </w:rPr>
            </w:pPr>
            <w:r w:rsidRPr="00302D72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952949" w:rsidRPr="00302D72" w14:paraId="00C3AB12" w14:textId="77777777" w:rsidTr="00302D72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6A635BBF" w14:textId="77777777" w:rsidR="00952949" w:rsidRPr="00302D72" w:rsidRDefault="00952949" w:rsidP="0095294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Projekts šo jomu neskar.</w:t>
            </w:r>
          </w:p>
        </w:tc>
      </w:tr>
    </w:tbl>
    <w:p w14:paraId="6D868E9A" w14:textId="77777777" w:rsidR="00302D72" w:rsidRPr="00302D72" w:rsidRDefault="00302D72" w:rsidP="00302D72">
      <w:r w:rsidRPr="00302D72"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3079"/>
        <w:gridCol w:w="5433"/>
      </w:tblGrid>
      <w:tr w:rsidR="00302D72" w:rsidRPr="00302D72" w14:paraId="19D7EE90" w14:textId="77777777" w:rsidTr="00302D72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E19AB92" w14:textId="77777777" w:rsidR="00302D72" w:rsidRPr="00302D72" w:rsidRDefault="00302D72" w:rsidP="00302D72">
            <w:pPr>
              <w:rPr>
                <w:b/>
                <w:bCs/>
              </w:rPr>
            </w:pPr>
            <w:r w:rsidRPr="00302D72">
              <w:rPr>
                <w:b/>
                <w:bCs/>
              </w:rPr>
              <w:t>IV. Tiesību akta projekta ietekme uz spēkā esošo tiesību normu sistēmu</w:t>
            </w:r>
          </w:p>
        </w:tc>
      </w:tr>
      <w:tr w:rsidR="00952949" w:rsidRPr="00302D72" w14:paraId="53F2E55B" w14:textId="77777777" w:rsidTr="00302D72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0BE7BAB8" w14:textId="77777777" w:rsidR="00952949" w:rsidRPr="00302D72" w:rsidRDefault="00952949" w:rsidP="00952949">
            <w:pPr>
              <w:jc w:val="center"/>
              <w:rPr>
                <w:b/>
                <w:bCs/>
              </w:rPr>
            </w:pPr>
          </w:p>
        </w:tc>
      </w:tr>
      <w:tr w:rsidR="00302D72" w:rsidRPr="00302D72" w14:paraId="43324A00" w14:textId="77777777" w:rsidTr="00952949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855BCF6" w14:textId="77777777" w:rsidR="00302D72" w:rsidRPr="00302D72" w:rsidRDefault="00302D72" w:rsidP="00302D72">
            <w:r w:rsidRPr="00302D72"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C3EE83B" w14:textId="77777777" w:rsidR="00302D72" w:rsidRPr="00302D72" w:rsidRDefault="00302D72" w:rsidP="00302D72">
            <w:r w:rsidRPr="00302D72">
              <w:t>Saistītie tiesību aktu projekti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460087C" w14:textId="77777777" w:rsidR="00302D72" w:rsidRPr="00302D72" w:rsidRDefault="00824AF6" w:rsidP="00824AF6">
            <w:pPr>
              <w:jc w:val="both"/>
            </w:pPr>
            <w:r>
              <w:t>Nav</w:t>
            </w:r>
          </w:p>
        </w:tc>
      </w:tr>
      <w:tr w:rsidR="00302D72" w:rsidRPr="00302D72" w14:paraId="5F34BF80" w14:textId="77777777" w:rsidTr="00952949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4DAA61" w14:textId="77777777" w:rsidR="00302D72" w:rsidRPr="00302D72" w:rsidRDefault="00302D72" w:rsidP="00302D72">
            <w:r w:rsidRPr="00302D72"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D8E36E8" w14:textId="77777777" w:rsidR="00302D72" w:rsidRPr="00302D72" w:rsidRDefault="00302D72" w:rsidP="00302D72">
            <w:r w:rsidRPr="00302D72">
              <w:t>Atbildīgā institūcija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3DD633D" w14:textId="77777777" w:rsidR="004616A0" w:rsidRPr="00302D72" w:rsidRDefault="00824AF6" w:rsidP="00824AF6">
            <w:r>
              <w:t>Nav.</w:t>
            </w:r>
          </w:p>
        </w:tc>
      </w:tr>
      <w:tr w:rsidR="00302D72" w:rsidRPr="00302D72" w14:paraId="4C8AA63C" w14:textId="77777777" w:rsidTr="00302D7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5A36F04" w14:textId="77777777" w:rsidR="00302D72" w:rsidRPr="00302D72" w:rsidRDefault="00302D72" w:rsidP="00302D72">
            <w:r w:rsidRPr="00302D72"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E693F0" w14:textId="77777777" w:rsidR="00302D72" w:rsidRPr="00302D72" w:rsidRDefault="00302D72" w:rsidP="00302D72">
            <w:r w:rsidRPr="00302D72"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C653D3" w14:textId="77777777" w:rsidR="00302D72" w:rsidRPr="00302D72" w:rsidRDefault="00952949" w:rsidP="00302D72">
            <w:r>
              <w:t>Nav.</w:t>
            </w:r>
          </w:p>
        </w:tc>
      </w:tr>
    </w:tbl>
    <w:p w14:paraId="7E182ACD" w14:textId="77777777" w:rsidR="00302D72" w:rsidRPr="00302D72" w:rsidRDefault="00302D72" w:rsidP="00302D72">
      <w:r w:rsidRPr="00302D72"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3079"/>
        <w:gridCol w:w="5433"/>
      </w:tblGrid>
      <w:tr w:rsidR="00302D72" w:rsidRPr="00302D72" w14:paraId="272AFB63" w14:textId="77777777" w:rsidTr="00302D72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2F06F8" w14:textId="77777777" w:rsidR="00302D72" w:rsidRPr="00302D72" w:rsidRDefault="00302D72" w:rsidP="00302D72">
            <w:pPr>
              <w:rPr>
                <w:b/>
                <w:bCs/>
              </w:rPr>
            </w:pPr>
            <w:r w:rsidRPr="00302D72">
              <w:rPr>
                <w:b/>
                <w:bCs/>
              </w:rPr>
              <w:lastRenderedPageBreak/>
              <w:t>V. Tiesību akta projekta atbilstība Latvijas Republikas starptautiskajām saistībām</w:t>
            </w:r>
          </w:p>
        </w:tc>
      </w:tr>
      <w:tr w:rsidR="00952949" w:rsidRPr="00302D72" w14:paraId="4EB02282" w14:textId="77777777" w:rsidTr="00302D72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36FACDA6" w14:textId="77777777" w:rsidR="00952949" w:rsidRPr="00302D72" w:rsidRDefault="00952949" w:rsidP="00952949">
            <w:pPr>
              <w:jc w:val="center"/>
              <w:rPr>
                <w:b/>
                <w:bCs/>
              </w:rPr>
            </w:pPr>
          </w:p>
        </w:tc>
      </w:tr>
      <w:tr w:rsidR="00302D72" w:rsidRPr="00302D72" w14:paraId="72672F23" w14:textId="77777777" w:rsidTr="00952949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628C0D3" w14:textId="77777777" w:rsidR="00302D72" w:rsidRPr="00302D72" w:rsidRDefault="00302D72" w:rsidP="00302D72">
            <w:r w:rsidRPr="00302D72"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7A3232" w14:textId="77777777" w:rsidR="00302D72" w:rsidRPr="00302D72" w:rsidRDefault="00302D72" w:rsidP="00302D72">
            <w:r w:rsidRPr="00302D72">
              <w:t>Saistības pret Eiropas Savienību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EE49650" w14:textId="71364C2C" w:rsidR="00302D72" w:rsidRPr="007C788A" w:rsidRDefault="00374FC9" w:rsidP="00824AF6">
            <w:pPr>
              <w:jc w:val="both"/>
              <w:rPr>
                <w:bCs/>
                <w:color w:val="000000"/>
                <w:shd w:val="clear" w:color="auto" w:fill="FFFFFF"/>
              </w:rPr>
            </w:pPr>
            <w:r>
              <w:t xml:space="preserve">Padomes </w:t>
            </w:r>
            <w:r w:rsidRPr="00C86D30">
              <w:t>2016. gada 19. decembra</w:t>
            </w:r>
            <w:r>
              <w:t xml:space="preserve"> </w:t>
            </w:r>
            <w:r w:rsidR="00C84CCF">
              <w:t>D</w:t>
            </w:r>
            <w:r>
              <w:t xml:space="preserve">irektīva 2017/159/ES, </w:t>
            </w:r>
            <w:r w:rsidRPr="002424A8">
              <w:rPr>
                <w:bCs/>
                <w:color w:val="000000"/>
                <w:shd w:val="clear" w:color="auto" w:fill="FFFFFF"/>
              </w:rPr>
              <w:t>ar ko īsteno Nolīgumu, ar ko īsteno Starptautiskās Darba organizācijas 2007. gada Konvenciju par darbu zvejniecībā, kas noslēgts 2012. gada 21. maijā starp Eiropas Savienības Lauksaimniecības kooperatīvu vispārējo konfederāciju (</w:t>
            </w:r>
            <w:r w:rsidRPr="002424A8">
              <w:rPr>
                <w:rStyle w:val="italic"/>
                <w:bCs/>
                <w:iCs/>
                <w:color w:val="000000"/>
                <w:shd w:val="clear" w:color="auto" w:fill="FFFFFF"/>
              </w:rPr>
              <w:t>COGECA</w:t>
            </w:r>
            <w:r w:rsidRPr="002424A8">
              <w:rPr>
                <w:bCs/>
                <w:color w:val="000000"/>
                <w:shd w:val="clear" w:color="auto" w:fill="FFFFFF"/>
              </w:rPr>
              <w:t>), Eiropas Transporta darbinieku federāciju (ETDF) un Eiropas Savienībā darbojošos Zvejnieku saimniecību nacionālo organizāciju asociāciju</w:t>
            </w:r>
            <w:r w:rsidRPr="00132DF5">
              <w:rPr>
                <w:bCs/>
                <w:i/>
                <w:color w:val="000000"/>
                <w:shd w:val="clear" w:color="auto" w:fill="FFFFFF"/>
              </w:rPr>
              <w:t xml:space="preserve"> (</w:t>
            </w:r>
            <w:proofErr w:type="spellStart"/>
            <w:r w:rsidRPr="00132DF5">
              <w:rPr>
                <w:rStyle w:val="italic"/>
                <w:bCs/>
                <w:i/>
                <w:iCs/>
                <w:color w:val="000000"/>
                <w:shd w:val="clear" w:color="auto" w:fill="FFFFFF"/>
              </w:rPr>
              <w:t>Europêche</w:t>
            </w:r>
            <w:proofErr w:type="spellEnd"/>
            <w:r w:rsidRPr="00132DF5">
              <w:rPr>
                <w:bCs/>
                <w:i/>
                <w:color w:val="000000"/>
                <w:shd w:val="clear" w:color="auto" w:fill="FFFFFF"/>
              </w:rPr>
              <w:t>)</w:t>
            </w:r>
            <w:r>
              <w:rPr>
                <w:bCs/>
                <w:color w:val="000000"/>
                <w:shd w:val="clear" w:color="auto" w:fill="FFFFFF"/>
              </w:rPr>
              <w:t>.</w:t>
            </w:r>
          </w:p>
        </w:tc>
      </w:tr>
      <w:tr w:rsidR="00302D72" w:rsidRPr="00302D72" w14:paraId="222141F8" w14:textId="77777777" w:rsidTr="00952949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8834C4" w14:textId="77777777" w:rsidR="00302D72" w:rsidRPr="00302D72" w:rsidRDefault="00302D72" w:rsidP="00302D72">
            <w:r w:rsidRPr="00302D72"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5D4880" w14:textId="77777777" w:rsidR="00302D72" w:rsidRPr="00302D72" w:rsidRDefault="00302D72" w:rsidP="00302D72">
            <w:r w:rsidRPr="00302D72">
              <w:t>Citas starptautiskās saistības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CB335BD" w14:textId="77777777" w:rsidR="00302D72" w:rsidRPr="00302D72" w:rsidRDefault="00D878C0" w:rsidP="00302D72">
            <w:r>
              <w:t>Nav</w:t>
            </w:r>
          </w:p>
        </w:tc>
      </w:tr>
      <w:tr w:rsidR="00302D72" w:rsidRPr="00302D72" w14:paraId="55A46ACF" w14:textId="77777777" w:rsidTr="00952949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0EC844F" w14:textId="77777777" w:rsidR="00302D72" w:rsidRPr="00302D72" w:rsidRDefault="00302D72" w:rsidP="00302D72">
            <w:r w:rsidRPr="00302D72"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C9CB3E6" w14:textId="77777777" w:rsidR="00302D72" w:rsidRPr="00302D72" w:rsidRDefault="00302D72" w:rsidP="00302D72">
            <w:r w:rsidRPr="00302D72"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2AE594B" w14:textId="77777777" w:rsidR="00302D72" w:rsidRPr="00302D72" w:rsidRDefault="00D878C0" w:rsidP="00302D72">
            <w:r>
              <w:t>Nav</w:t>
            </w:r>
          </w:p>
        </w:tc>
      </w:tr>
    </w:tbl>
    <w:p w14:paraId="1FA27BDD" w14:textId="77777777" w:rsidR="00D878C0" w:rsidRDefault="00D878C0" w:rsidP="00302D72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3"/>
        <w:gridCol w:w="2264"/>
        <w:gridCol w:w="2264"/>
        <w:gridCol w:w="2264"/>
      </w:tblGrid>
      <w:tr w:rsidR="00D878C0" w:rsidRPr="00302D72" w14:paraId="5CE53495" w14:textId="77777777" w:rsidTr="00923279">
        <w:tc>
          <w:tcPr>
            <w:tcW w:w="0" w:type="auto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776A002" w14:textId="77777777" w:rsidR="00D878C0" w:rsidRPr="00302D72" w:rsidRDefault="00D878C0" w:rsidP="00923279">
            <w:pPr>
              <w:rPr>
                <w:b/>
                <w:bCs/>
              </w:rPr>
            </w:pPr>
            <w:r w:rsidRPr="00302D72">
              <w:rPr>
                <w:b/>
                <w:bCs/>
              </w:rPr>
              <w:t>1. tabula</w:t>
            </w:r>
            <w:r w:rsidRPr="00302D72">
              <w:rPr>
                <w:b/>
                <w:bCs/>
              </w:rPr>
              <w:br/>
              <w:t>Tiesību akta projekta atbilstība ES tiesību aktiem</w:t>
            </w:r>
          </w:p>
        </w:tc>
      </w:tr>
      <w:tr w:rsidR="00D878C0" w:rsidRPr="00302D72" w14:paraId="23C0B3C5" w14:textId="77777777" w:rsidTr="00923279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01F1962" w14:textId="77777777" w:rsidR="00D878C0" w:rsidRPr="00302D72" w:rsidRDefault="00D878C0" w:rsidP="00923279">
            <w:r w:rsidRPr="00302D72">
              <w:t>Attiecīgā ES tiesību akta datums, numurs un nosaukums</w:t>
            </w:r>
          </w:p>
        </w:tc>
        <w:tc>
          <w:tcPr>
            <w:tcW w:w="37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41DBBF7" w14:textId="444263AA" w:rsidR="00D878C0" w:rsidRPr="00302D72" w:rsidRDefault="00C86D30" w:rsidP="00C40E0D">
            <w:pPr>
              <w:jc w:val="both"/>
            </w:pPr>
            <w:r>
              <w:t xml:space="preserve">Tiek ieviestas </w:t>
            </w:r>
            <w:r w:rsidR="00374FC9">
              <w:t>D</w:t>
            </w:r>
            <w:r w:rsidR="00374FC9" w:rsidRPr="0003774E">
              <w:t>irektīva</w:t>
            </w:r>
            <w:r w:rsidR="00374FC9">
              <w:t>s</w:t>
            </w:r>
            <w:r w:rsidR="00374FC9" w:rsidRPr="0003774E">
              <w:t xml:space="preserve"> 2017/159</w:t>
            </w:r>
            <w:r w:rsidR="00374FC9">
              <w:t xml:space="preserve"> </w:t>
            </w:r>
            <w:r w:rsidRPr="00620A9B">
              <w:rPr>
                <w:bCs/>
                <w:color w:val="000000"/>
                <w:shd w:val="clear" w:color="auto" w:fill="FFFFFF"/>
              </w:rPr>
              <w:t>prasības</w:t>
            </w:r>
            <w:r w:rsidR="00374FC9">
              <w:t>.</w:t>
            </w:r>
          </w:p>
        </w:tc>
      </w:tr>
      <w:tr w:rsidR="00D878C0" w:rsidRPr="00666B6B" w14:paraId="429300CF" w14:textId="77777777" w:rsidTr="00923279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32BD5985" w14:textId="77777777" w:rsidR="00D878C0" w:rsidRPr="00666B6B" w:rsidRDefault="00D878C0" w:rsidP="00923279">
            <w:pPr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A</w:t>
            </w:r>
          </w:p>
          <w:p w14:paraId="25200BB3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Attiecīgā ES tiesību akta</w:t>
            </w:r>
          </w:p>
          <w:p w14:paraId="596D9756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panta numurs (uzskaitot</w:t>
            </w:r>
          </w:p>
          <w:p w14:paraId="5C5398C1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katru tiesību akta vienību –</w:t>
            </w:r>
          </w:p>
          <w:p w14:paraId="0E180E24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pantu, daļu, punktu,</w:t>
            </w:r>
          </w:p>
          <w:p w14:paraId="4BE32F61" w14:textId="77777777" w:rsidR="00D878C0" w:rsidRPr="00666B6B" w:rsidRDefault="00D878C0" w:rsidP="00923279">
            <w:pPr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apakšpunktu)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59D6DD5" w14:textId="77777777" w:rsidR="00D878C0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B</w:t>
            </w:r>
          </w:p>
          <w:p w14:paraId="638B7D29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Projekta vienība, kas pārņem</w:t>
            </w:r>
          </w:p>
          <w:p w14:paraId="794D869A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vai ievieš katru šīs tabulas A</w:t>
            </w:r>
          </w:p>
          <w:p w14:paraId="2E31B3B0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ailē minēto ES tiesību akta</w:t>
            </w:r>
          </w:p>
          <w:p w14:paraId="43C73696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vienību, vai tiesību akts, kur</w:t>
            </w:r>
          </w:p>
          <w:p w14:paraId="4C85F58D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attiecīgā ES tiesību akta</w:t>
            </w:r>
          </w:p>
          <w:p w14:paraId="4A2A12FD" w14:textId="77777777" w:rsidR="00D878C0" w:rsidRPr="00666B6B" w:rsidRDefault="00D878C0" w:rsidP="00923279">
            <w:pPr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vienība pārņemta vai ieviesta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B275BE9" w14:textId="77777777" w:rsidR="00D878C0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C</w:t>
            </w:r>
            <w:r>
              <w:rPr>
                <w:rFonts w:cs="Times New Roman"/>
                <w:szCs w:val="24"/>
              </w:rPr>
              <w:t xml:space="preserve"> </w:t>
            </w:r>
          </w:p>
          <w:p w14:paraId="3FFDD7FB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Informācija par to, vai šīs</w:t>
            </w:r>
          </w:p>
          <w:p w14:paraId="085385F6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tabulas A ailē minētās ES</w:t>
            </w:r>
          </w:p>
          <w:p w14:paraId="0746F6AD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tiesību akta vienības tiek</w:t>
            </w:r>
          </w:p>
          <w:p w14:paraId="48720930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pārņemtas vai ieviestas</w:t>
            </w:r>
          </w:p>
          <w:p w14:paraId="59D75512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pilnībā vai daļēji.</w:t>
            </w:r>
          </w:p>
          <w:p w14:paraId="34E77D30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Norāda institūciju, kas ir</w:t>
            </w:r>
          </w:p>
          <w:p w14:paraId="2FBA78A0" w14:textId="77777777" w:rsidR="00D878C0" w:rsidRPr="00666B6B" w:rsidRDefault="00D878C0" w:rsidP="00923279">
            <w:pPr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atbildīga par šo saistību</w:t>
            </w:r>
            <w:r>
              <w:rPr>
                <w:rFonts w:cs="Times New Roman"/>
                <w:szCs w:val="24"/>
              </w:rPr>
              <w:t xml:space="preserve"> </w:t>
            </w:r>
            <w:r w:rsidRPr="00666B6B">
              <w:rPr>
                <w:rFonts w:cs="Times New Roman"/>
                <w:szCs w:val="24"/>
              </w:rPr>
              <w:t>izpildi pilnībā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FB251F7" w14:textId="77777777" w:rsidR="00D878C0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D</w:t>
            </w:r>
            <w:r>
              <w:rPr>
                <w:rFonts w:cs="Times New Roman"/>
                <w:szCs w:val="24"/>
              </w:rPr>
              <w:t xml:space="preserve"> </w:t>
            </w:r>
          </w:p>
          <w:p w14:paraId="16FF4148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Informācija par to, vai šīs</w:t>
            </w:r>
          </w:p>
          <w:p w14:paraId="597824BF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tabulas B ailē minētās</w:t>
            </w:r>
          </w:p>
          <w:p w14:paraId="71269910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projekta vienības paredz</w:t>
            </w:r>
          </w:p>
          <w:p w14:paraId="70CAE74E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stingrākas prasības nekā šīs</w:t>
            </w:r>
          </w:p>
          <w:p w14:paraId="33189C24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tabulas A ailē minētās ES</w:t>
            </w:r>
          </w:p>
          <w:p w14:paraId="522ACDD8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tiesību akta vienības.</w:t>
            </w:r>
          </w:p>
          <w:p w14:paraId="4F27BD39" w14:textId="77777777" w:rsidR="00D878C0" w:rsidRPr="00666B6B" w:rsidRDefault="00D878C0" w:rsidP="0092327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D878C0" w:rsidRPr="00666B6B" w14:paraId="51167F9D" w14:textId="77777777" w:rsidTr="00923279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1C92DB85" w14:textId="77777777" w:rsidR="00D878C0" w:rsidRPr="00666B6B" w:rsidRDefault="00302D72" w:rsidP="00923279">
            <w:pPr>
              <w:spacing w:after="0"/>
              <w:rPr>
                <w:rFonts w:cs="Times New Roman"/>
                <w:szCs w:val="24"/>
              </w:rPr>
            </w:pPr>
            <w:r w:rsidRPr="00302D72">
              <w:t> </w:t>
            </w:r>
            <w:r w:rsidR="00D878C0" w:rsidRPr="00666B6B">
              <w:rPr>
                <w:rFonts w:cs="Times New Roman"/>
                <w:szCs w:val="24"/>
              </w:rPr>
              <w:t>A</w:t>
            </w:r>
          </w:p>
          <w:p w14:paraId="48FC3A62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Attiecīgā ES tiesību akta</w:t>
            </w:r>
          </w:p>
          <w:p w14:paraId="0F589CDE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panta numurs (uzskaitot</w:t>
            </w:r>
          </w:p>
          <w:p w14:paraId="5586AD44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katru tiesību akta vienību –</w:t>
            </w:r>
          </w:p>
          <w:p w14:paraId="2AB1E185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pantu, daļu, punktu,</w:t>
            </w:r>
          </w:p>
          <w:p w14:paraId="052580AA" w14:textId="77777777" w:rsidR="00D878C0" w:rsidRPr="00666B6B" w:rsidRDefault="00D878C0" w:rsidP="00923279">
            <w:pPr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apakšpunktu)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AC5A8F7" w14:textId="77777777" w:rsidR="00D878C0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B</w:t>
            </w:r>
          </w:p>
          <w:p w14:paraId="5BEFCFD7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Projekta vienība, kas pārņem</w:t>
            </w:r>
          </w:p>
          <w:p w14:paraId="1A054938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vai ievieš katru šīs tabulas A</w:t>
            </w:r>
          </w:p>
          <w:p w14:paraId="57D6A237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ailē minēto ES tiesību akta</w:t>
            </w:r>
          </w:p>
          <w:p w14:paraId="6019ECA6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vienību, vai tiesību akts, kur</w:t>
            </w:r>
          </w:p>
          <w:p w14:paraId="5D987FE2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lastRenderedPageBreak/>
              <w:t>attiecīgā ES tiesību akta</w:t>
            </w:r>
          </w:p>
          <w:p w14:paraId="3E6EEA4D" w14:textId="77777777" w:rsidR="00D878C0" w:rsidRPr="00666B6B" w:rsidRDefault="00D878C0" w:rsidP="00923279">
            <w:pPr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vienība pārņemta vai ieviesta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401F66B6" w14:textId="77777777" w:rsidR="00D878C0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lastRenderedPageBreak/>
              <w:t>C</w:t>
            </w:r>
            <w:r>
              <w:rPr>
                <w:rFonts w:cs="Times New Roman"/>
                <w:szCs w:val="24"/>
              </w:rPr>
              <w:t xml:space="preserve"> </w:t>
            </w:r>
          </w:p>
          <w:p w14:paraId="0FB42CB0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Informācija par to, vai šīs</w:t>
            </w:r>
          </w:p>
          <w:p w14:paraId="0E2303E1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tabulas A ailē minētās ES</w:t>
            </w:r>
          </w:p>
          <w:p w14:paraId="70587B18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tiesību akta vienības tiek</w:t>
            </w:r>
          </w:p>
          <w:p w14:paraId="0D7735F1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pārņemtas vai ieviestas</w:t>
            </w:r>
          </w:p>
          <w:p w14:paraId="315D1985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pilnībā vai daļēji.</w:t>
            </w:r>
          </w:p>
          <w:p w14:paraId="5BA8DB48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lastRenderedPageBreak/>
              <w:t>Norāda institūciju, kas ir</w:t>
            </w:r>
          </w:p>
          <w:p w14:paraId="77F13C6F" w14:textId="77777777" w:rsidR="00D878C0" w:rsidRPr="00666B6B" w:rsidRDefault="00D878C0" w:rsidP="00923279">
            <w:pPr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atbildīga par šo saistību</w:t>
            </w:r>
            <w:r>
              <w:rPr>
                <w:rFonts w:cs="Times New Roman"/>
                <w:szCs w:val="24"/>
              </w:rPr>
              <w:t xml:space="preserve"> </w:t>
            </w:r>
            <w:r w:rsidRPr="00666B6B">
              <w:rPr>
                <w:rFonts w:cs="Times New Roman"/>
                <w:szCs w:val="24"/>
              </w:rPr>
              <w:t>izpildi pilnībā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CA86203" w14:textId="77777777" w:rsidR="00D878C0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lastRenderedPageBreak/>
              <w:t>D</w:t>
            </w:r>
            <w:r>
              <w:rPr>
                <w:rFonts w:cs="Times New Roman"/>
                <w:szCs w:val="24"/>
              </w:rPr>
              <w:t xml:space="preserve"> </w:t>
            </w:r>
          </w:p>
          <w:p w14:paraId="62C4F84F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Informācija par to, vai šīs</w:t>
            </w:r>
          </w:p>
          <w:p w14:paraId="3976EC34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tabulas B ailē minētās</w:t>
            </w:r>
          </w:p>
          <w:p w14:paraId="22506A3F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projekta vienības paredz</w:t>
            </w:r>
          </w:p>
          <w:p w14:paraId="0208C72F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stingrākas prasības nekā šīs</w:t>
            </w:r>
          </w:p>
          <w:p w14:paraId="25CE16D0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t>tabulas A ailē minētās ES</w:t>
            </w:r>
          </w:p>
          <w:p w14:paraId="6E4E0101" w14:textId="77777777" w:rsidR="00D878C0" w:rsidRPr="00666B6B" w:rsidRDefault="00D878C0" w:rsidP="00923279">
            <w:pPr>
              <w:autoSpaceDE w:val="0"/>
              <w:autoSpaceDN w:val="0"/>
              <w:adjustRightInd w:val="0"/>
              <w:spacing w:after="0"/>
              <w:rPr>
                <w:rFonts w:cs="Times New Roman"/>
                <w:szCs w:val="24"/>
              </w:rPr>
            </w:pPr>
            <w:r w:rsidRPr="00666B6B">
              <w:rPr>
                <w:rFonts w:cs="Times New Roman"/>
                <w:szCs w:val="24"/>
              </w:rPr>
              <w:lastRenderedPageBreak/>
              <w:t>tiesību akta vienības.</w:t>
            </w:r>
          </w:p>
          <w:p w14:paraId="4189733B" w14:textId="77777777" w:rsidR="00D878C0" w:rsidRPr="00666B6B" w:rsidRDefault="00D878C0" w:rsidP="00923279">
            <w:pPr>
              <w:spacing w:after="0"/>
              <w:rPr>
                <w:rFonts w:cs="Times New Roman"/>
                <w:szCs w:val="24"/>
              </w:rPr>
            </w:pPr>
          </w:p>
        </w:tc>
      </w:tr>
      <w:tr w:rsidR="00D878C0" w:rsidRPr="00302D72" w14:paraId="2C3652A4" w14:textId="77777777" w:rsidTr="00923279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72A9A6D" w14:textId="4B1533D0" w:rsidR="00D878C0" w:rsidRDefault="00D05F4A" w:rsidP="00923279">
            <w:r>
              <w:lastRenderedPageBreak/>
              <w:t>11</w:t>
            </w:r>
            <w:r w:rsidR="00D878C0">
              <w:t>. pant</w:t>
            </w:r>
            <w:r>
              <w:t xml:space="preserve">a 2. </w:t>
            </w:r>
            <w:r w:rsidR="00927FB9">
              <w:t xml:space="preserve">punkta </w:t>
            </w:r>
            <w:r w:rsidR="00C84CCF">
              <w:t>“</w:t>
            </w:r>
            <w:r w:rsidR="00775C52">
              <w:t>a</w:t>
            </w:r>
            <w:r w:rsidR="00C84CCF">
              <w:t>”</w:t>
            </w:r>
            <w:r w:rsidR="00927FB9">
              <w:t xml:space="preserve"> apakšpunkts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873331E" w14:textId="4B63F44E" w:rsidR="00D878C0" w:rsidRDefault="00D878C0" w:rsidP="00923279">
            <w:r>
              <w:t xml:space="preserve">25.1. </w:t>
            </w:r>
            <w:r w:rsidR="00C84CCF">
              <w:t>apakš</w:t>
            </w:r>
            <w:r>
              <w:t>punkts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67CF8D7" w14:textId="077187E9" w:rsidR="00D878C0" w:rsidRDefault="00D878C0" w:rsidP="00923279">
            <w:r>
              <w:t xml:space="preserve">Izpildīta </w:t>
            </w:r>
            <w:r w:rsidR="00381F55">
              <w:t>daļēji. Atbildīgā institūcija</w:t>
            </w:r>
            <w:r w:rsidR="007471F5">
              <w:t xml:space="preserve"> par saistību pilnīgu izpildi </w:t>
            </w:r>
            <w:r w:rsidR="00C84CCF">
              <w:t>ir</w:t>
            </w:r>
            <w:r w:rsidR="00381F55">
              <w:t xml:space="preserve"> Zemkopības ministrija.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3631C03" w14:textId="15FA9C11" w:rsidR="00D878C0" w:rsidRDefault="00D878C0" w:rsidP="00923279">
            <w:r>
              <w:t>Neparedz stingrākas prasības</w:t>
            </w:r>
            <w:r w:rsidR="00C84CCF">
              <w:t>..</w:t>
            </w:r>
          </w:p>
        </w:tc>
      </w:tr>
      <w:tr w:rsidR="00D878C0" w:rsidRPr="00302D72" w14:paraId="683D2426" w14:textId="77777777" w:rsidTr="00923279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3B0D3638" w14:textId="2977A4DA" w:rsidR="00D878C0" w:rsidRDefault="00D878C0" w:rsidP="00923279">
            <w:r>
              <w:t xml:space="preserve">34. panta </w:t>
            </w:r>
            <w:r w:rsidR="00C84CCF">
              <w:t>“</w:t>
            </w:r>
            <w:r>
              <w:t>e</w:t>
            </w:r>
            <w:r w:rsidR="00C84CCF">
              <w:t>”</w:t>
            </w:r>
            <w:r>
              <w:t xml:space="preserve"> apakšpunkts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4E5D79E" w14:textId="23437141" w:rsidR="00D878C0" w:rsidRDefault="00D878C0" w:rsidP="00923279">
            <w:r>
              <w:t xml:space="preserve">25.2. </w:t>
            </w:r>
            <w:r w:rsidR="00C84CCF">
              <w:t>apakš</w:t>
            </w:r>
            <w:r>
              <w:t>punkts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08D70A4" w14:textId="7DF60B7E" w:rsidR="00D878C0" w:rsidRDefault="00D878C0" w:rsidP="00923279">
            <w:r>
              <w:t>Izpildīta pilnībā</w:t>
            </w:r>
            <w:r w:rsidR="00C84CCF"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4D26E572" w14:textId="77777777" w:rsidR="00D878C0" w:rsidRDefault="00D878C0" w:rsidP="00923279">
            <w:r>
              <w:t>Neparedz stingrākas prasības</w:t>
            </w:r>
          </w:p>
        </w:tc>
      </w:tr>
      <w:tr w:rsidR="00D878C0" w:rsidRPr="00302D72" w14:paraId="59B6DBC5" w14:textId="77777777" w:rsidTr="00923279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A0B407" w14:textId="77777777" w:rsidR="00D878C0" w:rsidRDefault="00D878C0" w:rsidP="00923279">
            <w:r>
              <w:t>36. pants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0C272B71" w14:textId="0A350BF7" w:rsidR="00D878C0" w:rsidRDefault="00D878C0" w:rsidP="00923279">
            <w:r>
              <w:t xml:space="preserve">25.3. </w:t>
            </w:r>
            <w:r w:rsidR="00C84CCF">
              <w:t>apakš</w:t>
            </w:r>
            <w:r>
              <w:t xml:space="preserve">punkts 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55BA38AF" w14:textId="6323DD87" w:rsidR="00D878C0" w:rsidRDefault="00D878C0" w:rsidP="00923279">
            <w:r>
              <w:t>Izpildīta pilnībā</w:t>
            </w:r>
            <w:r w:rsidR="00C84CCF">
              <w:t>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41D78F9" w14:textId="4A41F10C" w:rsidR="00D878C0" w:rsidRDefault="00D878C0" w:rsidP="00923279">
            <w:r>
              <w:t>Neparedz stingrākas prasības</w:t>
            </w:r>
            <w:r w:rsidR="00C84CCF">
              <w:t>.</w:t>
            </w:r>
          </w:p>
        </w:tc>
      </w:tr>
      <w:tr w:rsidR="00D878C0" w:rsidRPr="00302D72" w14:paraId="43D38C34" w14:textId="77777777" w:rsidTr="00923279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71A034F" w14:textId="77777777" w:rsidR="00D878C0" w:rsidRPr="00302D72" w:rsidRDefault="00D878C0" w:rsidP="00923279">
            <w:r w:rsidRPr="00302D72">
              <w:t>Kā ir izmantota ES tiesību aktā paredzētā rīcības brīvība dalībvalstij pārņemt vai ieviest noteiktas ES tiesību akta normas? Kādēļ?</w:t>
            </w:r>
          </w:p>
        </w:tc>
        <w:tc>
          <w:tcPr>
            <w:tcW w:w="37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1BFDD960" w14:textId="77777777" w:rsidR="00927FB9" w:rsidRDefault="00D878C0" w:rsidP="00923279">
            <w:r>
              <w:t>Nav.</w:t>
            </w:r>
            <w:r w:rsidR="00927FB9">
              <w:t xml:space="preserve"> </w:t>
            </w:r>
          </w:p>
          <w:p w14:paraId="7488EC06" w14:textId="77777777" w:rsidR="00D878C0" w:rsidRPr="00302D72" w:rsidRDefault="00D878C0" w:rsidP="00923279"/>
        </w:tc>
      </w:tr>
      <w:tr w:rsidR="00D878C0" w:rsidRPr="00302D72" w14:paraId="0CFBA564" w14:textId="77777777" w:rsidTr="00923279"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5B681A1" w14:textId="77777777" w:rsidR="00D878C0" w:rsidRPr="00302D72" w:rsidRDefault="00D878C0" w:rsidP="00923279">
            <w:r w:rsidRPr="00302D72">
              <w:t>Saistības sniegt paziņojumu ES institūcijām un ES dalībvalstīm atbilstoši normatīvajiem aktiem, kas regulē informācijas sniegšanu par tehnisko noteikumu, valsts atbalsta piešķiršanas un finanšu noteikumu (attiecībā uz monetāro politiku) projektiem</w:t>
            </w:r>
          </w:p>
        </w:tc>
        <w:tc>
          <w:tcPr>
            <w:tcW w:w="375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6597D60D" w14:textId="5EC92E07" w:rsidR="00D878C0" w:rsidRPr="00302D72" w:rsidRDefault="00D878C0" w:rsidP="00923279">
            <w:r>
              <w:t>Nav</w:t>
            </w:r>
            <w:r w:rsidR="00C84CCF">
              <w:t>.</w:t>
            </w:r>
          </w:p>
        </w:tc>
      </w:tr>
    </w:tbl>
    <w:p w14:paraId="2D0499B0" w14:textId="77777777" w:rsidR="00302D72" w:rsidRDefault="00302D72" w:rsidP="00302D72"/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3079"/>
        <w:gridCol w:w="5433"/>
      </w:tblGrid>
      <w:tr w:rsidR="00302D72" w:rsidRPr="00302D72" w14:paraId="2CBF9901" w14:textId="77777777" w:rsidTr="00302D72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488BCCC" w14:textId="77777777" w:rsidR="00302D72" w:rsidRPr="00302D72" w:rsidRDefault="00302D72" w:rsidP="00302D72">
            <w:pPr>
              <w:rPr>
                <w:b/>
                <w:bCs/>
              </w:rPr>
            </w:pPr>
            <w:r w:rsidRPr="00302D72">
              <w:rPr>
                <w:b/>
                <w:bCs/>
              </w:rPr>
              <w:t>VI. Sabiedrības līdzdalība un komunikācijas aktivitātes</w:t>
            </w:r>
          </w:p>
        </w:tc>
      </w:tr>
      <w:tr w:rsidR="00302D72" w:rsidRPr="00302D72" w14:paraId="5A40CDB0" w14:textId="77777777" w:rsidTr="00302D7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D5D8C5C" w14:textId="77777777" w:rsidR="00302D72" w:rsidRPr="00302D72" w:rsidRDefault="00302D72" w:rsidP="00302D72">
            <w:r w:rsidRPr="00302D72"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DE8CD3" w14:textId="77777777" w:rsidR="00302D72" w:rsidRPr="00302D72" w:rsidRDefault="00302D72" w:rsidP="00302D72">
            <w:r w:rsidRPr="00302D72"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CCD479B" w14:textId="6DFC034D" w:rsidR="00302D72" w:rsidRPr="00302D72" w:rsidRDefault="0003774E" w:rsidP="00952949">
            <w:pPr>
              <w:jc w:val="both"/>
            </w:pPr>
            <w:r w:rsidRPr="0003774E">
              <w:t>Atbilstoši Ministru kabineta 2009. gada 25. augusta noteikumu Nr.970 „Sabiedrības līdzdalības kārtība attīstības plānošanas procesā” 7.4.1</w:t>
            </w:r>
            <w:r w:rsidR="00C84CCF">
              <w:t>.</w:t>
            </w:r>
            <w:r w:rsidRPr="0003774E">
              <w:t xml:space="preserve"> apakšpunktam sabiedrībai dota iespēja rakstiski sniegt viedokli par noteikumu projektu tā izstrādes stadijā</w:t>
            </w:r>
            <w:r>
              <w:t xml:space="preserve">. </w:t>
            </w:r>
            <w:r w:rsidR="00952949" w:rsidRPr="00045CA0">
              <w:t xml:space="preserve">Noteikumu projekts publicēts Zemkopības ministrijas tīmekļvietnē 15.08.2019. un atkārtoti – 12.09.2019. un </w:t>
            </w:r>
            <w:r w:rsidR="00064B05">
              <w:t>izskatīts</w:t>
            </w:r>
            <w:r w:rsidR="00952949" w:rsidRPr="00045CA0">
              <w:t xml:space="preserve"> Zivsaimniecības konsultatīvās padomes 19. septembra sēdē</w:t>
            </w:r>
            <w:r w:rsidR="00952949">
              <w:t>.</w:t>
            </w:r>
            <w:r w:rsidR="00952949" w:rsidRPr="00302D72">
              <w:t xml:space="preserve"> </w:t>
            </w:r>
          </w:p>
        </w:tc>
      </w:tr>
      <w:tr w:rsidR="00302D72" w:rsidRPr="00302D72" w14:paraId="686ED8BF" w14:textId="77777777" w:rsidTr="00302D7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31FC49D" w14:textId="77777777" w:rsidR="00302D72" w:rsidRPr="00302D72" w:rsidRDefault="00302D72" w:rsidP="00302D72">
            <w:r w:rsidRPr="00302D72">
              <w:lastRenderedPageBreak/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4C66F2F" w14:textId="77777777" w:rsidR="00302D72" w:rsidRPr="00302D72" w:rsidRDefault="00302D72" w:rsidP="00302D72">
            <w:r w:rsidRPr="00302D72"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BA44819" w14:textId="09AE5D5D" w:rsidR="00302D72" w:rsidRPr="00302D72" w:rsidRDefault="00707F69" w:rsidP="00C40E0D">
            <w:pPr>
              <w:jc w:val="both"/>
            </w:pPr>
            <w:r>
              <w:t xml:space="preserve">Sabiedrībai bija iespēja izteikt savu viedokli par  projektu </w:t>
            </w:r>
            <w:r w:rsidR="0003774E">
              <w:t>Zemkopības ministrijas tīmekļvietn</w:t>
            </w:r>
            <w:r w:rsidR="00C84CCF">
              <w:t>es</w:t>
            </w:r>
            <w:r w:rsidR="0003774E">
              <w:t xml:space="preserve"> sadaļā “Sabiedrības līdzdalība” </w:t>
            </w:r>
            <w:r>
              <w:t>no 2019.</w:t>
            </w:r>
            <w:r w:rsidR="00C84CCF">
              <w:t> </w:t>
            </w:r>
            <w:r>
              <w:t xml:space="preserve">gada </w:t>
            </w:r>
            <w:r w:rsidR="0003774E">
              <w:t>15</w:t>
            </w:r>
            <w:r w:rsidR="00C84CCF">
              <w:t>. </w:t>
            </w:r>
            <w:r w:rsidR="0003774E">
              <w:t>līdz 29.augustam (</w:t>
            </w:r>
            <w:hyperlink r:id="rId7" w:history="1">
              <w:r w:rsidR="0003774E" w:rsidRPr="00F36838">
                <w:rPr>
                  <w:rStyle w:val="Hipersaite"/>
                </w:rPr>
                <w:t>https://www.zm.gov.lv/zemkopibas-ministrija/arhivetas-apspriesanas/-grozijumi-ministru-kabineta-2005-gada-25-janvara-noteikumos-nr-62-ziv?id=818</w:t>
              </w:r>
            </w:hyperlink>
            <w:r w:rsidR="0003774E">
              <w:t xml:space="preserve">) un no </w:t>
            </w:r>
            <w:r>
              <w:t>12.</w:t>
            </w:r>
            <w:r w:rsidR="00C84CCF">
              <w:t> </w:t>
            </w:r>
            <w:r>
              <w:t>līdz 26.septembrim (</w:t>
            </w:r>
            <w:hyperlink r:id="rId8" w:history="1">
              <w:r w:rsidRPr="00F36838">
                <w:rPr>
                  <w:rStyle w:val="Hipersaite"/>
                </w:rPr>
                <w:t>https://www.zm.gov.lv/zemkopibas-ministrija/arhivetas-apspriesanas/grozijumi-ministru-kabineta-2005-gada-25-janvara-noteikumos-nr-62-zivs?id=825</w:t>
              </w:r>
            </w:hyperlink>
            <w:r>
              <w:t xml:space="preserve">) </w:t>
            </w:r>
            <w:r w:rsidR="0003774E">
              <w:t>.</w:t>
            </w:r>
          </w:p>
        </w:tc>
      </w:tr>
      <w:tr w:rsidR="00302D72" w:rsidRPr="00302D72" w14:paraId="64F69AE9" w14:textId="77777777" w:rsidTr="00302D7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7E065A" w14:textId="77777777" w:rsidR="00302D72" w:rsidRPr="00302D72" w:rsidRDefault="00302D72" w:rsidP="00302D72">
            <w:r w:rsidRPr="00302D72"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0C6AB46" w14:textId="77777777" w:rsidR="00302D72" w:rsidRPr="00302D72" w:rsidRDefault="00302D72" w:rsidP="00302D72">
            <w:r w:rsidRPr="00302D72"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A56A96" w14:textId="77777777" w:rsidR="00302D72" w:rsidRPr="00302D72" w:rsidRDefault="00952949" w:rsidP="00302D72">
            <w:r>
              <w:t>Nav.</w:t>
            </w:r>
          </w:p>
        </w:tc>
      </w:tr>
      <w:tr w:rsidR="00302D72" w:rsidRPr="00302D72" w14:paraId="2B0FA2C0" w14:textId="77777777" w:rsidTr="00302D7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3A1D31B" w14:textId="77777777" w:rsidR="00302D72" w:rsidRPr="00302D72" w:rsidRDefault="00302D72" w:rsidP="00302D72">
            <w:r w:rsidRPr="00302D72">
              <w:t>4.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22C9EC8" w14:textId="77777777" w:rsidR="00302D72" w:rsidRPr="00302D72" w:rsidRDefault="00302D72" w:rsidP="00302D72">
            <w:r w:rsidRPr="00302D72"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4D42EAF" w14:textId="77777777" w:rsidR="00302D72" w:rsidRPr="00302D72" w:rsidRDefault="00952949" w:rsidP="00302D72">
            <w:r>
              <w:t>Nav.</w:t>
            </w:r>
          </w:p>
        </w:tc>
      </w:tr>
    </w:tbl>
    <w:p w14:paraId="11E37BEA" w14:textId="77777777" w:rsidR="00302D72" w:rsidRPr="00302D72" w:rsidRDefault="00302D72" w:rsidP="00302D72">
      <w:r w:rsidRPr="00302D72"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3"/>
        <w:gridCol w:w="3079"/>
        <w:gridCol w:w="5433"/>
      </w:tblGrid>
      <w:tr w:rsidR="00302D72" w:rsidRPr="00302D72" w14:paraId="5763520B" w14:textId="77777777" w:rsidTr="00302D72"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F158384" w14:textId="77777777" w:rsidR="00302D72" w:rsidRPr="00302D72" w:rsidRDefault="00302D72" w:rsidP="00302D72">
            <w:pPr>
              <w:rPr>
                <w:b/>
                <w:bCs/>
              </w:rPr>
            </w:pPr>
            <w:r w:rsidRPr="00302D72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302D72" w:rsidRPr="00302D72" w14:paraId="24CADCC8" w14:textId="77777777" w:rsidTr="00302D7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84F49D6" w14:textId="77777777" w:rsidR="00302D72" w:rsidRPr="00302D72" w:rsidRDefault="00302D72" w:rsidP="00302D72">
            <w:r w:rsidRPr="00302D72">
              <w:t>1.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4D0686A" w14:textId="77777777" w:rsidR="00302D72" w:rsidRPr="00302D72" w:rsidRDefault="00302D72" w:rsidP="00302D72">
            <w:r w:rsidRPr="00302D72"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A4283E6" w14:textId="01406D8A" w:rsidR="00302D72" w:rsidRPr="00952949" w:rsidRDefault="00952949" w:rsidP="00302D72">
            <w:r w:rsidRPr="00952949">
              <w:rPr>
                <w:iCs/>
              </w:rPr>
              <w:t>Zemkopības ministrija</w:t>
            </w:r>
          </w:p>
        </w:tc>
      </w:tr>
      <w:tr w:rsidR="00302D72" w:rsidRPr="00302D72" w14:paraId="013A45F7" w14:textId="77777777" w:rsidTr="00302D7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584B069" w14:textId="77777777" w:rsidR="00302D72" w:rsidRPr="00302D72" w:rsidRDefault="00302D72" w:rsidP="00302D72">
            <w:r w:rsidRPr="00302D72">
              <w:t>2.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1E707820" w14:textId="77777777" w:rsidR="00302D72" w:rsidRPr="00302D72" w:rsidRDefault="00302D72" w:rsidP="00302D72">
            <w:r w:rsidRPr="00302D72">
              <w:t>Projekta izpildes ietekme uz pārvaldes funkcijām un institucionālo struktūru.</w:t>
            </w:r>
            <w:r w:rsidRPr="00302D72"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BBD1E25" w14:textId="77777777" w:rsidR="00302D72" w:rsidRPr="00952949" w:rsidRDefault="00952949" w:rsidP="00302D72">
            <w:r w:rsidRPr="00952949">
              <w:rPr>
                <w:iCs/>
              </w:rPr>
              <w:t>Nav attiecināms.</w:t>
            </w:r>
          </w:p>
        </w:tc>
      </w:tr>
      <w:tr w:rsidR="00302D72" w:rsidRPr="00302D72" w14:paraId="0D533D78" w14:textId="77777777" w:rsidTr="00302D72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39AC403" w14:textId="77777777" w:rsidR="00302D72" w:rsidRPr="00302D72" w:rsidRDefault="00302D72" w:rsidP="00302D72">
            <w:r w:rsidRPr="00302D72">
              <w:t>3.</w:t>
            </w:r>
          </w:p>
        </w:tc>
        <w:tc>
          <w:tcPr>
            <w:tcW w:w="1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5E722B" w14:textId="77777777" w:rsidR="00302D72" w:rsidRPr="00302D72" w:rsidRDefault="00302D72" w:rsidP="00302D72">
            <w:r w:rsidRPr="00302D72">
              <w:t>Cita informācija</w:t>
            </w:r>
          </w:p>
        </w:tc>
        <w:tc>
          <w:tcPr>
            <w:tcW w:w="3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94EC11C" w14:textId="77777777" w:rsidR="00302D72" w:rsidRPr="00302D72" w:rsidRDefault="00952949" w:rsidP="00302D72">
            <w:r>
              <w:t>Nav.</w:t>
            </w:r>
          </w:p>
        </w:tc>
      </w:tr>
    </w:tbl>
    <w:p w14:paraId="4D69E675" w14:textId="0353AF02" w:rsidR="00952949" w:rsidRDefault="00952949" w:rsidP="00952949">
      <w:pPr>
        <w:pStyle w:val="naisf"/>
        <w:tabs>
          <w:tab w:val="left" w:pos="6804"/>
        </w:tabs>
        <w:spacing w:before="0" w:after="0"/>
        <w:ind w:firstLine="0"/>
        <w:rPr>
          <w:rFonts w:eastAsiaTheme="minorHAnsi" w:cstheme="minorBidi"/>
          <w:szCs w:val="22"/>
          <w:lang w:eastAsia="en-US"/>
        </w:rPr>
      </w:pPr>
    </w:p>
    <w:p w14:paraId="3C6D9F91" w14:textId="77777777" w:rsidR="006F3D85" w:rsidRDefault="006F3D85" w:rsidP="00952949">
      <w:pPr>
        <w:pStyle w:val="naisf"/>
        <w:tabs>
          <w:tab w:val="left" w:pos="6804"/>
        </w:tabs>
        <w:spacing w:before="0" w:after="0"/>
        <w:ind w:firstLine="0"/>
        <w:rPr>
          <w:rFonts w:eastAsiaTheme="minorHAnsi" w:cstheme="minorBidi"/>
          <w:szCs w:val="22"/>
          <w:lang w:eastAsia="en-US"/>
        </w:rPr>
      </w:pPr>
    </w:p>
    <w:p w14:paraId="72BAE361" w14:textId="77777777" w:rsidR="00952949" w:rsidRDefault="00952949" w:rsidP="00952949">
      <w:pPr>
        <w:pStyle w:val="naisf"/>
        <w:tabs>
          <w:tab w:val="left" w:pos="6804"/>
        </w:tabs>
        <w:spacing w:before="0" w:after="0"/>
        <w:ind w:firstLine="0"/>
        <w:rPr>
          <w:rFonts w:eastAsiaTheme="minorHAnsi" w:cstheme="minorBidi"/>
          <w:szCs w:val="22"/>
          <w:lang w:eastAsia="en-US"/>
        </w:rPr>
      </w:pPr>
    </w:p>
    <w:p w14:paraId="06B1E805" w14:textId="068B97F9" w:rsidR="00952949" w:rsidRPr="00E8754F" w:rsidRDefault="006F3D85" w:rsidP="006F3D85">
      <w:pPr>
        <w:pStyle w:val="naisf"/>
        <w:spacing w:before="0" w:after="0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="00952949" w:rsidRPr="00E8754F">
        <w:rPr>
          <w:sz w:val="28"/>
          <w:szCs w:val="28"/>
        </w:rPr>
        <w:t>Zemkopības ministrs</w:t>
      </w:r>
      <w:r w:rsidR="009529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2949">
        <w:rPr>
          <w:sz w:val="28"/>
          <w:szCs w:val="28"/>
        </w:rPr>
        <w:t>K. Gerhards</w:t>
      </w:r>
    </w:p>
    <w:p w14:paraId="721EAAF4" w14:textId="77777777" w:rsidR="00952949" w:rsidRDefault="00952949" w:rsidP="00952949">
      <w:pPr>
        <w:rPr>
          <w:sz w:val="20"/>
          <w:szCs w:val="20"/>
        </w:rPr>
      </w:pPr>
    </w:p>
    <w:p w14:paraId="1D915A1D" w14:textId="77777777" w:rsidR="00952949" w:rsidRDefault="00952949" w:rsidP="00952949"/>
    <w:p w14:paraId="43F0A7D9" w14:textId="77777777" w:rsidR="006F3D85" w:rsidRDefault="006F3D85" w:rsidP="006F3D85">
      <w:pPr>
        <w:spacing w:after="0"/>
      </w:pPr>
    </w:p>
    <w:p w14:paraId="556BDF48" w14:textId="77777777" w:rsidR="006F3D85" w:rsidRDefault="006F3D85" w:rsidP="006F3D85">
      <w:pPr>
        <w:spacing w:after="0"/>
      </w:pPr>
    </w:p>
    <w:p w14:paraId="0C5041CE" w14:textId="77777777" w:rsidR="006F3D85" w:rsidRDefault="006F3D85" w:rsidP="006F3D85">
      <w:pPr>
        <w:spacing w:after="0"/>
      </w:pPr>
    </w:p>
    <w:p w14:paraId="5CB2950F" w14:textId="77777777" w:rsidR="006F3D85" w:rsidRDefault="006F3D85" w:rsidP="006F3D85">
      <w:pPr>
        <w:spacing w:after="0"/>
      </w:pPr>
    </w:p>
    <w:p w14:paraId="6C3ACD98" w14:textId="7DF936A7" w:rsidR="00952949" w:rsidRPr="00F76B70" w:rsidRDefault="00952949" w:rsidP="006F3D85">
      <w:pPr>
        <w:spacing w:after="0"/>
      </w:pPr>
      <w:r w:rsidRPr="00F76B70">
        <w:t>Jansone 67027533</w:t>
      </w:r>
    </w:p>
    <w:p w14:paraId="26EE2FDD" w14:textId="77777777" w:rsidR="00952949" w:rsidRDefault="006F3D85" w:rsidP="006F3D85">
      <w:pPr>
        <w:spacing w:after="0"/>
      </w:pPr>
      <w:hyperlink r:id="rId9" w:history="1">
        <w:r w:rsidR="00952949" w:rsidRPr="00F76B70">
          <w:rPr>
            <w:rStyle w:val="Hipersaite"/>
          </w:rPr>
          <w:t>santa.jansone@zm.gov.lv</w:t>
        </w:r>
      </w:hyperlink>
      <w:r w:rsidR="00952949" w:rsidRPr="00F76B70">
        <w:t xml:space="preserve"> </w:t>
      </w:r>
    </w:p>
    <w:sectPr w:rsidR="00952949" w:rsidSect="006F3D85">
      <w:headerReference w:type="default" r:id="rId10"/>
      <w:footerReference w:type="defaul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D3C869" w14:textId="77777777" w:rsidR="00C717C1" w:rsidRDefault="00C717C1" w:rsidP="00952949">
      <w:pPr>
        <w:spacing w:after="0"/>
      </w:pPr>
      <w:r>
        <w:separator/>
      </w:r>
    </w:p>
  </w:endnote>
  <w:endnote w:type="continuationSeparator" w:id="0">
    <w:p w14:paraId="02F05ABB" w14:textId="77777777" w:rsidR="00C717C1" w:rsidRDefault="00C717C1" w:rsidP="0095294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874AD" w14:textId="06EB2BA1" w:rsidR="00952949" w:rsidRPr="006F3D85" w:rsidRDefault="006F3D85" w:rsidP="006F3D85">
    <w:pPr>
      <w:pStyle w:val="Kjene"/>
    </w:pPr>
    <w:r w:rsidRPr="006F3D85">
      <w:rPr>
        <w:rFonts w:eastAsia="Times New Roman" w:cs="Times New Roman"/>
        <w:sz w:val="20"/>
        <w:szCs w:val="20"/>
        <w:lang w:eastAsia="lv-LV"/>
      </w:rPr>
      <w:t>ZManot_120220_groz_ZKP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DD26D" w14:textId="77777777" w:rsidR="00C717C1" w:rsidRDefault="00C717C1" w:rsidP="00952949">
      <w:pPr>
        <w:spacing w:after="0"/>
      </w:pPr>
      <w:r>
        <w:separator/>
      </w:r>
    </w:p>
  </w:footnote>
  <w:footnote w:type="continuationSeparator" w:id="0">
    <w:p w14:paraId="663601CF" w14:textId="77777777" w:rsidR="00C717C1" w:rsidRDefault="00C717C1" w:rsidP="0095294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7793303"/>
      <w:docPartObj>
        <w:docPartGallery w:val="Page Numbers (Top of Page)"/>
        <w:docPartUnique/>
      </w:docPartObj>
    </w:sdtPr>
    <w:sdtEndPr>
      <w:rPr>
        <w:szCs w:val="24"/>
      </w:rPr>
    </w:sdtEndPr>
    <w:sdtContent>
      <w:p w14:paraId="257BB807" w14:textId="0BADBE32" w:rsidR="006F3D85" w:rsidRPr="006F3D85" w:rsidRDefault="006F3D85">
        <w:pPr>
          <w:pStyle w:val="Galvene"/>
          <w:jc w:val="center"/>
          <w:rPr>
            <w:szCs w:val="24"/>
          </w:rPr>
        </w:pPr>
        <w:r w:rsidRPr="006F3D85">
          <w:rPr>
            <w:szCs w:val="24"/>
          </w:rPr>
          <w:fldChar w:fldCharType="begin"/>
        </w:r>
        <w:r w:rsidRPr="006F3D85">
          <w:rPr>
            <w:szCs w:val="24"/>
          </w:rPr>
          <w:instrText>PAGE   \* MERGEFORMAT</w:instrText>
        </w:r>
        <w:r w:rsidRPr="006F3D85">
          <w:rPr>
            <w:szCs w:val="24"/>
          </w:rPr>
          <w:fldChar w:fldCharType="separate"/>
        </w:r>
        <w:r w:rsidRPr="006F3D85">
          <w:rPr>
            <w:szCs w:val="24"/>
          </w:rPr>
          <w:t>2</w:t>
        </w:r>
        <w:r w:rsidRPr="006F3D85">
          <w:rPr>
            <w:szCs w:val="24"/>
          </w:rPr>
          <w:fldChar w:fldCharType="end"/>
        </w:r>
      </w:p>
    </w:sdtContent>
  </w:sdt>
  <w:p w14:paraId="2B511EFA" w14:textId="77777777" w:rsidR="006F3D85" w:rsidRDefault="006F3D85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C12D9"/>
    <w:multiLevelType w:val="hybridMultilevel"/>
    <w:tmpl w:val="0B80A44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6854E2"/>
    <w:multiLevelType w:val="hybridMultilevel"/>
    <w:tmpl w:val="D09A340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D72"/>
    <w:rsid w:val="00000CDE"/>
    <w:rsid w:val="00002185"/>
    <w:rsid w:val="00005F5A"/>
    <w:rsid w:val="00010D44"/>
    <w:rsid w:val="0001341B"/>
    <w:rsid w:val="00024404"/>
    <w:rsid w:val="00024CE3"/>
    <w:rsid w:val="00024CEB"/>
    <w:rsid w:val="000339EC"/>
    <w:rsid w:val="00036756"/>
    <w:rsid w:val="0003774E"/>
    <w:rsid w:val="00050093"/>
    <w:rsid w:val="000504BF"/>
    <w:rsid w:val="000600E0"/>
    <w:rsid w:val="00064B05"/>
    <w:rsid w:val="000673C3"/>
    <w:rsid w:val="00072CE4"/>
    <w:rsid w:val="00081DEE"/>
    <w:rsid w:val="00093734"/>
    <w:rsid w:val="000A560A"/>
    <w:rsid w:val="000B0A17"/>
    <w:rsid w:val="000B1C0F"/>
    <w:rsid w:val="000C1723"/>
    <w:rsid w:val="000C3622"/>
    <w:rsid w:val="000C4619"/>
    <w:rsid w:val="000C5442"/>
    <w:rsid w:val="000D5292"/>
    <w:rsid w:val="000D5990"/>
    <w:rsid w:val="000D5CEA"/>
    <w:rsid w:val="000E5D33"/>
    <w:rsid w:val="000F42C9"/>
    <w:rsid w:val="000F66DF"/>
    <w:rsid w:val="001019B5"/>
    <w:rsid w:val="0010355B"/>
    <w:rsid w:val="00105E5D"/>
    <w:rsid w:val="001070FB"/>
    <w:rsid w:val="00112092"/>
    <w:rsid w:val="00117F02"/>
    <w:rsid w:val="00120CDE"/>
    <w:rsid w:val="00124457"/>
    <w:rsid w:val="00130333"/>
    <w:rsid w:val="00131104"/>
    <w:rsid w:val="001320EF"/>
    <w:rsid w:val="00140F0C"/>
    <w:rsid w:val="00140F3F"/>
    <w:rsid w:val="00147BAD"/>
    <w:rsid w:val="00152EC1"/>
    <w:rsid w:val="00156376"/>
    <w:rsid w:val="00156DA1"/>
    <w:rsid w:val="0016486C"/>
    <w:rsid w:val="00177435"/>
    <w:rsid w:val="0018035A"/>
    <w:rsid w:val="00180C1B"/>
    <w:rsid w:val="0019709D"/>
    <w:rsid w:val="001A7E89"/>
    <w:rsid w:val="001B52A3"/>
    <w:rsid w:val="001B6E7E"/>
    <w:rsid w:val="001C03E9"/>
    <w:rsid w:val="001C0B8D"/>
    <w:rsid w:val="001C13DB"/>
    <w:rsid w:val="001D1B45"/>
    <w:rsid w:val="001E0A52"/>
    <w:rsid w:val="001E1464"/>
    <w:rsid w:val="001E379D"/>
    <w:rsid w:val="001E518C"/>
    <w:rsid w:val="001E72A9"/>
    <w:rsid w:val="001F0950"/>
    <w:rsid w:val="001F7E98"/>
    <w:rsid w:val="0020762E"/>
    <w:rsid w:val="0022194D"/>
    <w:rsid w:val="002253C3"/>
    <w:rsid w:val="0023331C"/>
    <w:rsid w:val="00234D66"/>
    <w:rsid w:val="002528AE"/>
    <w:rsid w:val="0025688D"/>
    <w:rsid w:val="0025766D"/>
    <w:rsid w:val="00261849"/>
    <w:rsid w:val="002741D5"/>
    <w:rsid w:val="0027575B"/>
    <w:rsid w:val="00275DB6"/>
    <w:rsid w:val="00276B6E"/>
    <w:rsid w:val="00280CAD"/>
    <w:rsid w:val="0028608C"/>
    <w:rsid w:val="002871F1"/>
    <w:rsid w:val="0029116D"/>
    <w:rsid w:val="002942CF"/>
    <w:rsid w:val="00296388"/>
    <w:rsid w:val="00297653"/>
    <w:rsid w:val="002B77FC"/>
    <w:rsid w:val="002C0C27"/>
    <w:rsid w:val="002D2818"/>
    <w:rsid w:val="002D4F9E"/>
    <w:rsid w:val="002D6940"/>
    <w:rsid w:val="002E12E6"/>
    <w:rsid w:val="002E404D"/>
    <w:rsid w:val="002F021C"/>
    <w:rsid w:val="002F1129"/>
    <w:rsid w:val="002F7141"/>
    <w:rsid w:val="00302D72"/>
    <w:rsid w:val="00303987"/>
    <w:rsid w:val="00306DDB"/>
    <w:rsid w:val="00307089"/>
    <w:rsid w:val="00307829"/>
    <w:rsid w:val="00314894"/>
    <w:rsid w:val="0031579B"/>
    <w:rsid w:val="00317D63"/>
    <w:rsid w:val="003221F6"/>
    <w:rsid w:val="00324BCB"/>
    <w:rsid w:val="003346BE"/>
    <w:rsid w:val="003474D9"/>
    <w:rsid w:val="00362F6C"/>
    <w:rsid w:val="0036515F"/>
    <w:rsid w:val="003675A8"/>
    <w:rsid w:val="00370949"/>
    <w:rsid w:val="00371D07"/>
    <w:rsid w:val="00374FC9"/>
    <w:rsid w:val="00375EE3"/>
    <w:rsid w:val="00376AF1"/>
    <w:rsid w:val="00381F55"/>
    <w:rsid w:val="00382A18"/>
    <w:rsid w:val="00386174"/>
    <w:rsid w:val="00391867"/>
    <w:rsid w:val="003929DB"/>
    <w:rsid w:val="003979C9"/>
    <w:rsid w:val="003A3BC3"/>
    <w:rsid w:val="003C1B66"/>
    <w:rsid w:val="003C40F5"/>
    <w:rsid w:val="003C68C4"/>
    <w:rsid w:val="003D0403"/>
    <w:rsid w:val="003D298E"/>
    <w:rsid w:val="003D5C22"/>
    <w:rsid w:val="003E1A78"/>
    <w:rsid w:val="003E6ED6"/>
    <w:rsid w:val="003F48D8"/>
    <w:rsid w:val="003F5D20"/>
    <w:rsid w:val="004009AE"/>
    <w:rsid w:val="00403383"/>
    <w:rsid w:val="00403587"/>
    <w:rsid w:val="0043459B"/>
    <w:rsid w:val="00435BA6"/>
    <w:rsid w:val="00435C20"/>
    <w:rsid w:val="00442013"/>
    <w:rsid w:val="00456093"/>
    <w:rsid w:val="004616A0"/>
    <w:rsid w:val="00461C1E"/>
    <w:rsid w:val="004636EE"/>
    <w:rsid w:val="00463A73"/>
    <w:rsid w:val="00467347"/>
    <w:rsid w:val="00467DCB"/>
    <w:rsid w:val="0047739E"/>
    <w:rsid w:val="00484E7A"/>
    <w:rsid w:val="004B13EF"/>
    <w:rsid w:val="004B7823"/>
    <w:rsid w:val="004C079A"/>
    <w:rsid w:val="004C14C6"/>
    <w:rsid w:val="004C2681"/>
    <w:rsid w:val="004C284B"/>
    <w:rsid w:val="004C62FF"/>
    <w:rsid w:val="004C68FA"/>
    <w:rsid w:val="004D07F7"/>
    <w:rsid w:val="004E0D87"/>
    <w:rsid w:val="004E32D6"/>
    <w:rsid w:val="004F0241"/>
    <w:rsid w:val="004F5077"/>
    <w:rsid w:val="00507551"/>
    <w:rsid w:val="00510100"/>
    <w:rsid w:val="00524A43"/>
    <w:rsid w:val="00526EC6"/>
    <w:rsid w:val="005556F0"/>
    <w:rsid w:val="00560DF4"/>
    <w:rsid w:val="00572B4B"/>
    <w:rsid w:val="005826C1"/>
    <w:rsid w:val="00583ACF"/>
    <w:rsid w:val="00592D2E"/>
    <w:rsid w:val="005A4A0B"/>
    <w:rsid w:val="005A5F23"/>
    <w:rsid w:val="005A76A5"/>
    <w:rsid w:val="005B1D13"/>
    <w:rsid w:val="005C25D7"/>
    <w:rsid w:val="005C6EE1"/>
    <w:rsid w:val="005C7864"/>
    <w:rsid w:val="005D0092"/>
    <w:rsid w:val="005D0CCC"/>
    <w:rsid w:val="005D4EF6"/>
    <w:rsid w:val="005E6490"/>
    <w:rsid w:val="005F1CE8"/>
    <w:rsid w:val="005F4E22"/>
    <w:rsid w:val="005F58F0"/>
    <w:rsid w:val="0060380D"/>
    <w:rsid w:val="00604B3F"/>
    <w:rsid w:val="0060704A"/>
    <w:rsid w:val="0062585C"/>
    <w:rsid w:val="00627B9F"/>
    <w:rsid w:val="00635FBF"/>
    <w:rsid w:val="00636F3F"/>
    <w:rsid w:val="006403F6"/>
    <w:rsid w:val="00643D27"/>
    <w:rsid w:val="00644CE9"/>
    <w:rsid w:val="00645786"/>
    <w:rsid w:val="00656271"/>
    <w:rsid w:val="006614C1"/>
    <w:rsid w:val="00671E0B"/>
    <w:rsid w:val="00673409"/>
    <w:rsid w:val="00676CA5"/>
    <w:rsid w:val="00677A79"/>
    <w:rsid w:val="00681733"/>
    <w:rsid w:val="006839FD"/>
    <w:rsid w:val="00684183"/>
    <w:rsid w:val="006951F6"/>
    <w:rsid w:val="006A4D60"/>
    <w:rsid w:val="006A549D"/>
    <w:rsid w:val="006C033E"/>
    <w:rsid w:val="006C5329"/>
    <w:rsid w:val="006C6CC0"/>
    <w:rsid w:val="006C6FC6"/>
    <w:rsid w:val="006D1483"/>
    <w:rsid w:val="006D7FD8"/>
    <w:rsid w:val="006E14A0"/>
    <w:rsid w:val="006E6091"/>
    <w:rsid w:val="006F1D93"/>
    <w:rsid w:val="006F3D85"/>
    <w:rsid w:val="006F4B27"/>
    <w:rsid w:val="0070001F"/>
    <w:rsid w:val="007011AE"/>
    <w:rsid w:val="00707ABB"/>
    <w:rsid w:val="00707F69"/>
    <w:rsid w:val="0071534F"/>
    <w:rsid w:val="00717750"/>
    <w:rsid w:val="007223B4"/>
    <w:rsid w:val="00722D03"/>
    <w:rsid w:val="00723753"/>
    <w:rsid w:val="00724724"/>
    <w:rsid w:val="00730E8A"/>
    <w:rsid w:val="007347F9"/>
    <w:rsid w:val="00742F0B"/>
    <w:rsid w:val="007471F5"/>
    <w:rsid w:val="00747495"/>
    <w:rsid w:val="007574D2"/>
    <w:rsid w:val="00763D04"/>
    <w:rsid w:val="00775C52"/>
    <w:rsid w:val="007826F4"/>
    <w:rsid w:val="007B51D5"/>
    <w:rsid w:val="007C0961"/>
    <w:rsid w:val="007C5BA0"/>
    <w:rsid w:val="007C74CC"/>
    <w:rsid w:val="007C788A"/>
    <w:rsid w:val="007D0ED9"/>
    <w:rsid w:val="007F7052"/>
    <w:rsid w:val="007F7EE8"/>
    <w:rsid w:val="00804CC9"/>
    <w:rsid w:val="00804CE7"/>
    <w:rsid w:val="00814570"/>
    <w:rsid w:val="008234C0"/>
    <w:rsid w:val="00823E33"/>
    <w:rsid w:val="00824AF6"/>
    <w:rsid w:val="0083017B"/>
    <w:rsid w:val="00830543"/>
    <w:rsid w:val="00837FAD"/>
    <w:rsid w:val="008445DC"/>
    <w:rsid w:val="008453EC"/>
    <w:rsid w:val="00862407"/>
    <w:rsid w:val="00884A81"/>
    <w:rsid w:val="00885DE5"/>
    <w:rsid w:val="00893FA8"/>
    <w:rsid w:val="008C4953"/>
    <w:rsid w:val="008C6BC5"/>
    <w:rsid w:val="008C7179"/>
    <w:rsid w:val="008C7225"/>
    <w:rsid w:val="008D32C1"/>
    <w:rsid w:val="008F2704"/>
    <w:rsid w:val="008F45E8"/>
    <w:rsid w:val="008F5244"/>
    <w:rsid w:val="008F593B"/>
    <w:rsid w:val="00900063"/>
    <w:rsid w:val="009060B2"/>
    <w:rsid w:val="00906796"/>
    <w:rsid w:val="00913B49"/>
    <w:rsid w:val="00916EFB"/>
    <w:rsid w:val="0091774A"/>
    <w:rsid w:val="00927FB9"/>
    <w:rsid w:val="009301E8"/>
    <w:rsid w:val="00943F2C"/>
    <w:rsid w:val="00944D50"/>
    <w:rsid w:val="00947BCA"/>
    <w:rsid w:val="00952949"/>
    <w:rsid w:val="00961085"/>
    <w:rsid w:val="00974518"/>
    <w:rsid w:val="009929DB"/>
    <w:rsid w:val="00994402"/>
    <w:rsid w:val="00995E25"/>
    <w:rsid w:val="009A17F9"/>
    <w:rsid w:val="009A217C"/>
    <w:rsid w:val="009A6BB5"/>
    <w:rsid w:val="009A6FD5"/>
    <w:rsid w:val="009A7FA3"/>
    <w:rsid w:val="009B33E1"/>
    <w:rsid w:val="009C04C7"/>
    <w:rsid w:val="009C48FB"/>
    <w:rsid w:val="009C59B0"/>
    <w:rsid w:val="009D1905"/>
    <w:rsid w:val="009D653B"/>
    <w:rsid w:val="009E3540"/>
    <w:rsid w:val="009F1C03"/>
    <w:rsid w:val="00A16A0A"/>
    <w:rsid w:val="00A23829"/>
    <w:rsid w:val="00A35AF8"/>
    <w:rsid w:val="00A35E16"/>
    <w:rsid w:val="00A36AA2"/>
    <w:rsid w:val="00A40AF1"/>
    <w:rsid w:val="00A44FA3"/>
    <w:rsid w:val="00A60E55"/>
    <w:rsid w:val="00A64CD3"/>
    <w:rsid w:val="00A721F6"/>
    <w:rsid w:val="00A74EA7"/>
    <w:rsid w:val="00A930A7"/>
    <w:rsid w:val="00A968D2"/>
    <w:rsid w:val="00A97647"/>
    <w:rsid w:val="00AA3F29"/>
    <w:rsid w:val="00AB71B1"/>
    <w:rsid w:val="00AC29F7"/>
    <w:rsid w:val="00AC4778"/>
    <w:rsid w:val="00AC70ED"/>
    <w:rsid w:val="00AE3897"/>
    <w:rsid w:val="00AF58E2"/>
    <w:rsid w:val="00B0102F"/>
    <w:rsid w:val="00B07140"/>
    <w:rsid w:val="00B11F2D"/>
    <w:rsid w:val="00B131C6"/>
    <w:rsid w:val="00B14745"/>
    <w:rsid w:val="00B21F36"/>
    <w:rsid w:val="00B23B51"/>
    <w:rsid w:val="00B32081"/>
    <w:rsid w:val="00B47FB5"/>
    <w:rsid w:val="00B52AAB"/>
    <w:rsid w:val="00B57932"/>
    <w:rsid w:val="00B767B2"/>
    <w:rsid w:val="00B77200"/>
    <w:rsid w:val="00B82134"/>
    <w:rsid w:val="00B82EB2"/>
    <w:rsid w:val="00B835D2"/>
    <w:rsid w:val="00B91779"/>
    <w:rsid w:val="00B92DDF"/>
    <w:rsid w:val="00BA0850"/>
    <w:rsid w:val="00BA4E05"/>
    <w:rsid w:val="00BB1DD9"/>
    <w:rsid w:val="00BB7454"/>
    <w:rsid w:val="00BC2808"/>
    <w:rsid w:val="00BC3FBD"/>
    <w:rsid w:val="00BC5D4C"/>
    <w:rsid w:val="00BC6163"/>
    <w:rsid w:val="00BC7E4E"/>
    <w:rsid w:val="00BD2464"/>
    <w:rsid w:val="00BF0E5A"/>
    <w:rsid w:val="00C00021"/>
    <w:rsid w:val="00C04DF2"/>
    <w:rsid w:val="00C0629C"/>
    <w:rsid w:val="00C2317C"/>
    <w:rsid w:val="00C26116"/>
    <w:rsid w:val="00C27461"/>
    <w:rsid w:val="00C32FF9"/>
    <w:rsid w:val="00C34EB6"/>
    <w:rsid w:val="00C40E0D"/>
    <w:rsid w:val="00C43477"/>
    <w:rsid w:val="00C43CA1"/>
    <w:rsid w:val="00C5152E"/>
    <w:rsid w:val="00C6431E"/>
    <w:rsid w:val="00C677B7"/>
    <w:rsid w:val="00C712B8"/>
    <w:rsid w:val="00C717C1"/>
    <w:rsid w:val="00C74847"/>
    <w:rsid w:val="00C82E6D"/>
    <w:rsid w:val="00C83C79"/>
    <w:rsid w:val="00C84CB2"/>
    <w:rsid w:val="00C84CCF"/>
    <w:rsid w:val="00C86D30"/>
    <w:rsid w:val="00C92933"/>
    <w:rsid w:val="00C97BF5"/>
    <w:rsid w:val="00CD5CDB"/>
    <w:rsid w:val="00CE6DF9"/>
    <w:rsid w:val="00CE7E71"/>
    <w:rsid w:val="00CE7E81"/>
    <w:rsid w:val="00D00625"/>
    <w:rsid w:val="00D0134B"/>
    <w:rsid w:val="00D05F4A"/>
    <w:rsid w:val="00D33069"/>
    <w:rsid w:val="00D40BB0"/>
    <w:rsid w:val="00D4767E"/>
    <w:rsid w:val="00D55534"/>
    <w:rsid w:val="00D55FAE"/>
    <w:rsid w:val="00D7141F"/>
    <w:rsid w:val="00D7596C"/>
    <w:rsid w:val="00D7628A"/>
    <w:rsid w:val="00D878C0"/>
    <w:rsid w:val="00DA2F44"/>
    <w:rsid w:val="00DA5DA6"/>
    <w:rsid w:val="00DA7447"/>
    <w:rsid w:val="00DA766C"/>
    <w:rsid w:val="00DB3072"/>
    <w:rsid w:val="00DC59BA"/>
    <w:rsid w:val="00DC64F4"/>
    <w:rsid w:val="00DC7C89"/>
    <w:rsid w:val="00DD6C36"/>
    <w:rsid w:val="00DD7D7A"/>
    <w:rsid w:val="00DF6F51"/>
    <w:rsid w:val="00E02EF5"/>
    <w:rsid w:val="00E03592"/>
    <w:rsid w:val="00E03EE5"/>
    <w:rsid w:val="00E10D90"/>
    <w:rsid w:val="00E12A17"/>
    <w:rsid w:val="00E1576E"/>
    <w:rsid w:val="00E311C5"/>
    <w:rsid w:val="00E35A39"/>
    <w:rsid w:val="00E37E4D"/>
    <w:rsid w:val="00E52789"/>
    <w:rsid w:val="00E804E3"/>
    <w:rsid w:val="00E821DF"/>
    <w:rsid w:val="00E87416"/>
    <w:rsid w:val="00E87B57"/>
    <w:rsid w:val="00E90C99"/>
    <w:rsid w:val="00E92BDD"/>
    <w:rsid w:val="00E973A1"/>
    <w:rsid w:val="00E97B26"/>
    <w:rsid w:val="00EB147D"/>
    <w:rsid w:val="00EB3FE6"/>
    <w:rsid w:val="00EB4196"/>
    <w:rsid w:val="00EB5387"/>
    <w:rsid w:val="00ED0741"/>
    <w:rsid w:val="00EE080D"/>
    <w:rsid w:val="00EE26F3"/>
    <w:rsid w:val="00EF3FC9"/>
    <w:rsid w:val="00F0107D"/>
    <w:rsid w:val="00F02F23"/>
    <w:rsid w:val="00F03B02"/>
    <w:rsid w:val="00F07163"/>
    <w:rsid w:val="00F12FD3"/>
    <w:rsid w:val="00F17E17"/>
    <w:rsid w:val="00F34191"/>
    <w:rsid w:val="00F40237"/>
    <w:rsid w:val="00F42232"/>
    <w:rsid w:val="00F43E32"/>
    <w:rsid w:val="00F60A53"/>
    <w:rsid w:val="00F64E85"/>
    <w:rsid w:val="00F66876"/>
    <w:rsid w:val="00F67525"/>
    <w:rsid w:val="00F7575D"/>
    <w:rsid w:val="00F83E99"/>
    <w:rsid w:val="00F90603"/>
    <w:rsid w:val="00FA00DD"/>
    <w:rsid w:val="00FA295C"/>
    <w:rsid w:val="00FB07A5"/>
    <w:rsid w:val="00FB3123"/>
    <w:rsid w:val="00FC00CF"/>
    <w:rsid w:val="00FC3C0B"/>
    <w:rsid w:val="00FC3EB8"/>
    <w:rsid w:val="00FC47BA"/>
    <w:rsid w:val="00FC6B7A"/>
    <w:rsid w:val="00FD264A"/>
    <w:rsid w:val="00FE3937"/>
    <w:rsid w:val="00FE69EE"/>
    <w:rsid w:val="00FF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25948BC3"/>
  <w15:chartTrackingRefBased/>
  <w15:docId w15:val="{AC56C285-4B30-4088-BCA7-322F74F0E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8C4953"/>
    <w:pPr>
      <w:spacing w:line="240" w:lineRule="auto"/>
    </w:pPr>
    <w:rPr>
      <w:rFonts w:ascii="Times New Roman" w:hAnsi="Times New Roman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02D72"/>
    <w:rPr>
      <w:color w:val="0563C1" w:themeColor="hyperlink"/>
      <w:u w:val="single"/>
    </w:rPr>
  </w:style>
  <w:style w:type="paragraph" w:customStyle="1" w:styleId="naislab">
    <w:name w:val="naislab"/>
    <w:basedOn w:val="Parasts"/>
    <w:rsid w:val="00302D72"/>
    <w:pPr>
      <w:spacing w:before="75" w:after="75"/>
      <w:jc w:val="right"/>
    </w:pPr>
    <w:rPr>
      <w:rFonts w:eastAsia="Times New Roman" w:cs="Times New Roman"/>
      <w:szCs w:val="24"/>
      <w:lang w:eastAsia="lv-LV"/>
    </w:rPr>
  </w:style>
  <w:style w:type="character" w:customStyle="1" w:styleId="italic">
    <w:name w:val="italic"/>
    <w:rsid w:val="00952949"/>
  </w:style>
  <w:style w:type="paragraph" w:customStyle="1" w:styleId="naiskr">
    <w:name w:val="naiskr"/>
    <w:basedOn w:val="Parasts"/>
    <w:rsid w:val="00952949"/>
    <w:pPr>
      <w:spacing w:before="75" w:after="75"/>
    </w:pPr>
    <w:rPr>
      <w:rFonts w:eastAsia="Times New Roman" w:cs="Times New Roman"/>
      <w:szCs w:val="24"/>
      <w:lang w:eastAsia="lv-LV"/>
    </w:rPr>
  </w:style>
  <w:style w:type="paragraph" w:customStyle="1" w:styleId="naisf">
    <w:name w:val="naisf"/>
    <w:basedOn w:val="Parasts"/>
    <w:rsid w:val="00952949"/>
    <w:pPr>
      <w:spacing w:before="75" w:after="75"/>
      <w:ind w:firstLine="375"/>
      <w:jc w:val="both"/>
    </w:pPr>
    <w:rPr>
      <w:rFonts w:eastAsia="Times New Roman" w:cs="Times New Roman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52949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952949"/>
    <w:rPr>
      <w:rFonts w:ascii="Times New Roman" w:hAnsi="Times New Roman"/>
      <w:sz w:val="24"/>
    </w:rPr>
  </w:style>
  <w:style w:type="paragraph" w:styleId="Kjene">
    <w:name w:val="footer"/>
    <w:basedOn w:val="Parasts"/>
    <w:link w:val="KjeneRakstz"/>
    <w:uiPriority w:val="99"/>
    <w:unhideWhenUsed/>
    <w:rsid w:val="00952949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952949"/>
    <w:rPr>
      <w:rFonts w:ascii="Times New Roman" w:hAnsi="Times New Roman"/>
      <w:sz w:val="24"/>
    </w:rPr>
  </w:style>
  <w:style w:type="paragraph" w:styleId="Sarakstarindkopa">
    <w:name w:val="List Paragraph"/>
    <w:basedOn w:val="Parasts"/>
    <w:uiPriority w:val="34"/>
    <w:qFormat/>
    <w:rsid w:val="004616A0"/>
    <w:pPr>
      <w:ind w:left="720"/>
      <w:contextualSpacing/>
    </w:pPr>
  </w:style>
  <w:style w:type="character" w:styleId="Neatrisintapieminana">
    <w:name w:val="Unresolved Mention"/>
    <w:basedOn w:val="Noklusjumarindkopasfonts"/>
    <w:uiPriority w:val="99"/>
    <w:semiHidden/>
    <w:unhideWhenUsed/>
    <w:rsid w:val="00707F69"/>
    <w:rPr>
      <w:color w:val="605E5C"/>
      <w:shd w:val="clear" w:color="auto" w:fill="E1DFDD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07F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07F69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C86D30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86D30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86D30"/>
    <w:rPr>
      <w:rFonts w:ascii="Times New Roman" w:hAnsi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86D30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86D30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244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048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m.gov.lv/zemkopibas-ministrija/arhivetas-apspriesanas/grozijumi-ministru-kabineta-2005-gada-25-janvara-noteikumos-nr-62-zivs?id=82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zm.gov.lv/zemkopibas-ministrija/arhivetas-apspriesanas/-grozijumi-ministru-kabineta-2005-gada-25-janvara-noteikumos-nr-62-ziv?id=81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nta.jansone@zm.gov.lv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5361</Words>
  <Characters>3057</Characters>
  <Application>Microsoft Office Word</Application>
  <DocSecurity>0</DocSecurity>
  <Lines>25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8402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noteikumu projektu</dc:title>
  <dc:subject>Anotācija</dc:subject>
  <dc:creator>Santa Jansone</dc:creator>
  <cp:keywords/>
  <dc:description>Jansone 67027533_x000d_
Santa.Jansone@zm.gov.lv</dc:description>
  <cp:lastModifiedBy>Kristiāna Sebre</cp:lastModifiedBy>
  <cp:revision>3</cp:revision>
  <cp:lastPrinted>2020-01-30T08:26:00Z</cp:lastPrinted>
  <dcterms:created xsi:type="dcterms:W3CDTF">2020-02-12T11:20:00Z</dcterms:created>
  <dcterms:modified xsi:type="dcterms:W3CDTF">2020-02-12T14:33:00Z</dcterms:modified>
</cp:coreProperties>
</file>