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28D7A" w14:textId="77777777" w:rsidR="00F12A88" w:rsidRPr="00534E20" w:rsidRDefault="00F12A88" w:rsidP="00F12A88">
      <w:pPr>
        <w:jc w:val="center"/>
        <w:rPr>
          <w:b/>
          <w:sz w:val="26"/>
          <w:szCs w:val="26"/>
          <w:lang w:val="lv-LV"/>
        </w:rPr>
      </w:pPr>
      <w:bookmarkStart w:id="0" w:name="OLE_LINK3"/>
      <w:bookmarkStart w:id="1" w:name="OLE_LINK1"/>
      <w:bookmarkStart w:id="2" w:name="OLE_LINK2"/>
      <w:r w:rsidRPr="00534E20">
        <w:rPr>
          <w:b/>
          <w:sz w:val="26"/>
          <w:szCs w:val="26"/>
          <w:lang w:val="lv-LV"/>
        </w:rPr>
        <w:t>Ministru kabineta noteikumu projekta ,,</w:t>
      </w:r>
      <w:bookmarkStart w:id="3" w:name="OLE_LINK7"/>
      <w:bookmarkStart w:id="4" w:name="OLE_LINK8"/>
      <w:r w:rsidRPr="00534E20">
        <w:rPr>
          <w:sz w:val="26"/>
          <w:szCs w:val="26"/>
          <w:lang w:val="lv-LV"/>
        </w:rPr>
        <w:t xml:space="preserve"> </w:t>
      </w:r>
      <w:bookmarkStart w:id="5" w:name="_Hlk36713472"/>
      <w:r w:rsidRPr="00534E20">
        <w:rPr>
          <w:b/>
          <w:sz w:val="26"/>
          <w:szCs w:val="26"/>
          <w:lang w:val="lv-LV"/>
        </w:rPr>
        <w:t>Grozījumi Ministru kabineta 2016.gada 20.decembra noteikumos Nr.866 „Īstermiņa eksporta kredīta garantiju izsniegšanas noteikumi komersantiem un atbilstošām lauksaimniecības pakalpojumu kooperatīvajām sabiedrībām”</w:t>
      </w:r>
      <w:bookmarkEnd w:id="5"/>
      <w:r w:rsidRPr="00534E20">
        <w:rPr>
          <w:b/>
          <w:sz w:val="26"/>
          <w:szCs w:val="26"/>
          <w:lang w:val="lv-LV"/>
        </w:rPr>
        <w:t>”</w:t>
      </w:r>
      <w:bookmarkEnd w:id="3"/>
      <w:bookmarkEnd w:id="4"/>
      <w:r w:rsidRPr="00534E20">
        <w:rPr>
          <w:b/>
          <w:sz w:val="26"/>
          <w:szCs w:val="26"/>
          <w:lang w:val="lv-LV"/>
        </w:rPr>
        <w:t xml:space="preserve"> sākotnējās ietekmes novērtējuma ziņojums (anotācija)</w:t>
      </w:r>
    </w:p>
    <w:p w14:paraId="4F03DE00" w14:textId="77777777" w:rsidR="00310924" w:rsidRPr="00C136CD" w:rsidRDefault="00310924" w:rsidP="007F6449">
      <w:pPr>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10924" w:rsidRPr="00C136CD" w14:paraId="06A3987D" w14:textId="77777777" w:rsidTr="0000307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DD696D" w:rsidRDefault="00310924" w:rsidP="00003072">
            <w:pPr>
              <w:rPr>
                <w:rFonts w:eastAsia="Times New Roman"/>
                <w:b/>
                <w:bCs/>
                <w:iCs/>
                <w:sz w:val="26"/>
                <w:szCs w:val="26"/>
                <w:lang w:val="lv-LV" w:eastAsia="lv-LV"/>
              </w:rPr>
            </w:pPr>
            <w:r w:rsidRPr="00DD696D">
              <w:rPr>
                <w:rFonts w:eastAsia="Times New Roman"/>
                <w:b/>
                <w:bCs/>
                <w:iCs/>
                <w:sz w:val="26"/>
                <w:szCs w:val="26"/>
                <w:lang w:val="lv-LV" w:eastAsia="lv-LV"/>
              </w:rPr>
              <w:t>Tiesību akta projekta anotācijas kopsavilkums</w:t>
            </w:r>
          </w:p>
        </w:tc>
      </w:tr>
      <w:tr w:rsidR="00310924" w:rsidRPr="009D4B8F" w14:paraId="5F92C921" w14:textId="77777777" w:rsidTr="0000307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1DBABE" w14:textId="77777777" w:rsidR="00310924" w:rsidRPr="00DD696D" w:rsidRDefault="00310924" w:rsidP="00003072">
            <w:pPr>
              <w:rPr>
                <w:rFonts w:eastAsia="Times New Roman"/>
                <w:iCs/>
                <w:sz w:val="26"/>
                <w:szCs w:val="26"/>
                <w:lang w:val="lv-LV" w:eastAsia="lv-LV"/>
              </w:rPr>
            </w:pPr>
            <w:r w:rsidRPr="00DD696D">
              <w:rPr>
                <w:rFonts w:eastAsia="Times New Roman"/>
                <w:iCs/>
                <w:sz w:val="26"/>
                <w:szCs w:val="26"/>
                <w:lang w:val="lv-LV"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2599F68" w14:textId="5DEF7AFC" w:rsidR="00DD696D" w:rsidRDefault="000136B6" w:rsidP="00DD696D">
            <w:pPr>
              <w:jc w:val="both"/>
              <w:rPr>
                <w:rFonts w:eastAsia="Times New Roman"/>
                <w:iCs/>
                <w:sz w:val="26"/>
                <w:szCs w:val="26"/>
                <w:lang w:val="lv-LV" w:eastAsia="lv-LV"/>
              </w:rPr>
            </w:pPr>
            <w:r>
              <w:rPr>
                <w:rFonts w:eastAsia="Times New Roman"/>
                <w:iCs/>
                <w:sz w:val="26"/>
                <w:szCs w:val="26"/>
                <w:lang w:val="lv-LV" w:eastAsia="lv-LV"/>
              </w:rPr>
              <w:t>Noteikuma</w:t>
            </w:r>
            <w:r w:rsidR="00310924" w:rsidRPr="00DD696D">
              <w:rPr>
                <w:rFonts w:eastAsia="Times New Roman"/>
                <w:iCs/>
                <w:sz w:val="26"/>
                <w:szCs w:val="26"/>
                <w:lang w:val="lv-LV" w:eastAsia="lv-LV"/>
              </w:rPr>
              <w:t xml:space="preserve"> projekts paredz </w:t>
            </w:r>
            <w:r w:rsidR="00D67CE9" w:rsidRPr="00DD696D">
              <w:rPr>
                <w:rFonts w:eastAsia="Times New Roman"/>
                <w:iCs/>
                <w:sz w:val="26"/>
                <w:szCs w:val="26"/>
                <w:lang w:val="lv-LV" w:eastAsia="lv-LV"/>
              </w:rPr>
              <w:t>precizēt</w:t>
            </w:r>
            <w:r w:rsidR="00310924" w:rsidRPr="00DD696D">
              <w:rPr>
                <w:rFonts w:eastAsia="Times New Roman"/>
                <w:iCs/>
                <w:sz w:val="26"/>
                <w:szCs w:val="26"/>
                <w:lang w:val="lv-LV" w:eastAsia="lv-LV"/>
              </w:rPr>
              <w:t xml:space="preserve"> </w:t>
            </w:r>
            <w:r w:rsidR="00D67CE9" w:rsidRPr="00DD696D">
              <w:rPr>
                <w:rFonts w:eastAsia="Times New Roman"/>
                <w:iCs/>
                <w:sz w:val="26"/>
                <w:szCs w:val="26"/>
                <w:lang w:val="lv-LV" w:eastAsia="lv-LV"/>
              </w:rPr>
              <w:t xml:space="preserve">Ministru kabineta 2016.gada </w:t>
            </w:r>
            <w:r w:rsidR="000541AA">
              <w:rPr>
                <w:rFonts w:eastAsia="Times New Roman"/>
                <w:iCs/>
                <w:sz w:val="26"/>
                <w:szCs w:val="26"/>
                <w:lang w:val="lv-LV" w:eastAsia="lv-LV"/>
              </w:rPr>
              <w:t>20.decembra</w:t>
            </w:r>
            <w:r w:rsidR="00D67CE9" w:rsidRPr="00DD696D">
              <w:rPr>
                <w:rFonts w:eastAsia="Times New Roman"/>
                <w:iCs/>
                <w:sz w:val="26"/>
                <w:szCs w:val="26"/>
                <w:lang w:val="lv-LV" w:eastAsia="lv-LV"/>
              </w:rPr>
              <w:t xml:space="preserve"> noteikumos Nr.</w:t>
            </w:r>
            <w:r w:rsidR="000541AA">
              <w:rPr>
                <w:rFonts w:eastAsia="Times New Roman"/>
                <w:iCs/>
                <w:sz w:val="26"/>
                <w:szCs w:val="26"/>
                <w:lang w:val="lv-LV" w:eastAsia="lv-LV"/>
              </w:rPr>
              <w:t>866</w:t>
            </w:r>
            <w:r w:rsidR="00D67CE9" w:rsidRPr="00DD696D">
              <w:rPr>
                <w:rFonts w:eastAsia="Times New Roman"/>
                <w:iCs/>
                <w:sz w:val="26"/>
                <w:szCs w:val="26"/>
                <w:lang w:val="lv-LV" w:eastAsia="lv-LV"/>
              </w:rPr>
              <w:t xml:space="preserve"> „</w:t>
            </w:r>
            <w:r w:rsidR="000541AA" w:rsidRPr="000541AA">
              <w:rPr>
                <w:rFonts w:eastAsia="Times New Roman"/>
                <w:iCs/>
                <w:sz w:val="26"/>
                <w:szCs w:val="26"/>
                <w:lang w:val="lv-LV" w:eastAsia="lv-LV"/>
              </w:rPr>
              <w:t>Īstermiņa eksporta kredīta garantiju izsniegšanas noteikumi komersantiem un atbilstošām lauksaimniecības pakalpojumu kooperatīvajām sabiedrībām</w:t>
            </w:r>
            <w:r w:rsidR="00D67CE9" w:rsidRPr="00DD696D">
              <w:rPr>
                <w:rFonts w:eastAsia="Times New Roman"/>
                <w:iCs/>
                <w:sz w:val="26"/>
                <w:szCs w:val="26"/>
                <w:lang w:val="lv-LV" w:eastAsia="lv-LV"/>
              </w:rPr>
              <w:t>”</w:t>
            </w:r>
            <w:r w:rsidR="00785C6D">
              <w:rPr>
                <w:rFonts w:eastAsia="Times New Roman"/>
                <w:iCs/>
                <w:sz w:val="26"/>
                <w:szCs w:val="26"/>
                <w:lang w:val="lv-LV" w:eastAsia="lv-LV"/>
              </w:rPr>
              <w:t xml:space="preserve"> (turpmāk – Noteikumi)</w:t>
            </w:r>
            <w:r w:rsidR="00DD696D">
              <w:rPr>
                <w:rFonts w:eastAsia="Times New Roman"/>
                <w:iCs/>
                <w:sz w:val="26"/>
                <w:szCs w:val="26"/>
                <w:lang w:val="lv-LV" w:eastAsia="lv-LV"/>
              </w:rPr>
              <w:t xml:space="preserve"> </w:t>
            </w:r>
            <w:r w:rsidR="000541AA">
              <w:rPr>
                <w:rFonts w:eastAsia="Times New Roman"/>
                <w:iCs/>
                <w:sz w:val="26"/>
                <w:szCs w:val="26"/>
                <w:lang w:val="lv-LV" w:eastAsia="lv-LV"/>
              </w:rPr>
              <w:t>noteikto attiecībā uz valstīm, kuru debitoru parādus var garantēt šo noteikumu ietvaros.</w:t>
            </w:r>
          </w:p>
          <w:p w14:paraId="0891E1DE" w14:textId="432794FE" w:rsidR="009D4B8F" w:rsidRPr="00DD696D" w:rsidRDefault="009D4B8F" w:rsidP="00DD696D">
            <w:pPr>
              <w:jc w:val="both"/>
              <w:rPr>
                <w:rFonts w:eastAsia="Times New Roman"/>
                <w:iCs/>
                <w:sz w:val="26"/>
                <w:szCs w:val="26"/>
                <w:lang w:val="lv-LV" w:eastAsia="lv-LV"/>
              </w:rPr>
            </w:pPr>
            <w:r>
              <w:rPr>
                <w:rFonts w:eastAsia="Times New Roman"/>
                <w:iCs/>
                <w:sz w:val="26"/>
                <w:szCs w:val="26"/>
                <w:lang w:val="lv-LV" w:eastAsia="lv-LV"/>
              </w:rPr>
              <w:t>Noteikum</w:t>
            </w:r>
            <w:r w:rsidR="000136B6">
              <w:rPr>
                <w:rFonts w:eastAsia="Times New Roman"/>
                <w:iCs/>
                <w:sz w:val="26"/>
                <w:szCs w:val="26"/>
                <w:lang w:val="lv-LV" w:eastAsia="lv-LV"/>
              </w:rPr>
              <w:t>u projekts</w:t>
            </w:r>
            <w:bookmarkStart w:id="6" w:name="_GoBack"/>
            <w:bookmarkEnd w:id="6"/>
            <w:r>
              <w:rPr>
                <w:rFonts w:eastAsia="Times New Roman"/>
                <w:iCs/>
                <w:sz w:val="26"/>
                <w:szCs w:val="26"/>
                <w:lang w:val="lv-LV" w:eastAsia="lv-LV"/>
              </w:rPr>
              <w:t xml:space="preserve"> stājas spēkā nākamajā dienā pēc to izsludināšanas oficiālajā izdevumā “</w:t>
            </w:r>
            <w:proofErr w:type="spellStart"/>
            <w:r>
              <w:rPr>
                <w:rFonts w:eastAsia="Times New Roman"/>
                <w:iCs/>
                <w:sz w:val="26"/>
                <w:szCs w:val="26"/>
                <w:lang w:val="lv-LV" w:eastAsia="lv-LV"/>
              </w:rPr>
              <w:t>latvijas</w:t>
            </w:r>
            <w:proofErr w:type="spellEnd"/>
            <w:r>
              <w:rPr>
                <w:rFonts w:eastAsia="Times New Roman"/>
                <w:iCs/>
                <w:sz w:val="26"/>
                <w:szCs w:val="26"/>
                <w:lang w:val="lv-LV" w:eastAsia="lv-LV"/>
              </w:rPr>
              <w:t xml:space="preserve"> vēstnesis”.</w:t>
            </w:r>
          </w:p>
        </w:tc>
      </w:tr>
    </w:tbl>
    <w:p w14:paraId="2DE059E4" w14:textId="6BA0F248" w:rsidR="003E171B" w:rsidRPr="00C136CD" w:rsidRDefault="003E171B" w:rsidP="00EA6CD3">
      <w:pPr>
        <w:tabs>
          <w:tab w:val="right" w:pos="9072"/>
        </w:tabs>
        <w:rPr>
          <w:sz w:val="26"/>
          <w:szCs w:val="26"/>
          <w:lang w:val="lv-LV"/>
        </w:rPr>
      </w:pPr>
    </w:p>
    <w:p w14:paraId="6A8022D4" w14:textId="77777777" w:rsidR="00310924" w:rsidRPr="00C136CD" w:rsidRDefault="00310924" w:rsidP="00EA6CD3">
      <w:pPr>
        <w:tabs>
          <w:tab w:val="right" w:pos="9072"/>
        </w:tabs>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1984"/>
        <w:gridCol w:w="6727"/>
      </w:tblGrid>
      <w:tr w:rsidR="00844176" w:rsidRPr="00C136CD" w14:paraId="02364BB3" w14:textId="77777777" w:rsidTr="00871E2F">
        <w:trPr>
          <w:trHeight w:val="405"/>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C136CD" w:rsidRDefault="00844176" w:rsidP="00871E2F">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I. Tiesību akta projekta izstrādes nepieciešamība</w:t>
            </w:r>
          </w:p>
        </w:tc>
      </w:tr>
      <w:tr w:rsidR="00844176" w:rsidRPr="00C2191C" w14:paraId="7F385C9A" w14:textId="77777777" w:rsidTr="0089560D">
        <w:trPr>
          <w:trHeight w:val="405"/>
        </w:trPr>
        <w:tc>
          <w:tcPr>
            <w:tcW w:w="418"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1.</w:t>
            </w:r>
          </w:p>
        </w:tc>
        <w:tc>
          <w:tcPr>
            <w:tcW w:w="1984"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Pamatojums</w:t>
            </w:r>
          </w:p>
        </w:tc>
        <w:tc>
          <w:tcPr>
            <w:tcW w:w="6727" w:type="dxa"/>
            <w:tcBorders>
              <w:top w:val="outset" w:sz="6" w:space="0" w:color="414142"/>
              <w:left w:val="outset" w:sz="6" w:space="0" w:color="414142"/>
              <w:bottom w:val="outset" w:sz="6" w:space="0" w:color="414142"/>
              <w:right w:val="outset" w:sz="6" w:space="0" w:color="414142"/>
            </w:tcBorders>
            <w:hideMark/>
          </w:tcPr>
          <w:p w14:paraId="18A45073" w14:textId="534B7499" w:rsidR="00B621AF" w:rsidRPr="00C136CD" w:rsidRDefault="00B621AF" w:rsidP="00B621AF">
            <w:pPr>
              <w:ind w:right="344"/>
              <w:jc w:val="both"/>
              <w:rPr>
                <w:sz w:val="26"/>
                <w:szCs w:val="26"/>
                <w:lang w:val="lv-LV"/>
              </w:rPr>
            </w:pPr>
            <w:r w:rsidRPr="00C136CD">
              <w:rPr>
                <w:sz w:val="26"/>
                <w:szCs w:val="26"/>
                <w:lang w:val="lv-LV"/>
              </w:rPr>
              <w:t>Attīstības finanšu institūcijas likuma 12.panta ceturtā daļa</w:t>
            </w:r>
            <w:r w:rsidR="00D71454">
              <w:rPr>
                <w:sz w:val="26"/>
                <w:szCs w:val="26"/>
                <w:lang w:val="lv-LV"/>
              </w:rPr>
              <w:t>.</w:t>
            </w:r>
          </w:p>
          <w:p w14:paraId="4011F205" w14:textId="77777777" w:rsidR="00A34958" w:rsidRDefault="00F12A88" w:rsidP="00493508">
            <w:pPr>
              <w:autoSpaceDE w:val="0"/>
              <w:autoSpaceDN w:val="0"/>
              <w:jc w:val="both"/>
              <w:rPr>
                <w:rFonts w:eastAsia="Times New Roman"/>
                <w:sz w:val="26"/>
                <w:szCs w:val="26"/>
                <w:lang w:val="lv-LV"/>
              </w:rPr>
            </w:pPr>
            <w:r w:rsidRPr="007B4A0C">
              <w:rPr>
                <w:rFonts w:eastAsia="Times New Roman"/>
                <w:sz w:val="26"/>
                <w:szCs w:val="26"/>
                <w:lang w:val="lv-LV"/>
              </w:rPr>
              <w:t xml:space="preserve">Ekonomikas ministrijas iniciatīva, lai nodrošinātu </w:t>
            </w:r>
            <w:r>
              <w:rPr>
                <w:rFonts w:eastAsia="Times New Roman"/>
                <w:sz w:val="26"/>
                <w:szCs w:val="26"/>
                <w:lang w:val="lv-LV"/>
              </w:rPr>
              <w:t xml:space="preserve">atbalstu saimnieciskās darbības veicējiem, kuri eksportē preces un kuru darbību ir ierobežojusi vīrusa Covid-19 izraisīta krīze, atbilstoši </w:t>
            </w:r>
            <w:r w:rsidRPr="007B4A0C">
              <w:rPr>
                <w:rFonts w:eastAsia="Times New Roman"/>
                <w:sz w:val="26"/>
                <w:szCs w:val="26"/>
                <w:lang w:val="lv-LV"/>
              </w:rPr>
              <w:t xml:space="preserve"> </w:t>
            </w:r>
          </w:p>
          <w:p w14:paraId="79DF1BBF" w14:textId="758DE1D7" w:rsidR="00AF13D9" w:rsidRPr="00F12A88" w:rsidRDefault="00A34958" w:rsidP="00493508">
            <w:pPr>
              <w:autoSpaceDE w:val="0"/>
              <w:autoSpaceDN w:val="0"/>
              <w:jc w:val="both"/>
              <w:rPr>
                <w:rFonts w:eastAsia="Times New Roman"/>
                <w:sz w:val="26"/>
                <w:szCs w:val="26"/>
                <w:lang w:val="lv-LV"/>
              </w:rPr>
            </w:pPr>
            <w:r>
              <w:rPr>
                <w:rFonts w:eastAsia="Times New Roman"/>
                <w:sz w:val="26"/>
                <w:szCs w:val="26"/>
                <w:lang w:val="lv-LV"/>
              </w:rPr>
              <w:t>2020.gada 27.marta grozījumiem Komisijas paziņojumā</w:t>
            </w:r>
            <w:r>
              <w:rPr>
                <w:rStyle w:val="FootnoteReference"/>
                <w:bCs/>
                <w:iCs/>
                <w:color w:val="000000"/>
                <w:sz w:val="26"/>
                <w:szCs w:val="26"/>
                <w:lang w:val="lv-LV" w:eastAsia="lv-LV"/>
              </w:rPr>
              <w:footnoteReference w:id="1"/>
            </w:r>
            <w:r>
              <w:rPr>
                <w:rFonts w:eastAsia="Times New Roman"/>
                <w:sz w:val="26"/>
                <w:szCs w:val="26"/>
                <w:lang w:val="lv-LV"/>
              </w:rPr>
              <w:t>.</w:t>
            </w:r>
          </w:p>
        </w:tc>
      </w:tr>
      <w:tr w:rsidR="00844176" w:rsidRPr="009D4B8F" w14:paraId="62EDED08" w14:textId="77777777" w:rsidTr="0089560D">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2.</w:t>
            </w:r>
          </w:p>
        </w:tc>
        <w:tc>
          <w:tcPr>
            <w:tcW w:w="1984" w:type="dxa"/>
            <w:tcBorders>
              <w:top w:val="outset" w:sz="6" w:space="0" w:color="414142"/>
              <w:left w:val="outset" w:sz="6" w:space="0" w:color="414142"/>
              <w:bottom w:val="outset" w:sz="6" w:space="0" w:color="414142"/>
              <w:right w:val="outset" w:sz="6" w:space="0" w:color="414142"/>
            </w:tcBorders>
            <w:hideMark/>
          </w:tcPr>
          <w:p w14:paraId="7671769E" w14:textId="1C92A414" w:rsidR="00ED0911"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Pašreizējā situācija un problēmas, kuru risināšanai tiesību akta projekts izstrādāts, tiesiskā regulējuma mērķis un būtība</w:t>
            </w:r>
          </w:p>
          <w:p w14:paraId="4FC3B67D" w14:textId="77777777" w:rsidR="00ED0911" w:rsidRPr="00C136CD" w:rsidRDefault="00ED0911" w:rsidP="00ED0911">
            <w:pPr>
              <w:rPr>
                <w:rFonts w:eastAsia="Times New Roman"/>
                <w:sz w:val="26"/>
                <w:szCs w:val="26"/>
                <w:lang w:val="lv-LV" w:eastAsia="lv-LV"/>
              </w:rPr>
            </w:pPr>
          </w:p>
          <w:p w14:paraId="117E2458" w14:textId="77777777" w:rsidR="00ED0911" w:rsidRPr="00C136CD" w:rsidRDefault="00ED0911" w:rsidP="00ED0911">
            <w:pPr>
              <w:rPr>
                <w:rFonts w:eastAsia="Times New Roman"/>
                <w:sz w:val="26"/>
                <w:szCs w:val="26"/>
                <w:lang w:val="lv-LV" w:eastAsia="lv-LV"/>
              </w:rPr>
            </w:pPr>
          </w:p>
          <w:p w14:paraId="029C5030" w14:textId="77777777" w:rsidR="00ED0911" w:rsidRPr="00C136CD" w:rsidRDefault="00ED0911" w:rsidP="00ED0911">
            <w:pPr>
              <w:rPr>
                <w:rFonts w:eastAsia="Times New Roman"/>
                <w:sz w:val="26"/>
                <w:szCs w:val="26"/>
                <w:lang w:val="lv-LV" w:eastAsia="lv-LV"/>
              </w:rPr>
            </w:pPr>
          </w:p>
          <w:p w14:paraId="074EFABB" w14:textId="77777777" w:rsidR="00ED0911" w:rsidRPr="00C136CD" w:rsidRDefault="00ED0911" w:rsidP="00ED0911">
            <w:pPr>
              <w:rPr>
                <w:rFonts w:eastAsia="Times New Roman"/>
                <w:sz w:val="26"/>
                <w:szCs w:val="26"/>
                <w:lang w:val="lv-LV" w:eastAsia="lv-LV"/>
              </w:rPr>
            </w:pPr>
          </w:p>
          <w:p w14:paraId="1750BD0B" w14:textId="77777777" w:rsidR="00ED0911" w:rsidRPr="00C136CD" w:rsidRDefault="00ED0911" w:rsidP="00ED0911">
            <w:pPr>
              <w:rPr>
                <w:rFonts w:eastAsia="Times New Roman"/>
                <w:sz w:val="26"/>
                <w:szCs w:val="26"/>
                <w:lang w:val="lv-LV" w:eastAsia="lv-LV"/>
              </w:rPr>
            </w:pPr>
          </w:p>
          <w:p w14:paraId="7CCC3563" w14:textId="77777777" w:rsidR="00ED0911" w:rsidRPr="00C136CD" w:rsidRDefault="00ED0911" w:rsidP="00ED0911">
            <w:pPr>
              <w:rPr>
                <w:rFonts w:eastAsia="Times New Roman"/>
                <w:sz w:val="26"/>
                <w:szCs w:val="26"/>
                <w:lang w:val="lv-LV" w:eastAsia="lv-LV"/>
              </w:rPr>
            </w:pPr>
          </w:p>
          <w:p w14:paraId="5D2903DF" w14:textId="77777777" w:rsidR="00ED0911" w:rsidRPr="00C136CD" w:rsidRDefault="00ED0911" w:rsidP="00ED0911">
            <w:pPr>
              <w:rPr>
                <w:rFonts w:eastAsia="Times New Roman"/>
                <w:sz w:val="26"/>
                <w:szCs w:val="26"/>
                <w:lang w:val="lv-LV" w:eastAsia="lv-LV"/>
              </w:rPr>
            </w:pPr>
          </w:p>
          <w:p w14:paraId="0458D688" w14:textId="77777777" w:rsidR="00ED0911" w:rsidRPr="00C136CD" w:rsidRDefault="00ED0911" w:rsidP="00ED0911">
            <w:pPr>
              <w:rPr>
                <w:rFonts w:eastAsia="Times New Roman"/>
                <w:sz w:val="26"/>
                <w:szCs w:val="26"/>
                <w:lang w:val="lv-LV" w:eastAsia="lv-LV"/>
              </w:rPr>
            </w:pPr>
          </w:p>
          <w:p w14:paraId="0A6D0851" w14:textId="77777777" w:rsidR="00ED0911" w:rsidRPr="00C136CD" w:rsidRDefault="00ED0911" w:rsidP="00ED0911">
            <w:pPr>
              <w:rPr>
                <w:rFonts w:eastAsia="Times New Roman"/>
                <w:sz w:val="26"/>
                <w:szCs w:val="26"/>
                <w:lang w:val="lv-LV" w:eastAsia="lv-LV"/>
              </w:rPr>
            </w:pPr>
          </w:p>
          <w:p w14:paraId="4C483563" w14:textId="77777777" w:rsidR="00ED0911" w:rsidRPr="00C136CD" w:rsidRDefault="00ED0911" w:rsidP="00ED0911">
            <w:pPr>
              <w:rPr>
                <w:rFonts w:eastAsia="Times New Roman"/>
                <w:sz w:val="26"/>
                <w:szCs w:val="26"/>
                <w:lang w:val="lv-LV" w:eastAsia="lv-LV"/>
              </w:rPr>
            </w:pPr>
          </w:p>
          <w:p w14:paraId="5068709A" w14:textId="77777777" w:rsidR="00ED0911" w:rsidRPr="00C136CD" w:rsidRDefault="00ED0911" w:rsidP="00ED0911">
            <w:pPr>
              <w:rPr>
                <w:rFonts w:eastAsia="Times New Roman"/>
                <w:sz w:val="26"/>
                <w:szCs w:val="26"/>
                <w:lang w:val="lv-LV" w:eastAsia="lv-LV"/>
              </w:rPr>
            </w:pPr>
          </w:p>
          <w:p w14:paraId="17CB6891" w14:textId="77777777" w:rsidR="00ED0911" w:rsidRPr="00C136CD" w:rsidRDefault="00ED0911" w:rsidP="00ED0911">
            <w:pPr>
              <w:rPr>
                <w:rFonts w:eastAsia="Times New Roman"/>
                <w:sz w:val="26"/>
                <w:szCs w:val="26"/>
                <w:lang w:val="lv-LV" w:eastAsia="lv-LV"/>
              </w:rPr>
            </w:pPr>
          </w:p>
          <w:p w14:paraId="075C5136" w14:textId="77777777" w:rsidR="00ED0911" w:rsidRPr="00C136CD" w:rsidRDefault="00ED0911" w:rsidP="00ED0911">
            <w:pPr>
              <w:rPr>
                <w:rFonts w:eastAsia="Times New Roman"/>
                <w:sz w:val="26"/>
                <w:szCs w:val="26"/>
                <w:lang w:val="lv-LV" w:eastAsia="lv-LV"/>
              </w:rPr>
            </w:pPr>
          </w:p>
          <w:p w14:paraId="672275B7" w14:textId="77777777" w:rsidR="00ED0911" w:rsidRPr="00C136CD" w:rsidRDefault="00ED0911" w:rsidP="00ED0911">
            <w:pPr>
              <w:rPr>
                <w:rFonts w:eastAsia="Times New Roman"/>
                <w:sz w:val="26"/>
                <w:szCs w:val="26"/>
                <w:lang w:val="lv-LV" w:eastAsia="lv-LV"/>
              </w:rPr>
            </w:pPr>
          </w:p>
          <w:p w14:paraId="2B33C7F1" w14:textId="77777777" w:rsidR="00ED0911" w:rsidRPr="00C136CD" w:rsidRDefault="00ED0911" w:rsidP="00ED0911">
            <w:pPr>
              <w:rPr>
                <w:rFonts w:eastAsia="Times New Roman"/>
                <w:sz w:val="26"/>
                <w:szCs w:val="26"/>
                <w:lang w:val="lv-LV" w:eastAsia="lv-LV"/>
              </w:rPr>
            </w:pPr>
          </w:p>
          <w:p w14:paraId="5D0B200E" w14:textId="77777777" w:rsidR="00ED0911" w:rsidRPr="00C136CD" w:rsidRDefault="00ED0911" w:rsidP="00ED0911">
            <w:pPr>
              <w:rPr>
                <w:rFonts w:eastAsia="Times New Roman"/>
                <w:sz w:val="26"/>
                <w:szCs w:val="26"/>
                <w:lang w:val="lv-LV" w:eastAsia="lv-LV"/>
              </w:rPr>
            </w:pPr>
          </w:p>
          <w:p w14:paraId="4BB861D7" w14:textId="77777777" w:rsidR="00ED0911" w:rsidRPr="00C136CD" w:rsidRDefault="00ED0911" w:rsidP="00ED0911">
            <w:pPr>
              <w:rPr>
                <w:rFonts w:eastAsia="Times New Roman"/>
                <w:sz w:val="26"/>
                <w:szCs w:val="26"/>
                <w:lang w:val="lv-LV" w:eastAsia="lv-LV"/>
              </w:rPr>
            </w:pPr>
          </w:p>
          <w:p w14:paraId="1BC83EFD" w14:textId="77777777" w:rsidR="00ED0911" w:rsidRPr="00C136CD" w:rsidRDefault="00ED0911" w:rsidP="00ED0911">
            <w:pPr>
              <w:rPr>
                <w:rFonts w:eastAsia="Times New Roman"/>
                <w:sz w:val="26"/>
                <w:szCs w:val="26"/>
                <w:lang w:val="lv-LV" w:eastAsia="lv-LV"/>
              </w:rPr>
            </w:pPr>
          </w:p>
          <w:p w14:paraId="6860D7E9" w14:textId="77777777" w:rsidR="00ED0911" w:rsidRPr="00C136CD" w:rsidRDefault="00ED0911" w:rsidP="00ED0911">
            <w:pPr>
              <w:rPr>
                <w:rFonts w:eastAsia="Times New Roman"/>
                <w:sz w:val="26"/>
                <w:szCs w:val="26"/>
                <w:lang w:val="lv-LV" w:eastAsia="lv-LV"/>
              </w:rPr>
            </w:pPr>
          </w:p>
          <w:p w14:paraId="70AB4ED1" w14:textId="77777777" w:rsidR="00ED0911" w:rsidRPr="00C136CD" w:rsidRDefault="00ED0911" w:rsidP="00ED0911">
            <w:pPr>
              <w:rPr>
                <w:rFonts w:eastAsia="Times New Roman"/>
                <w:sz w:val="26"/>
                <w:szCs w:val="26"/>
                <w:lang w:val="lv-LV" w:eastAsia="lv-LV"/>
              </w:rPr>
            </w:pPr>
          </w:p>
          <w:p w14:paraId="40AD4671" w14:textId="6647EF11" w:rsidR="00844176" w:rsidRPr="00C136CD" w:rsidRDefault="00844176" w:rsidP="00ED0911">
            <w:pPr>
              <w:rPr>
                <w:rFonts w:eastAsia="Times New Roman"/>
                <w:sz w:val="26"/>
                <w:szCs w:val="26"/>
                <w:lang w:val="lv-LV" w:eastAsia="lv-LV"/>
              </w:rPr>
            </w:pPr>
          </w:p>
        </w:tc>
        <w:tc>
          <w:tcPr>
            <w:tcW w:w="6727" w:type="dxa"/>
            <w:tcBorders>
              <w:top w:val="outset" w:sz="6" w:space="0" w:color="414142"/>
              <w:left w:val="outset" w:sz="6" w:space="0" w:color="414142"/>
              <w:bottom w:val="outset" w:sz="6" w:space="0" w:color="414142"/>
              <w:right w:val="outset" w:sz="6" w:space="0" w:color="414142"/>
            </w:tcBorders>
          </w:tcPr>
          <w:p w14:paraId="51FD25C2" w14:textId="51451479" w:rsidR="00D33B93" w:rsidRPr="00D33B93" w:rsidRDefault="00D33B93" w:rsidP="00D33B93">
            <w:pPr>
              <w:autoSpaceDE w:val="0"/>
              <w:autoSpaceDN w:val="0"/>
              <w:jc w:val="both"/>
              <w:rPr>
                <w:rFonts w:eastAsia="Times New Roman"/>
                <w:sz w:val="26"/>
                <w:szCs w:val="26"/>
                <w:lang w:val="lv-LV"/>
              </w:rPr>
            </w:pPr>
            <w:r w:rsidRPr="00D33B93">
              <w:rPr>
                <w:rFonts w:eastAsia="Times New Roman"/>
                <w:sz w:val="26"/>
                <w:szCs w:val="26"/>
                <w:lang w:val="lv-LV"/>
              </w:rPr>
              <w:lastRenderedPageBreak/>
              <w:t>Ņemot vērā Covid-19 izplatību pasaulē un izsludināto ārkārtas situāciju valstī no 2020.gada 12.marta līdz 2020.gada 14.aprīlim</w:t>
            </w:r>
          </w:p>
          <w:p w14:paraId="3371BCD8" w14:textId="69B30E34" w:rsidR="00AF13D9" w:rsidRDefault="00AF13D9" w:rsidP="00AF13D9">
            <w:pPr>
              <w:spacing w:after="120"/>
              <w:jc w:val="both"/>
              <w:rPr>
                <w:rFonts w:eastAsia="Times New Roman"/>
                <w:sz w:val="26"/>
                <w:szCs w:val="26"/>
                <w:lang w:val="lv-LV"/>
              </w:rPr>
            </w:pPr>
            <w:r w:rsidRPr="000541AA">
              <w:rPr>
                <w:sz w:val="26"/>
                <w:szCs w:val="26"/>
                <w:lang w:val="lv-LV"/>
              </w:rPr>
              <w:t>ar</w:t>
            </w:r>
            <w:r w:rsidRPr="00AF13D9">
              <w:rPr>
                <w:lang w:val="lv-LV"/>
              </w:rPr>
              <w:t xml:space="preserve"> </w:t>
            </w:r>
            <w:r w:rsidRPr="00D33B93">
              <w:rPr>
                <w:rFonts w:eastAsia="Times New Roman"/>
                <w:sz w:val="26"/>
                <w:szCs w:val="26"/>
                <w:lang w:val="lv-LV"/>
              </w:rPr>
              <w:t>mērķi ierobežot Covid-19 izplatību ārkārtējās situācijas spēkā esamības laikā (Ministru kabineta 2020. gada 12. marta rīkojums Nr. 103 "Par ārkārtējās situācijas izsludināšanu".)</w:t>
            </w:r>
            <w:r w:rsidR="00D33B93">
              <w:rPr>
                <w:rFonts w:eastAsia="Times New Roman"/>
                <w:sz w:val="26"/>
                <w:szCs w:val="26"/>
                <w:lang w:val="lv-LV"/>
              </w:rPr>
              <w:t>, valstī ir vērojama negatīva ietekme uz ekonomikas attīstību, kuras ilgums un apmēri vēl ir grūti prognozējami.</w:t>
            </w:r>
          </w:p>
          <w:p w14:paraId="5C0A4C34" w14:textId="77777777" w:rsidR="00785C6D" w:rsidRDefault="00D33B93" w:rsidP="00785C6D">
            <w:pPr>
              <w:spacing w:after="120"/>
              <w:jc w:val="both"/>
              <w:rPr>
                <w:rFonts w:eastAsia="Times New Roman"/>
                <w:sz w:val="26"/>
                <w:szCs w:val="26"/>
                <w:lang w:val="lv-LV"/>
              </w:rPr>
            </w:pPr>
            <w:r w:rsidRPr="00D33B93">
              <w:rPr>
                <w:rFonts w:eastAsia="Times New Roman"/>
                <w:sz w:val="26"/>
                <w:szCs w:val="26"/>
                <w:lang w:val="lv-LV"/>
              </w:rPr>
              <w:t xml:space="preserve">Atbilstoši Latvijas Tirdzniecības un rūpniecības kameras veiktajai biedru aptaujai pirms ārkārtas situācijas izsludināšanas, kuru aizpildīja visu reģionu, nozaru un lielumu uzņēmumi, ticis noskaidrots, ka jau </w:t>
            </w:r>
            <w:r>
              <w:rPr>
                <w:rFonts w:eastAsia="Times New Roman"/>
                <w:sz w:val="26"/>
                <w:szCs w:val="26"/>
                <w:lang w:val="lv-LV"/>
              </w:rPr>
              <w:t xml:space="preserve">uz to brīdi </w:t>
            </w:r>
            <w:r w:rsidRPr="00D33B93">
              <w:rPr>
                <w:rFonts w:eastAsia="Times New Roman"/>
                <w:sz w:val="26"/>
                <w:szCs w:val="26"/>
                <w:lang w:val="lv-LV"/>
              </w:rPr>
              <w:t>43% norādījuši, ka sagaidāma negatīva ietekme uz eksportu</w:t>
            </w:r>
            <w:r>
              <w:rPr>
                <w:rFonts w:eastAsia="Times New Roman"/>
                <w:sz w:val="26"/>
                <w:szCs w:val="26"/>
                <w:lang w:val="lv-LV"/>
              </w:rPr>
              <w:t>.</w:t>
            </w:r>
          </w:p>
          <w:p w14:paraId="34DE3CD1" w14:textId="61343FAA" w:rsidR="008C053B" w:rsidRDefault="00785C6D" w:rsidP="008340FF">
            <w:pPr>
              <w:spacing w:after="120"/>
              <w:jc w:val="both"/>
              <w:rPr>
                <w:bCs/>
                <w:iCs/>
                <w:color w:val="000000"/>
                <w:sz w:val="26"/>
                <w:szCs w:val="26"/>
                <w:lang w:val="lv-LV" w:eastAsia="lv-LV"/>
              </w:rPr>
            </w:pPr>
            <w:r>
              <w:rPr>
                <w:bCs/>
                <w:iCs/>
                <w:color w:val="000000"/>
                <w:sz w:val="26"/>
                <w:szCs w:val="26"/>
                <w:lang w:val="lv-LV" w:eastAsia="lv-LV"/>
              </w:rPr>
              <w:t>Šobrīd Noteikumos ir noteiktas valstis, par kuru debitoriem var sniegt eksport</w:t>
            </w:r>
            <w:r w:rsidR="00D073AA">
              <w:rPr>
                <w:bCs/>
                <w:iCs/>
                <w:color w:val="000000"/>
                <w:sz w:val="26"/>
                <w:szCs w:val="26"/>
                <w:lang w:val="lv-LV" w:eastAsia="lv-LV"/>
              </w:rPr>
              <w:t>a</w:t>
            </w:r>
            <w:r>
              <w:rPr>
                <w:bCs/>
                <w:iCs/>
                <w:color w:val="000000"/>
                <w:sz w:val="26"/>
                <w:szCs w:val="26"/>
                <w:lang w:val="lv-LV" w:eastAsia="lv-LV"/>
              </w:rPr>
              <w:t xml:space="preserve"> kredītu garantijas, saskaņā ar Komisijas </w:t>
            </w:r>
            <w:r>
              <w:rPr>
                <w:bCs/>
                <w:iCs/>
                <w:color w:val="000000"/>
                <w:sz w:val="26"/>
                <w:szCs w:val="26"/>
                <w:lang w:val="lv-LV" w:eastAsia="lv-LV"/>
              </w:rPr>
              <w:lastRenderedPageBreak/>
              <w:t>paziņojumu</w:t>
            </w:r>
            <w:r w:rsidR="00F20489">
              <w:rPr>
                <w:bCs/>
                <w:iCs/>
                <w:color w:val="000000"/>
                <w:sz w:val="26"/>
                <w:szCs w:val="26"/>
                <w:lang w:val="lv-LV" w:eastAsia="lv-LV"/>
              </w:rPr>
              <w:t xml:space="preserve"> un </w:t>
            </w:r>
            <w:r w:rsidR="006F24AB">
              <w:rPr>
                <w:bCs/>
                <w:iCs/>
                <w:color w:val="000000"/>
                <w:sz w:val="26"/>
                <w:szCs w:val="26"/>
                <w:lang w:val="lv-LV" w:eastAsia="lv-LV"/>
              </w:rPr>
              <w:t>saskaņā ar V</w:t>
            </w:r>
            <w:r w:rsidR="006F24AB" w:rsidRPr="006F24AB">
              <w:rPr>
                <w:bCs/>
                <w:iCs/>
                <w:color w:val="000000"/>
                <w:sz w:val="26"/>
                <w:szCs w:val="26"/>
                <w:lang w:val="lv-LV" w:eastAsia="lv-LV"/>
              </w:rPr>
              <w:t>alsts atbalst</w:t>
            </w:r>
            <w:r w:rsidR="006F24AB">
              <w:rPr>
                <w:bCs/>
                <w:iCs/>
                <w:color w:val="000000"/>
                <w:sz w:val="26"/>
                <w:szCs w:val="26"/>
                <w:lang w:val="lv-LV" w:eastAsia="lv-LV"/>
              </w:rPr>
              <w:t>a shēmu</w:t>
            </w:r>
            <w:r w:rsidR="006F24AB" w:rsidRPr="006F24AB">
              <w:rPr>
                <w:bCs/>
                <w:iCs/>
                <w:color w:val="000000"/>
                <w:sz w:val="26"/>
                <w:szCs w:val="26"/>
                <w:lang w:val="lv-LV" w:eastAsia="lv-LV"/>
              </w:rPr>
              <w:t xml:space="preserve"> SA.47233 (2017/N) – </w:t>
            </w:r>
            <w:r w:rsidR="006F24AB" w:rsidRPr="006F24AB">
              <w:rPr>
                <w:bCs/>
                <w:i/>
                <w:color w:val="000000"/>
                <w:sz w:val="26"/>
                <w:szCs w:val="26"/>
                <w:lang w:val="lv-LV" w:eastAsia="lv-LV"/>
              </w:rPr>
              <w:t>Latvija Īstermiņa eksporta kredīta shēma</w:t>
            </w:r>
            <w:r w:rsidR="006F24AB">
              <w:rPr>
                <w:bCs/>
                <w:i/>
                <w:color w:val="000000"/>
                <w:sz w:val="26"/>
                <w:szCs w:val="26"/>
                <w:lang w:val="lv-LV" w:eastAsia="lv-LV"/>
              </w:rPr>
              <w:t>.</w:t>
            </w:r>
          </w:p>
          <w:p w14:paraId="11E0C49F" w14:textId="0B87A9B9" w:rsidR="003E3959" w:rsidRDefault="008340FF" w:rsidP="002C3A9B">
            <w:pPr>
              <w:jc w:val="both"/>
              <w:rPr>
                <w:bCs/>
                <w:iCs/>
                <w:color w:val="000000"/>
                <w:sz w:val="26"/>
                <w:szCs w:val="26"/>
                <w:lang w:val="lv-LV" w:eastAsia="lv-LV"/>
              </w:rPr>
            </w:pPr>
            <w:r w:rsidRPr="009759F9">
              <w:rPr>
                <w:sz w:val="26"/>
                <w:szCs w:val="26"/>
                <w:lang w:val="lv-LV"/>
              </w:rPr>
              <w:t>Atbildot uz Covid-19 vīrusa izraisītās krīzes ietekmi uz eksporta kredītu apdrošināšanas tirgu un pēc konsultācijām ar dalībvalstīm (</w:t>
            </w:r>
            <w:r w:rsidRPr="009759F9">
              <w:rPr>
                <w:bCs/>
                <w:iCs/>
                <w:color w:val="000000"/>
                <w:sz w:val="26"/>
                <w:szCs w:val="26"/>
                <w:lang w:val="lv-LV"/>
              </w:rPr>
              <w:t>atbilstoši Komisijas paziņojuma 35.punktam)</w:t>
            </w:r>
            <w:r w:rsidRPr="009759F9">
              <w:rPr>
                <w:sz w:val="26"/>
                <w:szCs w:val="26"/>
                <w:lang w:val="lv-LV"/>
              </w:rPr>
              <w:t xml:space="preserve"> </w:t>
            </w:r>
            <w:r w:rsidR="00A34958" w:rsidRPr="009759F9">
              <w:rPr>
                <w:sz w:val="26"/>
                <w:szCs w:val="26"/>
                <w:lang w:val="lv-LV"/>
              </w:rPr>
              <w:t xml:space="preserve">2020.gada 27.martā </w:t>
            </w:r>
            <w:r w:rsidRPr="009759F9">
              <w:rPr>
                <w:sz w:val="26"/>
                <w:szCs w:val="26"/>
                <w:lang w:val="lv-LV"/>
              </w:rPr>
              <w:t>Eiropas Komisijas ir pieņēmusi lēmumu</w:t>
            </w:r>
            <w:r w:rsidR="005C71A2" w:rsidRPr="004F1F0D">
              <w:rPr>
                <w:vertAlign w:val="superscript"/>
              </w:rPr>
              <w:footnoteReference w:id="2"/>
            </w:r>
            <w:r w:rsidR="005C71A2" w:rsidRPr="009759F9">
              <w:rPr>
                <w:sz w:val="26"/>
                <w:szCs w:val="26"/>
                <w:lang w:val="lv-LV"/>
              </w:rPr>
              <w:t xml:space="preserve"> līdz 2020.gada 31.decembrim visus komerciālos un politiskos riskus saistībā ar Komisijas paziņojuma pielikumā noteiktajām valstīm uzskatīt par pagaidu nenododamiem riskiem, līdz ar to dalībvalstis ir tiesīgas sniegt atbalstu īstermiņa eksporta kredītu veidā, neatkarīgi no debitora valsts</w:t>
            </w:r>
            <w:bookmarkStart w:id="7" w:name="_Hlk37247587"/>
            <w:r w:rsidR="00A34958" w:rsidRPr="009759F9">
              <w:rPr>
                <w:sz w:val="26"/>
                <w:szCs w:val="26"/>
                <w:lang w:val="lv-LV"/>
              </w:rPr>
              <w:t>.</w:t>
            </w:r>
            <w:r w:rsidR="006909B7">
              <w:rPr>
                <w:sz w:val="26"/>
                <w:szCs w:val="26"/>
                <w:lang w:val="lv-LV"/>
              </w:rPr>
              <w:t xml:space="preserve"> </w:t>
            </w:r>
            <w:r w:rsidR="00D71454">
              <w:rPr>
                <w:bCs/>
                <w:iCs/>
                <w:color w:val="000000"/>
                <w:sz w:val="26"/>
                <w:szCs w:val="26"/>
                <w:lang w:val="lv-LV" w:eastAsia="lv-LV"/>
              </w:rPr>
              <w:t xml:space="preserve">Lai pēc iespējas mazinātu Covid-19 krīzes ietekmi uz Latvijas eksportētājiem, </w:t>
            </w:r>
            <w:r w:rsidR="002C3A9B" w:rsidRPr="007B4A0C">
              <w:rPr>
                <w:bCs/>
                <w:iCs/>
                <w:color w:val="000000"/>
                <w:sz w:val="26"/>
                <w:szCs w:val="26"/>
                <w:lang w:val="lv-LV" w:eastAsia="lv-LV"/>
              </w:rPr>
              <w:t xml:space="preserve">Ekonomikas ministrija ir izstrādājusi </w:t>
            </w:r>
            <w:r>
              <w:rPr>
                <w:bCs/>
                <w:iCs/>
                <w:color w:val="000000"/>
                <w:sz w:val="26"/>
                <w:szCs w:val="26"/>
                <w:lang w:val="lv-LV" w:eastAsia="lv-LV"/>
              </w:rPr>
              <w:t xml:space="preserve"> N</w:t>
            </w:r>
            <w:r w:rsidR="002C3A9B" w:rsidRPr="007B4A0C">
              <w:rPr>
                <w:bCs/>
                <w:iCs/>
                <w:color w:val="000000"/>
                <w:sz w:val="26"/>
                <w:szCs w:val="26"/>
                <w:lang w:val="lv-LV" w:eastAsia="lv-LV"/>
              </w:rPr>
              <w:t>oteikumu projektu</w:t>
            </w:r>
            <w:r w:rsidR="008D1364">
              <w:rPr>
                <w:bCs/>
                <w:iCs/>
                <w:color w:val="000000"/>
                <w:sz w:val="26"/>
                <w:szCs w:val="26"/>
                <w:lang w:val="lv-LV" w:eastAsia="lv-LV"/>
              </w:rPr>
              <w:t>,</w:t>
            </w:r>
            <w:r w:rsidR="004F1F0D">
              <w:rPr>
                <w:bCs/>
                <w:iCs/>
                <w:color w:val="000000"/>
                <w:sz w:val="26"/>
                <w:szCs w:val="26"/>
                <w:lang w:val="lv-LV" w:eastAsia="lv-LV"/>
              </w:rPr>
              <w:t xml:space="preserve"> iekļaujot Komisijas paziņojumā </w:t>
            </w:r>
            <w:r w:rsidR="008D1364">
              <w:rPr>
                <w:bCs/>
                <w:iCs/>
                <w:color w:val="000000"/>
                <w:sz w:val="26"/>
                <w:szCs w:val="26"/>
                <w:lang w:val="lv-LV" w:eastAsia="lv-LV"/>
              </w:rPr>
              <w:t xml:space="preserve">veiktos grozījumus </w:t>
            </w:r>
            <w:r w:rsidR="004F1F0D">
              <w:rPr>
                <w:bCs/>
                <w:iCs/>
                <w:color w:val="000000"/>
                <w:sz w:val="26"/>
                <w:szCs w:val="26"/>
                <w:lang w:val="lv-LV" w:eastAsia="lv-LV"/>
              </w:rPr>
              <w:t xml:space="preserve">un </w:t>
            </w:r>
            <w:r w:rsidR="006F24AB">
              <w:rPr>
                <w:bCs/>
                <w:iCs/>
                <w:color w:val="000000"/>
                <w:sz w:val="26"/>
                <w:szCs w:val="26"/>
                <w:lang w:val="lv-LV" w:eastAsia="lv-LV"/>
              </w:rPr>
              <w:t>nosakot, ka garantijas var sniegt par debitoru parādiem neatkarīgi no debitoru valsts.</w:t>
            </w:r>
          </w:p>
          <w:bookmarkEnd w:id="7"/>
          <w:p w14:paraId="0DB36C2A" w14:textId="772C1EF3" w:rsidR="0049647B" w:rsidRPr="00652DA0" w:rsidRDefault="0049647B" w:rsidP="0049647B">
            <w:pPr>
              <w:pStyle w:val="Default"/>
              <w:spacing w:before="120" w:after="120"/>
              <w:jc w:val="both"/>
              <w:rPr>
                <w:rFonts w:ascii="Times New Roman" w:hAnsi="Times New Roman" w:cs="Times New Roman"/>
                <w:color w:val="auto"/>
                <w:sz w:val="26"/>
                <w:szCs w:val="26"/>
              </w:rPr>
            </w:pPr>
            <w:r>
              <w:rPr>
                <w:rFonts w:ascii="Times New Roman" w:hAnsi="Times New Roman" w:cs="Times New Roman"/>
                <w:color w:val="auto"/>
                <w:sz w:val="26"/>
                <w:szCs w:val="26"/>
              </w:rPr>
              <w:t>Ņemot vērā, ka lielai daļai Covid-19 krīzes skarto uzņēmumu likviditātes problēmu dēļ var būt izveidojušies nodokļu parādi uz garantijas piešķiršanas brīdi, noteikumu projektā tiek ietverts nosacījums, ka laika periodā līdz 2020.gada beigām minētais</w:t>
            </w:r>
            <w:r w:rsidR="00E077DA">
              <w:rPr>
                <w:rFonts w:ascii="Times New Roman" w:hAnsi="Times New Roman" w:cs="Times New Roman"/>
                <w:color w:val="auto"/>
                <w:sz w:val="26"/>
                <w:szCs w:val="26"/>
              </w:rPr>
              <w:t xml:space="preserve"> 16.2.punktā noteiktais kritērijs</w:t>
            </w:r>
            <w:r>
              <w:rPr>
                <w:rFonts w:ascii="Times New Roman" w:hAnsi="Times New Roman" w:cs="Times New Roman"/>
                <w:color w:val="auto"/>
                <w:sz w:val="26"/>
                <w:szCs w:val="26"/>
              </w:rPr>
              <w:t xml:space="preserve"> nav ierobežojošais faktors,  lai izvērtētu garantijas piešķiršanu uzņēmumam</w:t>
            </w:r>
            <w:r w:rsidR="006C2EC1">
              <w:rPr>
                <w:rFonts w:ascii="Times New Roman" w:hAnsi="Times New Roman" w:cs="Times New Roman"/>
                <w:color w:val="auto"/>
                <w:sz w:val="26"/>
                <w:szCs w:val="26"/>
              </w:rPr>
              <w:t>. T</w:t>
            </w:r>
            <w:r w:rsidR="006C2EC1" w:rsidRPr="006C2EC1">
              <w:rPr>
                <w:rFonts w:ascii="Times New Roman" w:hAnsi="Times New Roman" w:cs="Times New Roman"/>
                <w:color w:val="auto"/>
                <w:sz w:val="26"/>
                <w:szCs w:val="26"/>
              </w:rPr>
              <w:t xml:space="preserve">omēr lai atbalsts netiktu sniegts saimnieciskās darbības veicējiem, kuriem ir iekrājušies lieli nodokļu parādi, kas nebija saistīti ar Covid-19 radīto krīzi, </w:t>
            </w:r>
            <w:bookmarkStart w:id="8" w:name="_Hlk37247763"/>
            <w:r w:rsidR="006C2EC1" w:rsidRPr="006C2EC1">
              <w:rPr>
                <w:rFonts w:ascii="Times New Roman" w:hAnsi="Times New Roman" w:cs="Times New Roman"/>
                <w:color w:val="auto"/>
                <w:sz w:val="26"/>
                <w:szCs w:val="26"/>
              </w:rPr>
              <w:t>garant</w:t>
            </w:r>
            <w:r w:rsidR="00E077DA">
              <w:rPr>
                <w:rFonts w:ascii="Times New Roman" w:hAnsi="Times New Roman" w:cs="Times New Roman"/>
                <w:color w:val="auto"/>
                <w:sz w:val="26"/>
                <w:szCs w:val="26"/>
              </w:rPr>
              <w:t xml:space="preserve">ijas piešķiršana </w:t>
            </w:r>
            <w:r w:rsidR="006C2EC1">
              <w:rPr>
                <w:rFonts w:ascii="Times New Roman" w:hAnsi="Times New Roman" w:cs="Times New Roman"/>
                <w:color w:val="auto"/>
                <w:sz w:val="26"/>
                <w:szCs w:val="26"/>
              </w:rPr>
              <w:t xml:space="preserve">līdz 2020.gada beigām </w:t>
            </w:r>
            <w:r w:rsidR="00E077DA">
              <w:rPr>
                <w:rFonts w:ascii="Times New Roman" w:hAnsi="Times New Roman" w:cs="Times New Roman"/>
                <w:color w:val="auto"/>
                <w:sz w:val="26"/>
                <w:szCs w:val="26"/>
              </w:rPr>
              <w:t>tiek vērtēta pēc atvieglotākiem nosacījumiem.</w:t>
            </w:r>
          </w:p>
          <w:p w14:paraId="750860B7" w14:textId="77777777" w:rsidR="006116E2" w:rsidRDefault="0049647B" w:rsidP="0049647B">
            <w:pPr>
              <w:pStyle w:val="Default"/>
              <w:spacing w:before="120" w:after="120"/>
              <w:jc w:val="both"/>
              <w:rPr>
                <w:rFonts w:ascii="Times New Roman" w:hAnsi="Times New Roman" w:cs="Times New Roman"/>
                <w:color w:val="auto"/>
                <w:sz w:val="26"/>
                <w:szCs w:val="26"/>
              </w:rPr>
            </w:pPr>
            <w:bookmarkStart w:id="9" w:name="_Hlk37248356"/>
            <w:bookmarkEnd w:id="8"/>
            <w:r w:rsidRPr="00652DA0">
              <w:rPr>
                <w:rFonts w:ascii="Times New Roman" w:hAnsi="Times New Roman" w:cs="Times New Roman"/>
                <w:color w:val="auto"/>
                <w:sz w:val="26"/>
                <w:szCs w:val="26"/>
              </w:rPr>
              <w:t xml:space="preserve">Tāpat MK noteikumu projekts paredz nosacījumu, ka eksporta kredīta garantija nevar tikt piešķirta, ja </w:t>
            </w:r>
            <w:r>
              <w:rPr>
                <w:rFonts w:ascii="Times New Roman" w:hAnsi="Times New Roman" w:cs="Times New Roman"/>
                <w:color w:val="auto"/>
                <w:sz w:val="26"/>
                <w:szCs w:val="26"/>
              </w:rPr>
              <w:t>uzņēmums</w:t>
            </w:r>
            <w:r w:rsidRPr="00652DA0">
              <w:rPr>
                <w:rFonts w:ascii="Times New Roman" w:hAnsi="Times New Roman" w:cs="Times New Roman"/>
                <w:color w:val="auto"/>
                <w:sz w:val="26"/>
                <w:szCs w:val="26"/>
              </w:rPr>
              <w:t xml:space="preserve"> par eksportētajām precēm vai pakalpojumiem </w:t>
            </w:r>
            <w:r>
              <w:rPr>
                <w:rFonts w:ascii="Times New Roman" w:hAnsi="Times New Roman" w:cs="Times New Roman"/>
                <w:color w:val="auto"/>
                <w:sz w:val="26"/>
                <w:szCs w:val="26"/>
              </w:rPr>
              <w:t xml:space="preserve">no konkrētā debitora </w:t>
            </w:r>
            <w:r w:rsidRPr="00652DA0">
              <w:rPr>
                <w:rFonts w:ascii="Times New Roman" w:hAnsi="Times New Roman" w:cs="Times New Roman"/>
                <w:color w:val="auto"/>
                <w:sz w:val="26"/>
                <w:szCs w:val="26"/>
              </w:rPr>
              <w:t xml:space="preserve">nav saņēmis samaksu noteiktajā termiņā </w:t>
            </w:r>
            <w:r>
              <w:rPr>
                <w:rFonts w:ascii="Times New Roman" w:hAnsi="Times New Roman" w:cs="Times New Roman"/>
                <w:color w:val="auto"/>
                <w:sz w:val="26"/>
                <w:szCs w:val="26"/>
              </w:rPr>
              <w:t xml:space="preserve">vai šis debitors ir kavējis maksājumus vairāk nekā 30 dienas pēdējo trīs mēnešu laikā </w:t>
            </w:r>
            <w:r w:rsidRPr="00652DA0">
              <w:rPr>
                <w:rFonts w:ascii="Times New Roman" w:hAnsi="Times New Roman" w:cs="Times New Roman"/>
                <w:color w:val="auto"/>
                <w:sz w:val="26"/>
                <w:szCs w:val="26"/>
              </w:rPr>
              <w:t xml:space="preserve">atbilstoši noslēgtajam eksporta līgumam, tādejādi atbalstot tikai tos </w:t>
            </w:r>
            <w:r>
              <w:rPr>
                <w:rFonts w:ascii="Times New Roman" w:hAnsi="Times New Roman" w:cs="Times New Roman"/>
                <w:color w:val="auto"/>
                <w:sz w:val="26"/>
                <w:szCs w:val="26"/>
              </w:rPr>
              <w:t>uzņēmumus</w:t>
            </w:r>
            <w:r w:rsidRPr="00652DA0">
              <w:rPr>
                <w:rFonts w:ascii="Times New Roman" w:hAnsi="Times New Roman" w:cs="Times New Roman"/>
                <w:color w:val="auto"/>
                <w:sz w:val="26"/>
                <w:szCs w:val="26"/>
              </w:rPr>
              <w:t>, kuru darbību un norēķinus ar debitoru ir ietekmējusi vīrusa COVID-19 izplatība pasaulē.</w:t>
            </w:r>
          </w:p>
          <w:bookmarkEnd w:id="9"/>
          <w:p w14:paraId="2C3F1F1A" w14:textId="695B2349" w:rsidR="003702AA" w:rsidRPr="0048125C" w:rsidRDefault="003702AA" w:rsidP="0049647B">
            <w:pPr>
              <w:pStyle w:val="Default"/>
              <w:spacing w:before="120" w:after="120"/>
              <w:jc w:val="both"/>
              <w:rPr>
                <w:rFonts w:ascii="Times New Roman" w:hAnsi="Times New Roman" w:cs="Times New Roman"/>
                <w:color w:val="auto"/>
                <w:sz w:val="26"/>
                <w:szCs w:val="26"/>
              </w:rPr>
            </w:pPr>
            <w:r w:rsidRPr="0048125C">
              <w:rPr>
                <w:rFonts w:ascii="Times New Roman" w:hAnsi="Times New Roman" w:cs="Times New Roman"/>
                <w:color w:val="auto"/>
                <w:sz w:val="26"/>
                <w:szCs w:val="26"/>
              </w:rPr>
              <w:t xml:space="preserve">Maksa par garantijām tiks noteikta saskaņā ar Komisijas Paziņojuma 4.3.sadaļas nosacījumiem. Atbilstošu cenu noteikšanas politiku sabiedrība </w:t>
            </w:r>
            <w:proofErr w:type="spellStart"/>
            <w:r w:rsidRPr="0048125C">
              <w:rPr>
                <w:rFonts w:ascii="Times New Roman" w:hAnsi="Times New Roman" w:cs="Times New Roman"/>
                <w:color w:val="auto"/>
                <w:sz w:val="26"/>
                <w:szCs w:val="26"/>
              </w:rPr>
              <w:t>Altum</w:t>
            </w:r>
            <w:proofErr w:type="spellEnd"/>
            <w:r w:rsidRPr="0048125C">
              <w:rPr>
                <w:rFonts w:ascii="Times New Roman" w:hAnsi="Times New Roman" w:cs="Times New Roman"/>
                <w:color w:val="auto"/>
                <w:sz w:val="26"/>
                <w:szCs w:val="26"/>
              </w:rPr>
              <w:t xml:space="preserve"> jau īsteno attiecībā uz garantijām, kas izsniegtas saskaņā ar Noteikumu 11.punktu atbilstoši EK lēmuma - valsts atbalsts SA.47233 (2017/N) – Latvija  28., 29., 30., 31.punktam.</w:t>
            </w:r>
          </w:p>
          <w:p w14:paraId="09F04E06" w14:textId="68659297" w:rsidR="0071492B" w:rsidRPr="00764843" w:rsidRDefault="0071492B" w:rsidP="0049647B">
            <w:pPr>
              <w:pStyle w:val="Default"/>
              <w:spacing w:before="120" w:after="120"/>
              <w:jc w:val="both"/>
              <w:rPr>
                <w:rFonts w:ascii="Times New Roman" w:hAnsi="Times New Roman" w:cs="Times New Roman"/>
                <w:color w:val="auto"/>
                <w:sz w:val="26"/>
                <w:szCs w:val="26"/>
                <w:highlight w:val="yellow"/>
              </w:rPr>
            </w:pPr>
            <w:r w:rsidRPr="0048125C">
              <w:rPr>
                <w:rFonts w:ascii="Times New Roman" w:hAnsi="Times New Roman" w:cs="Times New Roman"/>
                <w:color w:val="auto"/>
                <w:sz w:val="26"/>
                <w:szCs w:val="26"/>
              </w:rPr>
              <w:t xml:space="preserve">Lai ievērotu Komisijas Paziņojuma 4.3.panta prasības attiecībā uz </w:t>
            </w:r>
            <w:proofErr w:type="spellStart"/>
            <w:r w:rsidRPr="0048125C">
              <w:rPr>
                <w:rFonts w:ascii="Times New Roman" w:hAnsi="Times New Roman" w:cs="Times New Roman"/>
                <w:color w:val="auto"/>
                <w:sz w:val="26"/>
                <w:szCs w:val="26"/>
              </w:rPr>
              <w:t>pārredzamību</w:t>
            </w:r>
            <w:proofErr w:type="spellEnd"/>
            <w:r w:rsidRPr="0048125C">
              <w:rPr>
                <w:rFonts w:ascii="Times New Roman" w:hAnsi="Times New Roman" w:cs="Times New Roman"/>
                <w:color w:val="auto"/>
                <w:sz w:val="26"/>
                <w:szCs w:val="26"/>
              </w:rPr>
              <w:t xml:space="preserve"> un ziņošanu, tiek precizēti noteikumu 17. un </w:t>
            </w:r>
            <w:r w:rsidRPr="0048125C">
              <w:rPr>
                <w:rFonts w:ascii="Times New Roman" w:hAnsi="Times New Roman" w:cs="Times New Roman"/>
                <w:color w:val="auto"/>
                <w:sz w:val="26"/>
                <w:szCs w:val="26"/>
              </w:rPr>
              <w:lastRenderedPageBreak/>
              <w:t>18.punkti.</w:t>
            </w:r>
            <w:r w:rsidR="003702AA" w:rsidRPr="0048125C">
              <w:rPr>
                <w:rFonts w:ascii="Times New Roman" w:hAnsi="Times New Roman" w:cs="Times New Roman"/>
                <w:color w:val="auto"/>
                <w:sz w:val="26"/>
                <w:szCs w:val="26"/>
              </w:rPr>
              <w:t xml:space="preserve"> Noteikumu 18.punkts tiek precizēts arī ņemot vērā, ka Komisijas Paziņojums nenosaka pārskata sniegšanu par garantijām saskaņā ar Noteikumu 10.punktu.</w:t>
            </w:r>
          </w:p>
        </w:tc>
      </w:tr>
      <w:tr w:rsidR="00844176" w:rsidRPr="00C136CD" w14:paraId="41041CF1" w14:textId="77777777" w:rsidTr="0089560D">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lastRenderedPageBreak/>
              <w:t>3.</w:t>
            </w:r>
          </w:p>
        </w:tc>
        <w:tc>
          <w:tcPr>
            <w:tcW w:w="1984" w:type="dxa"/>
            <w:tcBorders>
              <w:top w:val="outset" w:sz="6" w:space="0" w:color="414142"/>
              <w:left w:val="outset" w:sz="6" w:space="0" w:color="414142"/>
              <w:bottom w:val="outset" w:sz="6" w:space="0" w:color="414142"/>
              <w:right w:val="outset" w:sz="6" w:space="0" w:color="414142"/>
            </w:tcBorders>
            <w:hideMark/>
          </w:tcPr>
          <w:p w14:paraId="2F4C459C"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Projekta izstrādē iesaistītās institūcijas</w:t>
            </w:r>
          </w:p>
        </w:tc>
        <w:tc>
          <w:tcPr>
            <w:tcW w:w="6727" w:type="dxa"/>
            <w:tcBorders>
              <w:top w:val="outset" w:sz="6" w:space="0" w:color="414142"/>
              <w:left w:val="outset" w:sz="6" w:space="0" w:color="414142"/>
              <w:bottom w:val="outset" w:sz="6" w:space="0" w:color="414142"/>
              <w:right w:val="outset" w:sz="6" w:space="0" w:color="414142"/>
            </w:tcBorders>
            <w:hideMark/>
          </w:tcPr>
          <w:p w14:paraId="1C1732C9" w14:textId="77777777" w:rsidR="00844176" w:rsidRPr="00C136CD" w:rsidRDefault="00CE0AC5" w:rsidP="00871E2F">
            <w:pPr>
              <w:spacing w:before="100" w:beforeAutospacing="1" w:after="100" w:afterAutospacing="1"/>
              <w:ind w:left="60"/>
              <w:rPr>
                <w:rFonts w:eastAsia="Times New Roman"/>
                <w:sz w:val="26"/>
                <w:szCs w:val="26"/>
                <w:lang w:val="lv-LV" w:eastAsia="lv-LV"/>
              </w:rPr>
            </w:pPr>
            <w:r w:rsidRPr="00C136CD">
              <w:rPr>
                <w:sz w:val="26"/>
                <w:szCs w:val="26"/>
                <w:lang w:val="lv-LV"/>
              </w:rPr>
              <w:t>E</w:t>
            </w:r>
            <w:r w:rsidR="00547ACF" w:rsidRPr="00C136CD">
              <w:rPr>
                <w:sz w:val="26"/>
                <w:szCs w:val="26"/>
                <w:lang w:val="lv-LV"/>
              </w:rPr>
              <w:t>konomikas ministrija</w:t>
            </w:r>
            <w:r w:rsidRPr="00C136CD">
              <w:rPr>
                <w:sz w:val="26"/>
                <w:szCs w:val="26"/>
                <w:lang w:val="lv-LV"/>
              </w:rPr>
              <w:t xml:space="preserve">, </w:t>
            </w:r>
            <w:r w:rsidR="00547ACF" w:rsidRPr="00C136CD">
              <w:rPr>
                <w:sz w:val="26"/>
                <w:szCs w:val="26"/>
                <w:lang w:val="lv-LV"/>
              </w:rPr>
              <w:t xml:space="preserve">akciju sabiedrība “Attīstības finanšu institūcija </w:t>
            </w:r>
            <w:proofErr w:type="spellStart"/>
            <w:r w:rsidR="00547ACF" w:rsidRPr="00C136CD">
              <w:rPr>
                <w:sz w:val="26"/>
                <w:szCs w:val="26"/>
                <w:lang w:val="lv-LV"/>
              </w:rPr>
              <w:t>Altum</w:t>
            </w:r>
            <w:proofErr w:type="spellEnd"/>
            <w:r w:rsidR="00547ACF" w:rsidRPr="00C136CD">
              <w:rPr>
                <w:sz w:val="26"/>
                <w:szCs w:val="26"/>
                <w:lang w:val="lv-LV"/>
              </w:rPr>
              <w:t>”</w:t>
            </w:r>
          </w:p>
        </w:tc>
      </w:tr>
      <w:tr w:rsidR="00844176" w:rsidRPr="00310924" w14:paraId="3C98D228" w14:textId="77777777" w:rsidTr="0089560D">
        <w:tc>
          <w:tcPr>
            <w:tcW w:w="418"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4.</w:t>
            </w:r>
          </w:p>
        </w:tc>
        <w:tc>
          <w:tcPr>
            <w:tcW w:w="1984"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Cita informācija</w:t>
            </w:r>
          </w:p>
        </w:tc>
        <w:tc>
          <w:tcPr>
            <w:tcW w:w="6727"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C136CD" w:rsidRDefault="00844176" w:rsidP="00547AC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 xml:space="preserve">Nav </w:t>
            </w:r>
          </w:p>
        </w:tc>
      </w:tr>
      <w:tr w:rsidR="00844176" w:rsidRPr="00310924" w14:paraId="5271E387" w14:textId="77777777" w:rsidTr="00871E2F">
        <w:trPr>
          <w:trHeight w:val="128"/>
        </w:trPr>
        <w:tc>
          <w:tcPr>
            <w:tcW w:w="9129" w:type="dxa"/>
            <w:gridSpan w:val="3"/>
            <w:tcBorders>
              <w:top w:val="outset" w:sz="6" w:space="0" w:color="414142"/>
              <w:left w:val="nil"/>
              <w:bottom w:val="outset" w:sz="6" w:space="0" w:color="414142"/>
              <w:right w:val="nil"/>
            </w:tcBorders>
            <w:hideMark/>
          </w:tcPr>
          <w:p w14:paraId="4DC32511" w14:textId="77777777" w:rsidR="00844176" w:rsidRPr="00C136CD" w:rsidRDefault="00844176" w:rsidP="00871E2F">
            <w:pPr>
              <w:tabs>
                <w:tab w:val="left" w:pos="990"/>
              </w:tabs>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ab/>
            </w:r>
          </w:p>
        </w:tc>
      </w:tr>
    </w:tbl>
    <w:p w14:paraId="76329086" w14:textId="77777777" w:rsidR="00844176" w:rsidRPr="00C136CD" w:rsidRDefault="00844176" w:rsidP="00844176">
      <w:pPr>
        <w:rPr>
          <w:rFonts w:eastAsia="Times New Roman"/>
          <w:vanish/>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134"/>
        <w:gridCol w:w="6725"/>
      </w:tblGrid>
      <w:tr w:rsidR="00844176" w:rsidRPr="009D4B8F" w14:paraId="7175E08A" w14:textId="77777777" w:rsidTr="00871E2F">
        <w:trPr>
          <w:trHeight w:val="555"/>
        </w:trPr>
        <w:tc>
          <w:tcPr>
            <w:tcW w:w="9129" w:type="dxa"/>
            <w:gridSpan w:val="3"/>
            <w:tcBorders>
              <w:top w:val="nil"/>
              <w:left w:val="outset" w:sz="6" w:space="0" w:color="414142"/>
              <w:bottom w:val="outset" w:sz="6" w:space="0" w:color="414142"/>
              <w:right w:val="outset" w:sz="6" w:space="0" w:color="414142"/>
            </w:tcBorders>
            <w:hideMark/>
          </w:tcPr>
          <w:p w14:paraId="0CDF66C2" w14:textId="77777777" w:rsidR="00844176" w:rsidRPr="00C136CD" w:rsidRDefault="00844176" w:rsidP="00871E2F">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II. Tiesību akta projekta ietekme uz sabiedrību, tautsaimniecības attīstību un administratīvo slogu</w:t>
            </w:r>
          </w:p>
        </w:tc>
      </w:tr>
      <w:tr w:rsidR="00844176" w:rsidRPr="009D4B8F" w14:paraId="3867AEAD" w14:textId="77777777" w:rsidTr="00E0333C">
        <w:trPr>
          <w:trHeight w:val="465"/>
        </w:trPr>
        <w:tc>
          <w:tcPr>
            <w:tcW w:w="270" w:type="dxa"/>
            <w:tcBorders>
              <w:top w:val="outset" w:sz="6" w:space="0" w:color="414142"/>
              <w:left w:val="outset" w:sz="6" w:space="0" w:color="414142"/>
              <w:bottom w:val="outset" w:sz="6" w:space="0" w:color="414142"/>
              <w:right w:val="outset" w:sz="6" w:space="0" w:color="414142"/>
            </w:tcBorders>
            <w:hideMark/>
          </w:tcPr>
          <w:p w14:paraId="5233F396"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1.</w:t>
            </w:r>
          </w:p>
        </w:tc>
        <w:tc>
          <w:tcPr>
            <w:tcW w:w="2134" w:type="dxa"/>
            <w:tcBorders>
              <w:top w:val="outset" w:sz="6" w:space="0" w:color="414142"/>
              <w:left w:val="outset" w:sz="6" w:space="0" w:color="414142"/>
              <w:bottom w:val="outset" w:sz="6" w:space="0" w:color="414142"/>
              <w:right w:val="outset" w:sz="6" w:space="0" w:color="414142"/>
            </w:tcBorders>
            <w:hideMark/>
          </w:tcPr>
          <w:p w14:paraId="2E14993C"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 xml:space="preserve">Sabiedrības </w:t>
            </w:r>
            <w:proofErr w:type="spellStart"/>
            <w:r w:rsidRPr="00C136CD">
              <w:rPr>
                <w:rFonts w:eastAsia="Times New Roman"/>
                <w:color w:val="000000"/>
                <w:sz w:val="26"/>
                <w:szCs w:val="26"/>
                <w:lang w:val="lv-LV" w:eastAsia="lv-LV"/>
              </w:rPr>
              <w:t>mērķgrupas</w:t>
            </w:r>
            <w:proofErr w:type="spellEnd"/>
            <w:r w:rsidRPr="00C136CD">
              <w:rPr>
                <w:rFonts w:eastAsia="Times New Roman"/>
                <w:color w:val="000000"/>
                <w:sz w:val="26"/>
                <w:szCs w:val="26"/>
                <w:lang w:val="lv-LV" w:eastAsia="lv-LV"/>
              </w:rPr>
              <w:t>, kuras tiesiskais regulējums ietekmē vai varētu ietekmēt</w:t>
            </w:r>
          </w:p>
        </w:tc>
        <w:tc>
          <w:tcPr>
            <w:tcW w:w="6725" w:type="dxa"/>
            <w:tcBorders>
              <w:top w:val="outset" w:sz="6" w:space="0" w:color="414142"/>
              <w:left w:val="outset" w:sz="6" w:space="0" w:color="414142"/>
              <w:bottom w:val="outset" w:sz="6" w:space="0" w:color="414142"/>
              <w:right w:val="outset" w:sz="6" w:space="0" w:color="414142"/>
            </w:tcBorders>
            <w:hideMark/>
          </w:tcPr>
          <w:p w14:paraId="6747612B" w14:textId="77777777" w:rsidR="00844176" w:rsidRPr="00C136CD" w:rsidRDefault="00844176" w:rsidP="00265C6D">
            <w:pPr>
              <w:pStyle w:val="BodyText"/>
              <w:ind w:left="60" w:right="201"/>
              <w:rPr>
                <w:sz w:val="26"/>
                <w:szCs w:val="26"/>
              </w:rPr>
            </w:pPr>
            <w:r w:rsidRPr="00265C6D">
              <w:rPr>
                <w:rFonts w:eastAsia="Calibri"/>
                <w:sz w:val="26"/>
                <w:szCs w:val="26"/>
                <w:lang w:eastAsia="en-US"/>
              </w:rPr>
              <w:t xml:space="preserve">Latvijā reģistrēti saimnieciskās darbības veicēji, </w:t>
            </w:r>
            <w:r w:rsidR="00B83EED" w:rsidRPr="00265C6D">
              <w:rPr>
                <w:rFonts w:eastAsia="Calibri"/>
                <w:sz w:val="26"/>
                <w:szCs w:val="26"/>
                <w:lang w:eastAsia="en-US"/>
              </w:rPr>
              <w:t>akciju sabiedrība</w:t>
            </w:r>
            <w:r w:rsidR="003F0341" w:rsidRPr="00265C6D">
              <w:rPr>
                <w:rFonts w:eastAsia="Calibri"/>
                <w:sz w:val="26"/>
                <w:szCs w:val="26"/>
                <w:lang w:eastAsia="en-US"/>
              </w:rPr>
              <w:t xml:space="preserve"> “Attīstības finanšu institūcija </w:t>
            </w:r>
            <w:proofErr w:type="spellStart"/>
            <w:r w:rsidR="003F0341" w:rsidRPr="00265C6D">
              <w:rPr>
                <w:rFonts w:eastAsia="Calibri"/>
                <w:sz w:val="26"/>
                <w:szCs w:val="26"/>
                <w:lang w:eastAsia="en-US"/>
              </w:rPr>
              <w:t>Altum</w:t>
            </w:r>
            <w:proofErr w:type="spellEnd"/>
            <w:r w:rsidR="003F0341" w:rsidRPr="00265C6D">
              <w:rPr>
                <w:rFonts w:eastAsia="Calibri"/>
                <w:sz w:val="26"/>
                <w:szCs w:val="26"/>
                <w:lang w:eastAsia="en-US"/>
              </w:rPr>
              <w:t>”</w:t>
            </w:r>
            <w:r w:rsidRPr="00265C6D">
              <w:rPr>
                <w:rFonts w:eastAsia="Calibri"/>
                <w:sz w:val="26"/>
                <w:szCs w:val="26"/>
                <w:lang w:eastAsia="en-US"/>
              </w:rPr>
              <w:t>.</w:t>
            </w:r>
          </w:p>
        </w:tc>
      </w:tr>
      <w:tr w:rsidR="00844176" w:rsidRPr="009D4B8F" w14:paraId="7D9FA66B"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CA4E694"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2.</w:t>
            </w:r>
          </w:p>
        </w:tc>
        <w:tc>
          <w:tcPr>
            <w:tcW w:w="2134" w:type="dxa"/>
            <w:tcBorders>
              <w:top w:val="outset" w:sz="6" w:space="0" w:color="414142"/>
              <w:left w:val="outset" w:sz="6" w:space="0" w:color="414142"/>
              <w:bottom w:val="outset" w:sz="6" w:space="0" w:color="414142"/>
              <w:right w:val="outset" w:sz="6" w:space="0" w:color="414142"/>
            </w:tcBorders>
            <w:hideMark/>
          </w:tcPr>
          <w:p w14:paraId="5D2EC3C2" w14:textId="77777777" w:rsidR="00844176" w:rsidRPr="00265C6D" w:rsidRDefault="00844176" w:rsidP="00265C6D">
            <w:pPr>
              <w:spacing w:before="100" w:beforeAutospacing="1" w:after="100" w:afterAutospacing="1"/>
              <w:ind w:left="60"/>
              <w:rPr>
                <w:sz w:val="26"/>
                <w:szCs w:val="26"/>
                <w:lang w:val="lv-LV"/>
              </w:rPr>
            </w:pPr>
            <w:r w:rsidRPr="00265C6D">
              <w:rPr>
                <w:sz w:val="26"/>
                <w:szCs w:val="26"/>
                <w:lang w:val="lv-LV"/>
              </w:rPr>
              <w:t>Tiesiskā regulējuma ietekme uz tautsaimniecību un administratīvo slogu</w:t>
            </w:r>
          </w:p>
        </w:tc>
        <w:tc>
          <w:tcPr>
            <w:tcW w:w="6725" w:type="dxa"/>
            <w:tcBorders>
              <w:top w:val="outset" w:sz="6" w:space="0" w:color="414142"/>
              <w:left w:val="outset" w:sz="6" w:space="0" w:color="414142"/>
              <w:bottom w:val="outset" w:sz="6" w:space="0" w:color="414142"/>
              <w:right w:val="outset" w:sz="6" w:space="0" w:color="414142"/>
            </w:tcBorders>
            <w:hideMark/>
          </w:tcPr>
          <w:p w14:paraId="29A86073" w14:textId="77777777" w:rsidR="00846B2A" w:rsidRDefault="00846B2A" w:rsidP="00846B2A">
            <w:pPr>
              <w:pStyle w:val="BodyText"/>
              <w:ind w:left="60" w:right="201"/>
              <w:rPr>
                <w:rFonts w:eastAsia="Calibri"/>
                <w:sz w:val="26"/>
                <w:szCs w:val="26"/>
                <w:lang w:eastAsia="en-US"/>
              </w:rPr>
            </w:pPr>
            <w:r>
              <w:rPr>
                <w:rFonts w:eastAsia="Calibri"/>
                <w:sz w:val="26"/>
                <w:szCs w:val="26"/>
                <w:lang w:eastAsia="en-US"/>
              </w:rPr>
              <w:t xml:space="preserve">Noteikumu projektam ir labvēlīga ietekme uz ekonomiku kopumā, jo tas paredz mazināt Covid-19 izraisītas krīzes sekas un veicina ekonomisko aktivitāti. </w:t>
            </w:r>
          </w:p>
          <w:p w14:paraId="62F21F17" w14:textId="58A74264" w:rsidR="00846B2A" w:rsidRPr="00C136CD" w:rsidRDefault="00846B2A" w:rsidP="00846B2A">
            <w:pPr>
              <w:pStyle w:val="BodyText"/>
              <w:ind w:left="60" w:right="201"/>
              <w:rPr>
                <w:rFonts w:eastAsia="Calibri"/>
                <w:sz w:val="26"/>
                <w:szCs w:val="26"/>
                <w:lang w:eastAsia="en-US"/>
              </w:rPr>
            </w:pPr>
            <w:r w:rsidRPr="00846B2A">
              <w:rPr>
                <w:rFonts w:eastAsia="Calibri"/>
                <w:sz w:val="26"/>
                <w:szCs w:val="26"/>
                <w:lang w:eastAsia="en-US"/>
              </w:rPr>
              <w:t xml:space="preserve">Sabiedrības </w:t>
            </w:r>
            <w:proofErr w:type="spellStart"/>
            <w:r w:rsidRPr="00846B2A">
              <w:rPr>
                <w:rFonts w:eastAsia="Calibri"/>
                <w:sz w:val="26"/>
                <w:szCs w:val="26"/>
                <w:lang w:eastAsia="en-US"/>
              </w:rPr>
              <w:t>mērķgrupām</w:t>
            </w:r>
            <w:proofErr w:type="spellEnd"/>
            <w:r w:rsidRPr="00846B2A">
              <w:rPr>
                <w:rFonts w:eastAsia="Calibri"/>
                <w:sz w:val="26"/>
                <w:szCs w:val="26"/>
                <w:lang w:eastAsia="en-US"/>
              </w:rPr>
              <w:t xml:space="preserve"> un institūcijām projekta tiesiskais regulējums nemaina tiesības un pienākumus, kā arī veicamās darbības</w:t>
            </w:r>
            <w:r>
              <w:rPr>
                <w:rFonts w:eastAsia="Calibri"/>
                <w:sz w:val="26"/>
                <w:szCs w:val="26"/>
                <w:lang w:eastAsia="en-US"/>
              </w:rPr>
              <w:t xml:space="preserve">. </w:t>
            </w:r>
          </w:p>
        </w:tc>
      </w:tr>
      <w:tr w:rsidR="00844176" w:rsidRPr="00310924" w14:paraId="183D00C8"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0C05ABE"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3.</w:t>
            </w:r>
          </w:p>
        </w:tc>
        <w:tc>
          <w:tcPr>
            <w:tcW w:w="2134" w:type="dxa"/>
            <w:tcBorders>
              <w:top w:val="outset" w:sz="6" w:space="0" w:color="414142"/>
              <w:left w:val="outset" w:sz="6" w:space="0" w:color="414142"/>
              <w:bottom w:val="outset" w:sz="6" w:space="0" w:color="414142"/>
              <w:right w:val="outset" w:sz="6" w:space="0" w:color="414142"/>
            </w:tcBorders>
            <w:hideMark/>
          </w:tcPr>
          <w:p w14:paraId="1E661F3D"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Administratīvo izmaksu monetārs novērtējums</w:t>
            </w:r>
          </w:p>
        </w:tc>
        <w:tc>
          <w:tcPr>
            <w:tcW w:w="6725" w:type="dxa"/>
            <w:tcBorders>
              <w:top w:val="outset" w:sz="6" w:space="0" w:color="414142"/>
              <w:left w:val="outset" w:sz="6" w:space="0" w:color="414142"/>
              <w:bottom w:val="outset" w:sz="6" w:space="0" w:color="414142"/>
              <w:right w:val="outset" w:sz="6" w:space="0" w:color="414142"/>
            </w:tcBorders>
            <w:hideMark/>
          </w:tcPr>
          <w:p w14:paraId="4EC93682" w14:textId="77777777" w:rsidR="00844176" w:rsidRPr="00C136CD" w:rsidRDefault="00844176" w:rsidP="00265C6D">
            <w:pPr>
              <w:pStyle w:val="BodyText"/>
              <w:ind w:left="60" w:right="201"/>
              <w:rPr>
                <w:rFonts w:eastAsia="Calibri"/>
                <w:sz w:val="26"/>
                <w:szCs w:val="26"/>
                <w:lang w:eastAsia="en-US"/>
              </w:rPr>
            </w:pPr>
            <w:r w:rsidRPr="00C136CD">
              <w:rPr>
                <w:rFonts w:eastAsia="Calibri"/>
                <w:sz w:val="26"/>
                <w:szCs w:val="26"/>
                <w:lang w:eastAsia="en-US"/>
              </w:rPr>
              <w:t>Projekts šo jomu neskar.</w:t>
            </w:r>
          </w:p>
        </w:tc>
      </w:tr>
      <w:tr w:rsidR="00844176" w:rsidRPr="00310924" w14:paraId="2F7C8B1B" w14:textId="77777777" w:rsidTr="00E0333C">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7753AD2E"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4.</w:t>
            </w:r>
          </w:p>
        </w:tc>
        <w:tc>
          <w:tcPr>
            <w:tcW w:w="2134" w:type="dxa"/>
            <w:tcBorders>
              <w:top w:val="outset" w:sz="6" w:space="0" w:color="414142"/>
              <w:left w:val="outset" w:sz="6" w:space="0" w:color="414142"/>
              <w:bottom w:val="outset" w:sz="6" w:space="0" w:color="414142"/>
              <w:right w:val="outset" w:sz="6" w:space="0" w:color="414142"/>
            </w:tcBorders>
            <w:hideMark/>
          </w:tcPr>
          <w:p w14:paraId="6027A436"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Cita informācija</w:t>
            </w:r>
          </w:p>
        </w:tc>
        <w:tc>
          <w:tcPr>
            <w:tcW w:w="6725" w:type="dxa"/>
            <w:tcBorders>
              <w:top w:val="outset" w:sz="6" w:space="0" w:color="414142"/>
              <w:left w:val="outset" w:sz="6" w:space="0" w:color="414142"/>
              <w:bottom w:val="outset" w:sz="6" w:space="0" w:color="414142"/>
              <w:right w:val="outset" w:sz="6" w:space="0" w:color="414142"/>
            </w:tcBorders>
            <w:hideMark/>
          </w:tcPr>
          <w:p w14:paraId="6BD39809" w14:textId="77777777" w:rsidR="00844176" w:rsidRPr="00265C6D" w:rsidRDefault="00844176" w:rsidP="00265C6D">
            <w:pPr>
              <w:pStyle w:val="BodyText"/>
              <w:ind w:left="60" w:right="201"/>
              <w:rPr>
                <w:rFonts w:eastAsia="Calibri"/>
                <w:sz w:val="26"/>
                <w:szCs w:val="26"/>
                <w:lang w:eastAsia="en-US"/>
              </w:rPr>
            </w:pPr>
            <w:r w:rsidRPr="00265C6D">
              <w:rPr>
                <w:rFonts w:eastAsia="Calibri"/>
                <w:sz w:val="26"/>
                <w:szCs w:val="26"/>
                <w:lang w:eastAsia="en-US"/>
              </w:rPr>
              <w:t>Nav</w:t>
            </w:r>
          </w:p>
        </w:tc>
      </w:tr>
    </w:tbl>
    <w:p w14:paraId="57D2014F" w14:textId="77777777" w:rsidR="00E0333C" w:rsidRPr="00C136CD" w:rsidRDefault="00E0333C" w:rsidP="00E0333C">
      <w:pPr>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9D4B8F" w14:paraId="5C3AC8E5"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C136CD" w:rsidRDefault="00E0333C" w:rsidP="00907DD7">
            <w:pPr>
              <w:jc w:val="center"/>
              <w:rPr>
                <w:rFonts w:eastAsia="Times New Roman"/>
                <w:b/>
                <w:sz w:val="26"/>
                <w:szCs w:val="26"/>
                <w:lang w:val="lv-LV" w:eastAsia="lv-LV"/>
              </w:rPr>
            </w:pPr>
            <w:r w:rsidRPr="00C136CD">
              <w:rPr>
                <w:rFonts w:eastAsia="Times New Roman"/>
                <w:b/>
                <w:bCs/>
                <w:sz w:val="26"/>
                <w:szCs w:val="26"/>
                <w:lang w:val="lv-LV" w:eastAsia="lv-LV"/>
              </w:rPr>
              <w:t>III. Tiesību akta projekta ietekme uz valsts budžetu un pašvaldību budžetiem</w:t>
            </w:r>
          </w:p>
        </w:tc>
      </w:tr>
      <w:tr w:rsidR="00E0333C" w:rsidRPr="00A350B9" w14:paraId="07D6D83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56F1DE74" w:rsidR="00E0333C" w:rsidRPr="00C136CD" w:rsidRDefault="009C62D7" w:rsidP="009C62D7">
            <w:pPr>
              <w:jc w:val="center"/>
              <w:rPr>
                <w:rFonts w:eastAsia="Times New Roman"/>
                <w:bCs/>
                <w:sz w:val="26"/>
                <w:szCs w:val="26"/>
                <w:lang w:val="lv-LV" w:eastAsia="lv-LV"/>
              </w:rPr>
            </w:pPr>
            <w:r>
              <w:rPr>
                <w:rFonts w:eastAsia="Times New Roman"/>
                <w:bCs/>
                <w:sz w:val="26"/>
                <w:szCs w:val="26"/>
                <w:lang w:val="lv-LV" w:eastAsia="lv-LV"/>
              </w:rPr>
              <w:t>P</w:t>
            </w:r>
            <w:r w:rsidR="00E0333C" w:rsidRPr="00C136CD">
              <w:rPr>
                <w:rFonts w:eastAsia="Times New Roman"/>
                <w:bCs/>
                <w:sz w:val="26"/>
                <w:szCs w:val="26"/>
                <w:lang w:val="lv-LV" w:eastAsia="lv-LV"/>
              </w:rPr>
              <w:t>rojekts šo jomu neskar.</w:t>
            </w:r>
          </w:p>
        </w:tc>
      </w:tr>
    </w:tbl>
    <w:p w14:paraId="57F14BC5" w14:textId="512F1E09" w:rsidR="00844176" w:rsidRPr="00C136CD" w:rsidRDefault="00844176" w:rsidP="00844176">
      <w:pPr>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1830"/>
        <w:gridCol w:w="6931"/>
      </w:tblGrid>
      <w:tr w:rsidR="00844176" w:rsidRPr="009D4B8F" w14:paraId="6C33CD82" w14:textId="77777777" w:rsidTr="00043C33">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C136CD" w:rsidRDefault="00844176" w:rsidP="00871E2F">
            <w:pPr>
              <w:ind w:firstLine="300"/>
              <w:jc w:val="center"/>
              <w:rPr>
                <w:rFonts w:eastAsia="Times New Roman"/>
                <w:b/>
                <w:bCs/>
                <w:sz w:val="26"/>
                <w:szCs w:val="26"/>
                <w:lang w:val="lv-LV" w:eastAsia="lv-LV"/>
              </w:rPr>
            </w:pPr>
            <w:r w:rsidRPr="00C136CD">
              <w:rPr>
                <w:rFonts w:eastAsia="Times New Roman"/>
                <w:b/>
                <w:bCs/>
                <w:sz w:val="26"/>
                <w:szCs w:val="26"/>
                <w:lang w:val="lv-LV" w:eastAsia="lv-LV"/>
              </w:rPr>
              <w:t>IV. Tiesību akta projekta ietekme uz spēkā esošo tiesību normu sistēmu</w:t>
            </w:r>
          </w:p>
        </w:tc>
      </w:tr>
      <w:tr w:rsidR="00844176" w:rsidRPr="00F12A88" w14:paraId="57818953" w14:textId="77777777" w:rsidTr="00043C33">
        <w:tc>
          <w:tcPr>
            <w:tcW w:w="241"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1.</w:t>
            </w:r>
          </w:p>
        </w:tc>
        <w:tc>
          <w:tcPr>
            <w:tcW w:w="994" w:type="pct"/>
            <w:tcBorders>
              <w:top w:val="outset" w:sz="6" w:space="0" w:color="414142"/>
              <w:left w:val="outset" w:sz="6" w:space="0" w:color="414142"/>
              <w:bottom w:val="outset" w:sz="6" w:space="0" w:color="414142"/>
              <w:right w:val="outset" w:sz="6" w:space="0" w:color="414142"/>
            </w:tcBorders>
            <w:hideMark/>
          </w:tcPr>
          <w:p w14:paraId="6B0EF5B6"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Nepieciešamie saistītie tiesību aktu projekti</w:t>
            </w:r>
          </w:p>
        </w:tc>
        <w:tc>
          <w:tcPr>
            <w:tcW w:w="3764" w:type="pct"/>
            <w:tcBorders>
              <w:top w:val="outset" w:sz="6" w:space="0" w:color="414142"/>
              <w:left w:val="outset" w:sz="6" w:space="0" w:color="414142"/>
              <w:bottom w:val="outset" w:sz="6" w:space="0" w:color="414142"/>
              <w:right w:val="outset" w:sz="6" w:space="0" w:color="414142"/>
            </w:tcBorders>
            <w:hideMark/>
          </w:tcPr>
          <w:p w14:paraId="37F545BF" w14:textId="762D23AD" w:rsidR="00844176" w:rsidRPr="002C3A9B" w:rsidRDefault="002C3A9B" w:rsidP="002C3A9B">
            <w:pPr>
              <w:jc w:val="both"/>
              <w:rPr>
                <w:sz w:val="26"/>
                <w:szCs w:val="26"/>
                <w:lang w:val="lv-LV"/>
              </w:rPr>
            </w:pPr>
            <w:r>
              <w:rPr>
                <w:sz w:val="26"/>
                <w:szCs w:val="26"/>
                <w:lang w:val="lv-LV"/>
              </w:rPr>
              <w:t>Nav.</w:t>
            </w:r>
          </w:p>
        </w:tc>
      </w:tr>
      <w:tr w:rsidR="00844176" w:rsidRPr="00310924" w14:paraId="3469659F" w14:textId="77777777" w:rsidTr="00043C33">
        <w:tc>
          <w:tcPr>
            <w:tcW w:w="241"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2.</w:t>
            </w:r>
          </w:p>
        </w:tc>
        <w:tc>
          <w:tcPr>
            <w:tcW w:w="994"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Atbildīgā institūcija</w:t>
            </w:r>
          </w:p>
        </w:tc>
        <w:tc>
          <w:tcPr>
            <w:tcW w:w="3764"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C136CD" w:rsidRDefault="007F6449" w:rsidP="00871E2F">
            <w:pPr>
              <w:pStyle w:val="BodyText"/>
              <w:ind w:right="142"/>
              <w:rPr>
                <w:rFonts w:eastAsia="Calibri"/>
                <w:sz w:val="26"/>
                <w:szCs w:val="26"/>
                <w:lang w:eastAsia="en-US"/>
              </w:rPr>
            </w:pPr>
            <w:r w:rsidRPr="00C136CD">
              <w:rPr>
                <w:rFonts w:eastAsia="Calibri"/>
                <w:sz w:val="26"/>
                <w:szCs w:val="26"/>
                <w:lang w:eastAsia="en-US"/>
              </w:rPr>
              <w:t>Ekonomikas ministrija</w:t>
            </w:r>
          </w:p>
        </w:tc>
      </w:tr>
      <w:tr w:rsidR="00844176" w:rsidRPr="00310924" w14:paraId="32F2DD54" w14:textId="77777777" w:rsidTr="00043C33">
        <w:tc>
          <w:tcPr>
            <w:tcW w:w="241"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3.</w:t>
            </w:r>
          </w:p>
        </w:tc>
        <w:tc>
          <w:tcPr>
            <w:tcW w:w="994"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Cita informācija</w:t>
            </w:r>
          </w:p>
        </w:tc>
        <w:tc>
          <w:tcPr>
            <w:tcW w:w="3764" w:type="pct"/>
            <w:tcBorders>
              <w:top w:val="outset" w:sz="6" w:space="0" w:color="414142"/>
              <w:left w:val="outset" w:sz="6" w:space="0" w:color="414142"/>
              <w:bottom w:val="outset" w:sz="6" w:space="0" w:color="414142"/>
              <w:right w:val="outset" w:sz="6" w:space="0" w:color="414142"/>
            </w:tcBorders>
            <w:hideMark/>
          </w:tcPr>
          <w:p w14:paraId="637C4F16" w14:textId="4180BA14" w:rsidR="00844176" w:rsidRPr="00C136CD" w:rsidRDefault="00D97622" w:rsidP="00871E2F">
            <w:pPr>
              <w:jc w:val="both"/>
              <w:rPr>
                <w:sz w:val="26"/>
                <w:szCs w:val="26"/>
                <w:lang w:val="lv-LV"/>
              </w:rPr>
            </w:pPr>
            <w:r w:rsidRPr="00C136CD">
              <w:rPr>
                <w:sz w:val="26"/>
                <w:szCs w:val="26"/>
                <w:lang w:val="lv-LV"/>
              </w:rPr>
              <w:t>Nav.</w:t>
            </w:r>
          </w:p>
        </w:tc>
      </w:tr>
    </w:tbl>
    <w:p w14:paraId="2A21AD4B" w14:textId="77777777" w:rsidR="00844176" w:rsidRPr="00C136CD" w:rsidRDefault="00844176" w:rsidP="00844176">
      <w:pPr>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699"/>
        <w:gridCol w:w="6088"/>
      </w:tblGrid>
      <w:tr w:rsidR="00844176" w:rsidRPr="00C136CD"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C136CD" w:rsidRDefault="00844176" w:rsidP="00871E2F">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V. Tiesību akta projekta atbilstība Latvijas Republikas starptautiskajām saistībām</w:t>
            </w:r>
          </w:p>
        </w:tc>
      </w:tr>
      <w:tr w:rsidR="003B2203" w:rsidRPr="009D4B8F" w14:paraId="17F7F902" w14:textId="77777777" w:rsidTr="00871E2F">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3B2203" w:rsidRPr="00C136CD" w:rsidRDefault="003B2203" w:rsidP="003B2203">
            <w:pPr>
              <w:rPr>
                <w:rFonts w:eastAsia="Times New Roman"/>
                <w:sz w:val="26"/>
                <w:szCs w:val="26"/>
                <w:lang w:val="lv-LV" w:eastAsia="lv-LV"/>
              </w:rPr>
            </w:pPr>
            <w:r w:rsidRPr="00C136CD">
              <w:rPr>
                <w:rFonts w:eastAsia="Times New Roman"/>
                <w:sz w:val="26"/>
                <w:szCs w:val="26"/>
                <w:lang w:val="lv-LV" w:eastAsia="lv-LV"/>
              </w:rPr>
              <w:t>1.</w:t>
            </w:r>
          </w:p>
        </w:tc>
        <w:tc>
          <w:tcPr>
            <w:tcW w:w="1466" w:type="pct"/>
            <w:tcBorders>
              <w:top w:val="outset" w:sz="6" w:space="0" w:color="414142"/>
              <w:left w:val="outset" w:sz="6" w:space="0" w:color="414142"/>
              <w:bottom w:val="outset" w:sz="6" w:space="0" w:color="414142"/>
              <w:right w:val="outset" w:sz="6" w:space="0" w:color="414142"/>
            </w:tcBorders>
            <w:hideMark/>
          </w:tcPr>
          <w:p w14:paraId="4D28CC95" w14:textId="77777777" w:rsidR="003B2203" w:rsidRPr="00C136CD" w:rsidRDefault="003B2203" w:rsidP="003B2203">
            <w:pPr>
              <w:jc w:val="both"/>
              <w:rPr>
                <w:rFonts w:eastAsia="Times New Roman"/>
                <w:sz w:val="26"/>
                <w:szCs w:val="26"/>
                <w:lang w:val="lv-LV" w:eastAsia="lv-LV"/>
              </w:rPr>
            </w:pPr>
            <w:r w:rsidRPr="00C136CD">
              <w:rPr>
                <w:rFonts w:eastAsia="Times New Roman"/>
                <w:sz w:val="26"/>
                <w:szCs w:val="26"/>
                <w:lang w:val="lv-LV" w:eastAsia="lv-LV"/>
              </w:rPr>
              <w:t>Saistības pret Eiropas Savienību</w:t>
            </w:r>
          </w:p>
        </w:tc>
        <w:tc>
          <w:tcPr>
            <w:tcW w:w="3307" w:type="pct"/>
            <w:tcBorders>
              <w:top w:val="outset" w:sz="6" w:space="0" w:color="414142"/>
              <w:left w:val="outset" w:sz="6" w:space="0" w:color="414142"/>
              <w:bottom w:val="outset" w:sz="6" w:space="0" w:color="414142"/>
              <w:right w:val="outset" w:sz="6" w:space="0" w:color="414142"/>
            </w:tcBorders>
            <w:hideMark/>
          </w:tcPr>
          <w:p w14:paraId="55CAC5A4" w14:textId="542B2C99" w:rsidR="00AA5063" w:rsidRPr="00AA5063" w:rsidRDefault="00AA5063" w:rsidP="003B2203">
            <w:pPr>
              <w:pStyle w:val="ListParagraph"/>
              <w:numPr>
                <w:ilvl w:val="0"/>
                <w:numId w:val="39"/>
              </w:numPr>
              <w:ind w:left="105" w:firstLine="252"/>
              <w:jc w:val="both"/>
              <w:rPr>
                <w:sz w:val="26"/>
                <w:szCs w:val="26"/>
                <w:lang w:val="lv-LV"/>
              </w:rPr>
            </w:pPr>
            <w:r w:rsidRPr="00AA5063">
              <w:rPr>
                <w:sz w:val="26"/>
                <w:szCs w:val="26"/>
                <w:lang w:val="lv-LV"/>
              </w:rPr>
              <w:t>Komisijas Paziņojum</w:t>
            </w:r>
            <w:r w:rsidR="00A325F5">
              <w:rPr>
                <w:sz w:val="26"/>
                <w:szCs w:val="26"/>
                <w:lang w:val="lv-LV"/>
              </w:rPr>
              <w:t>a</w:t>
            </w:r>
            <w:r w:rsidRPr="00AA5063">
              <w:rPr>
                <w:sz w:val="26"/>
                <w:szCs w:val="26"/>
                <w:lang w:val="lv-LV"/>
              </w:rPr>
              <w:t xml:space="preserve"> dalībvalstīm par Līguma par Eiropas Savienības darbību 107. un 108. panta </w:t>
            </w:r>
            <w:r w:rsidRPr="00AA5063">
              <w:rPr>
                <w:sz w:val="26"/>
                <w:szCs w:val="26"/>
                <w:lang w:val="lv-LV"/>
              </w:rPr>
              <w:lastRenderedPageBreak/>
              <w:t>piemērošanu īstermiņa eksporta kredīta apdrošināšanai  (2012/C 392/01)</w:t>
            </w:r>
            <w:r w:rsidR="00A325F5">
              <w:rPr>
                <w:sz w:val="26"/>
                <w:szCs w:val="26"/>
                <w:lang w:val="lv-LV"/>
              </w:rPr>
              <w:t xml:space="preserve"> 43.punkts</w:t>
            </w:r>
            <w:r>
              <w:rPr>
                <w:sz w:val="26"/>
                <w:szCs w:val="26"/>
                <w:lang w:val="lv-LV"/>
              </w:rPr>
              <w:t>;</w:t>
            </w:r>
          </w:p>
          <w:p w14:paraId="313D4E77" w14:textId="2D198447" w:rsidR="003B2203" w:rsidRPr="00043C33" w:rsidRDefault="005C71A2" w:rsidP="00043C33">
            <w:pPr>
              <w:pStyle w:val="ListParagraph"/>
              <w:numPr>
                <w:ilvl w:val="0"/>
                <w:numId w:val="39"/>
              </w:numPr>
              <w:ind w:left="105" w:firstLine="252"/>
              <w:jc w:val="both"/>
              <w:rPr>
                <w:sz w:val="26"/>
                <w:szCs w:val="26"/>
                <w:lang w:val="lv-LV"/>
              </w:rPr>
            </w:pPr>
            <w:r w:rsidRPr="005C71A2">
              <w:rPr>
                <w:sz w:val="26"/>
                <w:szCs w:val="26"/>
                <w:lang w:val="lv-LV"/>
              </w:rPr>
              <w:t>K</w:t>
            </w:r>
            <w:r>
              <w:rPr>
                <w:sz w:val="26"/>
                <w:szCs w:val="26"/>
                <w:lang w:val="lv-LV"/>
              </w:rPr>
              <w:t>omisijas Paziņojums</w:t>
            </w:r>
            <w:r w:rsidRPr="005C71A2">
              <w:rPr>
                <w:sz w:val="26"/>
                <w:szCs w:val="26"/>
                <w:lang w:val="lv-LV"/>
              </w:rPr>
              <w:t>, ar ko groza pielikumu Komisijas Paziņojumam dalībvalstīm par Līguma par Eiropas Savienības darbību 107. un 108. panta piemērošanu īstermiņa eksporta kredīta apdrošināšanai (2020/C 101 I/01)</w:t>
            </w:r>
          </w:p>
        </w:tc>
      </w:tr>
      <w:tr w:rsidR="003B2203" w:rsidRPr="00DD696D" w14:paraId="2BF33DFD" w14:textId="77777777" w:rsidTr="00871E2F">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3B2203" w:rsidRPr="00C136CD" w:rsidRDefault="003B2203" w:rsidP="003B2203">
            <w:pPr>
              <w:rPr>
                <w:rFonts w:eastAsia="Times New Roman"/>
                <w:sz w:val="26"/>
                <w:szCs w:val="26"/>
                <w:lang w:val="lv-LV" w:eastAsia="lv-LV"/>
              </w:rPr>
            </w:pPr>
            <w:r w:rsidRPr="00C136CD">
              <w:rPr>
                <w:rFonts w:eastAsia="Times New Roman"/>
                <w:sz w:val="26"/>
                <w:szCs w:val="26"/>
                <w:lang w:val="lv-LV" w:eastAsia="lv-LV"/>
              </w:rPr>
              <w:lastRenderedPageBreak/>
              <w:t>2.</w:t>
            </w:r>
          </w:p>
        </w:tc>
        <w:tc>
          <w:tcPr>
            <w:tcW w:w="1466" w:type="pct"/>
            <w:tcBorders>
              <w:top w:val="outset" w:sz="6" w:space="0" w:color="414142"/>
              <w:left w:val="outset" w:sz="6" w:space="0" w:color="414142"/>
              <w:bottom w:val="outset" w:sz="6" w:space="0" w:color="414142"/>
              <w:right w:val="outset" w:sz="6" w:space="0" w:color="414142"/>
            </w:tcBorders>
            <w:hideMark/>
          </w:tcPr>
          <w:p w14:paraId="0B74399D" w14:textId="77777777" w:rsidR="003B2203" w:rsidRPr="00C136CD" w:rsidRDefault="003B2203" w:rsidP="003B2203">
            <w:pPr>
              <w:jc w:val="both"/>
              <w:rPr>
                <w:rFonts w:eastAsia="Times New Roman"/>
                <w:sz w:val="26"/>
                <w:szCs w:val="26"/>
                <w:lang w:val="lv-LV" w:eastAsia="lv-LV"/>
              </w:rPr>
            </w:pPr>
            <w:r w:rsidRPr="00C136CD">
              <w:rPr>
                <w:rFonts w:eastAsia="Times New Roman"/>
                <w:sz w:val="26"/>
                <w:szCs w:val="26"/>
                <w:lang w:val="lv-LV" w:eastAsia="lv-LV"/>
              </w:rPr>
              <w:t>Citas starptautiskās saistības</w:t>
            </w:r>
          </w:p>
        </w:tc>
        <w:tc>
          <w:tcPr>
            <w:tcW w:w="3307" w:type="pct"/>
            <w:tcBorders>
              <w:top w:val="outset" w:sz="6" w:space="0" w:color="414142"/>
              <w:left w:val="outset" w:sz="6" w:space="0" w:color="414142"/>
              <w:bottom w:val="outset" w:sz="6" w:space="0" w:color="414142"/>
              <w:right w:val="outset" w:sz="6" w:space="0" w:color="414142"/>
            </w:tcBorders>
            <w:hideMark/>
          </w:tcPr>
          <w:p w14:paraId="04D2F44F" w14:textId="3944BCC2" w:rsidR="003B2203" w:rsidRPr="00C136CD" w:rsidRDefault="003B2203" w:rsidP="003B2203">
            <w:pPr>
              <w:jc w:val="both"/>
              <w:rPr>
                <w:rFonts w:eastAsia="Times New Roman"/>
                <w:sz w:val="26"/>
                <w:szCs w:val="26"/>
                <w:lang w:val="lv-LV" w:eastAsia="lv-LV"/>
              </w:rPr>
            </w:pPr>
            <w:r w:rsidRPr="006F4B13">
              <w:rPr>
                <w:rFonts w:eastAsia="Times New Roman"/>
                <w:sz w:val="26"/>
                <w:szCs w:val="26"/>
                <w:lang w:val="lv-LV" w:eastAsia="lv-LV"/>
              </w:rPr>
              <w:t>Projekts šo jomu neskar.</w:t>
            </w:r>
          </w:p>
        </w:tc>
      </w:tr>
      <w:tr w:rsidR="003B2203" w:rsidRPr="009D4B8F" w14:paraId="64229F4B" w14:textId="77777777" w:rsidTr="00871E2F">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3B2203" w:rsidRPr="00C136CD" w:rsidRDefault="003B2203" w:rsidP="003B2203">
            <w:pPr>
              <w:rPr>
                <w:rFonts w:eastAsia="Times New Roman"/>
                <w:sz w:val="26"/>
                <w:szCs w:val="26"/>
                <w:lang w:val="lv-LV" w:eastAsia="lv-LV"/>
              </w:rPr>
            </w:pPr>
            <w:r w:rsidRPr="00C136CD">
              <w:rPr>
                <w:rFonts w:eastAsia="Times New Roman"/>
                <w:sz w:val="26"/>
                <w:szCs w:val="26"/>
                <w:lang w:val="lv-LV" w:eastAsia="lv-LV"/>
              </w:rPr>
              <w:t>3.</w:t>
            </w:r>
          </w:p>
        </w:tc>
        <w:tc>
          <w:tcPr>
            <w:tcW w:w="1466" w:type="pct"/>
            <w:tcBorders>
              <w:top w:val="outset" w:sz="6" w:space="0" w:color="414142"/>
              <w:left w:val="outset" w:sz="6" w:space="0" w:color="414142"/>
              <w:bottom w:val="outset" w:sz="6" w:space="0" w:color="414142"/>
              <w:right w:val="outset" w:sz="6" w:space="0" w:color="414142"/>
            </w:tcBorders>
            <w:hideMark/>
          </w:tcPr>
          <w:p w14:paraId="19774E23" w14:textId="77777777" w:rsidR="003B2203" w:rsidRPr="00C136CD" w:rsidRDefault="003B2203" w:rsidP="003B2203">
            <w:pPr>
              <w:jc w:val="both"/>
              <w:rPr>
                <w:rFonts w:eastAsia="Times New Roman"/>
                <w:sz w:val="26"/>
                <w:szCs w:val="26"/>
                <w:lang w:val="lv-LV" w:eastAsia="lv-LV"/>
              </w:rPr>
            </w:pPr>
            <w:r w:rsidRPr="00C136CD">
              <w:rPr>
                <w:rFonts w:eastAsia="Times New Roman"/>
                <w:sz w:val="26"/>
                <w:szCs w:val="26"/>
                <w:lang w:val="lv-LV" w:eastAsia="lv-LV"/>
              </w:rPr>
              <w:t>Cita informācija</w:t>
            </w:r>
          </w:p>
        </w:tc>
        <w:tc>
          <w:tcPr>
            <w:tcW w:w="3307" w:type="pct"/>
            <w:tcBorders>
              <w:top w:val="outset" w:sz="6" w:space="0" w:color="414142"/>
              <w:left w:val="outset" w:sz="6" w:space="0" w:color="414142"/>
              <w:bottom w:val="outset" w:sz="6" w:space="0" w:color="414142"/>
              <w:right w:val="outset" w:sz="6" w:space="0" w:color="414142"/>
            </w:tcBorders>
            <w:hideMark/>
          </w:tcPr>
          <w:p w14:paraId="10FD6544" w14:textId="53F304A0" w:rsidR="003B2203" w:rsidRPr="003855AD" w:rsidRDefault="003855AD" w:rsidP="003855AD">
            <w:pPr>
              <w:jc w:val="both"/>
              <w:rPr>
                <w:rFonts w:eastAsia="Times New Roman"/>
                <w:sz w:val="26"/>
                <w:szCs w:val="26"/>
                <w:lang w:val="lv-LV" w:eastAsia="lv-LV"/>
              </w:rPr>
            </w:pPr>
            <w:r>
              <w:rPr>
                <w:sz w:val="26"/>
                <w:szCs w:val="26"/>
                <w:lang w:val="lv-LV"/>
              </w:rPr>
              <w:t>Ņ</w:t>
            </w:r>
            <w:r w:rsidRPr="003855AD">
              <w:rPr>
                <w:sz w:val="26"/>
                <w:szCs w:val="26"/>
                <w:lang w:val="lv-LV"/>
              </w:rPr>
              <w:t>emot vērā 2020.gada 27.martā E</w:t>
            </w:r>
            <w:r>
              <w:rPr>
                <w:sz w:val="26"/>
                <w:szCs w:val="26"/>
                <w:lang w:val="lv-LV"/>
              </w:rPr>
              <w:t xml:space="preserve">iropas </w:t>
            </w:r>
            <w:r w:rsidRPr="003855AD">
              <w:rPr>
                <w:sz w:val="26"/>
                <w:szCs w:val="26"/>
                <w:lang w:val="lv-LV"/>
              </w:rPr>
              <w:t>K</w:t>
            </w:r>
            <w:r>
              <w:rPr>
                <w:sz w:val="26"/>
                <w:szCs w:val="26"/>
                <w:lang w:val="lv-LV"/>
              </w:rPr>
              <w:t>omisijas</w:t>
            </w:r>
            <w:r w:rsidRPr="003855AD">
              <w:rPr>
                <w:sz w:val="26"/>
                <w:szCs w:val="26"/>
                <w:lang w:val="lv-LV"/>
              </w:rPr>
              <w:t xml:space="preserve"> pieņemtos grozījumus “Komisijas paziņojumam, ar ko groza pielikumu Komisijas paziņojumam dalībvalstīm par Eiropas Savienības darbību 107. un 108. panta piemērošanu īstermiņa eksporta kredīta apdrošināšanai” (2020/C 101 I/01), </w:t>
            </w:r>
            <w:r>
              <w:rPr>
                <w:sz w:val="26"/>
                <w:szCs w:val="26"/>
                <w:lang w:val="lv-LV"/>
              </w:rPr>
              <w:t>Noteikumu grozījumi</w:t>
            </w:r>
            <w:r w:rsidRPr="003855AD">
              <w:rPr>
                <w:sz w:val="26"/>
                <w:szCs w:val="26"/>
                <w:lang w:val="lv-LV"/>
              </w:rPr>
              <w:t xml:space="preserve"> nav jāpaziņo Eiropas Komisijai.</w:t>
            </w:r>
          </w:p>
        </w:tc>
      </w:tr>
    </w:tbl>
    <w:p w14:paraId="25CF5206" w14:textId="3A525C2C" w:rsidR="009B49EE" w:rsidRDefault="00844176" w:rsidP="00844176">
      <w:pPr>
        <w:rPr>
          <w:rFonts w:eastAsia="Times New Roman"/>
          <w:color w:val="000000"/>
          <w:sz w:val="26"/>
          <w:szCs w:val="26"/>
          <w:lang w:val="lv-LV" w:eastAsia="lv-LV"/>
        </w:rPr>
      </w:pPr>
      <w:r w:rsidRPr="00C136CD">
        <w:rPr>
          <w:rFonts w:eastAsia="Times New Roman"/>
          <w:color w:val="000000"/>
          <w:sz w:val="26"/>
          <w:szCs w:val="26"/>
          <w:lang w:val="lv-LV" w:eastAsia="lv-LV"/>
        </w:rPr>
        <w:t>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2263"/>
        <w:gridCol w:w="2264"/>
        <w:gridCol w:w="2264"/>
        <w:gridCol w:w="2415"/>
      </w:tblGrid>
      <w:tr w:rsidR="009B49EE" w:rsidRPr="009D4B8F" w14:paraId="5866BE9C" w14:textId="77777777" w:rsidTr="00943EBA">
        <w:trPr>
          <w:trHeight w:val="421"/>
        </w:trPr>
        <w:tc>
          <w:tcPr>
            <w:tcW w:w="9214" w:type="dxa"/>
            <w:gridSpan w:val="5"/>
            <w:tcBorders>
              <w:top w:val="single" w:sz="2" w:space="0" w:color="auto"/>
              <w:left w:val="single" w:sz="4" w:space="0" w:color="auto"/>
              <w:bottom w:val="single" w:sz="4" w:space="0" w:color="auto"/>
              <w:right w:val="single" w:sz="4" w:space="0" w:color="auto"/>
            </w:tcBorders>
            <w:shd w:val="clear" w:color="auto" w:fill="FFFFFF"/>
            <w:vAlign w:val="center"/>
          </w:tcPr>
          <w:p w14:paraId="0D823CE4" w14:textId="77777777" w:rsidR="009B49EE" w:rsidRPr="008202CC" w:rsidRDefault="009B49EE" w:rsidP="00267498">
            <w:pPr>
              <w:ind w:left="57" w:right="57"/>
              <w:jc w:val="center"/>
              <w:rPr>
                <w:rFonts w:eastAsia="Times New Roman"/>
                <w:b/>
                <w:sz w:val="25"/>
                <w:szCs w:val="25"/>
                <w:lang w:val="lv-LV"/>
              </w:rPr>
            </w:pPr>
            <w:r w:rsidRPr="008202CC">
              <w:rPr>
                <w:rFonts w:eastAsia="Times New Roman"/>
                <w:b/>
                <w:sz w:val="25"/>
                <w:szCs w:val="25"/>
                <w:lang w:val="lv-LV"/>
              </w:rPr>
              <w:t>1. tabula</w:t>
            </w:r>
            <w:r w:rsidRPr="008202CC">
              <w:rPr>
                <w:rFonts w:eastAsia="Times New Roman"/>
                <w:b/>
                <w:sz w:val="25"/>
                <w:szCs w:val="25"/>
                <w:lang w:val="lv-LV"/>
              </w:rPr>
              <w:br/>
              <w:t>Tiesību akta projekta atbilstība ES tiesību aktiem</w:t>
            </w:r>
          </w:p>
        </w:tc>
      </w:tr>
      <w:tr w:rsidR="009B49EE" w:rsidRPr="009D4B8F" w14:paraId="4CBDBADC" w14:textId="77777777" w:rsidTr="00943EB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gridBefore w:val="1"/>
          <w:wBefore w:w="8" w:type="dxa"/>
        </w:trPr>
        <w:tc>
          <w:tcPr>
            <w:tcW w:w="2263" w:type="dxa"/>
            <w:tcBorders>
              <w:top w:val="outset" w:sz="6" w:space="0" w:color="414142"/>
              <w:left w:val="outset" w:sz="6" w:space="0" w:color="414142"/>
              <w:bottom w:val="outset" w:sz="6" w:space="0" w:color="414142"/>
              <w:right w:val="outset" w:sz="6" w:space="0" w:color="414142"/>
            </w:tcBorders>
            <w:shd w:val="clear" w:color="auto" w:fill="FFFFFF"/>
            <w:hideMark/>
          </w:tcPr>
          <w:p w14:paraId="78AB40F5" w14:textId="77777777" w:rsidR="009B49EE" w:rsidRPr="0071492B" w:rsidRDefault="009B49EE" w:rsidP="00267498">
            <w:pPr>
              <w:pStyle w:val="naiskr"/>
              <w:spacing w:before="0" w:after="0"/>
              <w:jc w:val="both"/>
              <w:rPr>
                <w:sz w:val="26"/>
                <w:szCs w:val="26"/>
                <w:highlight w:val="yellow"/>
              </w:rPr>
            </w:pPr>
            <w:r w:rsidRPr="008202CC">
              <w:rPr>
                <w:sz w:val="26"/>
                <w:szCs w:val="26"/>
              </w:rPr>
              <w:t>Attiecīgā ES tiesību akta datums, numurs un nosaukums</w:t>
            </w:r>
          </w:p>
        </w:tc>
        <w:tc>
          <w:tcPr>
            <w:tcW w:w="6943" w:type="dxa"/>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CE7F27C" w14:textId="77777777" w:rsidR="009B49EE" w:rsidRPr="008202CC" w:rsidRDefault="009B49EE" w:rsidP="00267498">
            <w:pPr>
              <w:pStyle w:val="naiskr"/>
              <w:spacing w:before="0" w:after="0"/>
              <w:jc w:val="both"/>
              <w:rPr>
                <w:sz w:val="26"/>
                <w:szCs w:val="26"/>
              </w:rPr>
            </w:pPr>
            <w:r w:rsidRPr="008202CC">
              <w:rPr>
                <w:sz w:val="26"/>
                <w:szCs w:val="26"/>
              </w:rPr>
              <w:t>Ar Noteikumu projektu tiek ieviestas šādas Eiropas Savienības tiesību aktu prasības:</w:t>
            </w:r>
          </w:p>
          <w:p w14:paraId="494E6613" w14:textId="77777777" w:rsidR="009B49EE" w:rsidRPr="008202CC" w:rsidRDefault="009B49EE" w:rsidP="00267498">
            <w:pPr>
              <w:pStyle w:val="naiskr"/>
              <w:numPr>
                <w:ilvl w:val="0"/>
                <w:numId w:val="39"/>
              </w:numPr>
              <w:spacing w:before="0" w:after="0"/>
              <w:ind w:left="714" w:hanging="357"/>
              <w:jc w:val="both"/>
              <w:rPr>
                <w:sz w:val="26"/>
                <w:szCs w:val="26"/>
              </w:rPr>
            </w:pPr>
            <w:r w:rsidRPr="008202CC">
              <w:rPr>
                <w:sz w:val="26"/>
                <w:szCs w:val="26"/>
              </w:rPr>
              <w:t>Komisijas Paziņojumu dalībvalstīm par Līguma par Eiropas Savienības darbību 107. un 108. panta piemērošanu īstermiņa eksporta kredīta apdrošināšanai  (2012/C 392/01) (turpmāk - Komisijas Paziņojums 2012/C 392/01) 43.punkts;</w:t>
            </w:r>
          </w:p>
          <w:p w14:paraId="5FAEB760" w14:textId="77777777" w:rsidR="009B49EE" w:rsidRPr="008202CC" w:rsidRDefault="009B49EE" w:rsidP="00267498">
            <w:pPr>
              <w:pStyle w:val="naiskr"/>
              <w:numPr>
                <w:ilvl w:val="0"/>
                <w:numId w:val="39"/>
              </w:numPr>
              <w:spacing w:before="0" w:after="0"/>
              <w:ind w:left="714" w:hanging="357"/>
              <w:jc w:val="both"/>
              <w:rPr>
                <w:sz w:val="26"/>
                <w:szCs w:val="26"/>
              </w:rPr>
            </w:pPr>
            <w:r w:rsidRPr="008202CC">
              <w:rPr>
                <w:sz w:val="26"/>
                <w:szCs w:val="26"/>
              </w:rPr>
              <w:t>Komisijas Paziņojums, ar ko groza pielikumu Komisijas Paziņojumam dalībvalstīm par Līguma par Eiropas Savienības darbību 107. un 108. panta piemērošanu īstermiņa eksporta kredīta apdrošināšanai (2020/C 101 I/01) (turpmāk – Komisijas Paziņojums 2020/C 101 I/01)</w:t>
            </w:r>
          </w:p>
        </w:tc>
      </w:tr>
      <w:tr w:rsidR="009B49EE" w:rsidRPr="008202CC" w14:paraId="7212677E" w14:textId="77777777" w:rsidTr="00943EB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gridBefore w:val="1"/>
          <w:wBefore w:w="8" w:type="dxa"/>
        </w:trPr>
        <w:tc>
          <w:tcPr>
            <w:tcW w:w="2263" w:type="dxa"/>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25B673B9" w14:textId="77777777" w:rsidR="009B49EE" w:rsidRPr="008202CC" w:rsidRDefault="009B49EE" w:rsidP="00267498">
            <w:pPr>
              <w:jc w:val="center"/>
              <w:rPr>
                <w:rFonts w:eastAsia="Times New Roman"/>
                <w:sz w:val="26"/>
                <w:szCs w:val="26"/>
                <w:lang w:val="lv-LV" w:eastAsia="lv-LV"/>
              </w:rPr>
            </w:pPr>
            <w:r w:rsidRPr="008202CC">
              <w:rPr>
                <w:rFonts w:eastAsia="Times New Roman"/>
                <w:sz w:val="26"/>
                <w:szCs w:val="26"/>
                <w:lang w:val="lv-LV" w:eastAsia="lv-LV"/>
              </w:rPr>
              <w:t>A</w:t>
            </w:r>
          </w:p>
        </w:tc>
        <w:tc>
          <w:tcPr>
            <w:tcW w:w="2264" w:type="dxa"/>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638245F7" w14:textId="77777777" w:rsidR="009B49EE" w:rsidRPr="008202CC" w:rsidRDefault="009B49EE" w:rsidP="00267498">
            <w:pPr>
              <w:jc w:val="center"/>
              <w:rPr>
                <w:rFonts w:eastAsia="Times New Roman"/>
                <w:sz w:val="26"/>
                <w:szCs w:val="26"/>
                <w:lang w:val="lv-LV" w:eastAsia="lv-LV"/>
              </w:rPr>
            </w:pPr>
            <w:r w:rsidRPr="008202CC">
              <w:rPr>
                <w:rFonts w:eastAsia="Times New Roman"/>
                <w:sz w:val="26"/>
                <w:szCs w:val="26"/>
                <w:lang w:val="lv-LV" w:eastAsia="lv-LV"/>
              </w:rPr>
              <w:t>B</w:t>
            </w:r>
          </w:p>
        </w:tc>
        <w:tc>
          <w:tcPr>
            <w:tcW w:w="2264" w:type="dxa"/>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7C2F2B1" w14:textId="77777777" w:rsidR="009B49EE" w:rsidRPr="008202CC" w:rsidRDefault="009B49EE" w:rsidP="00267498">
            <w:pPr>
              <w:jc w:val="center"/>
              <w:rPr>
                <w:rFonts w:eastAsia="Times New Roman"/>
                <w:sz w:val="26"/>
                <w:szCs w:val="26"/>
                <w:lang w:val="lv-LV" w:eastAsia="lv-LV"/>
              </w:rPr>
            </w:pPr>
            <w:r w:rsidRPr="008202CC">
              <w:rPr>
                <w:rFonts w:eastAsia="Times New Roman"/>
                <w:sz w:val="26"/>
                <w:szCs w:val="26"/>
                <w:lang w:val="lv-LV" w:eastAsia="lv-LV"/>
              </w:rPr>
              <w:t>C</w:t>
            </w:r>
          </w:p>
        </w:tc>
        <w:tc>
          <w:tcPr>
            <w:tcW w:w="2415" w:type="dxa"/>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2CE54199" w14:textId="77777777" w:rsidR="009B49EE" w:rsidRPr="008202CC" w:rsidRDefault="009B49EE" w:rsidP="00267498">
            <w:pPr>
              <w:jc w:val="center"/>
              <w:rPr>
                <w:rFonts w:eastAsia="Times New Roman"/>
                <w:sz w:val="26"/>
                <w:szCs w:val="26"/>
                <w:lang w:val="lv-LV" w:eastAsia="lv-LV"/>
              </w:rPr>
            </w:pPr>
            <w:r w:rsidRPr="008202CC">
              <w:rPr>
                <w:rFonts w:eastAsia="Times New Roman"/>
                <w:sz w:val="26"/>
                <w:szCs w:val="26"/>
                <w:lang w:val="lv-LV" w:eastAsia="lv-LV"/>
              </w:rPr>
              <w:t>D</w:t>
            </w:r>
          </w:p>
        </w:tc>
      </w:tr>
      <w:tr w:rsidR="009B49EE" w:rsidRPr="008202CC" w14:paraId="3A46347F" w14:textId="77777777" w:rsidTr="00943EB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gridBefore w:val="1"/>
          <w:wBefore w:w="8" w:type="dxa"/>
        </w:trPr>
        <w:tc>
          <w:tcPr>
            <w:tcW w:w="2263" w:type="dxa"/>
            <w:tcBorders>
              <w:top w:val="single" w:sz="4" w:space="0" w:color="auto"/>
              <w:left w:val="outset" w:sz="6" w:space="0" w:color="414142"/>
              <w:bottom w:val="single" w:sz="4" w:space="0" w:color="auto"/>
              <w:right w:val="outset" w:sz="6" w:space="0" w:color="414142"/>
            </w:tcBorders>
            <w:shd w:val="clear" w:color="auto" w:fill="FFFFFF"/>
          </w:tcPr>
          <w:p w14:paraId="47192F9B" w14:textId="77777777" w:rsidR="009B49EE" w:rsidRPr="008202CC" w:rsidRDefault="009B49EE" w:rsidP="00267498">
            <w:pPr>
              <w:rPr>
                <w:i/>
                <w:iCs/>
                <w:sz w:val="24"/>
                <w:szCs w:val="24"/>
                <w:lang w:val="lv-LV"/>
              </w:rPr>
            </w:pPr>
            <w:proofErr w:type="spellStart"/>
            <w:r w:rsidRPr="008202CC">
              <w:rPr>
                <w:sz w:val="26"/>
                <w:szCs w:val="26"/>
              </w:rPr>
              <w:t>Komisijas</w:t>
            </w:r>
            <w:proofErr w:type="spellEnd"/>
            <w:r w:rsidRPr="008202CC">
              <w:rPr>
                <w:sz w:val="26"/>
                <w:szCs w:val="26"/>
              </w:rPr>
              <w:t xml:space="preserve"> </w:t>
            </w:r>
            <w:proofErr w:type="spellStart"/>
            <w:r w:rsidRPr="008202CC">
              <w:rPr>
                <w:sz w:val="26"/>
                <w:szCs w:val="26"/>
              </w:rPr>
              <w:t>Paziņojuma</w:t>
            </w:r>
            <w:proofErr w:type="spellEnd"/>
            <w:r w:rsidRPr="008202CC">
              <w:rPr>
                <w:sz w:val="26"/>
                <w:szCs w:val="26"/>
              </w:rPr>
              <w:t xml:space="preserve"> </w:t>
            </w:r>
            <w:r w:rsidRPr="008202CC">
              <w:rPr>
                <w:sz w:val="26"/>
                <w:szCs w:val="26"/>
                <w:lang w:val="lv-LV"/>
              </w:rPr>
              <w:t xml:space="preserve">2012/C 392/01 </w:t>
            </w:r>
            <w:proofErr w:type="gramStart"/>
            <w:r w:rsidRPr="008202CC">
              <w:rPr>
                <w:sz w:val="26"/>
                <w:szCs w:val="26"/>
                <w:lang w:val="lv-LV"/>
              </w:rPr>
              <w:t>20.punkts</w:t>
            </w:r>
            <w:proofErr w:type="gramEnd"/>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2C441744" w14:textId="77777777" w:rsidR="009B49EE" w:rsidRPr="008202CC" w:rsidRDefault="009B49EE" w:rsidP="00267498">
            <w:pPr>
              <w:rPr>
                <w:sz w:val="26"/>
                <w:szCs w:val="26"/>
              </w:rPr>
            </w:pPr>
            <w:proofErr w:type="spellStart"/>
            <w:r w:rsidRPr="008202CC">
              <w:rPr>
                <w:sz w:val="26"/>
                <w:szCs w:val="26"/>
              </w:rPr>
              <w:t>Noteikumu</w:t>
            </w:r>
            <w:proofErr w:type="spellEnd"/>
            <w:r w:rsidRPr="008202CC">
              <w:rPr>
                <w:sz w:val="26"/>
                <w:szCs w:val="26"/>
              </w:rPr>
              <w:t xml:space="preserve"> 12., 13., </w:t>
            </w:r>
            <w:proofErr w:type="gramStart"/>
            <w:r w:rsidRPr="008202CC">
              <w:rPr>
                <w:sz w:val="26"/>
                <w:szCs w:val="26"/>
              </w:rPr>
              <w:t>14.punkts</w:t>
            </w:r>
            <w:proofErr w:type="gramEnd"/>
          </w:p>
          <w:p w14:paraId="4B3D49E5" w14:textId="77777777" w:rsidR="009B49EE" w:rsidRPr="008202CC" w:rsidRDefault="009B49EE" w:rsidP="00267498">
            <w:pPr>
              <w:rPr>
                <w:i/>
                <w:iCs/>
                <w:sz w:val="24"/>
                <w:szCs w:val="24"/>
                <w:lang w:val="lv-LV"/>
              </w:rPr>
            </w:pP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0948A6E5" w14:textId="77777777" w:rsidR="009B49EE" w:rsidRPr="008202CC" w:rsidRDefault="009B49EE" w:rsidP="00267498">
            <w:pPr>
              <w:rPr>
                <w:i/>
                <w:iCs/>
                <w:sz w:val="24"/>
                <w:szCs w:val="24"/>
                <w:lang w:val="lv-LV"/>
              </w:rPr>
            </w:pPr>
            <w:r w:rsidRPr="008202CC">
              <w:rPr>
                <w:i/>
                <w:iCs/>
                <w:sz w:val="24"/>
                <w:szCs w:val="24"/>
                <w:lang w:val="lv-LV"/>
              </w:rPr>
              <w:t>Ieviests pilnībā</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4337445B" w14:textId="77777777" w:rsidR="009B49EE" w:rsidRPr="008202CC" w:rsidRDefault="009B49EE" w:rsidP="00267498">
            <w:pPr>
              <w:rPr>
                <w:i/>
                <w:iCs/>
                <w:sz w:val="24"/>
                <w:szCs w:val="24"/>
                <w:lang w:val="lv-LV"/>
              </w:rPr>
            </w:pPr>
            <w:r w:rsidRPr="008202CC">
              <w:rPr>
                <w:i/>
                <w:iCs/>
                <w:sz w:val="24"/>
                <w:szCs w:val="24"/>
                <w:lang w:val="lv-LV"/>
              </w:rPr>
              <w:t>Neparedz stingrākas prasības.</w:t>
            </w:r>
          </w:p>
        </w:tc>
      </w:tr>
      <w:tr w:rsidR="009B49EE" w:rsidRPr="008202CC" w14:paraId="27CAB61F" w14:textId="77777777" w:rsidTr="00943EB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gridBefore w:val="1"/>
          <w:wBefore w:w="8" w:type="dxa"/>
        </w:trPr>
        <w:tc>
          <w:tcPr>
            <w:tcW w:w="2263" w:type="dxa"/>
            <w:tcBorders>
              <w:top w:val="single" w:sz="4" w:space="0" w:color="auto"/>
              <w:left w:val="outset" w:sz="6" w:space="0" w:color="414142"/>
              <w:bottom w:val="single" w:sz="4" w:space="0" w:color="auto"/>
              <w:right w:val="outset" w:sz="6" w:space="0" w:color="414142"/>
            </w:tcBorders>
            <w:shd w:val="clear" w:color="auto" w:fill="FFFFFF"/>
          </w:tcPr>
          <w:p w14:paraId="3258B305" w14:textId="77777777" w:rsidR="009B49EE" w:rsidRPr="008202CC" w:rsidRDefault="009B49EE" w:rsidP="00267498">
            <w:pPr>
              <w:rPr>
                <w:rFonts w:ascii="Century Gothic" w:hAnsi="Century Gothic"/>
                <w:sz w:val="22"/>
                <w:szCs w:val="22"/>
              </w:rPr>
            </w:pPr>
            <w:proofErr w:type="spellStart"/>
            <w:r w:rsidRPr="008202CC">
              <w:rPr>
                <w:sz w:val="26"/>
                <w:szCs w:val="26"/>
              </w:rPr>
              <w:t>Komisijas</w:t>
            </w:r>
            <w:proofErr w:type="spellEnd"/>
            <w:r w:rsidRPr="008202CC">
              <w:rPr>
                <w:sz w:val="26"/>
                <w:szCs w:val="26"/>
              </w:rPr>
              <w:t xml:space="preserve"> </w:t>
            </w:r>
            <w:proofErr w:type="spellStart"/>
            <w:r w:rsidRPr="008202CC">
              <w:rPr>
                <w:sz w:val="26"/>
                <w:szCs w:val="26"/>
              </w:rPr>
              <w:t>Paziņojuma</w:t>
            </w:r>
            <w:proofErr w:type="spellEnd"/>
            <w:r w:rsidRPr="008202CC">
              <w:rPr>
                <w:sz w:val="26"/>
                <w:szCs w:val="26"/>
              </w:rPr>
              <w:t xml:space="preserve"> </w:t>
            </w:r>
            <w:r w:rsidRPr="008202CC">
              <w:rPr>
                <w:sz w:val="26"/>
                <w:szCs w:val="26"/>
                <w:lang w:val="lv-LV"/>
              </w:rPr>
              <w:t>2012/C 392/01 21. un 22.punkts</w:t>
            </w: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0FD89A37" w14:textId="77777777" w:rsidR="009B49EE" w:rsidRPr="008202CC" w:rsidRDefault="009B49EE" w:rsidP="00267498">
            <w:pPr>
              <w:rPr>
                <w:sz w:val="26"/>
                <w:szCs w:val="26"/>
              </w:rPr>
            </w:pPr>
            <w:proofErr w:type="spellStart"/>
            <w:r w:rsidRPr="008202CC">
              <w:rPr>
                <w:sz w:val="26"/>
                <w:szCs w:val="26"/>
              </w:rPr>
              <w:t>Noteikumu</w:t>
            </w:r>
            <w:proofErr w:type="spellEnd"/>
            <w:r w:rsidRPr="008202CC">
              <w:rPr>
                <w:sz w:val="26"/>
                <w:szCs w:val="26"/>
              </w:rPr>
              <w:t xml:space="preserve"> </w:t>
            </w:r>
            <w:proofErr w:type="gramStart"/>
            <w:r w:rsidRPr="008202CC">
              <w:rPr>
                <w:sz w:val="26"/>
                <w:szCs w:val="26"/>
              </w:rPr>
              <w:t>15.punkts</w:t>
            </w:r>
            <w:proofErr w:type="gramEnd"/>
          </w:p>
          <w:p w14:paraId="03A0E9D4" w14:textId="77777777" w:rsidR="009B49EE" w:rsidRPr="008202CC" w:rsidRDefault="009B49EE" w:rsidP="00267498">
            <w:pPr>
              <w:rPr>
                <w:i/>
                <w:iCs/>
                <w:sz w:val="24"/>
                <w:szCs w:val="24"/>
                <w:lang w:val="lv-LV"/>
              </w:rPr>
            </w:pP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4F37262F" w14:textId="77777777" w:rsidR="009B49EE" w:rsidRPr="008202CC" w:rsidRDefault="009B49EE" w:rsidP="00267498">
            <w:pPr>
              <w:rPr>
                <w:i/>
                <w:iCs/>
                <w:sz w:val="24"/>
                <w:szCs w:val="24"/>
                <w:lang w:val="lv-LV"/>
              </w:rPr>
            </w:pPr>
            <w:r w:rsidRPr="008202CC">
              <w:rPr>
                <w:i/>
                <w:iCs/>
                <w:sz w:val="24"/>
                <w:szCs w:val="24"/>
                <w:lang w:val="lv-LV"/>
              </w:rPr>
              <w:t>Ieviests pilnībā</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11C0AD72" w14:textId="77777777" w:rsidR="009B49EE" w:rsidRPr="008202CC" w:rsidRDefault="009B49EE" w:rsidP="00267498">
            <w:pPr>
              <w:rPr>
                <w:i/>
                <w:iCs/>
                <w:sz w:val="24"/>
                <w:szCs w:val="24"/>
                <w:lang w:val="lv-LV"/>
              </w:rPr>
            </w:pPr>
            <w:r w:rsidRPr="008202CC">
              <w:rPr>
                <w:i/>
                <w:iCs/>
                <w:sz w:val="24"/>
                <w:szCs w:val="24"/>
                <w:lang w:val="lv-LV"/>
              </w:rPr>
              <w:t>Neparedz stingrākas prasības.</w:t>
            </w:r>
          </w:p>
        </w:tc>
      </w:tr>
      <w:tr w:rsidR="009B49EE" w:rsidRPr="008202CC" w14:paraId="4D7CC137" w14:textId="77777777" w:rsidTr="00943EB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gridBefore w:val="1"/>
          <w:wBefore w:w="8" w:type="dxa"/>
        </w:trPr>
        <w:tc>
          <w:tcPr>
            <w:tcW w:w="2263" w:type="dxa"/>
            <w:tcBorders>
              <w:top w:val="single" w:sz="4" w:space="0" w:color="auto"/>
              <w:left w:val="outset" w:sz="6" w:space="0" w:color="414142"/>
              <w:bottom w:val="single" w:sz="4" w:space="0" w:color="auto"/>
              <w:right w:val="outset" w:sz="6" w:space="0" w:color="414142"/>
            </w:tcBorders>
            <w:shd w:val="clear" w:color="auto" w:fill="FFFFFF"/>
          </w:tcPr>
          <w:p w14:paraId="26B99695" w14:textId="77777777" w:rsidR="009B49EE" w:rsidRPr="008202CC" w:rsidRDefault="009B49EE" w:rsidP="00267498">
            <w:pPr>
              <w:rPr>
                <w:i/>
                <w:iCs/>
                <w:sz w:val="24"/>
                <w:szCs w:val="24"/>
                <w:lang w:val="lv-LV"/>
              </w:rPr>
            </w:pPr>
            <w:proofErr w:type="spellStart"/>
            <w:r w:rsidRPr="008202CC">
              <w:rPr>
                <w:sz w:val="26"/>
                <w:szCs w:val="26"/>
              </w:rPr>
              <w:t>Komisijas</w:t>
            </w:r>
            <w:proofErr w:type="spellEnd"/>
            <w:r w:rsidRPr="008202CC">
              <w:rPr>
                <w:sz w:val="26"/>
                <w:szCs w:val="26"/>
              </w:rPr>
              <w:t xml:space="preserve"> </w:t>
            </w:r>
            <w:proofErr w:type="spellStart"/>
            <w:r w:rsidRPr="008202CC">
              <w:rPr>
                <w:sz w:val="26"/>
                <w:szCs w:val="26"/>
              </w:rPr>
              <w:t>Paziņojuma</w:t>
            </w:r>
            <w:proofErr w:type="spellEnd"/>
            <w:r w:rsidRPr="008202CC">
              <w:rPr>
                <w:sz w:val="26"/>
                <w:szCs w:val="26"/>
              </w:rPr>
              <w:t xml:space="preserve"> </w:t>
            </w:r>
            <w:r w:rsidRPr="008202CC">
              <w:rPr>
                <w:sz w:val="26"/>
                <w:szCs w:val="26"/>
                <w:lang w:val="lv-LV"/>
              </w:rPr>
              <w:t xml:space="preserve">2012/C 392/01 </w:t>
            </w:r>
            <w:r w:rsidRPr="008202CC">
              <w:rPr>
                <w:sz w:val="26"/>
                <w:szCs w:val="26"/>
              </w:rPr>
              <w:t xml:space="preserve">23., 24., </w:t>
            </w:r>
            <w:proofErr w:type="gramStart"/>
            <w:r w:rsidRPr="008202CC">
              <w:rPr>
                <w:sz w:val="26"/>
                <w:szCs w:val="26"/>
              </w:rPr>
              <w:t>25.punkts</w:t>
            </w:r>
            <w:proofErr w:type="gramEnd"/>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38D2AB5F" w14:textId="77777777" w:rsidR="009B49EE" w:rsidRPr="008202CC" w:rsidRDefault="009B49EE" w:rsidP="00267498">
            <w:pPr>
              <w:rPr>
                <w:sz w:val="26"/>
                <w:szCs w:val="26"/>
              </w:rPr>
            </w:pPr>
            <w:proofErr w:type="spellStart"/>
            <w:r w:rsidRPr="008202CC">
              <w:rPr>
                <w:sz w:val="26"/>
                <w:szCs w:val="26"/>
              </w:rPr>
              <w:t>Noteikumu</w:t>
            </w:r>
            <w:proofErr w:type="spellEnd"/>
            <w:r w:rsidRPr="008202CC">
              <w:rPr>
                <w:sz w:val="26"/>
                <w:szCs w:val="26"/>
              </w:rPr>
              <w:t xml:space="preserve"> </w:t>
            </w:r>
            <w:proofErr w:type="gramStart"/>
            <w:r w:rsidRPr="008202CC">
              <w:rPr>
                <w:sz w:val="26"/>
                <w:szCs w:val="26"/>
              </w:rPr>
              <w:t>19.punkts</w:t>
            </w:r>
            <w:proofErr w:type="gramEnd"/>
            <w:r w:rsidRPr="008202CC">
              <w:rPr>
                <w:sz w:val="26"/>
                <w:szCs w:val="26"/>
              </w:rPr>
              <w:t xml:space="preserve"> - </w:t>
            </w:r>
          </w:p>
          <w:p w14:paraId="05051BCE" w14:textId="77777777" w:rsidR="009B49EE" w:rsidRPr="008202CC" w:rsidRDefault="009B49EE" w:rsidP="00267498">
            <w:pPr>
              <w:rPr>
                <w:rFonts w:ascii="Century Gothic" w:eastAsiaTheme="minorHAnsi" w:hAnsi="Century Gothic"/>
                <w:sz w:val="22"/>
                <w:szCs w:val="22"/>
                <w:lang w:val="lv-LV"/>
              </w:rPr>
            </w:pPr>
            <w:r w:rsidRPr="008202CC">
              <w:rPr>
                <w:sz w:val="26"/>
                <w:szCs w:val="26"/>
              </w:rPr>
              <w:t xml:space="preserve">EK </w:t>
            </w:r>
            <w:proofErr w:type="spellStart"/>
            <w:r w:rsidRPr="008202CC">
              <w:rPr>
                <w:sz w:val="26"/>
                <w:szCs w:val="26"/>
              </w:rPr>
              <w:t>lēmuma</w:t>
            </w:r>
            <w:proofErr w:type="spellEnd"/>
            <w:r w:rsidRPr="008202CC">
              <w:rPr>
                <w:sz w:val="26"/>
                <w:szCs w:val="26"/>
              </w:rPr>
              <w:t xml:space="preserve"> - </w:t>
            </w:r>
            <w:proofErr w:type="spellStart"/>
            <w:r w:rsidRPr="008202CC">
              <w:rPr>
                <w:sz w:val="26"/>
                <w:szCs w:val="26"/>
              </w:rPr>
              <w:t>valsts</w:t>
            </w:r>
            <w:proofErr w:type="spellEnd"/>
            <w:r w:rsidRPr="008202CC">
              <w:rPr>
                <w:sz w:val="26"/>
                <w:szCs w:val="26"/>
              </w:rPr>
              <w:t xml:space="preserve"> </w:t>
            </w:r>
            <w:proofErr w:type="spellStart"/>
            <w:r w:rsidRPr="008202CC">
              <w:rPr>
                <w:sz w:val="26"/>
                <w:szCs w:val="26"/>
              </w:rPr>
              <w:t>atbalsts</w:t>
            </w:r>
            <w:proofErr w:type="spellEnd"/>
            <w:r w:rsidRPr="008202CC">
              <w:rPr>
                <w:sz w:val="26"/>
                <w:szCs w:val="26"/>
              </w:rPr>
              <w:t xml:space="preserve"> SA.47233 (2017/N) – </w:t>
            </w:r>
            <w:proofErr w:type="spellStart"/>
            <w:proofErr w:type="gramStart"/>
            <w:r w:rsidRPr="008202CC">
              <w:rPr>
                <w:sz w:val="26"/>
                <w:szCs w:val="26"/>
              </w:rPr>
              <w:t>Latvija</w:t>
            </w:r>
            <w:proofErr w:type="spellEnd"/>
            <w:r w:rsidRPr="008202CC">
              <w:rPr>
                <w:sz w:val="26"/>
                <w:szCs w:val="26"/>
              </w:rPr>
              <w:t xml:space="preserve">  28</w:t>
            </w:r>
            <w:proofErr w:type="gramEnd"/>
            <w:r w:rsidRPr="008202CC">
              <w:rPr>
                <w:sz w:val="26"/>
                <w:szCs w:val="26"/>
              </w:rPr>
              <w:t>., 29., 30., 31.punkts</w:t>
            </w: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30085B78" w14:textId="77777777" w:rsidR="009B49EE" w:rsidRPr="008202CC" w:rsidRDefault="009B49EE" w:rsidP="00267498">
            <w:pPr>
              <w:rPr>
                <w:i/>
                <w:iCs/>
                <w:sz w:val="24"/>
                <w:szCs w:val="24"/>
                <w:lang w:val="lv-LV"/>
              </w:rPr>
            </w:pPr>
            <w:r w:rsidRPr="008202CC">
              <w:rPr>
                <w:i/>
                <w:iCs/>
                <w:sz w:val="24"/>
                <w:szCs w:val="24"/>
                <w:lang w:val="lv-LV"/>
              </w:rPr>
              <w:t>Ieviests pilnībā</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4BA9D5D2" w14:textId="77777777" w:rsidR="009B49EE" w:rsidRPr="008202CC" w:rsidRDefault="009B49EE" w:rsidP="00267498">
            <w:pPr>
              <w:rPr>
                <w:i/>
                <w:iCs/>
                <w:sz w:val="24"/>
                <w:szCs w:val="24"/>
                <w:lang w:val="lv-LV"/>
              </w:rPr>
            </w:pPr>
            <w:r w:rsidRPr="008202CC">
              <w:rPr>
                <w:i/>
                <w:iCs/>
                <w:sz w:val="24"/>
                <w:szCs w:val="24"/>
                <w:lang w:val="lv-LV"/>
              </w:rPr>
              <w:t>Neparedz stingrākas prasības.</w:t>
            </w:r>
          </w:p>
        </w:tc>
      </w:tr>
      <w:tr w:rsidR="009B49EE" w:rsidRPr="008202CC" w14:paraId="515FEBE1" w14:textId="77777777" w:rsidTr="00943EB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gridBefore w:val="1"/>
          <w:wBefore w:w="8" w:type="dxa"/>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60D3259" w14:textId="77777777" w:rsidR="009B49EE" w:rsidRPr="008202CC" w:rsidRDefault="009B49EE" w:rsidP="00267498">
            <w:pPr>
              <w:rPr>
                <w:rFonts w:ascii="Century Gothic" w:eastAsiaTheme="minorHAnsi" w:hAnsi="Century Gothic"/>
                <w:sz w:val="22"/>
                <w:szCs w:val="22"/>
                <w:lang w:val="lv-LV"/>
              </w:rPr>
            </w:pPr>
            <w:proofErr w:type="spellStart"/>
            <w:r w:rsidRPr="008202CC">
              <w:rPr>
                <w:sz w:val="26"/>
                <w:szCs w:val="26"/>
              </w:rPr>
              <w:lastRenderedPageBreak/>
              <w:t>Komisijas</w:t>
            </w:r>
            <w:proofErr w:type="spellEnd"/>
            <w:r w:rsidRPr="008202CC">
              <w:rPr>
                <w:sz w:val="26"/>
                <w:szCs w:val="26"/>
              </w:rPr>
              <w:t xml:space="preserve"> </w:t>
            </w:r>
            <w:proofErr w:type="spellStart"/>
            <w:r w:rsidRPr="008202CC">
              <w:rPr>
                <w:sz w:val="26"/>
                <w:szCs w:val="26"/>
              </w:rPr>
              <w:t>Paziņojuma</w:t>
            </w:r>
            <w:proofErr w:type="spellEnd"/>
            <w:r w:rsidRPr="008202CC">
              <w:rPr>
                <w:sz w:val="26"/>
                <w:szCs w:val="26"/>
              </w:rPr>
              <w:t xml:space="preserve"> </w:t>
            </w:r>
            <w:r w:rsidRPr="008202CC">
              <w:rPr>
                <w:sz w:val="26"/>
                <w:szCs w:val="26"/>
                <w:lang w:val="lv-LV"/>
              </w:rPr>
              <w:t xml:space="preserve">2012/C 392/01 </w:t>
            </w:r>
            <w:proofErr w:type="gramStart"/>
            <w:r w:rsidRPr="008202CC">
              <w:rPr>
                <w:sz w:val="26"/>
                <w:szCs w:val="26"/>
                <w:lang w:val="lv-LV"/>
              </w:rPr>
              <w:t>26.punkts</w:t>
            </w:r>
            <w:proofErr w:type="gramEnd"/>
          </w:p>
          <w:p w14:paraId="0351523C" w14:textId="77777777" w:rsidR="009B49EE" w:rsidRPr="0071492B" w:rsidRDefault="009B49EE" w:rsidP="00267498">
            <w:pPr>
              <w:rPr>
                <w:i/>
                <w:iCs/>
                <w:sz w:val="24"/>
                <w:szCs w:val="24"/>
                <w:highlight w:val="yellow"/>
                <w:lang w:val="lv-LV"/>
              </w:rPr>
            </w:pP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61CC695D" w14:textId="77777777" w:rsidR="009B49EE" w:rsidRPr="008202CC" w:rsidRDefault="009B49EE" w:rsidP="00267498">
            <w:pPr>
              <w:rPr>
                <w:i/>
                <w:iCs/>
                <w:sz w:val="24"/>
                <w:szCs w:val="24"/>
                <w:lang w:val="lv-LV"/>
              </w:rPr>
            </w:pPr>
            <w:proofErr w:type="spellStart"/>
            <w:r w:rsidRPr="008202CC">
              <w:rPr>
                <w:sz w:val="26"/>
                <w:szCs w:val="26"/>
              </w:rPr>
              <w:t>Noteikumu</w:t>
            </w:r>
            <w:proofErr w:type="spellEnd"/>
            <w:r w:rsidRPr="008202CC">
              <w:rPr>
                <w:sz w:val="26"/>
                <w:szCs w:val="26"/>
              </w:rPr>
              <w:t xml:space="preserve"> </w:t>
            </w:r>
            <w:proofErr w:type="gramStart"/>
            <w:r w:rsidRPr="008202CC">
              <w:rPr>
                <w:sz w:val="26"/>
                <w:szCs w:val="26"/>
              </w:rPr>
              <w:t>17.punkts</w:t>
            </w:r>
            <w:proofErr w:type="gramEnd"/>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79F2FD02" w14:textId="77777777" w:rsidR="009B49EE" w:rsidRPr="008202CC" w:rsidRDefault="009B49EE" w:rsidP="00267498">
            <w:pPr>
              <w:rPr>
                <w:i/>
                <w:iCs/>
                <w:sz w:val="24"/>
                <w:szCs w:val="24"/>
                <w:lang w:val="lv-LV"/>
              </w:rPr>
            </w:pPr>
            <w:r w:rsidRPr="008202CC">
              <w:rPr>
                <w:i/>
                <w:iCs/>
                <w:sz w:val="24"/>
                <w:szCs w:val="24"/>
                <w:lang w:val="lv-LV"/>
              </w:rPr>
              <w:t>Ieviests pilnībā</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79E13FF7" w14:textId="77777777" w:rsidR="009B49EE" w:rsidRPr="008202CC" w:rsidRDefault="009B49EE" w:rsidP="00267498">
            <w:pPr>
              <w:rPr>
                <w:i/>
                <w:iCs/>
                <w:sz w:val="24"/>
                <w:szCs w:val="24"/>
                <w:lang w:val="lv-LV"/>
              </w:rPr>
            </w:pPr>
            <w:r w:rsidRPr="008202CC">
              <w:rPr>
                <w:i/>
                <w:iCs/>
                <w:sz w:val="24"/>
                <w:szCs w:val="24"/>
                <w:lang w:val="lv-LV"/>
              </w:rPr>
              <w:t>Neparedz stingrākas prasības.</w:t>
            </w:r>
          </w:p>
        </w:tc>
      </w:tr>
      <w:tr w:rsidR="009B49EE" w:rsidRPr="008202CC" w14:paraId="772F3B54" w14:textId="77777777" w:rsidTr="00943EB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gridBefore w:val="1"/>
          <w:wBefore w:w="8" w:type="dxa"/>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67E8E809" w14:textId="77777777" w:rsidR="009B49EE" w:rsidRPr="008202CC" w:rsidRDefault="009B49EE" w:rsidP="00267498">
            <w:pPr>
              <w:rPr>
                <w:rFonts w:ascii="Century Gothic" w:eastAsiaTheme="minorHAnsi" w:hAnsi="Century Gothic"/>
                <w:sz w:val="22"/>
                <w:szCs w:val="22"/>
                <w:lang w:val="lv-LV"/>
              </w:rPr>
            </w:pPr>
            <w:proofErr w:type="spellStart"/>
            <w:r w:rsidRPr="008202CC">
              <w:rPr>
                <w:sz w:val="26"/>
                <w:szCs w:val="26"/>
              </w:rPr>
              <w:t>Komisijas</w:t>
            </w:r>
            <w:proofErr w:type="spellEnd"/>
            <w:r w:rsidRPr="008202CC">
              <w:rPr>
                <w:sz w:val="26"/>
                <w:szCs w:val="26"/>
              </w:rPr>
              <w:t xml:space="preserve"> </w:t>
            </w:r>
            <w:proofErr w:type="spellStart"/>
            <w:r w:rsidRPr="008202CC">
              <w:rPr>
                <w:sz w:val="26"/>
                <w:szCs w:val="26"/>
              </w:rPr>
              <w:t>Paziņojuma</w:t>
            </w:r>
            <w:proofErr w:type="spellEnd"/>
            <w:r w:rsidRPr="008202CC">
              <w:rPr>
                <w:sz w:val="26"/>
                <w:szCs w:val="26"/>
              </w:rPr>
              <w:t xml:space="preserve"> </w:t>
            </w:r>
            <w:r w:rsidRPr="008202CC">
              <w:rPr>
                <w:sz w:val="26"/>
                <w:szCs w:val="26"/>
                <w:lang w:val="lv-LV"/>
              </w:rPr>
              <w:t>2012/C 392/01 27. un 28.punkts</w:t>
            </w: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6D1A7E2E" w14:textId="77777777" w:rsidR="009B49EE" w:rsidRPr="008202CC" w:rsidRDefault="009B49EE" w:rsidP="00267498">
            <w:pPr>
              <w:rPr>
                <w:i/>
                <w:iCs/>
                <w:color w:val="000000"/>
                <w:sz w:val="24"/>
                <w:szCs w:val="24"/>
                <w:lang w:val="lv-LV"/>
              </w:rPr>
            </w:pPr>
            <w:proofErr w:type="spellStart"/>
            <w:r w:rsidRPr="008202CC">
              <w:rPr>
                <w:sz w:val="26"/>
                <w:szCs w:val="26"/>
              </w:rPr>
              <w:t>Noteikumu</w:t>
            </w:r>
            <w:proofErr w:type="spellEnd"/>
            <w:r w:rsidRPr="008202CC">
              <w:rPr>
                <w:sz w:val="26"/>
                <w:szCs w:val="26"/>
              </w:rPr>
              <w:t xml:space="preserve"> </w:t>
            </w:r>
            <w:proofErr w:type="gramStart"/>
            <w:r w:rsidRPr="008202CC">
              <w:rPr>
                <w:sz w:val="26"/>
                <w:szCs w:val="26"/>
              </w:rPr>
              <w:t>18.punkts</w:t>
            </w:r>
            <w:proofErr w:type="gramEnd"/>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2C678D8B" w14:textId="77777777" w:rsidR="009B49EE" w:rsidRPr="008202CC" w:rsidRDefault="009B49EE" w:rsidP="00267498">
            <w:pPr>
              <w:rPr>
                <w:i/>
                <w:iCs/>
                <w:color w:val="000000"/>
                <w:sz w:val="24"/>
                <w:szCs w:val="24"/>
                <w:lang w:val="lv-LV"/>
              </w:rPr>
            </w:pPr>
            <w:r w:rsidRPr="008202CC">
              <w:rPr>
                <w:i/>
                <w:iCs/>
                <w:color w:val="000000"/>
                <w:sz w:val="24"/>
                <w:szCs w:val="24"/>
                <w:lang w:val="lv-LV"/>
              </w:rPr>
              <w:t>Ieviests pilnībā</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1BADD774" w14:textId="77777777" w:rsidR="009B49EE" w:rsidRPr="008202CC" w:rsidRDefault="009B49EE" w:rsidP="00267498">
            <w:pPr>
              <w:rPr>
                <w:i/>
                <w:iCs/>
                <w:color w:val="000000"/>
                <w:sz w:val="24"/>
                <w:szCs w:val="24"/>
                <w:lang w:val="lv-LV"/>
              </w:rPr>
            </w:pPr>
            <w:r w:rsidRPr="008202CC">
              <w:rPr>
                <w:i/>
                <w:iCs/>
                <w:color w:val="000000"/>
                <w:sz w:val="24"/>
                <w:szCs w:val="24"/>
                <w:lang w:val="lv-LV"/>
              </w:rPr>
              <w:t>Neparedz stingrākas prasības.</w:t>
            </w:r>
          </w:p>
        </w:tc>
      </w:tr>
      <w:tr w:rsidR="009B49EE" w:rsidRPr="008202CC" w14:paraId="798FAF19" w14:textId="77777777" w:rsidTr="00943EB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gridBefore w:val="1"/>
          <w:wBefore w:w="8" w:type="dxa"/>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6A03FC93" w14:textId="77777777" w:rsidR="009B49EE" w:rsidRPr="008202CC" w:rsidRDefault="009B49EE" w:rsidP="00267498">
            <w:pPr>
              <w:rPr>
                <w:sz w:val="26"/>
                <w:szCs w:val="26"/>
              </w:rPr>
            </w:pPr>
            <w:proofErr w:type="spellStart"/>
            <w:r w:rsidRPr="008202CC">
              <w:rPr>
                <w:sz w:val="26"/>
                <w:szCs w:val="26"/>
              </w:rPr>
              <w:t>Komisijas</w:t>
            </w:r>
            <w:proofErr w:type="spellEnd"/>
            <w:r w:rsidRPr="008202CC">
              <w:rPr>
                <w:sz w:val="26"/>
                <w:szCs w:val="26"/>
              </w:rPr>
              <w:t xml:space="preserve"> </w:t>
            </w:r>
            <w:proofErr w:type="spellStart"/>
            <w:r w:rsidRPr="008202CC">
              <w:rPr>
                <w:sz w:val="26"/>
                <w:szCs w:val="26"/>
              </w:rPr>
              <w:t>Paziņojums</w:t>
            </w:r>
            <w:proofErr w:type="spellEnd"/>
            <w:r w:rsidRPr="008202CC">
              <w:rPr>
                <w:sz w:val="26"/>
                <w:szCs w:val="26"/>
              </w:rPr>
              <w:t xml:space="preserve"> </w:t>
            </w:r>
            <w:r w:rsidRPr="008202CC">
              <w:rPr>
                <w:sz w:val="26"/>
                <w:szCs w:val="26"/>
                <w:lang w:val="lv-LV"/>
              </w:rPr>
              <w:t>2020/C 101 I/01</w:t>
            </w: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35FD855F" w14:textId="77777777" w:rsidR="009B49EE" w:rsidRPr="008202CC" w:rsidRDefault="009B49EE" w:rsidP="00267498">
            <w:pPr>
              <w:rPr>
                <w:sz w:val="26"/>
                <w:szCs w:val="26"/>
              </w:rPr>
            </w:pPr>
            <w:proofErr w:type="spellStart"/>
            <w:r w:rsidRPr="008202CC">
              <w:rPr>
                <w:sz w:val="26"/>
                <w:szCs w:val="26"/>
              </w:rPr>
              <w:t>Noteikumu</w:t>
            </w:r>
            <w:proofErr w:type="spellEnd"/>
            <w:r w:rsidRPr="008202CC">
              <w:rPr>
                <w:sz w:val="26"/>
                <w:szCs w:val="26"/>
              </w:rPr>
              <w:t xml:space="preserve"> </w:t>
            </w:r>
            <w:proofErr w:type="gramStart"/>
            <w:r w:rsidRPr="008202CC">
              <w:rPr>
                <w:sz w:val="26"/>
                <w:szCs w:val="26"/>
              </w:rPr>
              <w:t>21.punkts</w:t>
            </w:r>
            <w:proofErr w:type="gramEnd"/>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59F24B8D" w14:textId="77777777" w:rsidR="009B49EE" w:rsidRPr="008202CC" w:rsidRDefault="009B49EE" w:rsidP="00267498">
            <w:pPr>
              <w:rPr>
                <w:i/>
                <w:iCs/>
                <w:color w:val="000000"/>
                <w:sz w:val="24"/>
                <w:szCs w:val="24"/>
                <w:lang w:val="lv-LV"/>
              </w:rPr>
            </w:pPr>
            <w:r w:rsidRPr="008202CC">
              <w:rPr>
                <w:i/>
                <w:iCs/>
                <w:color w:val="000000"/>
                <w:sz w:val="24"/>
                <w:szCs w:val="24"/>
                <w:lang w:val="lv-LV"/>
              </w:rPr>
              <w:t>Ieviests pilnībā</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3F494959" w14:textId="77777777" w:rsidR="009B49EE" w:rsidRPr="008202CC" w:rsidRDefault="009B49EE" w:rsidP="00267498">
            <w:pPr>
              <w:rPr>
                <w:i/>
                <w:iCs/>
                <w:color w:val="000000"/>
                <w:sz w:val="24"/>
                <w:szCs w:val="24"/>
                <w:lang w:val="lv-LV"/>
              </w:rPr>
            </w:pPr>
            <w:r w:rsidRPr="008202CC">
              <w:rPr>
                <w:i/>
                <w:iCs/>
                <w:color w:val="000000"/>
                <w:sz w:val="24"/>
                <w:szCs w:val="24"/>
                <w:lang w:val="lv-LV"/>
              </w:rPr>
              <w:t>Neparedz stingrākas prasības.</w:t>
            </w:r>
          </w:p>
        </w:tc>
      </w:tr>
      <w:tr w:rsidR="009B49EE" w:rsidRPr="008202CC" w14:paraId="53A7A4E8" w14:textId="77777777" w:rsidTr="00943EB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gridBefore w:val="1"/>
          <w:wBefore w:w="8" w:type="dxa"/>
        </w:trPr>
        <w:tc>
          <w:tcPr>
            <w:tcW w:w="2263" w:type="dxa"/>
            <w:tcBorders>
              <w:top w:val="single" w:sz="4" w:space="0" w:color="auto"/>
              <w:left w:val="outset" w:sz="6" w:space="0" w:color="414142"/>
              <w:bottom w:val="outset" w:sz="6" w:space="0" w:color="414142"/>
              <w:right w:val="outset" w:sz="6" w:space="0" w:color="414142"/>
            </w:tcBorders>
            <w:shd w:val="clear" w:color="auto" w:fill="FFFFFF"/>
            <w:hideMark/>
          </w:tcPr>
          <w:p w14:paraId="183D5522" w14:textId="77777777" w:rsidR="009B49EE" w:rsidRPr="008202CC" w:rsidRDefault="009B49EE" w:rsidP="00267498">
            <w:pPr>
              <w:jc w:val="both"/>
              <w:rPr>
                <w:rFonts w:eastAsia="Times New Roman"/>
                <w:sz w:val="26"/>
                <w:szCs w:val="26"/>
                <w:lang w:val="lv-LV" w:eastAsia="lv-LV"/>
              </w:rPr>
            </w:pPr>
            <w:r w:rsidRPr="008202CC">
              <w:rPr>
                <w:rFonts w:eastAsia="Times New Roman"/>
                <w:sz w:val="26"/>
                <w:szCs w:val="26"/>
                <w:lang w:val="lv-LV" w:eastAsia="lv-LV"/>
              </w:rPr>
              <w:t>Kā ir izmantota ES tiesību aktā paredzētā rīcības brīvība dalībvalstij pārņemt vai ieviest noteiktas ES tiesību akta normas? Kādēļ?</w:t>
            </w:r>
          </w:p>
        </w:tc>
        <w:tc>
          <w:tcPr>
            <w:tcW w:w="6943" w:type="dxa"/>
            <w:gridSpan w:val="3"/>
            <w:tcBorders>
              <w:top w:val="single" w:sz="4" w:space="0" w:color="auto"/>
              <w:left w:val="single" w:sz="4" w:space="0" w:color="auto"/>
              <w:bottom w:val="single" w:sz="4" w:space="0" w:color="auto"/>
              <w:right w:val="single" w:sz="4" w:space="0" w:color="auto"/>
            </w:tcBorders>
            <w:hideMark/>
          </w:tcPr>
          <w:p w14:paraId="03F7C75B" w14:textId="77777777" w:rsidR="009B49EE" w:rsidRPr="008202CC" w:rsidRDefault="009B49EE" w:rsidP="00267498">
            <w:pPr>
              <w:rPr>
                <w:rFonts w:eastAsia="Times New Roman"/>
                <w:sz w:val="26"/>
                <w:szCs w:val="26"/>
                <w:lang w:val="lv-LV" w:eastAsia="lv-LV"/>
              </w:rPr>
            </w:pPr>
            <w:r w:rsidRPr="008202CC">
              <w:rPr>
                <w:rFonts w:eastAsia="Times New Roman"/>
                <w:sz w:val="26"/>
                <w:szCs w:val="26"/>
                <w:lang w:val="lv-LV"/>
              </w:rPr>
              <w:t>Projekts šo jomu neskar.</w:t>
            </w:r>
          </w:p>
        </w:tc>
      </w:tr>
      <w:tr w:rsidR="009B49EE" w:rsidRPr="008202CC" w14:paraId="12FB8467" w14:textId="77777777" w:rsidTr="00943EB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gridBefore w:val="1"/>
          <w:wBefore w:w="8" w:type="dxa"/>
        </w:trPr>
        <w:tc>
          <w:tcPr>
            <w:tcW w:w="2263" w:type="dxa"/>
            <w:tcBorders>
              <w:top w:val="outset" w:sz="6" w:space="0" w:color="414142"/>
              <w:left w:val="outset" w:sz="6" w:space="0" w:color="414142"/>
              <w:bottom w:val="outset" w:sz="6" w:space="0" w:color="414142"/>
              <w:right w:val="outset" w:sz="6" w:space="0" w:color="414142"/>
            </w:tcBorders>
            <w:shd w:val="clear" w:color="auto" w:fill="FFFFFF"/>
            <w:hideMark/>
          </w:tcPr>
          <w:p w14:paraId="616E309F" w14:textId="77777777" w:rsidR="009B49EE" w:rsidRPr="008202CC" w:rsidRDefault="009B49EE" w:rsidP="00267498">
            <w:pPr>
              <w:jc w:val="both"/>
              <w:rPr>
                <w:rFonts w:eastAsia="Times New Roman"/>
                <w:sz w:val="26"/>
                <w:szCs w:val="26"/>
                <w:lang w:val="lv-LV" w:eastAsia="lv-LV"/>
              </w:rPr>
            </w:pPr>
            <w:r w:rsidRPr="008202CC">
              <w:rPr>
                <w:rFonts w:eastAsia="Times New Roman"/>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43" w:type="dxa"/>
            <w:gridSpan w:val="3"/>
            <w:tcBorders>
              <w:top w:val="single" w:sz="4" w:space="0" w:color="auto"/>
              <w:left w:val="single" w:sz="4" w:space="0" w:color="auto"/>
              <w:bottom w:val="single" w:sz="4" w:space="0" w:color="auto"/>
              <w:right w:val="single" w:sz="4" w:space="0" w:color="auto"/>
            </w:tcBorders>
            <w:hideMark/>
          </w:tcPr>
          <w:p w14:paraId="5B4C2385" w14:textId="77777777" w:rsidR="009B49EE" w:rsidRPr="008202CC" w:rsidRDefault="009B49EE" w:rsidP="00267498">
            <w:pPr>
              <w:rPr>
                <w:rFonts w:eastAsia="Times New Roman"/>
                <w:sz w:val="26"/>
                <w:szCs w:val="26"/>
                <w:lang w:val="lv-LV" w:eastAsia="lv-LV"/>
              </w:rPr>
            </w:pPr>
            <w:r w:rsidRPr="008202CC">
              <w:rPr>
                <w:rFonts w:eastAsia="Times New Roman"/>
                <w:sz w:val="26"/>
                <w:szCs w:val="26"/>
                <w:lang w:val="lv-LV"/>
              </w:rPr>
              <w:t>Projekts šo jomu neskar.</w:t>
            </w:r>
          </w:p>
        </w:tc>
      </w:tr>
      <w:tr w:rsidR="009B49EE" w:rsidRPr="008202CC" w14:paraId="4543E593" w14:textId="77777777" w:rsidTr="00943EB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gridBefore w:val="1"/>
          <w:wBefore w:w="8" w:type="dxa"/>
          <w:trHeight w:val="386"/>
        </w:trPr>
        <w:tc>
          <w:tcPr>
            <w:tcW w:w="2263" w:type="dxa"/>
            <w:tcBorders>
              <w:top w:val="outset" w:sz="6" w:space="0" w:color="414142"/>
              <w:left w:val="outset" w:sz="6" w:space="0" w:color="414142"/>
              <w:bottom w:val="outset" w:sz="6" w:space="0" w:color="414142"/>
              <w:right w:val="outset" w:sz="6" w:space="0" w:color="414142"/>
            </w:tcBorders>
            <w:shd w:val="clear" w:color="auto" w:fill="FFFFFF"/>
            <w:hideMark/>
          </w:tcPr>
          <w:p w14:paraId="56132A26" w14:textId="77777777" w:rsidR="009B49EE" w:rsidRPr="008202CC" w:rsidRDefault="009B49EE" w:rsidP="00267498">
            <w:pPr>
              <w:rPr>
                <w:rFonts w:eastAsia="Times New Roman"/>
                <w:sz w:val="26"/>
                <w:szCs w:val="26"/>
                <w:lang w:val="lv-LV" w:eastAsia="lv-LV"/>
              </w:rPr>
            </w:pPr>
            <w:r w:rsidRPr="008202CC">
              <w:rPr>
                <w:rFonts w:eastAsia="Times New Roman"/>
                <w:sz w:val="26"/>
                <w:szCs w:val="26"/>
                <w:lang w:val="lv-LV" w:eastAsia="lv-LV"/>
              </w:rPr>
              <w:t>Cita informācija</w:t>
            </w:r>
          </w:p>
        </w:tc>
        <w:tc>
          <w:tcPr>
            <w:tcW w:w="6943" w:type="dxa"/>
            <w:gridSpan w:val="3"/>
            <w:tcBorders>
              <w:top w:val="single" w:sz="4" w:space="0" w:color="auto"/>
              <w:left w:val="single" w:sz="4" w:space="0" w:color="auto"/>
              <w:bottom w:val="single" w:sz="4" w:space="0" w:color="auto"/>
              <w:right w:val="single" w:sz="4" w:space="0" w:color="auto"/>
            </w:tcBorders>
            <w:hideMark/>
          </w:tcPr>
          <w:p w14:paraId="3844DFA1" w14:textId="77777777" w:rsidR="009B49EE" w:rsidRPr="008202CC" w:rsidRDefault="009B49EE" w:rsidP="00267498">
            <w:pPr>
              <w:rPr>
                <w:rFonts w:eastAsia="Times New Roman"/>
                <w:sz w:val="26"/>
                <w:szCs w:val="26"/>
                <w:lang w:val="lv-LV" w:eastAsia="lv-LV"/>
              </w:rPr>
            </w:pPr>
            <w:r w:rsidRPr="008202CC">
              <w:rPr>
                <w:sz w:val="26"/>
                <w:szCs w:val="26"/>
                <w:lang w:val="lv-LV"/>
              </w:rPr>
              <w:t>Nav.</w:t>
            </w:r>
          </w:p>
        </w:tc>
      </w:tr>
    </w:tbl>
    <w:p w14:paraId="04A6C939" w14:textId="108BF43C" w:rsidR="009B49EE" w:rsidRDefault="009B49EE" w:rsidP="00844176">
      <w:pPr>
        <w:rPr>
          <w:rFonts w:eastAsia="Times New Roman"/>
          <w:color w:val="000000"/>
          <w:sz w:val="26"/>
          <w:szCs w:val="26"/>
          <w:lang w:val="lv-LV" w:eastAsia="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2948"/>
        <w:gridCol w:w="5953"/>
      </w:tblGrid>
      <w:tr w:rsidR="009B49EE" w:rsidRPr="009D4B8F" w14:paraId="125E19ED" w14:textId="77777777" w:rsidTr="00BD2A9F">
        <w:trPr>
          <w:trHeight w:val="421"/>
        </w:trPr>
        <w:tc>
          <w:tcPr>
            <w:tcW w:w="9214" w:type="dxa"/>
            <w:gridSpan w:val="3"/>
            <w:tcBorders>
              <w:top w:val="single" w:sz="2" w:space="0" w:color="auto"/>
            </w:tcBorders>
            <w:vAlign w:val="center"/>
          </w:tcPr>
          <w:p w14:paraId="05B881F4" w14:textId="77777777" w:rsidR="009B49EE" w:rsidRPr="006F4B13" w:rsidRDefault="009B49EE" w:rsidP="00267498">
            <w:pPr>
              <w:ind w:left="57" w:right="57"/>
              <w:jc w:val="center"/>
              <w:rPr>
                <w:rFonts w:eastAsia="Times New Roman"/>
                <w:sz w:val="25"/>
                <w:szCs w:val="25"/>
                <w:lang w:val="lv-LV"/>
              </w:rPr>
            </w:pPr>
            <w:r w:rsidRPr="006F4B13">
              <w:rPr>
                <w:rFonts w:eastAsia="Times New Roman"/>
                <w:b/>
                <w:sz w:val="25"/>
                <w:szCs w:val="25"/>
                <w:lang w:val="lv-LV"/>
              </w:rPr>
              <w:t>VI. Sabiedrības līdzdalība un komunikācijas aktivitātes</w:t>
            </w:r>
          </w:p>
        </w:tc>
      </w:tr>
      <w:tr w:rsidR="009B49EE" w:rsidRPr="009D4B8F" w14:paraId="04EFA6C5" w14:textId="77777777" w:rsidTr="00BD2A9F">
        <w:trPr>
          <w:trHeight w:val="553"/>
        </w:trPr>
        <w:tc>
          <w:tcPr>
            <w:tcW w:w="313" w:type="dxa"/>
          </w:tcPr>
          <w:p w14:paraId="3F1559FC" w14:textId="77777777" w:rsidR="009B49EE" w:rsidRPr="00E6084B" w:rsidRDefault="009B49EE" w:rsidP="00267498">
            <w:pPr>
              <w:ind w:left="57" w:right="57"/>
              <w:jc w:val="both"/>
              <w:rPr>
                <w:rFonts w:eastAsia="PMingLiU"/>
                <w:bCs/>
                <w:sz w:val="25"/>
                <w:szCs w:val="25"/>
                <w:lang w:eastAsia="ja-JP"/>
              </w:rPr>
            </w:pPr>
            <w:r w:rsidRPr="00E6084B">
              <w:rPr>
                <w:rFonts w:eastAsia="PMingLiU"/>
                <w:bCs/>
                <w:sz w:val="25"/>
                <w:szCs w:val="25"/>
                <w:lang w:eastAsia="ja-JP"/>
              </w:rPr>
              <w:t>1.</w:t>
            </w:r>
          </w:p>
        </w:tc>
        <w:tc>
          <w:tcPr>
            <w:tcW w:w="2948" w:type="dxa"/>
          </w:tcPr>
          <w:p w14:paraId="3129FDED" w14:textId="77777777" w:rsidR="009B49EE" w:rsidRPr="006F4B13" w:rsidRDefault="009B49EE" w:rsidP="00267498">
            <w:pPr>
              <w:tabs>
                <w:tab w:val="left" w:pos="170"/>
              </w:tabs>
              <w:ind w:left="57" w:right="57"/>
              <w:rPr>
                <w:rFonts w:eastAsia="PMingLiU"/>
                <w:sz w:val="26"/>
                <w:szCs w:val="26"/>
                <w:lang w:val="lv-LV" w:eastAsia="ja-JP"/>
              </w:rPr>
            </w:pPr>
            <w:r w:rsidRPr="006F4B13">
              <w:rPr>
                <w:rFonts w:eastAsia="PMingLiU"/>
                <w:sz w:val="26"/>
                <w:szCs w:val="26"/>
                <w:lang w:val="lv-LV" w:eastAsia="ja-JP"/>
              </w:rPr>
              <w:t>Plānotās sabiedrības līdzdalības un komunikācijas aktivitātes saistībā ar projektu</w:t>
            </w:r>
          </w:p>
        </w:tc>
        <w:tc>
          <w:tcPr>
            <w:tcW w:w="5953" w:type="dxa"/>
          </w:tcPr>
          <w:p w14:paraId="32FF3DB9" w14:textId="48A056B5" w:rsidR="009B49EE" w:rsidRPr="00D0506F" w:rsidRDefault="009B49EE" w:rsidP="00267498">
            <w:pPr>
              <w:jc w:val="both"/>
              <w:rPr>
                <w:rFonts w:eastAsia="PMingLiU"/>
                <w:sz w:val="26"/>
                <w:szCs w:val="26"/>
                <w:lang w:val="lv-LV" w:eastAsia="ja-JP"/>
              </w:rPr>
            </w:pPr>
            <w:r w:rsidRPr="00A50812">
              <w:rPr>
                <w:rFonts w:eastAsia="PMingLiU"/>
                <w:sz w:val="26"/>
                <w:szCs w:val="26"/>
                <w:lang w:val="lv-LV" w:eastAsia="ja-JP"/>
              </w:rPr>
              <w:t>Sabiedrības līdzdalība ir nodrošināta</w:t>
            </w:r>
            <w:r>
              <w:rPr>
                <w:rFonts w:eastAsia="PMingLiU"/>
                <w:sz w:val="26"/>
                <w:szCs w:val="26"/>
                <w:lang w:val="lv-LV" w:eastAsia="ja-JP"/>
              </w:rPr>
              <w:t xml:space="preserve"> par nepieciešamajiem grozījumiem lemjot</w:t>
            </w:r>
            <w:r w:rsidRPr="00A50812">
              <w:rPr>
                <w:rFonts w:eastAsia="PMingLiU"/>
                <w:sz w:val="26"/>
                <w:szCs w:val="26"/>
                <w:lang w:val="lv-LV" w:eastAsia="ja-JP"/>
              </w:rPr>
              <w:t xml:space="preserve"> </w:t>
            </w:r>
            <w:r>
              <w:rPr>
                <w:rFonts w:eastAsia="PMingLiU"/>
                <w:sz w:val="26"/>
                <w:szCs w:val="26"/>
                <w:lang w:val="lv-LV" w:eastAsia="ja-JP"/>
              </w:rPr>
              <w:t xml:space="preserve">08.04.2020 vadības grupā </w:t>
            </w:r>
            <w:r w:rsidRPr="009759F9">
              <w:rPr>
                <w:rFonts w:eastAsia="PMingLiU"/>
                <w:sz w:val="26"/>
                <w:szCs w:val="26"/>
                <w:lang w:val="lv-LV" w:eastAsia="ja-JP"/>
              </w:rPr>
              <w:t>uzņēmējdarbības un nodarbinātības atbalstam (Ministru prezidenta 2020. gada 16. marta rīkojums Nr. 2020/1.2.1.-62).</w:t>
            </w:r>
          </w:p>
        </w:tc>
      </w:tr>
      <w:tr w:rsidR="009B49EE" w:rsidRPr="009D4B8F" w14:paraId="6FDF4FBF" w14:textId="77777777" w:rsidTr="00BD2A9F">
        <w:trPr>
          <w:trHeight w:val="339"/>
        </w:trPr>
        <w:tc>
          <w:tcPr>
            <w:tcW w:w="313" w:type="dxa"/>
          </w:tcPr>
          <w:p w14:paraId="78DD8EC2" w14:textId="77777777" w:rsidR="009B49EE" w:rsidRPr="00E6084B" w:rsidRDefault="009B49EE" w:rsidP="00267498">
            <w:pPr>
              <w:ind w:left="57" w:right="57"/>
              <w:jc w:val="both"/>
              <w:rPr>
                <w:rFonts w:eastAsia="PMingLiU"/>
                <w:bCs/>
                <w:sz w:val="25"/>
                <w:szCs w:val="25"/>
                <w:lang w:eastAsia="ja-JP"/>
              </w:rPr>
            </w:pPr>
            <w:r w:rsidRPr="00E6084B">
              <w:rPr>
                <w:rFonts w:eastAsia="PMingLiU"/>
                <w:bCs/>
                <w:sz w:val="25"/>
                <w:szCs w:val="25"/>
                <w:lang w:eastAsia="ja-JP"/>
              </w:rPr>
              <w:t>2.</w:t>
            </w:r>
          </w:p>
        </w:tc>
        <w:tc>
          <w:tcPr>
            <w:tcW w:w="2948" w:type="dxa"/>
          </w:tcPr>
          <w:p w14:paraId="66BA9558" w14:textId="77777777" w:rsidR="009B49EE" w:rsidRPr="006F4B13" w:rsidRDefault="009B49EE" w:rsidP="00267498">
            <w:pPr>
              <w:ind w:left="57" w:right="57"/>
              <w:rPr>
                <w:rFonts w:eastAsia="PMingLiU"/>
                <w:sz w:val="26"/>
                <w:szCs w:val="26"/>
                <w:lang w:val="lv-LV" w:eastAsia="ja-JP"/>
              </w:rPr>
            </w:pPr>
            <w:r w:rsidRPr="006F4B13">
              <w:rPr>
                <w:rFonts w:eastAsia="PMingLiU"/>
                <w:sz w:val="26"/>
                <w:szCs w:val="26"/>
                <w:lang w:val="lv-LV" w:eastAsia="ja-JP"/>
              </w:rPr>
              <w:t>Sabiedrības līdzdalība projekta izstrādē</w:t>
            </w:r>
          </w:p>
        </w:tc>
        <w:tc>
          <w:tcPr>
            <w:tcW w:w="5953" w:type="dxa"/>
          </w:tcPr>
          <w:p w14:paraId="1F004E53" w14:textId="77777777" w:rsidR="009B49EE" w:rsidRPr="008E68AA" w:rsidRDefault="009B49EE" w:rsidP="00BD2A9F">
            <w:pPr>
              <w:shd w:val="clear" w:color="auto" w:fill="FFFFFF"/>
              <w:ind w:left="57" w:right="113"/>
              <w:jc w:val="both"/>
              <w:rPr>
                <w:rFonts w:eastAsia="PMingLiU"/>
                <w:sz w:val="26"/>
                <w:szCs w:val="26"/>
                <w:lang w:val="lv-LV" w:eastAsia="ja-JP"/>
              </w:rPr>
            </w:pPr>
            <w:r w:rsidRPr="008E68AA">
              <w:rPr>
                <w:rFonts w:eastAsia="PMingLiU"/>
                <w:sz w:val="26"/>
                <w:szCs w:val="26"/>
                <w:lang w:val="lv-LV" w:eastAsia="ja-JP"/>
              </w:rPr>
              <w:t>Tiesību Projekts ievietots Ekonomikas ministrijas mājas lapā</w:t>
            </w:r>
            <w:r>
              <w:rPr>
                <w:rFonts w:eastAsia="PMingLiU"/>
                <w:sz w:val="26"/>
                <w:szCs w:val="26"/>
                <w:lang w:val="lv-LV" w:eastAsia="ja-JP"/>
              </w:rPr>
              <w:t>:</w:t>
            </w:r>
          </w:p>
          <w:p w14:paraId="69C99B92" w14:textId="77777777" w:rsidR="009B49EE" w:rsidRPr="008E68AA" w:rsidRDefault="009B49EE" w:rsidP="00BD2A9F">
            <w:pPr>
              <w:shd w:val="clear" w:color="auto" w:fill="FFFFFF"/>
              <w:ind w:left="57" w:right="404"/>
              <w:jc w:val="both"/>
              <w:rPr>
                <w:rStyle w:val="Hyperlink"/>
                <w:rFonts w:eastAsia="PMingLiU"/>
                <w:sz w:val="26"/>
                <w:szCs w:val="26"/>
                <w:lang w:val="lv-LV" w:eastAsia="ja-JP"/>
              </w:rPr>
            </w:pPr>
            <w:r>
              <w:rPr>
                <w:rFonts w:eastAsia="PMingLiU"/>
                <w:lang w:eastAsia="ja-JP"/>
              </w:rPr>
              <w:fldChar w:fldCharType="begin"/>
            </w:r>
            <w:r w:rsidRPr="008E68AA">
              <w:rPr>
                <w:rFonts w:eastAsia="PMingLiU"/>
                <w:lang w:val="lv-LV" w:eastAsia="ja-JP"/>
              </w:rPr>
              <w:instrText xml:space="preserve"> HYPERLINK "https://www.em.gov.lv/lv/Ministrija/sabiedribas_lidzdaliba/diskusiju_dokumenti/" </w:instrText>
            </w:r>
            <w:r>
              <w:rPr>
                <w:rFonts w:eastAsia="PMingLiU"/>
                <w:lang w:eastAsia="ja-JP"/>
              </w:rPr>
              <w:fldChar w:fldCharType="separate"/>
            </w:r>
            <w:r w:rsidRPr="008E68AA">
              <w:rPr>
                <w:rStyle w:val="Hyperlink"/>
                <w:rFonts w:eastAsia="PMingLiU"/>
                <w:lang w:val="lv-LV" w:eastAsia="ja-JP"/>
              </w:rPr>
              <w:t>https://www.em.gov.lv/lv/Ministrija/sabiedribas_lidzdaliba/diskusiju_dokumenti/</w:t>
            </w:r>
          </w:p>
          <w:p w14:paraId="76620C93" w14:textId="77777777" w:rsidR="009B49EE" w:rsidRPr="008E68AA" w:rsidRDefault="009B49EE" w:rsidP="00BD2A9F">
            <w:pPr>
              <w:shd w:val="clear" w:color="auto" w:fill="FFFFFF"/>
              <w:ind w:left="57" w:right="113"/>
              <w:jc w:val="both"/>
              <w:rPr>
                <w:rFonts w:eastAsia="PMingLiU"/>
                <w:sz w:val="26"/>
                <w:szCs w:val="26"/>
                <w:lang w:val="lv-LV" w:eastAsia="ja-JP"/>
              </w:rPr>
            </w:pPr>
            <w:r>
              <w:rPr>
                <w:rFonts w:eastAsia="PMingLiU"/>
                <w:lang w:eastAsia="ja-JP"/>
              </w:rPr>
              <w:lastRenderedPageBreak/>
              <w:fldChar w:fldCharType="end"/>
            </w:r>
            <w:r w:rsidRPr="008E68AA">
              <w:rPr>
                <w:rFonts w:eastAsia="PMingLiU"/>
                <w:sz w:val="26"/>
                <w:szCs w:val="26"/>
                <w:lang w:val="lv-LV" w:eastAsia="ja-JP"/>
              </w:rPr>
              <w:t>un Ministru kabineta mājas lapā</w:t>
            </w:r>
            <w:r>
              <w:rPr>
                <w:rFonts w:eastAsia="PMingLiU"/>
                <w:sz w:val="26"/>
                <w:szCs w:val="26"/>
                <w:lang w:val="lv-LV" w:eastAsia="ja-JP"/>
              </w:rPr>
              <w:t>:</w:t>
            </w:r>
          </w:p>
          <w:p w14:paraId="2A8949C2" w14:textId="77777777" w:rsidR="009B49EE" w:rsidRPr="008E68AA" w:rsidRDefault="000136B6" w:rsidP="00BD2A9F">
            <w:pPr>
              <w:shd w:val="clear" w:color="auto" w:fill="FFFFFF"/>
              <w:ind w:left="57" w:right="404"/>
              <w:jc w:val="both"/>
              <w:rPr>
                <w:rFonts w:eastAsia="PMingLiU"/>
                <w:sz w:val="26"/>
                <w:szCs w:val="26"/>
                <w:lang w:val="lv-LV" w:eastAsia="ja-JP"/>
              </w:rPr>
            </w:pPr>
            <w:hyperlink r:id="rId8" w:history="1">
              <w:r w:rsidR="009B49EE" w:rsidRPr="008E68AA">
                <w:rPr>
                  <w:rStyle w:val="Hyperlink"/>
                  <w:lang w:val="lv-LV" w:eastAsia="ja-JP"/>
                </w:rPr>
                <w:t>https://www.mk.gov.lv/content/ministru-kabineta-diskusiju-dokumenti</w:t>
              </w:r>
            </w:hyperlink>
          </w:p>
        </w:tc>
      </w:tr>
      <w:tr w:rsidR="009B49EE" w:rsidRPr="006F4B13" w14:paraId="0A0B574D" w14:textId="77777777" w:rsidTr="00BD2A9F">
        <w:trPr>
          <w:trHeight w:val="476"/>
        </w:trPr>
        <w:tc>
          <w:tcPr>
            <w:tcW w:w="313" w:type="dxa"/>
          </w:tcPr>
          <w:p w14:paraId="65033C09" w14:textId="77777777" w:rsidR="009B49EE" w:rsidRPr="00E6084B" w:rsidRDefault="009B49EE" w:rsidP="00267498">
            <w:pPr>
              <w:ind w:left="57" w:right="57"/>
              <w:jc w:val="both"/>
              <w:rPr>
                <w:rFonts w:eastAsia="PMingLiU"/>
                <w:bCs/>
                <w:sz w:val="25"/>
                <w:szCs w:val="25"/>
                <w:lang w:eastAsia="ja-JP"/>
              </w:rPr>
            </w:pPr>
            <w:r w:rsidRPr="00E6084B">
              <w:rPr>
                <w:rFonts w:eastAsia="PMingLiU"/>
                <w:bCs/>
                <w:sz w:val="25"/>
                <w:szCs w:val="25"/>
                <w:lang w:eastAsia="ja-JP"/>
              </w:rPr>
              <w:lastRenderedPageBreak/>
              <w:t>3.</w:t>
            </w:r>
          </w:p>
        </w:tc>
        <w:tc>
          <w:tcPr>
            <w:tcW w:w="2948" w:type="dxa"/>
          </w:tcPr>
          <w:p w14:paraId="4823039B" w14:textId="77777777" w:rsidR="009B49EE" w:rsidRPr="006F4B13" w:rsidRDefault="009B49EE" w:rsidP="00267498">
            <w:pPr>
              <w:ind w:left="57" w:right="57"/>
              <w:rPr>
                <w:rFonts w:eastAsia="PMingLiU"/>
                <w:sz w:val="26"/>
                <w:szCs w:val="26"/>
                <w:lang w:val="lv-LV" w:eastAsia="ja-JP"/>
              </w:rPr>
            </w:pPr>
            <w:r w:rsidRPr="006F4B13">
              <w:rPr>
                <w:rFonts w:eastAsia="PMingLiU"/>
                <w:sz w:val="26"/>
                <w:szCs w:val="26"/>
                <w:lang w:val="lv-LV" w:eastAsia="ja-JP"/>
              </w:rPr>
              <w:t>Sabiedrības līdzdalības rezultāti</w:t>
            </w:r>
          </w:p>
        </w:tc>
        <w:tc>
          <w:tcPr>
            <w:tcW w:w="5953" w:type="dxa"/>
          </w:tcPr>
          <w:p w14:paraId="024E1F17" w14:textId="77777777" w:rsidR="009B49EE" w:rsidRPr="006F4B13" w:rsidRDefault="009B49EE" w:rsidP="00267498">
            <w:pPr>
              <w:shd w:val="clear" w:color="auto" w:fill="FFFFFF"/>
              <w:ind w:left="57" w:right="113"/>
              <w:jc w:val="both"/>
              <w:rPr>
                <w:rFonts w:eastAsia="PMingLiU"/>
                <w:sz w:val="26"/>
                <w:szCs w:val="26"/>
                <w:shd w:val="clear" w:color="auto" w:fill="FFFFFF"/>
                <w:lang w:val="lv-LV" w:eastAsia="ja-JP"/>
              </w:rPr>
            </w:pPr>
            <w:r w:rsidRPr="006F4B13">
              <w:rPr>
                <w:rFonts w:eastAsia="PMingLiU"/>
                <w:sz w:val="26"/>
                <w:szCs w:val="26"/>
                <w:shd w:val="clear" w:color="auto" w:fill="FFFFFF"/>
                <w:lang w:val="lv-LV" w:eastAsia="ja-JP"/>
              </w:rPr>
              <w:t>Nav.</w:t>
            </w:r>
          </w:p>
        </w:tc>
      </w:tr>
      <w:tr w:rsidR="009B49EE" w:rsidRPr="006F4B13" w14:paraId="099A963D" w14:textId="77777777" w:rsidTr="00BD2A9F">
        <w:trPr>
          <w:trHeight w:val="205"/>
        </w:trPr>
        <w:tc>
          <w:tcPr>
            <w:tcW w:w="313" w:type="dxa"/>
          </w:tcPr>
          <w:p w14:paraId="7020E350" w14:textId="77777777" w:rsidR="009B49EE" w:rsidRPr="00E6084B" w:rsidRDefault="009B49EE" w:rsidP="00267498">
            <w:pPr>
              <w:ind w:left="57" w:right="57"/>
              <w:jc w:val="both"/>
              <w:rPr>
                <w:rFonts w:eastAsia="PMingLiU"/>
                <w:bCs/>
                <w:sz w:val="25"/>
                <w:szCs w:val="25"/>
                <w:lang w:eastAsia="ja-JP"/>
              </w:rPr>
            </w:pPr>
            <w:r w:rsidRPr="00E6084B">
              <w:rPr>
                <w:rFonts w:eastAsia="PMingLiU"/>
                <w:bCs/>
                <w:sz w:val="25"/>
                <w:szCs w:val="25"/>
                <w:lang w:eastAsia="ja-JP"/>
              </w:rPr>
              <w:t>4.</w:t>
            </w:r>
          </w:p>
        </w:tc>
        <w:tc>
          <w:tcPr>
            <w:tcW w:w="2948" w:type="dxa"/>
          </w:tcPr>
          <w:p w14:paraId="38BD69B1" w14:textId="77777777" w:rsidR="009B49EE" w:rsidRPr="006F4B13" w:rsidRDefault="009B49EE" w:rsidP="00267498">
            <w:pPr>
              <w:ind w:left="57" w:right="57"/>
              <w:rPr>
                <w:rFonts w:eastAsia="PMingLiU"/>
                <w:sz w:val="26"/>
                <w:szCs w:val="26"/>
                <w:lang w:val="lv-LV" w:eastAsia="ja-JP"/>
              </w:rPr>
            </w:pPr>
            <w:r w:rsidRPr="006F4B13">
              <w:rPr>
                <w:rFonts w:eastAsia="PMingLiU"/>
                <w:sz w:val="26"/>
                <w:szCs w:val="26"/>
                <w:lang w:val="lv-LV" w:eastAsia="ja-JP"/>
              </w:rPr>
              <w:t>Cita informācija</w:t>
            </w:r>
          </w:p>
        </w:tc>
        <w:tc>
          <w:tcPr>
            <w:tcW w:w="5953" w:type="dxa"/>
          </w:tcPr>
          <w:p w14:paraId="558C7CBF" w14:textId="77777777" w:rsidR="009B49EE" w:rsidRPr="006F4B13" w:rsidRDefault="009B49EE" w:rsidP="00267498">
            <w:pPr>
              <w:ind w:left="57" w:right="113"/>
              <w:jc w:val="both"/>
              <w:rPr>
                <w:rFonts w:eastAsia="PMingLiU"/>
                <w:sz w:val="26"/>
                <w:szCs w:val="26"/>
                <w:lang w:val="lv-LV" w:eastAsia="ja-JP"/>
              </w:rPr>
            </w:pPr>
            <w:r w:rsidRPr="006F4B13">
              <w:rPr>
                <w:rFonts w:eastAsia="PMingLiU"/>
                <w:sz w:val="26"/>
                <w:szCs w:val="26"/>
                <w:lang w:val="lv-LV" w:eastAsia="ja-JP"/>
              </w:rPr>
              <w:t>Nav.</w:t>
            </w:r>
          </w:p>
        </w:tc>
      </w:tr>
    </w:tbl>
    <w:p w14:paraId="64254AEE" w14:textId="77777777" w:rsidR="009B49EE" w:rsidRPr="009B49EE" w:rsidRDefault="009B49EE" w:rsidP="00844176">
      <w:pPr>
        <w:rPr>
          <w:rFonts w:eastAsia="Times New Roman"/>
          <w:color w:val="000000"/>
          <w:sz w:val="26"/>
          <w:szCs w:val="26"/>
          <w:lang w:val="lv-LV" w:eastAsia="lv-LV"/>
        </w:rPr>
      </w:pPr>
    </w:p>
    <w:p w14:paraId="66341B1E" w14:textId="77777777" w:rsidR="009B49EE" w:rsidRPr="00C136CD" w:rsidRDefault="009B49EE" w:rsidP="00844176">
      <w:pPr>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843"/>
        <w:gridCol w:w="6018"/>
      </w:tblGrid>
      <w:tr w:rsidR="00844176" w:rsidRPr="009D4B8F" w14:paraId="72278BCA" w14:textId="77777777" w:rsidTr="00871E2F">
        <w:trPr>
          <w:trHeight w:val="375"/>
        </w:trPr>
        <w:tc>
          <w:tcPr>
            <w:tcW w:w="9129"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C136CD" w:rsidRDefault="00844176" w:rsidP="00FA2346">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VII. Tiesību akta projekta izpildes nodrošināšana un tās ietekme uz institūcijām</w:t>
            </w:r>
          </w:p>
        </w:tc>
      </w:tr>
      <w:tr w:rsidR="003B2203" w:rsidRPr="00C136CD" w14:paraId="3BE578E7" w14:textId="77777777" w:rsidTr="00B73A5D">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3B2203" w:rsidRPr="00C136CD" w:rsidRDefault="003B2203" w:rsidP="003B2203">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1.</w:t>
            </w:r>
          </w:p>
        </w:tc>
        <w:tc>
          <w:tcPr>
            <w:tcW w:w="2843" w:type="dxa"/>
            <w:tcBorders>
              <w:top w:val="outset" w:sz="6" w:space="0" w:color="414142"/>
              <w:left w:val="outset" w:sz="6" w:space="0" w:color="414142"/>
              <w:bottom w:val="outset" w:sz="6" w:space="0" w:color="414142"/>
              <w:right w:val="outset" w:sz="6" w:space="0" w:color="414142"/>
            </w:tcBorders>
            <w:hideMark/>
          </w:tcPr>
          <w:p w14:paraId="6CB08CA7" w14:textId="77777777" w:rsidR="003B2203" w:rsidRPr="00C136CD" w:rsidRDefault="003B2203" w:rsidP="003B2203">
            <w:pPr>
              <w:ind w:right="112"/>
              <w:jc w:val="both"/>
              <w:rPr>
                <w:sz w:val="26"/>
                <w:szCs w:val="26"/>
                <w:lang w:val="lv-LV"/>
              </w:rPr>
            </w:pPr>
            <w:r w:rsidRPr="00C136CD">
              <w:rPr>
                <w:sz w:val="26"/>
                <w:szCs w:val="26"/>
                <w:lang w:val="lv-LV"/>
              </w:rPr>
              <w:t>Projekta izpildē iesaistītās institūcijas</w:t>
            </w:r>
          </w:p>
        </w:tc>
        <w:tc>
          <w:tcPr>
            <w:tcW w:w="6018" w:type="dxa"/>
            <w:tcBorders>
              <w:top w:val="outset" w:sz="6" w:space="0" w:color="414142"/>
              <w:left w:val="outset" w:sz="6" w:space="0" w:color="414142"/>
              <w:bottom w:val="outset" w:sz="6" w:space="0" w:color="414142"/>
              <w:right w:val="outset" w:sz="6" w:space="0" w:color="414142"/>
            </w:tcBorders>
            <w:hideMark/>
          </w:tcPr>
          <w:p w14:paraId="4C10CF17" w14:textId="3B3D582C" w:rsidR="003B2203" w:rsidRPr="00C136CD" w:rsidRDefault="003B2203" w:rsidP="003B2203">
            <w:pPr>
              <w:ind w:left="82" w:right="161"/>
              <w:jc w:val="both"/>
              <w:rPr>
                <w:sz w:val="26"/>
                <w:szCs w:val="26"/>
                <w:lang w:val="lv-LV"/>
              </w:rPr>
            </w:pPr>
            <w:r w:rsidRPr="00583CBA">
              <w:rPr>
                <w:sz w:val="26"/>
                <w:szCs w:val="26"/>
                <w:lang w:val="lv-LV"/>
              </w:rPr>
              <w:t>Ekonomikas ministrija, sabiedrība “</w:t>
            </w:r>
            <w:proofErr w:type="spellStart"/>
            <w:r w:rsidRPr="00583CBA">
              <w:rPr>
                <w:sz w:val="26"/>
                <w:szCs w:val="26"/>
                <w:lang w:val="lv-LV"/>
              </w:rPr>
              <w:t>Altum</w:t>
            </w:r>
            <w:proofErr w:type="spellEnd"/>
            <w:r w:rsidRPr="00583CBA">
              <w:rPr>
                <w:sz w:val="26"/>
                <w:szCs w:val="26"/>
                <w:lang w:val="lv-LV"/>
              </w:rPr>
              <w:t>”</w:t>
            </w:r>
          </w:p>
        </w:tc>
      </w:tr>
      <w:tr w:rsidR="003B2203" w:rsidRPr="009D4B8F" w14:paraId="2CF2C3EA" w14:textId="77777777" w:rsidTr="00B73A5D">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3B2203" w:rsidRPr="00C136CD" w:rsidRDefault="003B2203" w:rsidP="003B2203">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2.</w:t>
            </w:r>
          </w:p>
        </w:tc>
        <w:tc>
          <w:tcPr>
            <w:tcW w:w="2843" w:type="dxa"/>
            <w:tcBorders>
              <w:top w:val="outset" w:sz="6" w:space="0" w:color="414142"/>
              <w:left w:val="outset" w:sz="6" w:space="0" w:color="414142"/>
              <w:bottom w:val="outset" w:sz="6" w:space="0" w:color="414142"/>
              <w:right w:val="outset" w:sz="6" w:space="0" w:color="414142"/>
            </w:tcBorders>
            <w:hideMark/>
          </w:tcPr>
          <w:p w14:paraId="7D209650" w14:textId="77777777" w:rsidR="003B2203" w:rsidRPr="00C136CD" w:rsidRDefault="003B2203" w:rsidP="003B2203">
            <w:pPr>
              <w:ind w:right="112"/>
              <w:jc w:val="both"/>
              <w:rPr>
                <w:sz w:val="26"/>
                <w:szCs w:val="26"/>
                <w:lang w:val="lv-LV"/>
              </w:rPr>
            </w:pPr>
            <w:r w:rsidRPr="00C136CD">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018" w:type="dxa"/>
            <w:tcBorders>
              <w:top w:val="outset" w:sz="6" w:space="0" w:color="414142"/>
              <w:left w:val="outset" w:sz="6" w:space="0" w:color="414142"/>
              <w:bottom w:val="outset" w:sz="6" w:space="0" w:color="414142"/>
              <w:right w:val="outset" w:sz="6" w:space="0" w:color="414142"/>
            </w:tcBorders>
            <w:hideMark/>
          </w:tcPr>
          <w:p w14:paraId="5F5A7977" w14:textId="2C7B4FD9" w:rsidR="003B2203" w:rsidRPr="00C136CD" w:rsidRDefault="00B92A20" w:rsidP="003B2203">
            <w:pPr>
              <w:ind w:left="82" w:right="161"/>
              <w:jc w:val="both"/>
              <w:rPr>
                <w:sz w:val="26"/>
                <w:szCs w:val="26"/>
                <w:lang w:val="lv-LV"/>
              </w:rPr>
            </w:pPr>
            <w:r>
              <w:rPr>
                <w:sz w:val="26"/>
                <w:szCs w:val="26"/>
                <w:lang w:val="lv-LV"/>
              </w:rPr>
              <w:t xml:space="preserve">Noteikumu projekta </w:t>
            </w:r>
            <w:r w:rsidR="003B2203" w:rsidRPr="00583CBA">
              <w:rPr>
                <w:sz w:val="26"/>
                <w:szCs w:val="26"/>
                <w:lang w:val="lv-LV"/>
              </w:rPr>
              <w:t>izpilde tiks nodrošināta Ekonomikas ministrijas un akciju sabiedrības “</w:t>
            </w:r>
            <w:proofErr w:type="spellStart"/>
            <w:r w:rsidR="003B2203" w:rsidRPr="00583CBA">
              <w:rPr>
                <w:sz w:val="26"/>
                <w:szCs w:val="26"/>
                <w:lang w:val="lv-LV"/>
              </w:rPr>
              <w:t>Altum</w:t>
            </w:r>
            <w:proofErr w:type="spellEnd"/>
            <w:r w:rsidR="003B2203" w:rsidRPr="00583CBA">
              <w:rPr>
                <w:sz w:val="26"/>
                <w:szCs w:val="26"/>
                <w:lang w:val="lv-LV"/>
              </w:rPr>
              <w:t>” esošo funkciju un cilvēkresursu ietvaros, kā arī nav paredzēta jaunu institūciju izveide, esošu institūciju likvidācija vai reorganizācija.</w:t>
            </w:r>
          </w:p>
        </w:tc>
      </w:tr>
      <w:tr w:rsidR="00844176" w:rsidRPr="00310924" w14:paraId="2EBACAF6" w14:textId="77777777" w:rsidTr="00B73A5D">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3.</w:t>
            </w:r>
          </w:p>
        </w:tc>
        <w:tc>
          <w:tcPr>
            <w:tcW w:w="2843"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C136CD" w:rsidRDefault="00844176" w:rsidP="00871E2F">
            <w:pPr>
              <w:jc w:val="both"/>
              <w:rPr>
                <w:rFonts w:eastAsia="Times New Roman"/>
                <w:sz w:val="26"/>
                <w:szCs w:val="26"/>
                <w:lang w:val="lv-LV" w:eastAsia="lv-LV"/>
              </w:rPr>
            </w:pPr>
            <w:r w:rsidRPr="00C136CD">
              <w:rPr>
                <w:rFonts w:eastAsia="Times New Roman"/>
                <w:sz w:val="26"/>
                <w:szCs w:val="26"/>
                <w:lang w:val="lv-LV" w:eastAsia="lv-LV"/>
              </w:rPr>
              <w:t>Cita informācija</w:t>
            </w:r>
          </w:p>
        </w:tc>
        <w:tc>
          <w:tcPr>
            <w:tcW w:w="6018"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C136CD" w:rsidRDefault="00844176" w:rsidP="002932D2">
            <w:pPr>
              <w:jc w:val="both"/>
              <w:rPr>
                <w:rFonts w:eastAsia="Times New Roman"/>
                <w:sz w:val="26"/>
                <w:szCs w:val="26"/>
                <w:lang w:val="lv-LV" w:eastAsia="lv-LV"/>
              </w:rPr>
            </w:pPr>
            <w:r w:rsidRPr="00C136CD">
              <w:rPr>
                <w:rFonts w:eastAsia="Times New Roman"/>
                <w:sz w:val="26"/>
                <w:szCs w:val="26"/>
                <w:lang w:val="lv-LV" w:eastAsia="lv-LV"/>
              </w:rPr>
              <w:t>Nav</w:t>
            </w:r>
          </w:p>
        </w:tc>
      </w:tr>
    </w:tbl>
    <w:p w14:paraId="7FC0F3F0" w14:textId="1E3ACBC7" w:rsidR="000A0059" w:rsidRPr="00C136CD" w:rsidRDefault="000A0059" w:rsidP="00EA6CD3">
      <w:pPr>
        <w:tabs>
          <w:tab w:val="right" w:pos="9072"/>
        </w:tabs>
        <w:rPr>
          <w:sz w:val="26"/>
          <w:szCs w:val="26"/>
          <w:lang w:val="lv-LV"/>
        </w:rPr>
      </w:pPr>
    </w:p>
    <w:p w14:paraId="03EE94B5" w14:textId="77777777" w:rsidR="00862580" w:rsidRPr="00DD120E" w:rsidRDefault="00862580" w:rsidP="00862580">
      <w:pPr>
        <w:jc w:val="both"/>
        <w:rPr>
          <w:sz w:val="26"/>
          <w:szCs w:val="26"/>
        </w:rPr>
      </w:pPr>
    </w:p>
    <w:p w14:paraId="242B9321" w14:textId="7D1C16C0" w:rsidR="00B73A5D" w:rsidRPr="00E014E6" w:rsidRDefault="00B73A5D" w:rsidP="00B73A5D">
      <w:pPr>
        <w:ind w:firstLine="709"/>
        <w:jc w:val="both"/>
        <w:rPr>
          <w:sz w:val="24"/>
          <w:szCs w:val="26"/>
        </w:rPr>
      </w:pPr>
      <w:proofErr w:type="spellStart"/>
      <w:r w:rsidRPr="00E014E6">
        <w:rPr>
          <w:sz w:val="24"/>
          <w:szCs w:val="26"/>
        </w:rPr>
        <w:t>Ekonomikas</w:t>
      </w:r>
      <w:proofErr w:type="spellEnd"/>
      <w:r w:rsidRPr="00E014E6">
        <w:rPr>
          <w:sz w:val="24"/>
          <w:szCs w:val="26"/>
        </w:rPr>
        <w:t xml:space="preserve"> ministrs </w:t>
      </w:r>
      <w:r w:rsidRPr="00E014E6">
        <w:rPr>
          <w:sz w:val="24"/>
          <w:szCs w:val="26"/>
        </w:rPr>
        <w:tab/>
      </w:r>
      <w:r w:rsidRPr="00E014E6">
        <w:rPr>
          <w:sz w:val="24"/>
          <w:szCs w:val="26"/>
        </w:rPr>
        <w:tab/>
      </w:r>
      <w:r w:rsidRPr="00E014E6">
        <w:rPr>
          <w:sz w:val="24"/>
          <w:szCs w:val="26"/>
        </w:rPr>
        <w:tab/>
      </w:r>
      <w:r w:rsidRPr="00E014E6">
        <w:rPr>
          <w:sz w:val="24"/>
          <w:szCs w:val="26"/>
        </w:rPr>
        <w:tab/>
        <w:t xml:space="preserve">                          </w:t>
      </w:r>
      <w:proofErr w:type="spellStart"/>
      <w:proofErr w:type="gramStart"/>
      <w:r w:rsidR="00F773E1">
        <w:rPr>
          <w:sz w:val="24"/>
          <w:szCs w:val="26"/>
        </w:rPr>
        <w:t>J.Vitenbergs</w:t>
      </w:r>
      <w:proofErr w:type="spellEnd"/>
      <w:proofErr w:type="gramEnd"/>
    </w:p>
    <w:p w14:paraId="36B81335" w14:textId="77777777" w:rsidR="00B73A5D" w:rsidRPr="00583CBA" w:rsidRDefault="00B73A5D" w:rsidP="00B73A5D">
      <w:pPr>
        <w:rPr>
          <w:sz w:val="26"/>
          <w:szCs w:val="26"/>
          <w:lang w:val="lv-LV"/>
        </w:rPr>
      </w:pPr>
      <w:r w:rsidRPr="00583CBA">
        <w:rPr>
          <w:sz w:val="26"/>
          <w:szCs w:val="26"/>
          <w:lang w:val="lv-LV"/>
        </w:rPr>
        <w:tab/>
      </w:r>
    </w:p>
    <w:p w14:paraId="4EC5B743" w14:textId="77777777" w:rsidR="00B73A5D" w:rsidRPr="00583CBA" w:rsidRDefault="00B73A5D" w:rsidP="00B73A5D">
      <w:pPr>
        <w:tabs>
          <w:tab w:val="left" w:pos="6237"/>
        </w:tabs>
        <w:contextualSpacing/>
        <w:rPr>
          <w:sz w:val="26"/>
          <w:szCs w:val="26"/>
          <w:lang w:val="lv-LV"/>
        </w:rPr>
      </w:pPr>
    </w:p>
    <w:p w14:paraId="12146B78" w14:textId="77777777" w:rsidR="00B73A5D" w:rsidRPr="00583CBA" w:rsidRDefault="00B73A5D" w:rsidP="00B73A5D">
      <w:pPr>
        <w:tabs>
          <w:tab w:val="left" w:pos="6237"/>
        </w:tabs>
        <w:ind w:firstLine="720"/>
        <w:contextualSpacing/>
        <w:rPr>
          <w:sz w:val="26"/>
          <w:szCs w:val="26"/>
          <w:lang w:val="lv-LV"/>
        </w:rPr>
      </w:pPr>
      <w:r w:rsidRPr="00583CBA">
        <w:rPr>
          <w:sz w:val="26"/>
          <w:szCs w:val="26"/>
          <w:lang w:val="lv-LV"/>
        </w:rPr>
        <w:t>Vīza:</w:t>
      </w:r>
    </w:p>
    <w:p w14:paraId="346BA42D" w14:textId="77777777" w:rsidR="00B73A5D" w:rsidRPr="00583CBA" w:rsidRDefault="00B73A5D" w:rsidP="00B73A5D">
      <w:pPr>
        <w:tabs>
          <w:tab w:val="left" w:pos="6237"/>
        </w:tabs>
        <w:ind w:firstLine="720"/>
        <w:contextualSpacing/>
        <w:rPr>
          <w:sz w:val="26"/>
          <w:szCs w:val="26"/>
          <w:lang w:val="lv-LV"/>
        </w:rPr>
      </w:pPr>
      <w:r w:rsidRPr="00583CBA">
        <w:rPr>
          <w:sz w:val="26"/>
          <w:szCs w:val="26"/>
          <w:lang w:val="lv-LV"/>
        </w:rPr>
        <w:t xml:space="preserve">Valsts sekretāra vietā – </w:t>
      </w:r>
    </w:p>
    <w:p w14:paraId="20861410" w14:textId="77777777" w:rsidR="00B73A5D" w:rsidRPr="00583CBA" w:rsidRDefault="00B73A5D" w:rsidP="00B73A5D">
      <w:pPr>
        <w:tabs>
          <w:tab w:val="left" w:pos="6237"/>
        </w:tabs>
        <w:ind w:firstLine="720"/>
        <w:contextualSpacing/>
        <w:rPr>
          <w:sz w:val="26"/>
          <w:szCs w:val="26"/>
          <w:lang w:val="lv-LV"/>
        </w:rPr>
      </w:pPr>
      <w:r w:rsidRPr="00583CBA">
        <w:rPr>
          <w:sz w:val="26"/>
          <w:szCs w:val="26"/>
          <w:lang w:val="lv-LV"/>
        </w:rPr>
        <w:t>valsts sekretāra vietnieks</w:t>
      </w:r>
      <w:r w:rsidRPr="00583CBA">
        <w:rPr>
          <w:sz w:val="26"/>
          <w:szCs w:val="26"/>
          <w:lang w:val="lv-LV"/>
        </w:rPr>
        <w:tab/>
      </w:r>
      <w:r w:rsidRPr="00583CBA">
        <w:rPr>
          <w:sz w:val="26"/>
          <w:szCs w:val="26"/>
          <w:lang w:val="lv-LV"/>
        </w:rPr>
        <w:tab/>
        <w:t>Edmunds Valantis</w:t>
      </w:r>
    </w:p>
    <w:p w14:paraId="2A024035" w14:textId="77777777" w:rsidR="00862580" w:rsidRPr="00B73A5D" w:rsidRDefault="00862580" w:rsidP="00862580">
      <w:pPr>
        <w:tabs>
          <w:tab w:val="left" w:pos="6237"/>
        </w:tabs>
        <w:ind w:firstLine="720"/>
        <w:rPr>
          <w:lang w:val="lv-LV"/>
        </w:rPr>
      </w:pPr>
    </w:p>
    <w:p w14:paraId="3365EE2C" w14:textId="77777777" w:rsidR="00862580" w:rsidRPr="008A104F" w:rsidRDefault="00862580" w:rsidP="00862580">
      <w:pPr>
        <w:tabs>
          <w:tab w:val="left" w:pos="6237"/>
        </w:tabs>
        <w:ind w:firstLine="720"/>
      </w:pPr>
    </w:p>
    <w:p w14:paraId="686EDB4F" w14:textId="77777777" w:rsidR="00862580" w:rsidRPr="008A104F" w:rsidRDefault="00862580" w:rsidP="00862580">
      <w:pPr>
        <w:tabs>
          <w:tab w:val="left" w:pos="6237"/>
        </w:tabs>
      </w:pPr>
    </w:p>
    <w:p w14:paraId="7FE050EB" w14:textId="77777777" w:rsidR="00862580" w:rsidRPr="00871792" w:rsidRDefault="00862580" w:rsidP="00862580">
      <w:pPr>
        <w:tabs>
          <w:tab w:val="left" w:pos="6840"/>
        </w:tabs>
        <w:jc w:val="both"/>
      </w:pPr>
      <w:r w:rsidRPr="00871792">
        <w:t>Tetere, 67013044</w:t>
      </w:r>
    </w:p>
    <w:p w14:paraId="5B8D44CD" w14:textId="77777777" w:rsidR="00862580" w:rsidRPr="00871792" w:rsidRDefault="000136B6" w:rsidP="00862580">
      <w:pPr>
        <w:pStyle w:val="Header"/>
        <w:tabs>
          <w:tab w:val="clear" w:pos="4153"/>
          <w:tab w:val="clear" w:pos="8306"/>
        </w:tabs>
      </w:pPr>
      <w:hyperlink r:id="rId9" w:history="1">
        <w:r w:rsidR="00862580" w:rsidRPr="00871792">
          <w:rPr>
            <w:rStyle w:val="Hyperlink"/>
          </w:rPr>
          <w:t>Dita.Tetere@em.gov.lv</w:t>
        </w:r>
      </w:hyperlink>
      <w:r w:rsidR="00862580" w:rsidRPr="008A104F">
        <w:t xml:space="preserve">  </w:t>
      </w:r>
    </w:p>
    <w:p w14:paraId="15AA3A25" w14:textId="77777777" w:rsidR="00733C32" w:rsidRPr="00C136CD" w:rsidRDefault="00733C32">
      <w:pPr>
        <w:rPr>
          <w:sz w:val="26"/>
          <w:szCs w:val="26"/>
        </w:rPr>
      </w:pPr>
    </w:p>
    <w:sectPr w:rsidR="00733C32" w:rsidRPr="00C136CD" w:rsidSect="006938D7">
      <w:headerReference w:type="default" r:id="rId10"/>
      <w:footerReference w:type="default" r:id="rId11"/>
      <w:footerReference w:type="first" r:id="rId12"/>
      <w:endnotePr>
        <w:numFmt w:val="decimal"/>
      </w:endnotePr>
      <w:type w:val="continuous"/>
      <w:pgSz w:w="11906" w:h="16838"/>
      <w:pgMar w:top="1304"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D830C" w14:textId="77777777" w:rsidR="001A02C5" w:rsidRDefault="001A02C5" w:rsidP="006B2FEF">
      <w:r>
        <w:separator/>
      </w:r>
    </w:p>
  </w:endnote>
  <w:endnote w:type="continuationSeparator" w:id="0">
    <w:p w14:paraId="1DB9440B" w14:textId="77777777" w:rsidR="001A02C5" w:rsidRDefault="001A02C5"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D52F" w14:textId="038EE411" w:rsidR="0007156D" w:rsidRPr="00BB55EA" w:rsidRDefault="00F00E88" w:rsidP="00E37F50">
    <w:pPr>
      <w:pStyle w:val="Footer"/>
      <w:jc w:val="both"/>
      <w:rPr>
        <w:lang w:val="lv-LV"/>
      </w:rPr>
    </w:pPr>
    <w:r>
      <w:rPr>
        <w:noProof/>
      </w:rPr>
      <w:fldChar w:fldCharType="begin"/>
    </w:r>
    <w:r>
      <w:rPr>
        <w:noProof/>
      </w:rPr>
      <w:instrText xml:space="preserve"> FILENAME   \* MERGEFORMAT </w:instrText>
    </w:r>
    <w:r>
      <w:rPr>
        <w:noProof/>
      </w:rPr>
      <w:fldChar w:fldCharType="separate"/>
    </w:r>
    <w:r w:rsidR="00552AF1">
      <w:rPr>
        <w:noProof/>
      </w:rPr>
      <w:t>EMAnot_</w:t>
    </w:r>
    <w:r w:rsidR="003855AD">
      <w:rPr>
        <w:noProof/>
      </w:rPr>
      <w:t>0</w:t>
    </w:r>
    <w:r w:rsidR="00763E5E">
      <w:rPr>
        <w:noProof/>
      </w:rPr>
      <w:t>8</w:t>
    </w:r>
    <w:r w:rsidR="003855AD">
      <w:rPr>
        <w:noProof/>
      </w:rPr>
      <w:t>04</w:t>
    </w:r>
    <w:r w:rsidR="00763E5E">
      <w:rPr>
        <w:noProof/>
      </w:rPr>
      <w:t>20</w:t>
    </w:r>
    <w:r w:rsidR="00F61989">
      <w:rPr>
        <w:noProof/>
      </w:rPr>
      <w:t>20</w:t>
    </w:r>
    <w:r w:rsidR="00763E5E">
      <w:rPr>
        <w:noProof/>
      </w:rPr>
      <w:t>_Groz866</w:t>
    </w:r>
    <w:r w:rsidR="00552AF1">
      <w:rPr>
        <w:noProof/>
      </w:rPr>
      <w:t>.docx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F2A6" w14:textId="32FDCCED" w:rsidR="0007156D" w:rsidRDefault="00F00E88" w:rsidP="00CD6800">
    <w:pPr>
      <w:pStyle w:val="Footer"/>
      <w:tabs>
        <w:tab w:val="clear" w:pos="4153"/>
        <w:tab w:val="clear" w:pos="8306"/>
        <w:tab w:val="left" w:pos="6280"/>
      </w:tabs>
      <w:jc w:val="both"/>
    </w:pPr>
    <w:r>
      <w:rPr>
        <w:noProof/>
      </w:rPr>
      <w:fldChar w:fldCharType="begin"/>
    </w:r>
    <w:r>
      <w:rPr>
        <w:noProof/>
      </w:rPr>
      <w:instrText xml:space="preserve"> FILENAME   \* MERGEFORMAT </w:instrText>
    </w:r>
    <w:r>
      <w:rPr>
        <w:noProof/>
      </w:rPr>
      <w:fldChar w:fldCharType="separate"/>
    </w:r>
    <w:r w:rsidR="00552AF1">
      <w:rPr>
        <w:noProof/>
      </w:rPr>
      <w:t>EMAnot</w:t>
    </w:r>
    <w:r w:rsidR="00AD1D82">
      <w:rPr>
        <w:noProof/>
      </w:rPr>
      <w:t xml:space="preserve"> </w:t>
    </w:r>
    <w:r w:rsidR="005F1D39">
      <w:rPr>
        <w:noProof/>
      </w:rPr>
      <w:t>_0</w:t>
    </w:r>
    <w:r w:rsidR="00CD6800">
      <w:rPr>
        <w:noProof/>
      </w:rPr>
      <w:t>80420</w:t>
    </w:r>
    <w:r w:rsidR="005F1D39">
      <w:rPr>
        <w:noProof/>
      </w:rPr>
      <w:t>20</w:t>
    </w:r>
    <w:r w:rsidR="00CD6800">
      <w:rPr>
        <w:noProof/>
      </w:rPr>
      <w:t>_Groz866</w:t>
    </w:r>
    <w:r w:rsidR="00552AF1">
      <w:rPr>
        <w:noProof/>
      </w:rPr>
      <w:t>.docx</w:t>
    </w:r>
    <w:r>
      <w:rPr>
        <w:noProof/>
      </w:rPr>
      <w:fldChar w:fldCharType="end"/>
    </w:r>
    <w:r w:rsidR="0007156D">
      <w:t xml:space="preserve">; </w:t>
    </w:r>
    <w:sdt>
      <w:sdtPr>
        <w:alias w:val="Title"/>
        <w:tag w:val=""/>
        <w:id w:val="382688164"/>
        <w:showingPlcHdr/>
        <w:dataBinding w:prefixMappings="xmlns:ns0='http://purl.org/dc/elements/1.1/' xmlns:ns1='http://schemas.openxmlformats.org/package/2006/metadata/core-properties' " w:xpath="/ns1:coreProperties[1]/ns0:title[1]" w:storeItemID="{6C3C8BC8-F283-45AE-878A-BAB7291924A1}"/>
        <w:text/>
      </w:sdtPr>
      <w:sdtEndPr/>
      <w:sdtContent>
        <w:r w:rsidR="0007156D">
          <w:t xml:space="preserve">     </w:t>
        </w:r>
      </w:sdtContent>
    </w:sdt>
    <w:r w:rsidR="00CD680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FDBFD" w14:textId="77777777" w:rsidR="001A02C5" w:rsidRDefault="001A02C5" w:rsidP="006B2FEF">
      <w:r>
        <w:separator/>
      </w:r>
    </w:p>
  </w:footnote>
  <w:footnote w:type="continuationSeparator" w:id="0">
    <w:p w14:paraId="37E20EEA" w14:textId="77777777" w:rsidR="001A02C5" w:rsidRDefault="001A02C5" w:rsidP="006B2FEF">
      <w:r>
        <w:continuationSeparator/>
      </w:r>
    </w:p>
  </w:footnote>
  <w:footnote w:id="1">
    <w:p w14:paraId="7A05C7C5" w14:textId="77777777" w:rsidR="00A34958" w:rsidRDefault="00A34958" w:rsidP="00A34958">
      <w:pPr>
        <w:pStyle w:val="FootnoteText"/>
      </w:pPr>
      <w:r>
        <w:rPr>
          <w:rStyle w:val="FootnoteReference"/>
        </w:rPr>
        <w:footnoteRef/>
      </w:r>
      <w:r>
        <w:t xml:space="preserve"> </w:t>
      </w:r>
      <w:r w:rsidRPr="00A42112">
        <w:rPr>
          <w:i/>
          <w:iCs/>
        </w:rPr>
        <w:t xml:space="preserve">Komisijas Paziņojumu dalībvalstīm par Līguma par Eiropas Savienības darbību 107. un 108. panta piemērošanu īstermiņa eksporta kredīta apdrošināšanai </w:t>
      </w:r>
      <w:r w:rsidRPr="00A42112">
        <w:rPr>
          <w:rFonts w:eastAsia="Calibri"/>
          <w:i/>
          <w:iCs/>
        </w:rPr>
        <w:t xml:space="preserve"> </w:t>
      </w:r>
      <w:r w:rsidRPr="00A42112">
        <w:rPr>
          <w:i/>
          <w:iCs/>
        </w:rPr>
        <w:t>(2012/C 392/01)</w:t>
      </w:r>
      <w:r>
        <w:rPr>
          <w:i/>
          <w:iCs/>
        </w:rPr>
        <w:t xml:space="preserve"> (turpmāk – Komisijas paziņojums)</w:t>
      </w:r>
    </w:p>
  </w:footnote>
  <w:footnote w:id="2">
    <w:p w14:paraId="73FC0A42" w14:textId="59D0A2F6" w:rsidR="005C71A2" w:rsidRDefault="005C71A2">
      <w:pPr>
        <w:pStyle w:val="FootnoteText"/>
      </w:pPr>
      <w:r>
        <w:rPr>
          <w:rStyle w:val="FootnoteReference"/>
        </w:rPr>
        <w:footnoteRef/>
      </w:r>
      <w:r>
        <w:t xml:space="preserve"> </w:t>
      </w:r>
      <w:r w:rsidRPr="00A34958">
        <w:rPr>
          <w:i/>
          <w:iCs/>
        </w:rPr>
        <w:t>KOMISIJAS PAZIŅOJUMS, ar ko groza pielikumu Komisijas Paziņojumam dalībvalstīm par Līguma par Eiropas Savienības darbību 107. un 108. panta piemērošanu īstermiņa eksporta kredīta apdrošināšanai (2020/C 101 I/01)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06079B9A" w14:textId="2A33C95A" w:rsidR="0007156D" w:rsidRPr="00B014C2" w:rsidRDefault="0007156D">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C136CD">
          <w:rPr>
            <w:noProof/>
            <w:sz w:val="24"/>
            <w:szCs w:val="24"/>
          </w:rPr>
          <w:t>7</w:t>
        </w:r>
        <w:r w:rsidRPr="00B014C2">
          <w:rPr>
            <w:sz w:val="24"/>
            <w:szCs w:val="24"/>
          </w:rPr>
          <w:fldChar w:fldCharType="end"/>
        </w:r>
      </w:p>
    </w:sdtContent>
  </w:sdt>
  <w:p w14:paraId="6CE91A04" w14:textId="77777777" w:rsidR="0007156D" w:rsidRDefault="0007156D">
    <w:pPr>
      <w:pStyle w:val="Header"/>
    </w:pPr>
  </w:p>
  <w:p w14:paraId="4597F8B3" w14:textId="77777777" w:rsidR="0007156D" w:rsidRDefault="000715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1" w15:restartNumberingAfterBreak="0">
    <w:nsid w:val="03975E69"/>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3"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8234B5B"/>
    <w:multiLevelType w:val="hybridMultilevel"/>
    <w:tmpl w:val="C3D0B870"/>
    <w:lvl w:ilvl="0" w:tplc="5234076A">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6" w15:restartNumberingAfterBreak="0">
    <w:nsid w:val="12EF10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EE420C"/>
    <w:multiLevelType w:val="hybridMultilevel"/>
    <w:tmpl w:val="431E2A94"/>
    <w:lvl w:ilvl="0" w:tplc="0B2E20D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5"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338939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CE6625"/>
    <w:multiLevelType w:val="hybridMultilevel"/>
    <w:tmpl w:val="CE320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E72288"/>
    <w:multiLevelType w:val="hybridMultilevel"/>
    <w:tmpl w:val="C624FC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D9171A8"/>
    <w:multiLevelType w:val="hybridMultilevel"/>
    <w:tmpl w:val="CCE6514C"/>
    <w:lvl w:ilvl="0" w:tplc="62BE90F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2BD2601"/>
    <w:multiLevelType w:val="hybridMultilevel"/>
    <w:tmpl w:val="61B28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166FC1"/>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3"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5" w15:restartNumberingAfterBreak="0">
    <w:nsid w:val="766266BE"/>
    <w:multiLevelType w:val="hybridMultilevel"/>
    <w:tmpl w:val="E154F6C2"/>
    <w:lvl w:ilvl="0" w:tplc="22EACA3E">
      <w:start w:val="30"/>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7AE11B1"/>
    <w:multiLevelType w:val="hybridMultilevel"/>
    <w:tmpl w:val="60EA4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37"/>
  </w:num>
  <w:num w:numId="3">
    <w:abstractNumId w:val="26"/>
  </w:num>
  <w:num w:numId="4">
    <w:abstractNumId w:val="10"/>
  </w:num>
  <w:num w:numId="5">
    <w:abstractNumId w:val="14"/>
  </w:num>
  <w:num w:numId="6">
    <w:abstractNumId w:val="5"/>
  </w:num>
  <w:num w:numId="7">
    <w:abstractNumId w:val="21"/>
  </w:num>
  <w:num w:numId="8">
    <w:abstractNumId w:val="38"/>
  </w:num>
  <w:num w:numId="9">
    <w:abstractNumId w:val="27"/>
  </w:num>
  <w:num w:numId="10">
    <w:abstractNumId w:val="0"/>
  </w:num>
  <w:num w:numId="11">
    <w:abstractNumId w:val="2"/>
  </w:num>
  <w:num w:numId="12">
    <w:abstractNumId w:val="15"/>
  </w:num>
  <w:num w:numId="13">
    <w:abstractNumId w:val="31"/>
  </w:num>
  <w:num w:numId="14">
    <w:abstractNumId w:val="33"/>
  </w:num>
  <w:num w:numId="15">
    <w:abstractNumId w:val="13"/>
  </w:num>
  <w:num w:numId="16">
    <w:abstractNumId w:val="34"/>
  </w:num>
  <w:num w:numId="17">
    <w:abstractNumId w:val="28"/>
  </w:num>
  <w:num w:numId="18">
    <w:abstractNumId w:val="32"/>
  </w:num>
  <w:num w:numId="19">
    <w:abstractNumId w:val="20"/>
  </w:num>
  <w:num w:numId="20">
    <w:abstractNumId w:val="7"/>
  </w:num>
  <w:num w:numId="21">
    <w:abstractNumId w:val="9"/>
  </w:num>
  <w:num w:numId="22">
    <w:abstractNumId w:val="8"/>
  </w:num>
  <w:num w:numId="23">
    <w:abstractNumId w:val="19"/>
  </w:num>
  <w:num w:numId="24">
    <w:abstractNumId w:val="11"/>
  </w:num>
  <w:num w:numId="25">
    <w:abstractNumId w:val="16"/>
  </w:num>
  <w:num w:numId="26">
    <w:abstractNumId w:val="17"/>
  </w:num>
  <w:num w:numId="27">
    <w:abstractNumId w:val="23"/>
  </w:num>
  <w:num w:numId="28">
    <w:abstractNumId w:val="29"/>
  </w:num>
  <w:num w:numId="29">
    <w:abstractNumId w:val="12"/>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2"/>
  </w:num>
  <w:num w:numId="33">
    <w:abstractNumId w:val="6"/>
  </w:num>
  <w:num w:numId="34">
    <w:abstractNumId w:val="30"/>
  </w:num>
  <w:num w:numId="35">
    <w:abstractNumId w:val="1"/>
  </w:num>
  <w:num w:numId="36">
    <w:abstractNumId w:val="18"/>
  </w:num>
  <w:num w:numId="37">
    <w:abstractNumId w:val="25"/>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2BB4"/>
    <w:rsid w:val="000058AA"/>
    <w:rsid w:val="0001048C"/>
    <w:rsid w:val="000136B6"/>
    <w:rsid w:val="00013B61"/>
    <w:rsid w:val="00014B9F"/>
    <w:rsid w:val="00016159"/>
    <w:rsid w:val="00017A7C"/>
    <w:rsid w:val="00017DD8"/>
    <w:rsid w:val="0002003C"/>
    <w:rsid w:val="0002596F"/>
    <w:rsid w:val="00026F18"/>
    <w:rsid w:val="0003012D"/>
    <w:rsid w:val="00030B7E"/>
    <w:rsid w:val="0003245D"/>
    <w:rsid w:val="0003265E"/>
    <w:rsid w:val="000430AC"/>
    <w:rsid w:val="0004380E"/>
    <w:rsid w:val="00043C33"/>
    <w:rsid w:val="00044743"/>
    <w:rsid w:val="00045463"/>
    <w:rsid w:val="000463A8"/>
    <w:rsid w:val="00047095"/>
    <w:rsid w:val="000527A4"/>
    <w:rsid w:val="000541AA"/>
    <w:rsid w:val="000678CD"/>
    <w:rsid w:val="00070F56"/>
    <w:rsid w:val="00071082"/>
    <w:rsid w:val="0007156D"/>
    <w:rsid w:val="00071BC9"/>
    <w:rsid w:val="00072B02"/>
    <w:rsid w:val="0007330D"/>
    <w:rsid w:val="00074090"/>
    <w:rsid w:val="000773A5"/>
    <w:rsid w:val="00077C9F"/>
    <w:rsid w:val="00077D13"/>
    <w:rsid w:val="0008002B"/>
    <w:rsid w:val="00080352"/>
    <w:rsid w:val="00080880"/>
    <w:rsid w:val="00081EC5"/>
    <w:rsid w:val="0008515E"/>
    <w:rsid w:val="00085640"/>
    <w:rsid w:val="0009324B"/>
    <w:rsid w:val="00094B1E"/>
    <w:rsid w:val="00095280"/>
    <w:rsid w:val="00096060"/>
    <w:rsid w:val="000964C6"/>
    <w:rsid w:val="000A0059"/>
    <w:rsid w:val="000A14E3"/>
    <w:rsid w:val="000A3897"/>
    <w:rsid w:val="000B0748"/>
    <w:rsid w:val="000B1926"/>
    <w:rsid w:val="000B1B64"/>
    <w:rsid w:val="000B2C54"/>
    <w:rsid w:val="000B3449"/>
    <w:rsid w:val="000B3FAB"/>
    <w:rsid w:val="000B492B"/>
    <w:rsid w:val="000C33C1"/>
    <w:rsid w:val="000C4418"/>
    <w:rsid w:val="000D2474"/>
    <w:rsid w:val="000D3D56"/>
    <w:rsid w:val="000D43D9"/>
    <w:rsid w:val="000D74B9"/>
    <w:rsid w:val="000E257B"/>
    <w:rsid w:val="000E53C3"/>
    <w:rsid w:val="000E56F8"/>
    <w:rsid w:val="000E5DD2"/>
    <w:rsid w:val="000F0A62"/>
    <w:rsid w:val="000F4230"/>
    <w:rsid w:val="00102922"/>
    <w:rsid w:val="00102B1D"/>
    <w:rsid w:val="00106E43"/>
    <w:rsid w:val="00107B57"/>
    <w:rsid w:val="00110128"/>
    <w:rsid w:val="0011606F"/>
    <w:rsid w:val="001256C6"/>
    <w:rsid w:val="0012624C"/>
    <w:rsid w:val="00137388"/>
    <w:rsid w:val="00137F96"/>
    <w:rsid w:val="00143BB6"/>
    <w:rsid w:val="00145366"/>
    <w:rsid w:val="00146697"/>
    <w:rsid w:val="00151BBD"/>
    <w:rsid w:val="00152387"/>
    <w:rsid w:val="0015295F"/>
    <w:rsid w:val="00156C28"/>
    <w:rsid w:val="00161BA7"/>
    <w:rsid w:val="001650AC"/>
    <w:rsid w:val="001655DD"/>
    <w:rsid w:val="00165747"/>
    <w:rsid w:val="00165F5E"/>
    <w:rsid w:val="0016668A"/>
    <w:rsid w:val="00166A8B"/>
    <w:rsid w:val="0016744E"/>
    <w:rsid w:val="00172082"/>
    <w:rsid w:val="00177250"/>
    <w:rsid w:val="00177882"/>
    <w:rsid w:val="00177C69"/>
    <w:rsid w:val="00180E2B"/>
    <w:rsid w:val="00183B65"/>
    <w:rsid w:val="00186A4D"/>
    <w:rsid w:val="00187140"/>
    <w:rsid w:val="00190B3D"/>
    <w:rsid w:val="001935C8"/>
    <w:rsid w:val="001946C8"/>
    <w:rsid w:val="00195D43"/>
    <w:rsid w:val="001A02C5"/>
    <w:rsid w:val="001A1368"/>
    <w:rsid w:val="001A1439"/>
    <w:rsid w:val="001A38EA"/>
    <w:rsid w:val="001A3ED2"/>
    <w:rsid w:val="001A7C3A"/>
    <w:rsid w:val="001A7E1D"/>
    <w:rsid w:val="001B03B8"/>
    <w:rsid w:val="001B7454"/>
    <w:rsid w:val="001C0801"/>
    <w:rsid w:val="001C143C"/>
    <w:rsid w:val="001C1B72"/>
    <w:rsid w:val="001C2832"/>
    <w:rsid w:val="001C362D"/>
    <w:rsid w:val="001C563A"/>
    <w:rsid w:val="001C5ED6"/>
    <w:rsid w:val="001C6208"/>
    <w:rsid w:val="001C68A2"/>
    <w:rsid w:val="001D0561"/>
    <w:rsid w:val="001D0800"/>
    <w:rsid w:val="001D3167"/>
    <w:rsid w:val="001D43CE"/>
    <w:rsid w:val="001D7397"/>
    <w:rsid w:val="001D7DC1"/>
    <w:rsid w:val="001E1B0F"/>
    <w:rsid w:val="001E3588"/>
    <w:rsid w:val="001E4C2F"/>
    <w:rsid w:val="001E5FBC"/>
    <w:rsid w:val="001E76BE"/>
    <w:rsid w:val="001F2BA2"/>
    <w:rsid w:val="001F6DBE"/>
    <w:rsid w:val="001F7086"/>
    <w:rsid w:val="001F7AAD"/>
    <w:rsid w:val="00200E7D"/>
    <w:rsid w:val="0020468C"/>
    <w:rsid w:val="00205F08"/>
    <w:rsid w:val="0020712E"/>
    <w:rsid w:val="002107BF"/>
    <w:rsid w:val="00211315"/>
    <w:rsid w:val="00215C6A"/>
    <w:rsid w:val="002177B0"/>
    <w:rsid w:val="00217F5B"/>
    <w:rsid w:val="00224E84"/>
    <w:rsid w:val="002267E7"/>
    <w:rsid w:val="002326E5"/>
    <w:rsid w:val="0023582E"/>
    <w:rsid w:val="00237878"/>
    <w:rsid w:val="002438ED"/>
    <w:rsid w:val="00244A9E"/>
    <w:rsid w:val="00246849"/>
    <w:rsid w:val="00250127"/>
    <w:rsid w:val="0025023B"/>
    <w:rsid w:val="00252EEF"/>
    <w:rsid w:val="00253B6C"/>
    <w:rsid w:val="00254651"/>
    <w:rsid w:val="00254901"/>
    <w:rsid w:val="00255BAC"/>
    <w:rsid w:val="002601C7"/>
    <w:rsid w:val="00261B97"/>
    <w:rsid w:val="002651EA"/>
    <w:rsid w:val="00265C6D"/>
    <w:rsid w:val="0027369F"/>
    <w:rsid w:val="00273700"/>
    <w:rsid w:val="00273B21"/>
    <w:rsid w:val="00277D9D"/>
    <w:rsid w:val="00281C0B"/>
    <w:rsid w:val="00290EE2"/>
    <w:rsid w:val="00292062"/>
    <w:rsid w:val="002932D2"/>
    <w:rsid w:val="002957B7"/>
    <w:rsid w:val="002A0435"/>
    <w:rsid w:val="002A0BC1"/>
    <w:rsid w:val="002A166A"/>
    <w:rsid w:val="002A3EC2"/>
    <w:rsid w:val="002A6400"/>
    <w:rsid w:val="002B1DA2"/>
    <w:rsid w:val="002B3EAE"/>
    <w:rsid w:val="002B4900"/>
    <w:rsid w:val="002B6364"/>
    <w:rsid w:val="002B7F82"/>
    <w:rsid w:val="002C15A0"/>
    <w:rsid w:val="002C22CF"/>
    <w:rsid w:val="002C2A54"/>
    <w:rsid w:val="002C3A9B"/>
    <w:rsid w:val="002C3E23"/>
    <w:rsid w:val="002C3E51"/>
    <w:rsid w:val="002C504B"/>
    <w:rsid w:val="002C7BF6"/>
    <w:rsid w:val="002D6A10"/>
    <w:rsid w:val="002D6BDB"/>
    <w:rsid w:val="002D744A"/>
    <w:rsid w:val="002D7D0E"/>
    <w:rsid w:val="002E024D"/>
    <w:rsid w:val="002E1075"/>
    <w:rsid w:val="002E5643"/>
    <w:rsid w:val="002E678E"/>
    <w:rsid w:val="002E708A"/>
    <w:rsid w:val="002E7635"/>
    <w:rsid w:val="002F06CE"/>
    <w:rsid w:val="002F06E1"/>
    <w:rsid w:val="002F5587"/>
    <w:rsid w:val="002F741D"/>
    <w:rsid w:val="00300B84"/>
    <w:rsid w:val="00301A6D"/>
    <w:rsid w:val="0030247A"/>
    <w:rsid w:val="00303955"/>
    <w:rsid w:val="00304810"/>
    <w:rsid w:val="003061FB"/>
    <w:rsid w:val="00306270"/>
    <w:rsid w:val="0031008A"/>
    <w:rsid w:val="00310924"/>
    <w:rsid w:val="0031259B"/>
    <w:rsid w:val="00314298"/>
    <w:rsid w:val="00314D9C"/>
    <w:rsid w:val="003176D3"/>
    <w:rsid w:val="003228DE"/>
    <w:rsid w:val="00323C8A"/>
    <w:rsid w:val="00326096"/>
    <w:rsid w:val="003334FB"/>
    <w:rsid w:val="0033779C"/>
    <w:rsid w:val="00337AC6"/>
    <w:rsid w:val="00341BEB"/>
    <w:rsid w:val="00343A18"/>
    <w:rsid w:val="0034476B"/>
    <w:rsid w:val="003469B5"/>
    <w:rsid w:val="00346CE0"/>
    <w:rsid w:val="00354ABE"/>
    <w:rsid w:val="00356AEA"/>
    <w:rsid w:val="00360657"/>
    <w:rsid w:val="00364B19"/>
    <w:rsid w:val="00366AFE"/>
    <w:rsid w:val="00367B98"/>
    <w:rsid w:val="003702AA"/>
    <w:rsid w:val="00374F73"/>
    <w:rsid w:val="00375F30"/>
    <w:rsid w:val="00376F09"/>
    <w:rsid w:val="00380AC5"/>
    <w:rsid w:val="00381382"/>
    <w:rsid w:val="003814A5"/>
    <w:rsid w:val="00381B26"/>
    <w:rsid w:val="00382FEC"/>
    <w:rsid w:val="003855AD"/>
    <w:rsid w:val="00385772"/>
    <w:rsid w:val="00387734"/>
    <w:rsid w:val="0039139B"/>
    <w:rsid w:val="003913FB"/>
    <w:rsid w:val="00392998"/>
    <w:rsid w:val="00395460"/>
    <w:rsid w:val="00396152"/>
    <w:rsid w:val="00397D0E"/>
    <w:rsid w:val="003A1D77"/>
    <w:rsid w:val="003A24AD"/>
    <w:rsid w:val="003A40AD"/>
    <w:rsid w:val="003A6A32"/>
    <w:rsid w:val="003B1693"/>
    <w:rsid w:val="003B2203"/>
    <w:rsid w:val="003B32EC"/>
    <w:rsid w:val="003B3488"/>
    <w:rsid w:val="003B412A"/>
    <w:rsid w:val="003B5E55"/>
    <w:rsid w:val="003B5F6A"/>
    <w:rsid w:val="003B63BE"/>
    <w:rsid w:val="003B7B62"/>
    <w:rsid w:val="003C072B"/>
    <w:rsid w:val="003C3D3D"/>
    <w:rsid w:val="003C7796"/>
    <w:rsid w:val="003D0448"/>
    <w:rsid w:val="003D1A86"/>
    <w:rsid w:val="003D1F27"/>
    <w:rsid w:val="003D3E7E"/>
    <w:rsid w:val="003D7F0B"/>
    <w:rsid w:val="003E145E"/>
    <w:rsid w:val="003E171B"/>
    <w:rsid w:val="003E33F9"/>
    <w:rsid w:val="003E3959"/>
    <w:rsid w:val="003E4132"/>
    <w:rsid w:val="003E58C7"/>
    <w:rsid w:val="003E5A6D"/>
    <w:rsid w:val="003E5D7B"/>
    <w:rsid w:val="003E637A"/>
    <w:rsid w:val="003F0341"/>
    <w:rsid w:val="003F288B"/>
    <w:rsid w:val="003F2B20"/>
    <w:rsid w:val="003F2C34"/>
    <w:rsid w:val="003F30FC"/>
    <w:rsid w:val="003F45CD"/>
    <w:rsid w:val="003F4CC7"/>
    <w:rsid w:val="003F7C94"/>
    <w:rsid w:val="00401192"/>
    <w:rsid w:val="00401397"/>
    <w:rsid w:val="004038BC"/>
    <w:rsid w:val="00406AE2"/>
    <w:rsid w:val="0041036A"/>
    <w:rsid w:val="0041202B"/>
    <w:rsid w:val="0041316A"/>
    <w:rsid w:val="004158F6"/>
    <w:rsid w:val="00415A66"/>
    <w:rsid w:val="00416A31"/>
    <w:rsid w:val="00417136"/>
    <w:rsid w:val="00420760"/>
    <w:rsid w:val="004224C2"/>
    <w:rsid w:val="004227D3"/>
    <w:rsid w:val="00423B46"/>
    <w:rsid w:val="00425AA9"/>
    <w:rsid w:val="00426250"/>
    <w:rsid w:val="00426A69"/>
    <w:rsid w:val="00426B77"/>
    <w:rsid w:val="00431019"/>
    <w:rsid w:val="00433EC2"/>
    <w:rsid w:val="004352F7"/>
    <w:rsid w:val="0043554A"/>
    <w:rsid w:val="0043619D"/>
    <w:rsid w:val="004362D3"/>
    <w:rsid w:val="00442A8B"/>
    <w:rsid w:val="00442D1E"/>
    <w:rsid w:val="00443016"/>
    <w:rsid w:val="00444344"/>
    <w:rsid w:val="00445945"/>
    <w:rsid w:val="00450691"/>
    <w:rsid w:val="00450D9C"/>
    <w:rsid w:val="00452140"/>
    <w:rsid w:val="00452889"/>
    <w:rsid w:val="00453BB3"/>
    <w:rsid w:val="004619FE"/>
    <w:rsid w:val="00463574"/>
    <w:rsid w:val="004666F3"/>
    <w:rsid w:val="00467343"/>
    <w:rsid w:val="0047031A"/>
    <w:rsid w:val="004741BD"/>
    <w:rsid w:val="0048125C"/>
    <w:rsid w:val="00481C20"/>
    <w:rsid w:val="00483B86"/>
    <w:rsid w:val="00485293"/>
    <w:rsid w:val="004853B1"/>
    <w:rsid w:val="00485E47"/>
    <w:rsid w:val="00490499"/>
    <w:rsid w:val="00493508"/>
    <w:rsid w:val="0049647B"/>
    <w:rsid w:val="00497AB8"/>
    <w:rsid w:val="004A2EE3"/>
    <w:rsid w:val="004A4356"/>
    <w:rsid w:val="004A5EEF"/>
    <w:rsid w:val="004B0B1D"/>
    <w:rsid w:val="004B1EB2"/>
    <w:rsid w:val="004C0738"/>
    <w:rsid w:val="004C0C33"/>
    <w:rsid w:val="004C0FE6"/>
    <w:rsid w:val="004C20F1"/>
    <w:rsid w:val="004C253C"/>
    <w:rsid w:val="004C2FC4"/>
    <w:rsid w:val="004C56E9"/>
    <w:rsid w:val="004D0B68"/>
    <w:rsid w:val="004D0F95"/>
    <w:rsid w:val="004D232B"/>
    <w:rsid w:val="004D3010"/>
    <w:rsid w:val="004D3ABB"/>
    <w:rsid w:val="004E4946"/>
    <w:rsid w:val="004E5D38"/>
    <w:rsid w:val="004E603B"/>
    <w:rsid w:val="004E626B"/>
    <w:rsid w:val="004E6C7D"/>
    <w:rsid w:val="004F13BD"/>
    <w:rsid w:val="004F1F0D"/>
    <w:rsid w:val="004F27D9"/>
    <w:rsid w:val="004F478F"/>
    <w:rsid w:val="004F4D6B"/>
    <w:rsid w:val="0050230D"/>
    <w:rsid w:val="0050364D"/>
    <w:rsid w:val="00503D17"/>
    <w:rsid w:val="00504D6E"/>
    <w:rsid w:val="005116FB"/>
    <w:rsid w:val="00514B75"/>
    <w:rsid w:val="00515D44"/>
    <w:rsid w:val="00530DE5"/>
    <w:rsid w:val="00531AFF"/>
    <w:rsid w:val="00531C6F"/>
    <w:rsid w:val="00532875"/>
    <w:rsid w:val="00534305"/>
    <w:rsid w:val="00534D4D"/>
    <w:rsid w:val="00537F6A"/>
    <w:rsid w:val="00537FF8"/>
    <w:rsid w:val="005464E6"/>
    <w:rsid w:val="00546938"/>
    <w:rsid w:val="00547ACF"/>
    <w:rsid w:val="00552639"/>
    <w:rsid w:val="00552AF1"/>
    <w:rsid w:val="00555557"/>
    <w:rsid w:val="00557AA8"/>
    <w:rsid w:val="00566916"/>
    <w:rsid w:val="00566F71"/>
    <w:rsid w:val="00567050"/>
    <w:rsid w:val="00567FC5"/>
    <w:rsid w:val="00571CCF"/>
    <w:rsid w:val="00572180"/>
    <w:rsid w:val="00572337"/>
    <w:rsid w:val="00573FFE"/>
    <w:rsid w:val="00575FC3"/>
    <w:rsid w:val="0057625C"/>
    <w:rsid w:val="00576743"/>
    <w:rsid w:val="005771D5"/>
    <w:rsid w:val="00581784"/>
    <w:rsid w:val="00584453"/>
    <w:rsid w:val="00591838"/>
    <w:rsid w:val="00592809"/>
    <w:rsid w:val="00593343"/>
    <w:rsid w:val="00594A83"/>
    <w:rsid w:val="005A0C78"/>
    <w:rsid w:val="005A4807"/>
    <w:rsid w:val="005A5A80"/>
    <w:rsid w:val="005B297A"/>
    <w:rsid w:val="005B29EF"/>
    <w:rsid w:val="005B2DA5"/>
    <w:rsid w:val="005B357B"/>
    <w:rsid w:val="005B476F"/>
    <w:rsid w:val="005B4B5F"/>
    <w:rsid w:val="005B5F05"/>
    <w:rsid w:val="005B6095"/>
    <w:rsid w:val="005B65B8"/>
    <w:rsid w:val="005B6A0D"/>
    <w:rsid w:val="005B6D1C"/>
    <w:rsid w:val="005C04E5"/>
    <w:rsid w:val="005C1764"/>
    <w:rsid w:val="005C3B2C"/>
    <w:rsid w:val="005C3D03"/>
    <w:rsid w:val="005C51FA"/>
    <w:rsid w:val="005C5413"/>
    <w:rsid w:val="005C63C7"/>
    <w:rsid w:val="005C6628"/>
    <w:rsid w:val="005C6B2C"/>
    <w:rsid w:val="005C71A2"/>
    <w:rsid w:val="005C73E4"/>
    <w:rsid w:val="005C7B1F"/>
    <w:rsid w:val="005D06E8"/>
    <w:rsid w:val="005D1195"/>
    <w:rsid w:val="005D2167"/>
    <w:rsid w:val="005D2D68"/>
    <w:rsid w:val="005D688E"/>
    <w:rsid w:val="005D6B98"/>
    <w:rsid w:val="005D794E"/>
    <w:rsid w:val="005E30B2"/>
    <w:rsid w:val="005E39B3"/>
    <w:rsid w:val="005E4164"/>
    <w:rsid w:val="005F1D39"/>
    <w:rsid w:val="005F3FC6"/>
    <w:rsid w:val="005F75C4"/>
    <w:rsid w:val="006002BF"/>
    <w:rsid w:val="00600301"/>
    <w:rsid w:val="006008D1"/>
    <w:rsid w:val="006116E2"/>
    <w:rsid w:val="00611ADA"/>
    <w:rsid w:val="00611E0A"/>
    <w:rsid w:val="00611E18"/>
    <w:rsid w:val="00611FC0"/>
    <w:rsid w:val="00613A4A"/>
    <w:rsid w:val="00614157"/>
    <w:rsid w:val="00614A2A"/>
    <w:rsid w:val="00614ECD"/>
    <w:rsid w:val="006226BA"/>
    <w:rsid w:val="006231D7"/>
    <w:rsid w:val="00626031"/>
    <w:rsid w:val="00630C6C"/>
    <w:rsid w:val="00630ED2"/>
    <w:rsid w:val="00631935"/>
    <w:rsid w:val="00636B91"/>
    <w:rsid w:val="006373FF"/>
    <w:rsid w:val="00645799"/>
    <w:rsid w:val="00646A6F"/>
    <w:rsid w:val="00653397"/>
    <w:rsid w:val="006535C3"/>
    <w:rsid w:val="006553CD"/>
    <w:rsid w:val="006559F5"/>
    <w:rsid w:val="0065752A"/>
    <w:rsid w:val="00661782"/>
    <w:rsid w:val="00662C11"/>
    <w:rsid w:val="00672822"/>
    <w:rsid w:val="006729D2"/>
    <w:rsid w:val="00673B07"/>
    <w:rsid w:val="00673BC6"/>
    <w:rsid w:val="006775B3"/>
    <w:rsid w:val="00684808"/>
    <w:rsid w:val="0068608E"/>
    <w:rsid w:val="006909B7"/>
    <w:rsid w:val="00690F72"/>
    <w:rsid w:val="00692AB0"/>
    <w:rsid w:val="006938D7"/>
    <w:rsid w:val="006B2D92"/>
    <w:rsid w:val="006B2FEF"/>
    <w:rsid w:val="006B4B31"/>
    <w:rsid w:val="006B6581"/>
    <w:rsid w:val="006B6D6C"/>
    <w:rsid w:val="006C20C5"/>
    <w:rsid w:val="006C2EC1"/>
    <w:rsid w:val="006C5ECD"/>
    <w:rsid w:val="006D1520"/>
    <w:rsid w:val="006D2482"/>
    <w:rsid w:val="006D2F0C"/>
    <w:rsid w:val="006D3604"/>
    <w:rsid w:val="006D536E"/>
    <w:rsid w:val="006D5EB4"/>
    <w:rsid w:val="006E2082"/>
    <w:rsid w:val="006E3BE5"/>
    <w:rsid w:val="006E5D5B"/>
    <w:rsid w:val="006E67BA"/>
    <w:rsid w:val="006E6E53"/>
    <w:rsid w:val="006F2362"/>
    <w:rsid w:val="006F24AB"/>
    <w:rsid w:val="006F47EB"/>
    <w:rsid w:val="006F4B13"/>
    <w:rsid w:val="006F4DE9"/>
    <w:rsid w:val="006F5AAD"/>
    <w:rsid w:val="006F61B5"/>
    <w:rsid w:val="006F71C2"/>
    <w:rsid w:val="007008B0"/>
    <w:rsid w:val="00700AC3"/>
    <w:rsid w:val="00700AD6"/>
    <w:rsid w:val="00700E68"/>
    <w:rsid w:val="00701065"/>
    <w:rsid w:val="0070175E"/>
    <w:rsid w:val="007026AB"/>
    <w:rsid w:val="00703DC5"/>
    <w:rsid w:val="007040F2"/>
    <w:rsid w:val="007049DF"/>
    <w:rsid w:val="007120EE"/>
    <w:rsid w:val="0071279F"/>
    <w:rsid w:val="0071492B"/>
    <w:rsid w:val="007153C5"/>
    <w:rsid w:val="007161D3"/>
    <w:rsid w:val="00720C35"/>
    <w:rsid w:val="00720E7B"/>
    <w:rsid w:val="00722964"/>
    <w:rsid w:val="007262F0"/>
    <w:rsid w:val="007314F1"/>
    <w:rsid w:val="00731BE9"/>
    <w:rsid w:val="00731E2B"/>
    <w:rsid w:val="00733C32"/>
    <w:rsid w:val="007420D7"/>
    <w:rsid w:val="0074545C"/>
    <w:rsid w:val="00752DBC"/>
    <w:rsid w:val="00753FF4"/>
    <w:rsid w:val="0075411D"/>
    <w:rsid w:val="00756F8A"/>
    <w:rsid w:val="00757367"/>
    <w:rsid w:val="00760295"/>
    <w:rsid w:val="00760B97"/>
    <w:rsid w:val="00762675"/>
    <w:rsid w:val="00762FC8"/>
    <w:rsid w:val="00763E5E"/>
    <w:rsid w:val="00764843"/>
    <w:rsid w:val="00765825"/>
    <w:rsid w:val="007700D3"/>
    <w:rsid w:val="00770970"/>
    <w:rsid w:val="0077131C"/>
    <w:rsid w:val="0077138B"/>
    <w:rsid w:val="0077534E"/>
    <w:rsid w:val="0078045E"/>
    <w:rsid w:val="00780B70"/>
    <w:rsid w:val="00782847"/>
    <w:rsid w:val="00783777"/>
    <w:rsid w:val="00783D20"/>
    <w:rsid w:val="00785232"/>
    <w:rsid w:val="00785C6D"/>
    <w:rsid w:val="007862D0"/>
    <w:rsid w:val="0079247D"/>
    <w:rsid w:val="00794F2D"/>
    <w:rsid w:val="007954D3"/>
    <w:rsid w:val="00796159"/>
    <w:rsid w:val="00797AAD"/>
    <w:rsid w:val="007A2F02"/>
    <w:rsid w:val="007A5127"/>
    <w:rsid w:val="007A5C51"/>
    <w:rsid w:val="007B41D7"/>
    <w:rsid w:val="007C1A7D"/>
    <w:rsid w:val="007C4094"/>
    <w:rsid w:val="007C45C5"/>
    <w:rsid w:val="007C608D"/>
    <w:rsid w:val="007D11C0"/>
    <w:rsid w:val="007D50AE"/>
    <w:rsid w:val="007D516C"/>
    <w:rsid w:val="007E1BAC"/>
    <w:rsid w:val="007E1EA6"/>
    <w:rsid w:val="007E2FDE"/>
    <w:rsid w:val="007E4C1F"/>
    <w:rsid w:val="007E6943"/>
    <w:rsid w:val="007F0204"/>
    <w:rsid w:val="007F5C3C"/>
    <w:rsid w:val="007F5C58"/>
    <w:rsid w:val="007F6449"/>
    <w:rsid w:val="007F6674"/>
    <w:rsid w:val="007F6EA8"/>
    <w:rsid w:val="0080630B"/>
    <w:rsid w:val="00806AB5"/>
    <w:rsid w:val="00807142"/>
    <w:rsid w:val="008074E3"/>
    <w:rsid w:val="00807802"/>
    <w:rsid w:val="0080799C"/>
    <w:rsid w:val="008100EC"/>
    <w:rsid w:val="00810C18"/>
    <w:rsid w:val="0081407D"/>
    <w:rsid w:val="00814421"/>
    <w:rsid w:val="00814AFC"/>
    <w:rsid w:val="00814B22"/>
    <w:rsid w:val="008202CC"/>
    <w:rsid w:val="00822862"/>
    <w:rsid w:val="0082350A"/>
    <w:rsid w:val="0082597B"/>
    <w:rsid w:val="00830B1B"/>
    <w:rsid w:val="00831A5D"/>
    <w:rsid w:val="00831DB4"/>
    <w:rsid w:val="008340FF"/>
    <w:rsid w:val="008365EC"/>
    <w:rsid w:val="00837390"/>
    <w:rsid w:val="00844176"/>
    <w:rsid w:val="00846B2A"/>
    <w:rsid w:val="008503CA"/>
    <w:rsid w:val="008520B9"/>
    <w:rsid w:val="0085318D"/>
    <w:rsid w:val="008565FB"/>
    <w:rsid w:val="00862580"/>
    <w:rsid w:val="00862834"/>
    <w:rsid w:val="00871516"/>
    <w:rsid w:val="00871E2F"/>
    <w:rsid w:val="008764DD"/>
    <w:rsid w:val="00877499"/>
    <w:rsid w:val="008841EB"/>
    <w:rsid w:val="00885759"/>
    <w:rsid w:val="0088688D"/>
    <w:rsid w:val="00891622"/>
    <w:rsid w:val="00891C00"/>
    <w:rsid w:val="0089560D"/>
    <w:rsid w:val="00895E41"/>
    <w:rsid w:val="0089734D"/>
    <w:rsid w:val="008A0A32"/>
    <w:rsid w:val="008A1056"/>
    <w:rsid w:val="008A3626"/>
    <w:rsid w:val="008A7CC5"/>
    <w:rsid w:val="008B1CC3"/>
    <w:rsid w:val="008B206C"/>
    <w:rsid w:val="008B4335"/>
    <w:rsid w:val="008B56DF"/>
    <w:rsid w:val="008B5B2C"/>
    <w:rsid w:val="008B5EFB"/>
    <w:rsid w:val="008C053B"/>
    <w:rsid w:val="008C4728"/>
    <w:rsid w:val="008C7959"/>
    <w:rsid w:val="008D081E"/>
    <w:rsid w:val="008D1364"/>
    <w:rsid w:val="008D4F09"/>
    <w:rsid w:val="008D539E"/>
    <w:rsid w:val="008D65D5"/>
    <w:rsid w:val="008D75EB"/>
    <w:rsid w:val="008D7F23"/>
    <w:rsid w:val="008E1D74"/>
    <w:rsid w:val="008E1F57"/>
    <w:rsid w:val="008E5D85"/>
    <w:rsid w:val="008E68AA"/>
    <w:rsid w:val="008E751B"/>
    <w:rsid w:val="00900C33"/>
    <w:rsid w:val="0090193D"/>
    <w:rsid w:val="009034C7"/>
    <w:rsid w:val="0090549B"/>
    <w:rsid w:val="00906ABE"/>
    <w:rsid w:val="00907DD7"/>
    <w:rsid w:val="00910BBC"/>
    <w:rsid w:val="009165D6"/>
    <w:rsid w:val="00917D6F"/>
    <w:rsid w:val="00921504"/>
    <w:rsid w:val="00922352"/>
    <w:rsid w:val="0092710C"/>
    <w:rsid w:val="00927893"/>
    <w:rsid w:val="0093112B"/>
    <w:rsid w:val="0093298F"/>
    <w:rsid w:val="00937BB0"/>
    <w:rsid w:val="0094022B"/>
    <w:rsid w:val="00942D63"/>
    <w:rsid w:val="00943EBA"/>
    <w:rsid w:val="00944067"/>
    <w:rsid w:val="0094437B"/>
    <w:rsid w:val="009455DB"/>
    <w:rsid w:val="00951ED7"/>
    <w:rsid w:val="00954428"/>
    <w:rsid w:val="00954541"/>
    <w:rsid w:val="00954C0F"/>
    <w:rsid w:val="00956218"/>
    <w:rsid w:val="00956C4B"/>
    <w:rsid w:val="00957E64"/>
    <w:rsid w:val="00961605"/>
    <w:rsid w:val="00963C88"/>
    <w:rsid w:val="00965995"/>
    <w:rsid w:val="00966814"/>
    <w:rsid w:val="00970D58"/>
    <w:rsid w:val="00973167"/>
    <w:rsid w:val="009759F9"/>
    <w:rsid w:val="00993596"/>
    <w:rsid w:val="00995A83"/>
    <w:rsid w:val="009A6766"/>
    <w:rsid w:val="009A692C"/>
    <w:rsid w:val="009A7E10"/>
    <w:rsid w:val="009B1CEB"/>
    <w:rsid w:val="009B2576"/>
    <w:rsid w:val="009B3508"/>
    <w:rsid w:val="009B3AE3"/>
    <w:rsid w:val="009B43EB"/>
    <w:rsid w:val="009B49EE"/>
    <w:rsid w:val="009B584C"/>
    <w:rsid w:val="009B6613"/>
    <w:rsid w:val="009B7000"/>
    <w:rsid w:val="009B75D4"/>
    <w:rsid w:val="009C061A"/>
    <w:rsid w:val="009C0D4C"/>
    <w:rsid w:val="009C108E"/>
    <w:rsid w:val="009C1FE8"/>
    <w:rsid w:val="009C228A"/>
    <w:rsid w:val="009C282F"/>
    <w:rsid w:val="009C2E2D"/>
    <w:rsid w:val="009C3257"/>
    <w:rsid w:val="009C62D7"/>
    <w:rsid w:val="009C7F6E"/>
    <w:rsid w:val="009D0A96"/>
    <w:rsid w:val="009D1051"/>
    <w:rsid w:val="009D43B2"/>
    <w:rsid w:val="009D4B8F"/>
    <w:rsid w:val="009E1DDF"/>
    <w:rsid w:val="009E5C84"/>
    <w:rsid w:val="009F0FC9"/>
    <w:rsid w:val="009F1A7E"/>
    <w:rsid w:val="00A02CAC"/>
    <w:rsid w:val="00A03E32"/>
    <w:rsid w:val="00A06120"/>
    <w:rsid w:val="00A13FC8"/>
    <w:rsid w:val="00A14369"/>
    <w:rsid w:val="00A154D5"/>
    <w:rsid w:val="00A2067E"/>
    <w:rsid w:val="00A21F19"/>
    <w:rsid w:val="00A229AC"/>
    <w:rsid w:val="00A23E8B"/>
    <w:rsid w:val="00A2453E"/>
    <w:rsid w:val="00A25225"/>
    <w:rsid w:val="00A25F14"/>
    <w:rsid w:val="00A26676"/>
    <w:rsid w:val="00A267B2"/>
    <w:rsid w:val="00A27A02"/>
    <w:rsid w:val="00A30DAB"/>
    <w:rsid w:val="00A325F5"/>
    <w:rsid w:val="00A32A3F"/>
    <w:rsid w:val="00A337C5"/>
    <w:rsid w:val="00A33B10"/>
    <w:rsid w:val="00A34958"/>
    <w:rsid w:val="00A34EAB"/>
    <w:rsid w:val="00A350B9"/>
    <w:rsid w:val="00A37CD5"/>
    <w:rsid w:val="00A41FB2"/>
    <w:rsid w:val="00A42112"/>
    <w:rsid w:val="00A468F1"/>
    <w:rsid w:val="00A5287A"/>
    <w:rsid w:val="00A541ED"/>
    <w:rsid w:val="00A562DC"/>
    <w:rsid w:val="00A56E9B"/>
    <w:rsid w:val="00A66F1F"/>
    <w:rsid w:val="00A73448"/>
    <w:rsid w:val="00A829D2"/>
    <w:rsid w:val="00A86F1C"/>
    <w:rsid w:val="00A9174A"/>
    <w:rsid w:val="00A92A07"/>
    <w:rsid w:val="00A93054"/>
    <w:rsid w:val="00A94B68"/>
    <w:rsid w:val="00A969CC"/>
    <w:rsid w:val="00A96C8D"/>
    <w:rsid w:val="00A9708B"/>
    <w:rsid w:val="00AA1BFB"/>
    <w:rsid w:val="00AA3A72"/>
    <w:rsid w:val="00AA5063"/>
    <w:rsid w:val="00AB3EB4"/>
    <w:rsid w:val="00AB6AE8"/>
    <w:rsid w:val="00AC24BD"/>
    <w:rsid w:val="00AD00F6"/>
    <w:rsid w:val="00AD1D82"/>
    <w:rsid w:val="00AD2587"/>
    <w:rsid w:val="00AD3D79"/>
    <w:rsid w:val="00AD5B91"/>
    <w:rsid w:val="00AD5C75"/>
    <w:rsid w:val="00AD6AEF"/>
    <w:rsid w:val="00AE0055"/>
    <w:rsid w:val="00AE091D"/>
    <w:rsid w:val="00AE38CE"/>
    <w:rsid w:val="00AE4AB1"/>
    <w:rsid w:val="00AE5675"/>
    <w:rsid w:val="00AE57EC"/>
    <w:rsid w:val="00AE64F9"/>
    <w:rsid w:val="00AF13D9"/>
    <w:rsid w:val="00AF1C04"/>
    <w:rsid w:val="00AF254A"/>
    <w:rsid w:val="00AF3603"/>
    <w:rsid w:val="00AF36C9"/>
    <w:rsid w:val="00AF5DF5"/>
    <w:rsid w:val="00AF755E"/>
    <w:rsid w:val="00B02EDD"/>
    <w:rsid w:val="00B0569D"/>
    <w:rsid w:val="00B10B94"/>
    <w:rsid w:val="00B111A5"/>
    <w:rsid w:val="00B117F2"/>
    <w:rsid w:val="00B13379"/>
    <w:rsid w:val="00B13C6F"/>
    <w:rsid w:val="00B14D75"/>
    <w:rsid w:val="00B15DBA"/>
    <w:rsid w:val="00B2297A"/>
    <w:rsid w:val="00B230F6"/>
    <w:rsid w:val="00B26202"/>
    <w:rsid w:val="00B300C7"/>
    <w:rsid w:val="00B32793"/>
    <w:rsid w:val="00B35F05"/>
    <w:rsid w:val="00B404B6"/>
    <w:rsid w:val="00B414FF"/>
    <w:rsid w:val="00B4164D"/>
    <w:rsid w:val="00B4246F"/>
    <w:rsid w:val="00B450C4"/>
    <w:rsid w:val="00B457C4"/>
    <w:rsid w:val="00B462F7"/>
    <w:rsid w:val="00B4697F"/>
    <w:rsid w:val="00B46A16"/>
    <w:rsid w:val="00B50D88"/>
    <w:rsid w:val="00B51427"/>
    <w:rsid w:val="00B5564B"/>
    <w:rsid w:val="00B55A30"/>
    <w:rsid w:val="00B618A9"/>
    <w:rsid w:val="00B621AF"/>
    <w:rsid w:val="00B652FE"/>
    <w:rsid w:val="00B65CF6"/>
    <w:rsid w:val="00B700CC"/>
    <w:rsid w:val="00B73A5D"/>
    <w:rsid w:val="00B74B38"/>
    <w:rsid w:val="00B762A0"/>
    <w:rsid w:val="00B77E56"/>
    <w:rsid w:val="00B80371"/>
    <w:rsid w:val="00B8269F"/>
    <w:rsid w:val="00B837AE"/>
    <w:rsid w:val="00B83EED"/>
    <w:rsid w:val="00B85A89"/>
    <w:rsid w:val="00B868AD"/>
    <w:rsid w:val="00B92A20"/>
    <w:rsid w:val="00B9742D"/>
    <w:rsid w:val="00BA2274"/>
    <w:rsid w:val="00BB0BAA"/>
    <w:rsid w:val="00BB1EA2"/>
    <w:rsid w:val="00BB480B"/>
    <w:rsid w:val="00BB4E62"/>
    <w:rsid w:val="00BB55EA"/>
    <w:rsid w:val="00BC608E"/>
    <w:rsid w:val="00BC69DC"/>
    <w:rsid w:val="00BC7045"/>
    <w:rsid w:val="00BD20AE"/>
    <w:rsid w:val="00BD2A9F"/>
    <w:rsid w:val="00BD4E08"/>
    <w:rsid w:val="00BD7AE1"/>
    <w:rsid w:val="00BE15E4"/>
    <w:rsid w:val="00BE57D2"/>
    <w:rsid w:val="00BE6127"/>
    <w:rsid w:val="00BF13E6"/>
    <w:rsid w:val="00BF15B9"/>
    <w:rsid w:val="00BF7BD9"/>
    <w:rsid w:val="00BF7D60"/>
    <w:rsid w:val="00C017FE"/>
    <w:rsid w:val="00C0447C"/>
    <w:rsid w:val="00C04CAF"/>
    <w:rsid w:val="00C050AF"/>
    <w:rsid w:val="00C05EF2"/>
    <w:rsid w:val="00C12263"/>
    <w:rsid w:val="00C12CF8"/>
    <w:rsid w:val="00C136CD"/>
    <w:rsid w:val="00C14D1E"/>
    <w:rsid w:val="00C15EB7"/>
    <w:rsid w:val="00C212B4"/>
    <w:rsid w:val="00C21746"/>
    <w:rsid w:val="00C2191C"/>
    <w:rsid w:val="00C220E6"/>
    <w:rsid w:val="00C23427"/>
    <w:rsid w:val="00C23F73"/>
    <w:rsid w:val="00C25016"/>
    <w:rsid w:val="00C2517F"/>
    <w:rsid w:val="00C26333"/>
    <w:rsid w:val="00C264E6"/>
    <w:rsid w:val="00C26E37"/>
    <w:rsid w:val="00C271E6"/>
    <w:rsid w:val="00C32742"/>
    <w:rsid w:val="00C32C97"/>
    <w:rsid w:val="00C353F8"/>
    <w:rsid w:val="00C35A54"/>
    <w:rsid w:val="00C416DB"/>
    <w:rsid w:val="00C423B7"/>
    <w:rsid w:val="00C42887"/>
    <w:rsid w:val="00C42ACD"/>
    <w:rsid w:val="00C446A5"/>
    <w:rsid w:val="00C45150"/>
    <w:rsid w:val="00C46737"/>
    <w:rsid w:val="00C52004"/>
    <w:rsid w:val="00C6333E"/>
    <w:rsid w:val="00C633A8"/>
    <w:rsid w:val="00C64DE5"/>
    <w:rsid w:val="00C65AAE"/>
    <w:rsid w:val="00C66A4D"/>
    <w:rsid w:val="00C70CB4"/>
    <w:rsid w:val="00C7141D"/>
    <w:rsid w:val="00C72945"/>
    <w:rsid w:val="00C77C68"/>
    <w:rsid w:val="00C85115"/>
    <w:rsid w:val="00C86896"/>
    <w:rsid w:val="00C86AE5"/>
    <w:rsid w:val="00C933DE"/>
    <w:rsid w:val="00CA082C"/>
    <w:rsid w:val="00CA0BCB"/>
    <w:rsid w:val="00CA373F"/>
    <w:rsid w:val="00CA7442"/>
    <w:rsid w:val="00CB2A80"/>
    <w:rsid w:val="00CB5A26"/>
    <w:rsid w:val="00CB6AC4"/>
    <w:rsid w:val="00CC6AA4"/>
    <w:rsid w:val="00CD1C12"/>
    <w:rsid w:val="00CD1F7F"/>
    <w:rsid w:val="00CD6800"/>
    <w:rsid w:val="00CE0AC5"/>
    <w:rsid w:val="00CE1DD6"/>
    <w:rsid w:val="00CE35E1"/>
    <w:rsid w:val="00CE5541"/>
    <w:rsid w:val="00CF4607"/>
    <w:rsid w:val="00CF6767"/>
    <w:rsid w:val="00CF747C"/>
    <w:rsid w:val="00D00576"/>
    <w:rsid w:val="00D0207F"/>
    <w:rsid w:val="00D02A2E"/>
    <w:rsid w:val="00D04299"/>
    <w:rsid w:val="00D0506F"/>
    <w:rsid w:val="00D05A7A"/>
    <w:rsid w:val="00D073AA"/>
    <w:rsid w:val="00D07B78"/>
    <w:rsid w:val="00D12B80"/>
    <w:rsid w:val="00D13BD0"/>
    <w:rsid w:val="00D13D6F"/>
    <w:rsid w:val="00D165F4"/>
    <w:rsid w:val="00D16C33"/>
    <w:rsid w:val="00D20CC5"/>
    <w:rsid w:val="00D217AC"/>
    <w:rsid w:val="00D31BE1"/>
    <w:rsid w:val="00D328FA"/>
    <w:rsid w:val="00D33B93"/>
    <w:rsid w:val="00D33EC0"/>
    <w:rsid w:val="00D37973"/>
    <w:rsid w:val="00D40161"/>
    <w:rsid w:val="00D41F46"/>
    <w:rsid w:val="00D42754"/>
    <w:rsid w:val="00D455A4"/>
    <w:rsid w:val="00D5265D"/>
    <w:rsid w:val="00D62E09"/>
    <w:rsid w:val="00D64101"/>
    <w:rsid w:val="00D64FFD"/>
    <w:rsid w:val="00D67CE9"/>
    <w:rsid w:val="00D70AAA"/>
    <w:rsid w:val="00D71454"/>
    <w:rsid w:val="00D71684"/>
    <w:rsid w:val="00D767E6"/>
    <w:rsid w:val="00D76D7C"/>
    <w:rsid w:val="00D77A0C"/>
    <w:rsid w:val="00D8131B"/>
    <w:rsid w:val="00D8180A"/>
    <w:rsid w:val="00D81D94"/>
    <w:rsid w:val="00D8420C"/>
    <w:rsid w:val="00D84DE0"/>
    <w:rsid w:val="00D96FBA"/>
    <w:rsid w:val="00D97622"/>
    <w:rsid w:val="00DA1FCE"/>
    <w:rsid w:val="00DA239C"/>
    <w:rsid w:val="00DB3228"/>
    <w:rsid w:val="00DB3721"/>
    <w:rsid w:val="00DB3D04"/>
    <w:rsid w:val="00DC64F8"/>
    <w:rsid w:val="00DC72F1"/>
    <w:rsid w:val="00DD00BE"/>
    <w:rsid w:val="00DD02D4"/>
    <w:rsid w:val="00DD0953"/>
    <w:rsid w:val="00DD1CB9"/>
    <w:rsid w:val="00DD1F77"/>
    <w:rsid w:val="00DD2637"/>
    <w:rsid w:val="00DD2F35"/>
    <w:rsid w:val="00DD696D"/>
    <w:rsid w:val="00DF0BB3"/>
    <w:rsid w:val="00DF2030"/>
    <w:rsid w:val="00DF3993"/>
    <w:rsid w:val="00DF6E16"/>
    <w:rsid w:val="00E00218"/>
    <w:rsid w:val="00E0029E"/>
    <w:rsid w:val="00E018E1"/>
    <w:rsid w:val="00E0333C"/>
    <w:rsid w:val="00E0484E"/>
    <w:rsid w:val="00E077DA"/>
    <w:rsid w:val="00E07AC4"/>
    <w:rsid w:val="00E10305"/>
    <w:rsid w:val="00E1062C"/>
    <w:rsid w:val="00E1136D"/>
    <w:rsid w:val="00E116BA"/>
    <w:rsid w:val="00E11D29"/>
    <w:rsid w:val="00E140A6"/>
    <w:rsid w:val="00E15447"/>
    <w:rsid w:val="00E15B7B"/>
    <w:rsid w:val="00E20773"/>
    <w:rsid w:val="00E2107F"/>
    <w:rsid w:val="00E23059"/>
    <w:rsid w:val="00E231E0"/>
    <w:rsid w:val="00E27E5A"/>
    <w:rsid w:val="00E30352"/>
    <w:rsid w:val="00E33146"/>
    <w:rsid w:val="00E37F50"/>
    <w:rsid w:val="00E40942"/>
    <w:rsid w:val="00E50E6F"/>
    <w:rsid w:val="00E539B3"/>
    <w:rsid w:val="00E55EC8"/>
    <w:rsid w:val="00E56469"/>
    <w:rsid w:val="00E56D02"/>
    <w:rsid w:val="00E57209"/>
    <w:rsid w:val="00E5727D"/>
    <w:rsid w:val="00E57FAB"/>
    <w:rsid w:val="00E713A7"/>
    <w:rsid w:val="00E72404"/>
    <w:rsid w:val="00E74A15"/>
    <w:rsid w:val="00E7567F"/>
    <w:rsid w:val="00E81F3E"/>
    <w:rsid w:val="00E834B0"/>
    <w:rsid w:val="00E85807"/>
    <w:rsid w:val="00E86211"/>
    <w:rsid w:val="00E86ACB"/>
    <w:rsid w:val="00E900E0"/>
    <w:rsid w:val="00E9122B"/>
    <w:rsid w:val="00E93CFE"/>
    <w:rsid w:val="00E94399"/>
    <w:rsid w:val="00E953B9"/>
    <w:rsid w:val="00EA0EBB"/>
    <w:rsid w:val="00EA1619"/>
    <w:rsid w:val="00EA49CE"/>
    <w:rsid w:val="00EA4CBA"/>
    <w:rsid w:val="00EA6CD3"/>
    <w:rsid w:val="00EA7EDF"/>
    <w:rsid w:val="00EB184B"/>
    <w:rsid w:val="00EC03E6"/>
    <w:rsid w:val="00EC218F"/>
    <w:rsid w:val="00EC3D51"/>
    <w:rsid w:val="00ED053C"/>
    <w:rsid w:val="00ED0911"/>
    <w:rsid w:val="00ED0A46"/>
    <w:rsid w:val="00ED18C9"/>
    <w:rsid w:val="00ED2979"/>
    <w:rsid w:val="00ED377A"/>
    <w:rsid w:val="00ED4255"/>
    <w:rsid w:val="00ED5CF7"/>
    <w:rsid w:val="00ED603E"/>
    <w:rsid w:val="00EE0244"/>
    <w:rsid w:val="00EE44FE"/>
    <w:rsid w:val="00EE4A54"/>
    <w:rsid w:val="00EE4C51"/>
    <w:rsid w:val="00EE61BD"/>
    <w:rsid w:val="00EE7BA0"/>
    <w:rsid w:val="00EF2696"/>
    <w:rsid w:val="00EF55B6"/>
    <w:rsid w:val="00F00E88"/>
    <w:rsid w:val="00F019FA"/>
    <w:rsid w:val="00F02EB7"/>
    <w:rsid w:val="00F0662E"/>
    <w:rsid w:val="00F066C5"/>
    <w:rsid w:val="00F06F21"/>
    <w:rsid w:val="00F12A88"/>
    <w:rsid w:val="00F15773"/>
    <w:rsid w:val="00F20489"/>
    <w:rsid w:val="00F30608"/>
    <w:rsid w:val="00F30A0A"/>
    <w:rsid w:val="00F32822"/>
    <w:rsid w:val="00F352DD"/>
    <w:rsid w:val="00F40762"/>
    <w:rsid w:val="00F40F20"/>
    <w:rsid w:val="00F418C2"/>
    <w:rsid w:val="00F42208"/>
    <w:rsid w:val="00F449A8"/>
    <w:rsid w:val="00F44B3E"/>
    <w:rsid w:val="00F51164"/>
    <w:rsid w:val="00F522D4"/>
    <w:rsid w:val="00F53217"/>
    <w:rsid w:val="00F542FA"/>
    <w:rsid w:val="00F61989"/>
    <w:rsid w:val="00F64D33"/>
    <w:rsid w:val="00F652EB"/>
    <w:rsid w:val="00F65551"/>
    <w:rsid w:val="00F70443"/>
    <w:rsid w:val="00F7097D"/>
    <w:rsid w:val="00F716EF"/>
    <w:rsid w:val="00F773E1"/>
    <w:rsid w:val="00F77D50"/>
    <w:rsid w:val="00F81A0A"/>
    <w:rsid w:val="00F838F0"/>
    <w:rsid w:val="00F858D1"/>
    <w:rsid w:val="00F859FA"/>
    <w:rsid w:val="00F85A24"/>
    <w:rsid w:val="00F86B44"/>
    <w:rsid w:val="00F9016C"/>
    <w:rsid w:val="00F929ED"/>
    <w:rsid w:val="00F9305D"/>
    <w:rsid w:val="00F94D89"/>
    <w:rsid w:val="00F9522F"/>
    <w:rsid w:val="00FA2346"/>
    <w:rsid w:val="00FA3AB1"/>
    <w:rsid w:val="00FA4EC5"/>
    <w:rsid w:val="00FA5EE1"/>
    <w:rsid w:val="00FB1472"/>
    <w:rsid w:val="00FC3C7A"/>
    <w:rsid w:val="00FC6839"/>
    <w:rsid w:val="00FD01FC"/>
    <w:rsid w:val="00FD061B"/>
    <w:rsid w:val="00FD5F34"/>
    <w:rsid w:val="00FD5FEF"/>
    <w:rsid w:val="00FE2D33"/>
    <w:rsid w:val="00FE6FC3"/>
    <w:rsid w:val="00FE76B5"/>
    <w:rsid w:val="00FE76D2"/>
    <w:rsid w:val="00FF22AC"/>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styleId="UnresolvedMention">
    <w:name w:val="Unresolved Mention"/>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paragraph" w:customStyle="1" w:styleId="tvhtml">
    <w:name w:val="tv_html"/>
    <w:basedOn w:val="Normal"/>
    <w:rsid w:val="005B4B5F"/>
    <w:pPr>
      <w:spacing w:before="100" w:beforeAutospacing="1" w:after="100" w:afterAutospacing="1"/>
    </w:pPr>
    <w:rPr>
      <w:rFonts w:eastAsia="Times New Roman"/>
      <w:sz w:val="24"/>
      <w:szCs w:val="24"/>
      <w:lang w:val="lv-LV" w:eastAsia="lv-LV"/>
    </w:rPr>
  </w:style>
  <w:style w:type="paragraph" w:customStyle="1" w:styleId="doc-ti">
    <w:name w:val="doc-ti"/>
    <w:basedOn w:val="Normal"/>
    <w:rsid w:val="005C71A2"/>
    <w:pPr>
      <w:spacing w:before="100" w:beforeAutospacing="1" w:after="100" w:afterAutospacing="1"/>
    </w:pPr>
    <w:rPr>
      <w:rFonts w:eastAsia="Times New Roman"/>
      <w:sz w:val="24"/>
      <w:szCs w:val="24"/>
      <w:lang w:val="lv-LV" w:eastAsia="lv-LV"/>
    </w:rPr>
  </w:style>
  <w:style w:type="paragraph" w:customStyle="1" w:styleId="no-doc-c">
    <w:name w:val="no-doc-c"/>
    <w:basedOn w:val="Normal"/>
    <w:rsid w:val="005C71A2"/>
    <w:pPr>
      <w:spacing w:before="100" w:beforeAutospacing="1" w:after="100" w:afterAutospacing="1"/>
    </w:pPr>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5903">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01000092">
      <w:bodyDiv w:val="1"/>
      <w:marLeft w:val="0"/>
      <w:marRight w:val="0"/>
      <w:marTop w:val="0"/>
      <w:marBottom w:val="0"/>
      <w:divBdr>
        <w:top w:val="none" w:sz="0" w:space="0" w:color="auto"/>
        <w:left w:val="none" w:sz="0" w:space="0" w:color="auto"/>
        <w:bottom w:val="none" w:sz="0" w:space="0" w:color="auto"/>
        <w:right w:val="none" w:sz="0" w:space="0" w:color="auto"/>
      </w:divBdr>
    </w:div>
    <w:div w:id="815999629">
      <w:bodyDiv w:val="1"/>
      <w:marLeft w:val="0"/>
      <w:marRight w:val="0"/>
      <w:marTop w:val="0"/>
      <w:marBottom w:val="0"/>
      <w:divBdr>
        <w:top w:val="none" w:sz="0" w:space="0" w:color="auto"/>
        <w:left w:val="none" w:sz="0" w:space="0" w:color="auto"/>
        <w:bottom w:val="none" w:sz="0" w:space="0" w:color="auto"/>
        <w:right w:val="none" w:sz="0" w:space="0" w:color="auto"/>
      </w:divBdr>
    </w:div>
    <w:div w:id="922841649">
      <w:bodyDiv w:val="1"/>
      <w:marLeft w:val="0"/>
      <w:marRight w:val="0"/>
      <w:marTop w:val="0"/>
      <w:marBottom w:val="0"/>
      <w:divBdr>
        <w:top w:val="none" w:sz="0" w:space="0" w:color="auto"/>
        <w:left w:val="none" w:sz="0" w:space="0" w:color="auto"/>
        <w:bottom w:val="none" w:sz="0" w:space="0" w:color="auto"/>
        <w:right w:val="none" w:sz="0" w:space="0" w:color="auto"/>
      </w:divBdr>
    </w:div>
    <w:div w:id="936519848">
      <w:bodyDiv w:val="1"/>
      <w:marLeft w:val="0"/>
      <w:marRight w:val="0"/>
      <w:marTop w:val="0"/>
      <w:marBottom w:val="0"/>
      <w:divBdr>
        <w:top w:val="none" w:sz="0" w:space="0" w:color="auto"/>
        <w:left w:val="none" w:sz="0" w:space="0" w:color="auto"/>
        <w:bottom w:val="none" w:sz="0" w:space="0" w:color="auto"/>
        <w:right w:val="none" w:sz="0" w:space="0" w:color="auto"/>
      </w:divBdr>
    </w:div>
    <w:div w:id="107744161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79022274">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6485280">
      <w:bodyDiv w:val="1"/>
      <w:marLeft w:val="0"/>
      <w:marRight w:val="0"/>
      <w:marTop w:val="0"/>
      <w:marBottom w:val="0"/>
      <w:divBdr>
        <w:top w:val="none" w:sz="0" w:space="0" w:color="auto"/>
        <w:left w:val="none" w:sz="0" w:space="0" w:color="auto"/>
        <w:bottom w:val="none" w:sz="0" w:space="0" w:color="auto"/>
        <w:right w:val="none" w:sz="0" w:space="0" w:color="auto"/>
      </w:divBdr>
    </w:div>
    <w:div w:id="1575118728">
      <w:bodyDiv w:val="1"/>
      <w:marLeft w:val="0"/>
      <w:marRight w:val="0"/>
      <w:marTop w:val="0"/>
      <w:marBottom w:val="0"/>
      <w:divBdr>
        <w:top w:val="none" w:sz="0" w:space="0" w:color="auto"/>
        <w:left w:val="none" w:sz="0" w:space="0" w:color="auto"/>
        <w:bottom w:val="none" w:sz="0" w:space="0" w:color="auto"/>
        <w:right w:val="none" w:sz="0" w:space="0" w:color="auto"/>
      </w:divBdr>
      <w:divsChild>
        <w:div w:id="1560093764">
          <w:marLeft w:val="0"/>
          <w:marRight w:val="0"/>
          <w:marTop w:val="0"/>
          <w:marBottom w:val="0"/>
          <w:divBdr>
            <w:top w:val="none" w:sz="0" w:space="0" w:color="auto"/>
            <w:left w:val="none" w:sz="0" w:space="0" w:color="auto"/>
            <w:bottom w:val="none" w:sz="0" w:space="0" w:color="auto"/>
            <w:right w:val="none" w:sz="0" w:space="0" w:color="auto"/>
          </w:divBdr>
        </w:div>
      </w:divsChild>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56773880">
      <w:bodyDiv w:val="1"/>
      <w:marLeft w:val="0"/>
      <w:marRight w:val="0"/>
      <w:marTop w:val="0"/>
      <w:marBottom w:val="0"/>
      <w:divBdr>
        <w:top w:val="none" w:sz="0" w:space="0" w:color="auto"/>
        <w:left w:val="none" w:sz="0" w:space="0" w:color="auto"/>
        <w:bottom w:val="none" w:sz="0" w:space="0" w:color="auto"/>
        <w:right w:val="none" w:sz="0" w:space="0" w:color="auto"/>
      </w:divBdr>
    </w:div>
    <w:div w:id="1872843452">
      <w:bodyDiv w:val="1"/>
      <w:marLeft w:val="0"/>
      <w:marRight w:val="0"/>
      <w:marTop w:val="0"/>
      <w:marBottom w:val="0"/>
      <w:divBdr>
        <w:top w:val="none" w:sz="0" w:space="0" w:color="auto"/>
        <w:left w:val="none" w:sz="0" w:space="0" w:color="auto"/>
        <w:bottom w:val="none" w:sz="0" w:space="0" w:color="auto"/>
        <w:right w:val="none" w:sz="0" w:space="0" w:color="auto"/>
      </w:divBdr>
    </w:div>
    <w:div w:id="19374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ta.Teter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D37C7-A2ED-4982-9E5E-AB929B3F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6808</Words>
  <Characters>3882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Kaspars Lore</cp:lastModifiedBy>
  <cp:revision>15</cp:revision>
  <cp:lastPrinted>2019-12-03T13:26:00Z</cp:lastPrinted>
  <dcterms:created xsi:type="dcterms:W3CDTF">2020-04-07T13:33:00Z</dcterms:created>
  <dcterms:modified xsi:type="dcterms:W3CDTF">2020-04-08T13:51:00Z</dcterms:modified>
</cp:coreProperties>
</file>