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13F2" w14:textId="505D22F5" w:rsidR="00933D74" w:rsidRDefault="00933D74" w:rsidP="006E2858">
      <w:pPr>
        <w:pStyle w:val="Footer"/>
        <w:tabs>
          <w:tab w:val="left" w:pos="720"/>
        </w:tabs>
        <w:rPr>
          <w:rFonts w:eastAsia="Times New Roman"/>
          <w:bCs/>
          <w:i/>
          <w:szCs w:val="28"/>
          <w:lang w:eastAsia="lv-LV"/>
        </w:rPr>
      </w:pPr>
    </w:p>
    <w:p w14:paraId="6076A995" w14:textId="77777777" w:rsidR="006E2858" w:rsidRPr="00657BA1" w:rsidRDefault="006E2858" w:rsidP="006E2858">
      <w:pPr>
        <w:pStyle w:val="Footer"/>
        <w:tabs>
          <w:tab w:val="left" w:pos="720"/>
        </w:tabs>
        <w:rPr>
          <w:rFonts w:eastAsia="Times New Roman"/>
          <w:bCs/>
          <w:i/>
          <w:szCs w:val="28"/>
          <w:lang w:eastAsia="lv-LV"/>
        </w:rPr>
      </w:pPr>
    </w:p>
    <w:p w14:paraId="1DE83827" w14:textId="03C92D4F" w:rsidR="006E2858" w:rsidRPr="00A81F12" w:rsidRDefault="006E285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0F5EC7" w:rsidRPr="00B4082C">
        <w:rPr>
          <w:rFonts w:ascii="Times New Roman" w:hAnsi="Times New Roman" w:cs="Times New Roman"/>
          <w:sz w:val="28"/>
          <w:szCs w:val="28"/>
        </w:rPr>
        <w:t>7.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0F5EC7">
        <w:rPr>
          <w:rFonts w:ascii="Times New Roman" w:hAnsi="Times New Roman"/>
          <w:sz w:val="28"/>
          <w:szCs w:val="28"/>
        </w:rPr>
        <w:t> 188</w:t>
      </w:r>
    </w:p>
    <w:p w14:paraId="70BEF09B" w14:textId="6BB65666" w:rsidR="006E2858" w:rsidRPr="00A81F12" w:rsidRDefault="006E285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0F5EC7">
        <w:rPr>
          <w:rFonts w:ascii="Times New Roman" w:hAnsi="Times New Roman"/>
          <w:sz w:val="28"/>
          <w:szCs w:val="28"/>
        </w:rPr>
        <w:t> 22</w:t>
      </w:r>
      <w:r w:rsidRPr="00A81F12">
        <w:rPr>
          <w:rFonts w:ascii="Times New Roman" w:hAnsi="Times New Roman"/>
          <w:sz w:val="28"/>
          <w:szCs w:val="28"/>
        </w:rPr>
        <w:t xml:space="preserve"> </w:t>
      </w:r>
      <w:r w:rsidR="000F5EC7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0E8F85C3" w14:textId="58FDDBDB" w:rsidR="00933D74" w:rsidRPr="00933D74" w:rsidRDefault="00933D74" w:rsidP="006E28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F92B1" w14:textId="2CE3D9CD" w:rsidR="003C5AA6" w:rsidRPr="003C5AA6" w:rsidRDefault="003C5AA6" w:rsidP="006E28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C5A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076C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3C5A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2000. gada 26. septembra noteikumos Nr. 332 </w:t>
      </w:r>
      <w:r w:rsidR="006E28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3C5A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benzīna un dīzeļdegvielas atbilstības novērtēšanu</w:t>
      </w:r>
      <w:r w:rsidR="006E28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5F82F3C" w14:textId="77777777" w:rsidR="00933D74" w:rsidRDefault="00933D74" w:rsidP="006E2858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30D5B507" w14:textId="77777777" w:rsidR="00933D74" w:rsidRPr="006E2858" w:rsidRDefault="003C5AA6" w:rsidP="006E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858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663B87A9" w14:textId="274DFC92" w:rsidR="003C5AA6" w:rsidRPr="006E2858" w:rsidRDefault="003C5AA6" w:rsidP="006E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858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"Par atbilstības novērtēšanu"</w:t>
      </w:r>
      <w:r w:rsidR="00933D74" w:rsidRPr="006E2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E2858">
        <w:rPr>
          <w:rFonts w:ascii="Times New Roman" w:eastAsia="Times New Roman" w:hAnsi="Times New Roman" w:cs="Times New Roman"/>
          <w:sz w:val="28"/>
          <w:szCs w:val="28"/>
          <w:lang w:eastAsia="lv-LV"/>
        </w:rPr>
        <w:t>7. pantu</w:t>
      </w:r>
    </w:p>
    <w:p w14:paraId="7C8575C3" w14:textId="77777777" w:rsidR="00933D74" w:rsidRPr="006E2858" w:rsidRDefault="00933D74" w:rsidP="006E2858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4A2A3B" w14:textId="282CE2B7" w:rsidR="0078249D" w:rsidRPr="00D82516" w:rsidRDefault="003C5AA6" w:rsidP="006E28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bookmarkStart w:id="1" w:name="_Hlk36651859"/>
      <w:r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2000. gada 26. septembra noteikumos Nr. 332 </w:t>
      </w:r>
      <w:r w:rsidR="006E28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benzīna un dīzeļdegvielas atbilstības novērtēšanu</w:t>
      </w:r>
      <w:r w:rsidR="006E28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1"/>
      <w:r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2000, 341./343. nr.; 2002, 111. nr.; 2003, 45., 180. nr.; 2004, 69., 204.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24. nr.; 2009, 102., 179. nr.; 2011, 102. nr.; 2012, 81. nr.; 2014, 67. nr.; 2018, 18. nr.; 2019, 257</w:t>
      </w:r>
      <w:r w:rsidR="00C564B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E28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564B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C564B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grozījumu </w:t>
      </w:r>
      <w:r w:rsidR="00076C40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un p</w:t>
      </w:r>
      <w:r w:rsidR="0078249D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66404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</w:t>
      </w:r>
      <w:r w:rsidR="003B0699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6404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249D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1C675C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249D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35.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B5D6C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un 36.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8249D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1DB8022" w14:textId="77777777" w:rsidR="006E2858" w:rsidRDefault="006E2858" w:rsidP="006E28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A6FDC0" w14:textId="483FC9BE" w:rsidR="002B5D6C" w:rsidRPr="00D82516" w:rsidRDefault="006E2858" w:rsidP="006E28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E580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35. D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egvielas mazumtirgotāj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564B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E5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3.2.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un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13.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nosacījumus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, bet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komersant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564B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9.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E5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3.3.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 13.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nosacījumus</w:t>
      </w:r>
      <w:r w:rsidR="00DE580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2020.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</w:t>
      </w:r>
      <w:r w:rsidR="00DE580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piemērot </w:t>
      </w:r>
      <w:r w:rsidR="00390B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7. </w:t>
      </w:r>
      <w:r w:rsidR="00DE580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1</w:t>
      </w:r>
      <w:r w:rsidR="00390BE9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DE580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E580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aprīlim. Šādā gadījumā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degvielas mazumtirgotāj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C008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062A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komersant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nosacījumu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B5D6C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5D6C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2020.</w:t>
      </w:r>
      <w:r w:rsidR="00494597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B5D6C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gadā</w:t>
      </w:r>
      <w:r w:rsidR="003F10A2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592D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atkal uzsāk </w:t>
      </w:r>
      <w:r w:rsidR="003F10A2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="0060592D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33D74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</w:t>
      </w:r>
      <w:r w:rsidR="002B5D6C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933D74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564B8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agrāk</w:t>
      </w:r>
      <w:r w:rsidR="002B5D6C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no </w:t>
      </w:r>
      <w:r w:rsidR="00933D74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90BE9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33D74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94597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3D74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</w:t>
      </w:r>
      <w:r w:rsidR="003F10A2" w:rsidRP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81B741F" w14:textId="77777777" w:rsidR="006E2858" w:rsidRDefault="006E2858" w:rsidP="006E28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62B9C2" w14:textId="1226EB70" w:rsidR="003F10A2" w:rsidRPr="00D82516" w:rsidRDefault="002B5D6C" w:rsidP="006E28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36.</w:t>
      </w:r>
      <w:r w:rsidR="00933D74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9.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E5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3.2.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minētais d</w:t>
      </w:r>
      <w:r w:rsidR="00933D74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egvielas mazumtirgotājs 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933D74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9.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E5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3.3.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1520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minētais komersants</w:t>
      </w:r>
      <w:r w:rsidR="00933D74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514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2020.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514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10. aprīlim </w:t>
      </w:r>
      <w:r w:rsidR="005D3A35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paziņo Būvniecības valsts kontroles birojam </w:t>
      </w:r>
      <w:r w:rsidR="00772E8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termiņu, </w:t>
      </w:r>
      <w:r w:rsidR="00390BE9">
        <w:rPr>
          <w:rFonts w:ascii="Times New Roman" w:eastAsia="Times New Roman" w:hAnsi="Times New Roman" w:cs="Times New Roman"/>
          <w:sz w:val="28"/>
          <w:szCs w:val="28"/>
          <w:lang w:eastAsia="lv-LV"/>
        </w:rPr>
        <w:t>no kura</w:t>
      </w:r>
      <w:r w:rsidR="00772E8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35.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72E8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minētie nosacījumi tiks piemēroti 2020.</w:t>
      </w:r>
      <w:r w:rsidR="00494597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72E8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gadā, ievērojot, ka </w:t>
      </w:r>
      <w:r w:rsidR="000A1F7B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A1F7B" w:rsidRPr="00D82516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0A1F7B" w:rsidRPr="00D8251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0A1F7B" w:rsidRPr="00BE514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0A1F7B" w:rsidRPr="00D8251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A1F7B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 minēt</w:t>
      </w:r>
      <w:r w:rsid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0A1F7B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degviel</w:t>
      </w:r>
      <w:r w:rsid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0A1F7B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592D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realiz</w:t>
      </w:r>
      <w:r w:rsid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ācijas pārtraukumam</w:t>
      </w:r>
      <w:r w:rsidR="0060592D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1F7B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Latvijā </w:t>
      </w:r>
      <w:r w:rsid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jābūt</w:t>
      </w:r>
      <w:r w:rsidR="000A1F7B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2E8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</w:t>
      </w:r>
      <w:r w:rsidR="005D3A35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</w:t>
      </w:r>
      <w:r w:rsid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72E88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</w:t>
      </w:r>
      <w:r w:rsidR="0060592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F10A2" w:rsidRPr="00D825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E28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30FB62E" w14:textId="77777777" w:rsidR="00933D74" w:rsidRPr="001D515A" w:rsidRDefault="00933D74" w:rsidP="006E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F6345C" w14:textId="1A6C8CB0" w:rsidR="001D515A" w:rsidRDefault="001D515A" w:rsidP="006E2858">
      <w:pPr>
        <w:pStyle w:val="naisf"/>
        <w:spacing w:before="0" w:after="0"/>
        <w:ind w:firstLine="0"/>
        <w:rPr>
          <w:sz w:val="28"/>
          <w:szCs w:val="28"/>
        </w:rPr>
      </w:pPr>
    </w:p>
    <w:p w14:paraId="515DF9AD" w14:textId="77777777" w:rsidR="006E2858" w:rsidRPr="00F60E38" w:rsidRDefault="006E2858" w:rsidP="006E2858">
      <w:pPr>
        <w:pStyle w:val="naisf"/>
        <w:spacing w:before="0" w:after="0"/>
        <w:ind w:firstLine="0"/>
        <w:rPr>
          <w:sz w:val="28"/>
          <w:szCs w:val="28"/>
        </w:rPr>
      </w:pPr>
    </w:p>
    <w:p w14:paraId="4833B94D" w14:textId="77777777" w:rsidR="006E2858" w:rsidRPr="00DE283C" w:rsidRDefault="006E2858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358A4A8" w14:textId="77777777" w:rsidR="006E2858" w:rsidRDefault="006E285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B160CC" w14:textId="77777777" w:rsidR="006E2858" w:rsidRDefault="006E285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DB72EA" w14:textId="77777777" w:rsidR="006E2858" w:rsidRDefault="006E285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D437C6" w14:textId="77777777" w:rsidR="006E2858" w:rsidRPr="00DE283C" w:rsidRDefault="006E2858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6E2858" w:rsidRPr="00DE283C" w:rsidSect="006E2858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7C2E" w14:textId="77777777" w:rsidR="00825885" w:rsidRDefault="00825885" w:rsidP="00AB6A2D">
      <w:pPr>
        <w:spacing w:after="0" w:line="240" w:lineRule="auto"/>
      </w:pPr>
      <w:r>
        <w:separator/>
      </w:r>
    </w:p>
  </w:endnote>
  <w:endnote w:type="continuationSeparator" w:id="0">
    <w:p w14:paraId="4C88CF34" w14:textId="77777777" w:rsidR="00825885" w:rsidRDefault="00825885" w:rsidP="00AB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F890" w14:textId="1F9C92C6" w:rsidR="006E2858" w:rsidRPr="006E2858" w:rsidRDefault="006E2858" w:rsidP="006E2858">
    <w:pPr>
      <w:pStyle w:val="Footer"/>
      <w:ind w:firstLine="0"/>
      <w:rPr>
        <w:sz w:val="16"/>
        <w:szCs w:val="16"/>
      </w:rPr>
    </w:pPr>
    <w:r w:rsidRPr="006E2858">
      <w:rPr>
        <w:sz w:val="16"/>
        <w:szCs w:val="16"/>
      </w:rPr>
      <w:t>N0579_0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19B3" w14:textId="77777777" w:rsidR="00825885" w:rsidRDefault="00825885" w:rsidP="00AB6A2D">
      <w:pPr>
        <w:spacing w:after="0" w:line="240" w:lineRule="auto"/>
      </w:pPr>
      <w:r>
        <w:separator/>
      </w:r>
    </w:p>
  </w:footnote>
  <w:footnote w:type="continuationSeparator" w:id="0">
    <w:p w14:paraId="30F66D51" w14:textId="77777777" w:rsidR="00825885" w:rsidRDefault="00825885" w:rsidP="00AB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3BC0" w14:textId="77777777" w:rsidR="006E2858" w:rsidRPr="003629D6" w:rsidRDefault="006E2858">
    <w:pPr>
      <w:pStyle w:val="Header"/>
    </w:pPr>
  </w:p>
  <w:p w14:paraId="6DDFBC63" w14:textId="676CA905" w:rsidR="006E2858" w:rsidRDefault="006E2858">
    <w:pPr>
      <w:pStyle w:val="Header"/>
    </w:pPr>
    <w:r>
      <w:rPr>
        <w:noProof/>
      </w:rPr>
      <w:drawing>
        <wp:inline distT="0" distB="0" distL="0" distR="0" wp14:anchorId="0E7BB552" wp14:editId="3AE7BDE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A6"/>
    <w:rsid w:val="00076C40"/>
    <w:rsid w:val="000A1F7B"/>
    <w:rsid w:val="000C3F6D"/>
    <w:rsid w:val="000F5EC7"/>
    <w:rsid w:val="00115207"/>
    <w:rsid w:val="001C675C"/>
    <w:rsid w:val="001D515A"/>
    <w:rsid w:val="002912E1"/>
    <w:rsid w:val="002B5D6C"/>
    <w:rsid w:val="0030713F"/>
    <w:rsid w:val="00376478"/>
    <w:rsid w:val="00390BE9"/>
    <w:rsid w:val="003B0699"/>
    <w:rsid w:val="003C5AA6"/>
    <w:rsid w:val="003E70D4"/>
    <w:rsid w:val="003F10A2"/>
    <w:rsid w:val="00432475"/>
    <w:rsid w:val="00494597"/>
    <w:rsid w:val="00542C20"/>
    <w:rsid w:val="005D3A35"/>
    <w:rsid w:val="0060592D"/>
    <w:rsid w:val="00664042"/>
    <w:rsid w:val="006A25E4"/>
    <w:rsid w:val="006E2858"/>
    <w:rsid w:val="006F425F"/>
    <w:rsid w:val="00772E88"/>
    <w:rsid w:val="0078249D"/>
    <w:rsid w:val="007E1CE1"/>
    <w:rsid w:val="00825885"/>
    <w:rsid w:val="00864F26"/>
    <w:rsid w:val="008934DD"/>
    <w:rsid w:val="00933D74"/>
    <w:rsid w:val="009E062A"/>
    <w:rsid w:val="00A02FCE"/>
    <w:rsid w:val="00AB6A2D"/>
    <w:rsid w:val="00BD3C1B"/>
    <w:rsid w:val="00BD796D"/>
    <w:rsid w:val="00BE5148"/>
    <w:rsid w:val="00BF4C5A"/>
    <w:rsid w:val="00C15F75"/>
    <w:rsid w:val="00C564B8"/>
    <w:rsid w:val="00D82516"/>
    <w:rsid w:val="00DA673B"/>
    <w:rsid w:val="00DE580A"/>
    <w:rsid w:val="00E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882C0"/>
  <w15:chartTrackingRefBased/>
  <w15:docId w15:val="{8EB78E78-E9B3-4734-9FBD-1BF4BE79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5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5AA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3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3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C5AA6"/>
    <w:rPr>
      <w:color w:val="0000FF"/>
      <w:u w:val="single"/>
    </w:rPr>
  </w:style>
  <w:style w:type="paragraph" w:customStyle="1" w:styleId="likizd">
    <w:name w:val="lik_izd"/>
    <w:basedOn w:val="Normal"/>
    <w:rsid w:val="003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C5AA6"/>
    <w:pPr>
      <w:ind w:left="720"/>
      <w:contextualSpacing/>
    </w:pPr>
  </w:style>
  <w:style w:type="paragraph" w:customStyle="1" w:styleId="naisf">
    <w:name w:val="naisf"/>
    <w:basedOn w:val="Normal"/>
    <w:link w:val="naisfChar"/>
    <w:rsid w:val="001D515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933D7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933D74"/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AB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2D"/>
  </w:style>
  <w:style w:type="character" w:styleId="CommentReference">
    <w:name w:val="annotation reference"/>
    <w:basedOn w:val="DefaultParagraphFont"/>
    <w:uiPriority w:val="99"/>
    <w:semiHidden/>
    <w:unhideWhenUsed/>
    <w:rsid w:val="002B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6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8251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D8251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 gada 26. septembra noteikumos Nr. 332 “Noteikumi par benzīna un dīzeļdegvielas atbilstības novērtēšanu”</vt:lpstr>
    </vt:vector>
  </TitlesOfParts>
  <Company>Ekonomikas ministrija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 gada 26. septembra noteikumos Nr. 332 “Noteikumi par benzīna un dīzeļdegvielas atbilstības novērtēšanu”</dc:title>
  <dc:subject>Ministru kabineta noteikumu projekts</dc:subject>
  <dc:creator>Helēna Rimša</dc:creator>
  <cp:keywords/>
  <dc:description/>
  <cp:lastModifiedBy>Linda Milenberga</cp:lastModifiedBy>
  <cp:revision>15</cp:revision>
  <cp:lastPrinted>2020-04-07T11:20:00Z</cp:lastPrinted>
  <dcterms:created xsi:type="dcterms:W3CDTF">2020-04-02T07:09:00Z</dcterms:created>
  <dcterms:modified xsi:type="dcterms:W3CDTF">2020-04-07T15:12:00Z</dcterms:modified>
</cp:coreProperties>
</file>