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A14F" w14:textId="77777777" w:rsidR="00DB5A7F" w:rsidRPr="009D1C04" w:rsidRDefault="00DB5A7F" w:rsidP="004E72EB">
      <w:pPr>
        <w:jc w:val="center"/>
        <w:rPr>
          <w:b/>
          <w:bCs/>
        </w:rPr>
      </w:pPr>
      <w:r w:rsidRPr="009D1C04">
        <w:rPr>
          <w:b/>
          <w:bCs/>
        </w:rPr>
        <w:t xml:space="preserve">Ministru kabineta rīkojuma projekta “Par apropriācijas </w:t>
      </w:r>
      <w:r w:rsidR="00615766" w:rsidRPr="009D1C04">
        <w:rPr>
          <w:b/>
          <w:bCs/>
        </w:rPr>
        <w:t>pārdali</w:t>
      </w:r>
      <w:r w:rsidRPr="009D1C04">
        <w:rPr>
          <w:b/>
          <w:bCs/>
        </w:rPr>
        <w:t>” sākotnējās ietekmes novērtējuma ziņojums (anotācija)</w:t>
      </w:r>
    </w:p>
    <w:p w14:paraId="1A3DB28B" w14:textId="77777777" w:rsidR="009D36DE" w:rsidRPr="009D1C04" w:rsidRDefault="009D36DE" w:rsidP="000044FA">
      <w:pPr>
        <w:jc w:val="center"/>
        <w:rPr>
          <w:b/>
        </w:rPr>
      </w:pPr>
    </w:p>
    <w:tbl>
      <w:tblPr>
        <w:tblW w:w="5165" w:type="pct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6790"/>
      </w:tblGrid>
      <w:tr w:rsidR="009D36DE" w:rsidRPr="009D1C04" w14:paraId="69E539D8" w14:textId="77777777" w:rsidTr="000044FA">
        <w:trPr>
          <w:trHeight w:val="299"/>
        </w:trPr>
        <w:tc>
          <w:tcPr>
            <w:tcW w:w="93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750D8" w14:textId="77777777" w:rsidR="009D36DE" w:rsidRPr="009D1C04" w:rsidRDefault="009D36DE" w:rsidP="00B27138">
            <w:pPr>
              <w:spacing w:before="120" w:after="120"/>
              <w:jc w:val="center"/>
              <w:rPr>
                <w:b/>
                <w:bCs/>
              </w:rPr>
            </w:pPr>
            <w:r w:rsidRPr="009D1C04">
              <w:rPr>
                <w:b/>
                <w:bCs/>
              </w:rPr>
              <w:t>Tiesību aktu projektu anotācijas kopsavilkums</w:t>
            </w:r>
          </w:p>
        </w:tc>
      </w:tr>
      <w:tr w:rsidR="009D36DE" w:rsidRPr="009D1C04" w14:paraId="6EB9C1FA" w14:textId="77777777" w:rsidTr="000044FA">
        <w:trPr>
          <w:trHeight w:val="1243"/>
        </w:trPr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90955" w14:textId="77777777" w:rsidR="009D36DE" w:rsidRPr="009D1C04" w:rsidRDefault="009D36DE" w:rsidP="00B27138">
            <w:pPr>
              <w:spacing w:before="120" w:after="120"/>
              <w:ind w:right="125"/>
              <w:jc w:val="both"/>
            </w:pPr>
            <w:r w:rsidRPr="009D1C04">
              <w:t>Mērķis, risinājums un projekta spēkā stāšanās laiks (500 zīmes bez atstarpēm)</w:t>
            </w:r>
          </w:p>
        </w:tc>
        <w:tc>
          <w:tcPr>
            <w:tcW w:w="6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F856D" w14:textId="68857E67" w:rsidR="00DF7062" w:rsidRPr="00B47322" w:rsidRDefault="00853AC5" w:rsidP="00FB72F9">
            <w:pPr>
              <w:pStyle w:val="NoSpacing"/>
              <w:spacing w:before="120" w:after="120"/>
              <w:ind w:left="125" w:right="11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Ministru kabineta rīkojuma projekta “</w:t>
            </w:r>
            <w:r w:rsidRPr="00B47322">
              <w:rPr>
                <w:rFonts w:ascii="Times New Roman" w:hAnsi="Times New Roman"/>
                <w:bCs/>
                <w:sz w:val="24"/>
                <w:szCs w:val="24"/>
              </w:rPr>
              <w:t xml:space="preserve">Par apropriācijas </w:t>
            </w:r>
            <w:r w:rsidR="00064D12" w:rsidRPr="00B47322">
              <w:rPr>
                <w:rFonts w:ascii="Times New Roman" w:hAnsi="Times New Roman"/>
                <w:bCs/>
                <w:sz w:val="24"/>
                <w:szCs w:val="24"/>
              </w:rPr>
              <w:t>pārdali</w:t>
            </w:r>
            <w:r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” (turpmāk –</w:t>
            </w:r>
            <w:r w:rsidR="00FB72F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projekts) mērķis ir </w:t>
            </w:r>
            <w:r w:rsidR="00493BE8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efektīva valsts budžeta līdzekļu izlietošana, </w:t>
            </w:r>
            <w:r w:rsidR="008A3323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paredzot</w:t>
            </w:r>
            <w:r w:rsidR="005B08DC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A3323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apropriācijas</w:t>
            </w:r>
            <w:r w:rsidR="005B08DC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A3323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pārdali</w:t>
            </w:r>
            <w:r w:rsidR="005B08DC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A3323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 ministriju un citu centrālo valsts iestāžu budžetiem uz </w:t>
            </w:r>
            <w:r w:rsidR="005B08DC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budžeta resora </w:t>
            </w:r>
            <w:r w:rsidR="005B08DC" w:rsidRPr="00B47322">
              <w:rPr>
                <w:rFonts w:ascii="Times New Roman" w:hAnsi="Times New Roman"/>
                <w:sz w:val="24"/>
                <w:szCs w:val="24"/>
              </w:rPr>
              <w:t xml:space="preserve">“74.Gadskārtējā valsts budžeta izpildes procesā pārdalāmais finansējums” </w:t>
            </w:r>
            <w:r w:rsidR="005B08DC" w:rsidRPr="00B47322">
              <w:rPr>
                <w:rFonts w:ascii="Times New Roman" w:hAnsi="Times New Roman"/>
                <w:iCs/>
                <w:sz w:val="24"/>
                <w:szCs w:val="24"/>
              </w:rPr>
              <w:t>programm</w:t>
            </w:r>
            <w:r w:rsidR="008A3323" w:rsidRPr="00B47322">
              <w:rPr>
                <w:rFonts w:ascii="Times New Roman" w:hAnsi="Times New Roman"/>
                <w:iCs/>
                <w:sz w:val="24"/>
                <w:szCs w:val="24"/>
              </w:rPr>
              <w:t xml:space="preserve">u </w:t>
            </w:r>
            <w:r w:rsidR="005B08DC" w:rsidRPr="00B47322">
              <w:rPr>
                <w:rFonts w:ascii="Times New Roman" w:hAnsi="Times New Roman"/>
                <w:sz w:val="24"/>
                <w:szCs w:val="24"/>
              </w:rPr>
              <w:t>02.00.00 “Līdzekļi neparedzētiem gadījumiem”</w:t>
            </w:r>
            <w:r w:rsidR="00DF7062" w:rsidRPr="00B47322">
              <w:rPr>
                <w:rFonts w:ascii="Times New Roman" w:hAnsi="Times New Roman"/>
                <w:iCs/>
                <w:sz w:val="24"/>
                <w:szCs w:val="24"/>
              </w:rPr>
              <w:t>, lai nepieciešamības gadījumā būtu iespējams operatīvi  piešķirt līdzekļus</w:t>
            </w:r>
            <w:r w:rsidR="00DF7062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DF7062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koronavīrusa</w:t>
            </w:r>
            <w:proofErr w:type="spellEnd"/>
            <w:r w:rsidR="00DF7062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F7062" w:rsidRPr="00B47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Covid-19 </w:t>
            </w:r>
            <w:r w:rsidR="00DF7062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izraisītās slimības izplatības </w:t>
            </w:r>
            <w:r w:rsidR="00BA7EB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novēršanas un pārvarēšanas</w:t>
            </w:r>
            <w:r w:rsidR="00DF7062" w:rsidRPr="00B473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pasākumiem.</w:t>
            </w:r>
          </w:p>
          <w:p w14:paraId="58B9E602" w14:textId="3D6711E9" w:rsidR="00853AC5" w:rsidRPr="009D1C04" w:rsidRDefault="00FB72F9" w:rsidP="00FB72F9">
            <w:pPr>
              <w:pStyle w:val="NoSpacing"/>
              <w:spacing w:before="120" w:after="120"/>
              <w:ind w:left="125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53AC5" w:rsidRPr="00B47322">
              <w:rPr>
                <w:rFonts w:ascii="Times New Roman" w:hAnsi="Times New Roman"/>
                <w:sz w:val="24"/>
                <w:szCs w:val="24"/>
              </w:rPr>
              <w:t xml:space="preserve">rojekts stājas spēkā tā </w:t>
            </w:r>
            <w:r w:rsidR="000A6B9A" w:rsidRPr="00B47322">
              <w:rPr>
                <w:rFonts w:ascii="Times New Roman" w:hAnsi="Times New Roman"/>
                <w:sz w:val="24"/>
                <w:szCs w:val="24"/>
              </w:rPr>
              <w:t>parakstīšanas brīdī</w:t>
            </w:r>
            <w:r w:rsidR="004B0522" w:rsidRPr="00B47322">
              <w:rPr>
                <w:rFonts w:ascii="Times New Roman" w:hAnsi="Times New Roman"/>
                <w:sz w:val="24"/>
                <w:szCs w:val="24"/>
              </w:rPr>
              <w:t xml:space="preserve"> atbilstoši Oficiālo publikāciju un tiesiskās informācijas likuma 7.panta trešajā daļā noteiktajam</w:t>
            </w:r>
            <w:r w:rsidR="00853AC5" w:rsidRPr="00B47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7537932" w14:textId="77777777" w:rsidR="009D36DE" w:rsidRPr="009D1C04" w:rsidRDefault="009D36DE" w:rsidP="00B27138">
      <w:pPr>
        <w:spacing w:before="120" w:after="120"/>
        <w:jc w:val="center"/>
        <w:rPr>
          <w:b/>
          <w:highlight w:val="green"/>
        </w:rPr>
      </w:pPr>
    </w:p>
    <w:tbl>
      <w:tblPr>
        <w:tblW w:w="5165" w:type="pct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1"/>
        <w:gridCol w:w="6808"/>
      </w:tblGrid>
      <w:tr w:rsidR="009D36DE" w:rsidRPr="009D1C04" w14:paraId="02C0FE9A" w14:textId="77777777" w:rsidTr="001611E9">
        <w:trPr>
          <w:trHeight w:val="340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5D6A3B" w14:textId="77777777" w:rsidR="009D36DE" w:rsidRPr="009D1C04" w:rsidRDefault="009D36DE" w:rsidP="00B27138">
            <w:pPr>
              <w:spacing w:before="120" w:after="120"/>
              <w:jc w:val="center"/>
              <w:rPr>
                <w:b/>
                <w:bCs/>
              </w:rPr>
            </w:pPr>
            <w:r w:rsidRPr="009D1C04">
              <w:rPr>
                <w:b/>
                <w:bCs/>
              </w:rPr>
              <w:t>I. Tiesību aktu projektu izstrādes nepieciešamība</w:t>
            </w:r>
          </w:p>
        </w:tc>
      </w:tr>
      <w:tr w:rsidR="009D36DE" w:rsidRPr="009D1C04" w14:paraId="073360BE" w14:textId="77777777" w:rsidTr="001611E9">
        <w:trPr>
          <w:trHeight w:val="896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F41105" w14:textId="77777777" w:rsidR="009D36DE" w:rsidRPr="009D1C04" w:rsidRDefault="009D36DE" w:rsidP="00B27138">
            <w:pPr>
              <w:spacing w:before="120" w:after="120"/>
            </w:pPr>
            <w:r w:rsidRPr="009D1C04"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3DB3B3" w14:textId="77777777" w:rsidR="009D36DE" w:rsidRPr="009D1C04" w:rsidRDefault="009D36DE" w:rsidP="00B27138">
            <w:pPr>
              <w:spacing w:before="120" w:after="120"/>
            </w:pPr>
            <w:r w:rsidRPr="009D1C04">
              <w:t>Pamatojums</w:t>
            </w:r>
          </w:p>
        </w:tc>
        <w:tc>
          <w:tcPr>
            <w:tcW w:w="6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0745B" w14:textId="1B04ECCA" w:rsidR="00316575" w:rsidRPr="00316575" w:rsidRDefault="00D57F31" w:rsidP="00316575">
            <w:pPr>
              <w:spacing w:before="120" w:after="120"/>
              <w:ind w:left="123" w:right="111"/>
              <w:jc w:val="both"/>
            </w:pPr>
            <w:r w:rsidRPr="00D57F31">
              <w:rPr>
                <w:iCs/>
              </w:rPr>
              <w:t xml:space="preserve">Likuma </w:t>
            </w:r>
            <w:r w:rsidRPr="00D57F31">
              <w:t>“Par valsts apdraudējuma un tā seku novēršanas un pārvarēšanas pasākumiem sakarā ar COVID-19 izplatību” 2</w:t>
            </w:r>
            <w:r w:rsidR="00316575">
              <w:t>2</w:t>
            </w:r>
            <w:r w:rsidRPr="00D57F31">
              <w:t>.pants</w:t>
            </w:r>
            <w:r w:rsidRPr="00D57F31">
              <w:rPr>
                <w:iCs/>
              </w:rPr>
              <w:t xml:space="preserve"> nosaka</w:t>
            </w:r>
            <w:r w:rsidRPr="00D57F31">
              <w:t xml:space="preserve">, ka finanšu ministram </w:t>
            </w:r>
            <w:r w:rsidR="00316575" w:rsidRPr="00316575">
              <w:rPr>
                <w:rFonts w:eastAsiaTheme="minorHAnsi"/>
                <w:lang w:eastAsia="en-US"/>
              </w:rPr>
              <w:t>ir tiesības, informējot par to Saeimu, veikt apropriācijas izmaiņas, tai skaitā</w:t>
            </w:r>
            <w:r w:rsidR="00316575">
              <w:t xml:space="preserve"> </w:t>
            </w:r>
            <w:r w:rsidR="00316575" w:rsidRPr="00316575">
              <w:rPr>
                <w:rFonts w:eastAsiaTheme="minorHAnsi"/>
                <w:lang w:eastAsia="en-US"/>
              </w:rPr>
              <w:t>apropriācijas samazināšanu vai pārdali starp ministrijām un citām centrālajām valsts iestādēm ar Covid-19 izplatību</w:t>
            </w:r>
            <w:r w:rsidR="00316575">
              <w:t xml:space="preserve"> </w:t>
            </w:r>
            <w:r w:rsidR="00316575" w:rsidRPr="00316575">
              <w:rPr>
                <w:rFonts w:eastAsiaTheme="minorHAnsi"/>
                <w:lang w:eastAsia="en-US"/>
              </w:rPr>
              <w:t>saistītā valsts apdraudējuma un tā seku novēršanas un pārvarēšanas pasākumiem, ja ir pieņemts attiecīgs Ministru</w:t>
            </w:r>
            <w:r w:rsidR="00316575">
              <w:t xml:space="preserve"> </w:t>
            </w:r>
            <w:r w:rsidR="00316575" w:rsidRPr="00316575">
              <w:rPr>
                <w:rFonts w:eastAsiaTheme="minorHAnsi"/>
                <w:lang w:eastAsia="en-US"/>
              </w:rPr>
              <w:t>kabineta lēmums, kā arī veikt apropriācijas pārdali ministrijai vai citai centrālajai valsts iestādei likumā noteiktās</w:t>
            </w:r>
            <w:r w:rsidR="00316575">
              <w:t xml:space="preserve"> </w:t>
            </w:r>
            <w:r w:rsidR="00316575" w:rsidRPr="00316575">
              <w:rPr>
                <w:rFonts w:eastAsiaTheme="minorHAnsi"/>
                <w:lang w:eastAsia="en-US"/>
              </w:rPr>
              <w:t>apropriācijas ietvaros starp programmām, apakšprogrammām un izdevumu kodiem atbilstoši ekonomiskajām</w:t>
            </w:r>
            <w:r w:rsidR="00316575">
              <w:t xml:space="preserve"> </w:t>
            </w:r>
            <w:r w:rsidR="00316575" w:rsidRPr="00316575">
              <w:rPr>
                <w:rFonts w:eastAsiaTheme="minorHAnsi"/>
                <w:lang w:eastAsia="en-US"/>
              </w:rPr>
              <w:t>kategorijām.</w:t>
            </w:r>
          </w:p>
          <w:p w14:paraId="5023C46D" w14:textId="419DDE82" w:rsidR="00C074A6" w:rsidRPr="009D1C04" w:rsidRDefault="00C074A6" w:rsidP="00133B71">
            <w:pPr>
              <w:spacing w:before="120" w:after="120"/>
              <w:ind w:left="123" w:right="111"/>
              <w:jc w:val="both"/>
            </w:pPr>
            <w:r w:rsidRPr="00316575">
              <w:rPr>
                <w:color w:val="000000"/>
                <w:shd w:val="clear" w:color="auto" w:fill="FFFFFF"/>
              </w:rPr>
              <w:t>Ministru kabineta 2020.</w:t>
            </w:r>
            <w:r w:rsidRPr="00C074A6">
              <w:rPr>
                <w:color w:val="000000"/>
                <w:shd w:val="clear" w:color="auto" w:fill="FFFFFF"/>
              </w:rPr>
              <w:t>gada 12.marta rīkojums Nr.103 “Par ārkārtas situācijas izsludināšanu” (turpmāk – MK rīkojums Nr.103)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140526" w:rsidRPr="009E7875" w14:paraId="7427A13F" w14:textId="77777777" w:rsidTr="00486ED9">
        <w:trPr>
          <w:trHeight w:val="2652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131604" w14:textId="77777777" w:rsidR="00140526" w:rsidRPr="009E7875" w:rsidRDefault="00140526" w:rsidP="00B27138">
            <w:pPr>
              <w:spacing w:before="120" w:after="120"/>
            </w:pPr>
            <w:r w:rsidRPr="009E7875"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406BBF" w14:textId="77777777" w:rsidR="00140526" w:rsidRPr="009E7875" w:rsidRDefault="00140526" w:rsidP="00B27138">
            <w:pPr>
              <w:spacing w:before="120" w:after="120"/>
            </w:pPr>
            <w:r w:rsidRPr="009E7875">
              <w:t>Pašreizējā situācija un problēmas, kuru risināšanai tiesību akta projekts izstrādāts, tiesiskā regulējuma mērķis un būtība</w:t>
            </w:r>
          </w:p>
        </w:tc>
        <w:tc>
          <w:tcPr>
            <w:tcW w:w="6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32DC65" w14:textId="68404E83" w:rsidR="00B47322" w:rsidRPr="00FC2EA2" w:rsidRDefault="00F6324C" w:rsidP="00FB72F9">
            <w:pPr>
              <w:pStyle w:val="NoSpacing"/>
              <w:spacing w:before="120" w:after="120"/>
              <w:ind w:left="125" w:right="11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2EA2">
              <w:rPr>
                <w:rFonts w:ascii="Times New Roman" w:eastAsiaTheme="minorHAnsi" w:hAnsi="Times New Roman"/>
                <w:sz w:val="24"/>
                <w:szCs w:val="24"/>
              </w:rPr>
              <w:t>Ņemot vērā, ka s</w:t>
            </w:r>
            <w:r w:rsidR="00FC19DE" w:rsidRPr="00FC2EA2">
              <w:rPr>
                <w:rFonts w:ascii="Times New Roman" w:eastAsiaTheme="minorHAnsi" w:hAnsi="Times New Roman"/>
                <w:sz w:val="24"/>
                <w:szCs w:val="24"/>
              </w:rPr>
              <w:t xml:space="preserve">askaņā ar </w:t>
            </w:r>
            <w:r w:rsidRPr="00FC2EA2">
              <w:rPr>
                <w:rFonts w:ascii="Times New Roman" w:eastAsiaTheme="minorHAnsi" w:hAnsi="Times New Roman"/>
                <w:sz w:val="24"/>
                <w:szCs w:val="24"/>
              </w:rPr>
              <w:t xml:space="preserve">ārkārtējās situācijas izsludināšanu un nolemto </w:t>
            </w:r>
            <w:r w:rsidR="0048561D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Covid-19 izplatības mazināšanai Latvijā </w:t>
            </w:r>
            <w:r w:rsidR="00FD6AD3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uz ārkārtas situācijas laiku līdz </w:t>
            </w:r>
            <w:r w:rsidR="00D3668B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šā gada</w:t>
            </w:r>
            <w:r w:rsidR="00FD6AD3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14.aprīlim tiek apturēti visi starptautiskie avio, dzelzceļa, jūras un autobusu pasažieru pārvadājumi, slēgta valsts ārējā robeža,</w:t>
            </w:r>
            <w:r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kā arī </w:t>
            </w:r>
            <w:r w:rsidR="00FD6AD3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5D7715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ierobežoti </w:t>
            </w:r>
            <w:r w:rsidR="00996A8E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publiskie un mācību pasākumi valsts iekšienē</w:t>
            </w:r>
            <w:r w:rsidR="00D3668B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, tiek </w:t>
            </w:r>
            <w:r w:rsidR="00916266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ierosināts</w:t>
            </w:r>
            <w:r w:rsidR="00D3668B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916266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10% apmērā samazināt </w:t>
            </w:r>
            <w:r w:rsidR="00D3668B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valsts pamatbudžetā </w:t>
            </w:r>
            <w:r w:rsidR="00916266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pamatfunkciju īstenošanai </w:t>
            </w:r>
            <w:r w:rsidR="00D3668B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plānot</w:t>
            </w:r>
            <w:r w:rsidR="00916266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os </w:t>
            </w:r>
            <w:r w:rsidR="00D3668B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izdevum</w:t>
            </w:r>
            <w:r w:rsidR="00916266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us</w:t>
            </w:r>
            <w:r w:rsidR="00D3668B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mācību, darba un dienesta komandējumiem, darba braucieniem</w:t>
            </w:r>
            <w:r w:rsidR="00996A8E"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="009E7875" w:rsidRPr="00CF6D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BA7EB5" w:rsidRPr="00CF6D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493</w:t>
            </w:r>
            <w:r w:rsidR="009E7875" w:rsidRPr="00CF6D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EB5" w:rsidRPr="00CF6D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511</w:t>
            </w:r>
            <w:bookmarkStart w:id="0" w:name="_GoBack"/>
            <w:bookmarkEnd w:id="0"/>
            <w:r w:rsidR="00061813" w:rsidRPr="00FC2EA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1813" w:rsidRPr="00FC2EA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="00A6237C" w:rsidRPr="00FC2EA2">
              <w:rPr>
                <w:rFonts w:ascii="Times New Roman" w:eastAsiaTheme="minorHAnsi" w:hAnsi="Times New Roman"/>
                <w:sz w:val="24"/>
                <w:szCs w:val="24"/>
              </w:rPr>
              <w:t xml:space="preserve"> apmērā, </w:t>
            </w:r>
            <w:r w:rsidR="00916266" w:rsidRPr="00FC2EA2">
              <w:rPr>
                <w:rFonts w:ascii="Times New Roman" w:hAnsi="Times New Roman"/>
                <w:iCs/>
                <w:sz w:val="24"/>
                <w:szCs w:val="24"/>
              </w:rPr>
              <w:t xml:space="preserve">paredzot apropriācijas pārdali no ministriju un citu centrālo valsts iestāžu budžetiem uz budžeta resora </w:t>
            </w:r>
            <w:r w:rsidR="00916266" w:rsidRPr="00FC2EA2">
              <w:rPr>
                <w:rFonts w:ascii="Times New Roman" w:hAnsi="Times New Roman"/>
                <w:sz w:val="24"/>
                <w:szCs w:val="24"/>
              </w:rPr>
              <w:t xml:space="preserve">“74.Gadskārtējā valsts budžeta izpildes procesā pārdalāmais finansējums” </w:t>
            </w:r>
            <w:r w:rsidR="00916266" w:rsidRPr="00FC2EA2">
              <w:rPr>
                <w:rFonts w:ascii="Times New Roman" w:hAnsi="Times New Roman"/>
                <w:iCs/>
                <w:sz w:val="24"/>
                <w:szCs w:val="24"/>
              </w:rPr>
              <w:t xml:space="preserve">programmu </w:t>
            </w:r>
            <w:r w:rsidR="00916266" w:rsidRPr="00FC2EA2">
              <w:rPr>
                <w:rFonts w:ascii="Times New Roman" w:hAnsi="Times New Roman"/>
                <w:sz w:val="24"/>
                <w:szCs w:val="24"/>
              </w:rPr>
              <w:t>02.00.00 “Līdzekļi neparedzētiem gadījumiem”</w:t>
            </w:r>
            <w:r w:rsidR="00916266" w:rsidRPr="00FC2EA2">
              <w:rPr>
                <w:rFonts w:ascii="Times New Roman" w:hAnsi="Times New Roman"/>
                <w:iCs/>
                <w:sz w:val="24"/>
                <w:szCs w:val="24"/>
              </w:rPr>
              <w:t xml:space="preserve">, lai nepieciešamības gadījumā būtu iespējams operatīvi  piešķirt līdzekļus </w:t>
            </w:r>
            <w:r w:rsidR="00D41F3E" w:rsidRPr="00FC2EA2">
              <w:rPr>
                <w:rFonts w:ascii="Times New Roman" w:hAnsi="Times New Roman"/>
                <w:sz w:val="24"/>
                <w:szCs w:val="24"/>
              </w:rPr>
              <w:t>neparedzētiem gadījumiem saskaņā ar Ministru kabineta 2018.gada 17.jūlija noteikumiem Nr.421 “Kārtība, kādā veic gadskārtējā valsts budžeta likumā noteiktās apropriācijas izmaiņas”</w:t>
            </w:r>
            <w:r w:rsidR="00D41F3E" w:rsidRPr="00FC2EA2">
              <w:rPr>
                <w:rFonts w:ascii="Times New Roman" w:hAnsi="Times New Roman"/>
                <w:bCs/>
                <w:sz w:val="24"/>
                <w:szCs w:val="24"/>
              </w:rPr>
              <w:t xml:space="preserve">, tajā skaitā </w:t>
            </w:r>
            <w:proofErr w:type="spellStart"/>
            <w:r w:rsidR="00FC2EA2" w:rsidRPr="00FC2EA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koronavīrusa</w:t>
            </w:r>
            <w:proofErr w:type="spellEnd"/>
            <w:r w:rsidR="00FC2EA2" w:rsidRPr="00FC2EA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C2EA2" w:rsidRPr="00FC2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Covid-19 </w:t>
            </w:r>
            <w:r w:rsidR="00FC2EA2" w:rsidRPr="00FC2EA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izraisītās slimības izplatības novēršanas un pārvarēšanas pasākumiem:</w:t>
            </w:r>
          </w:p>
          <w:tbl>
            <w:tblPr>
              <w:tblW w:w="5670" w:type="dxa"/>
              <w:tblInd w:w="394" w:type="dxa"/>
              <w:tblLook w:val="04A0" w:firstRow="1" w:lastRow="0" w:firstColumn="1" w:lastColumn="0" w:noHBand="0" w:noVBand="1"/>
            </w:tblPr>
            <w:tblGrid>
              <w:gridCol w:w="4312"/>
              <w:gridCol w:w="1358"/>
            </w:tblGrid>
            <w:tr w:rsidR="009E7875" w:rsidRPr="009E7875" w14:paraId="64325D82" w14:textId="77777777" w:rsidTr="009E7875">
              <w:trPr>
                <w:trHeight w:val="312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B7347" w14:textId="53A78440" w:rsidR="009E7875" w:rsidRPr="009E7875" w:rsidRDefault="00140526" w:rsidP="009E7875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9E7875">
                    <w:rPr>
                      <w:rFonts w:eastAsiaTheme="minorHAnsi"/>
                      <w:lang w:eastAsia="en-US"/>
                    </w:rPr>
                    <w:t xml:space="preserve">     </w:t>
                  </w:r>
                  <w:r w:rsidR="009E7875" w:rsidRPr="009E7875">
                    <w:rPr>
                      <w:bCs/>
                    </w:rPr>
                    <w:t xml:space="preserve"> </w:t>
                  </w:r>
                  <w:r w:rsidR="009E7875" w:rsidRPr="009E7875">
                    <w:rPr>
                      <w:b/>
                      <w:bCs/>
                      <w:color w:val="000000"/>
                      <w:lang w:eastAsia="en-US"/>
                    </w:rPr>
                    <w:t xml:space="preserve">Plānotās apropriācijas pārdales </w:t>
                  </w:r>
                </w:p>
              </w:tc>
            </w:tr>
            <w:tr w:rsidR="009E7875" w:rsidRPr="009E7875" w14:paraId="6F8B901F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A21A9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01. Valsts prezidenta kanceleja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A3DA5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-31 975</w:t>
                  </w:r>
                </w:p>
              </w:tc>
            </w:tr>
            <w:tr w:rsidR="009E7875" w:rsidRPr="009E7875" w14:paraId="7CB959D3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4E368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02. Saeima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4F575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-50 700</w:t>
                  </w:r>
                </w:p>
              </w:tc>
            </w:tr>
            <w:tr w:rsidR="009E7875" w:rsidRPr="009E7875" w14:paraId="7A180283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7E910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03. Ministru kabinets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4FCEE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-22 542</w:t>
                  </w:r>
                </w:p>
              </w:tc>
            </w:tr>
            <w:tr w:rsidR="009E7875" w:rsidRPr="009E7875" w14:paraId="3204CF8A" w14:textId="77777777" w:rsidTr="009E7875">
              <w:trPr>
                <w:trHeight w:val="624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54372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04. Korupcijas novēršanas un apkarošanas birojs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91699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-3 800</w:t>
                  </w:r>
                </w:p>
              </w:tc>
            </w:tr>
            <w:tr w:rsidR="009E7875" w:rsidRPr="009E7875" w14:paraId="0FC3C216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AA072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 xml:space="preserve">05. </w:t>
                  </w:r>
                  <w:proofErr w:type="spellStart"/>
                  <w:r w:rsidRPr="009E7875">
                    <w:rPr>
                      <w:color w:val="000000"/>
                      <w:lang w:eastAsia="en-US"/>
                    </w:rPr>
                    <w:t>Tiesībsarga</w:t>
                  </w:r>
                  <w:proofErr w:type="spellEnd"/>
                  <w:r w:rsidRPr="009E7875">
                    <w:rPr>
                      <w:color w:val="000000"/>
                      <w:lang w:eastAsia="en-US"/>
                    </w:rPr>
                    <w:t xml:space="preserve"> birojs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A21E9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-5 400</w:t>
                  </w:r>
                </w:p>
              </w:tc>
            </w:tr>
            <w:tr w:rsidR="009E7875" w:rsidRPr="009E7875" w14:paraId="77BF64A4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982AF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08. Sabiedrības integrācijas fonds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7525B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-3 214</w:t>
                  </w:r>
                </w:p>
              </w:tc>
            </w:tr>
            <w:tr w:rsidR="009E7875" w:rsidRPr="009E7875" w14:paraId="713A8E75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4E3E3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10. Aizsardzības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73C20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-489 192</w:t>
                  </w:r>
                </w:p>
              </w:tc>
            </w:tr>
            <w:tr w:rsidR="009E7875" w:rsidRPr="009E7875" w14:paraId="26F85D20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82200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11. Ārlietu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D51D0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-200 914</w:t>
                  </w:r>
                </w:p>
              </w:tc>
            </w:tr>
            <w:tr w:rsidR="009E7875" w:rsidRPr="009E7875" w14:paraId="28A3F607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94FD2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12. Ekonomikas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7F1CB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-84 322</w:t>
                  </w:r>
                </w:p>
              </w:tc>
            </w:tr>
            <w:tr w:rsidR="009E7875" w:rsidRPr="009E7875" w14:paraId="4F87B870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238FE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13. Finanšu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148ED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-100 900</w:t>
                  </w:r>
                </w:p>
              </w:tc>
            </w:tr>
            <w:tr w:rsidR="009E7875" w:rsidRPr="009E7875" w14:paraId="0677EBD9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B82C5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 xml:space="preserve">14. </w:t>
                  </w:r>
                  <w:proofErr w:type="spellStart"/>
                  <w:r w:rsidRPr="009E7875">
                    <w:rPr>
                      <w:color w:val="000000"/>
                      <w:lang w:eastAsia="en-US"/>
                    </w:rPr>
                    <w:t>Iekšlietu</w:t>
                  </w:r>
                  <w:proofErr w:type="spellEnd"/>
                  <w:r w:rsidRPr="009E7875">
                    <w:rPr>
                      <w:color w:val="000000"/>
                      <w:lang w:eastAsia="en-US"/>
                    </w:rPr>
                    <w:t xml:space="preserve">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4907D" w14:textId="4569A61F" w:rsidR="009E7875" w:rsidRPr="009E7875" w:rsidRDefault="009E7875" w:rsidP="00D676DA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09380D">
                    <w:rPr>
                      <w:color w:val="000000"/>
                      <w:lang w:eastAsia="en-US"/>
                    </w:rPr>
                    <w:t>-134 8</w:t>
                  </w:r>
                  <w:r w:rsidR="00D676DA" w:rsidRPr="0009380D">
                    <w:rPr>
                      <w:color w:val="000000"/>
                      <w:lang w:eastAsia="en-US"/>
                    </w:rPr>
                    <w:t>04</w:t>
                  </w:r>
                </w:p>
              </w:tc>
            </w:tr>
            <w:tr w:rsidR="009E7875" w:rsidRPr="009E7875" w14:paraId="379A47B2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9F8E8B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15. Izglītības un zinātnes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C3281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-61 932</w:t>
                  </w:r>
                </w:p>
              </w:tc>
            </w:tr>
            <w:tr w:rsidR="009E7875" w:rsidRPr="009E7875" w14:paraId="212E7917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D406C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16. Zemkopības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D3105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-51 737</w:t>
                  </w:r>
                </w:p>
              </w:tc>
            </w:tr>
            <w:tr w:rsidR="009E7875" w:rsidRPr="009E7875" w14:paraId="64158EC3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82CE4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17. Satiksmes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EEFE1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-20 473</w:t>
                  </w:r>
                </w:p>
              </w:tc>
            </w:tr>
            <w:tr w:rsidR="009E7875" w:rsidRPr="009E7875" w14:paraId="7489086D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2AAC7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18. Labklājības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E6943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-26 212</w:t>
                  </w:r>
                </w:p>
              </w:tc>
            </w:tr>
            <w:tr w:rsidR="009E7875" w:rsidRPr="009E7875" w14:paraId="43F53779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53CAD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19. Tieslietu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59515" w14:textId="2A2462A9" w:rsidR="009E7875" w:rsidRPr="009E7875" w:rsidRDefault="009E7875" w:rsidP="00D676DA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09380D">
                    <w:rPr>
                      <w:color w:val="000000"/>
                      <w:lang w:eastAsia="en-US"/>
                    </w:rPr>
                    <w:t>-4</w:t>
                  </w:r>
                  <w:r w:rsidR="00D676DA" w:rsidRPr="0009380D">
                    <w:rPr>
                      <w:color w:val="000000"/>
                      <w:lang w:eastAsia="en-US"/>
                    </w:rPr>
                    <w:t>4</w:t>
                  </w:r>
                  <w:r w:rsidRPr="0009380D">
                    <w:rPr>
                      <w:color w:val="000000"/>
                      <w:lang w:eastAsia="en-US"/>
                    </w:rPr>
                    <w:t xml:space="preserve"> </w:t>
                  </w:r>
                  <w:r w:rsidR="00D676DA" w:rsidRPr="0009380D">
                    <w:rPr>
                      <w:color w:val="000000"/>
                      <w:lang w:eastAsia="en-US"/>
                    </w:rPr>
                    <w:t>451</w:t>
                  </w:r>
                </w:p>
              </w:tc>
            </w:tr>
            <w:tr w:rsidR="009E7875" w:rsidRPr="009E7875" w14:paraId="5F4D9FF9" w14:textId="77777777" w:rsidTr="009E7875">
              <w:trPr>
                <w:trHeight w:val="624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DE5B7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21. Vides aizsardzības un reģionālās attīstības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25F44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-45 790</w:t>
                  </w:r>
                </w:p>
              </w:tc>
            </w:tr>
            <w:tr w:rsidR="009E7875" w:rsidRPr="009E7875" w14:paraId="10721317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EFF6E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22. Kultūras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9EEFC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-46 833</w:t>
                  </w:r>
                </w:p>
              </w:tc>
            </w:tr>
            <w:tr w:rsidR="009E7875" w:rsidRPr="009E7875" w14:paraId="58F4B3B9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30F28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24. Valsts kontrole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9350B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-9 085</w:t>
                  </w:r>
                </w:p>
              </w:tc>
            </w:tr>
            <w:tr w:rsidR="009E7875" w:rsidRPr="009E7875" w14:paraId="3F4458BB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FB10D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 xml:space="preserve">25. </w:t>
                  </w:r>
                  <w:proofErr w:type="spellStart"/>
                  <w:r w:rsidRPr="009E7875">
                    <w:rPr>
                      <w:color w:val="000000"/>
                      <w:lang w:eastAsia="en-US"/>
                    </w:rPr>
                    <w:t>Pārresoru</w:t>
                  </w:r>
                  <w:proofErr w:type="spellEnd"/>
                  <w:r w:rsidRPr="009E7875">
                    <w:rPr>
                      <w:color w:val="000000"/>
                      <w:lang w:eastAsia="en-US"/>
                    </w:rPr>
                    <w:t xml:space="preserve"> koordinācijas centrs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80855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-3 800</w:t>
                  </w:r>
                </w:p>
              </w:tc>
            </w:tr>
            <w:tr w:rsidR="009E7875" w:rsidRPr="009E7875" w14:paraId="1F089E65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CCC16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28. Augstākā tiesa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E2CC7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-4 015</w:t>
                  </w:r>
                </w:p>
              </w:tc>
            </w:tr>
            <w:tr w:rsidR="009E7875" w:rsidRPr="009E7875" w14:paraId="33F859E8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142D6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29. Veselības ministrija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DE3C9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-34 453</w:t>
                  </w:r>
                </w:p>
              </w:tc>
            </w:tr>
            <w:tr w:rsidR="009E7875" w:rsidRPr="009E7875" w14:paraId="2D677F7D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DE27C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30. Satversmes tiesa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69AA6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-3 112</w:t>
                  </w:r>
                </w:p>
              </w:tc>
            </w:tr>
            <w:tr w:rsidR="009E7875" w:rsidRPr="009E7875" w14:paraId="2884C78D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2A630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32. Prokuratūra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E8016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-8 500</w:t>
                  </w:r>
                </w:p>
              </w:tc>
            </w:tr>
            <w:tr w:rsidR="009E7875" w:rsidRPr="009E7875" w14:paraId="274D45E6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E833EF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35. Centrālā vēlēšanu komisija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D04C8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-1 400</w:t>
                  </w:r>
                </w:p>
              </w:tc>
            </w:tr>
            <w:tr w:rsidR="009E7875" w:rsidRPr="009E7875" w14:paraId="6E0D5275" w14:textId="77777777" w:rsidTr="009E7875">
              <w:trPr>
                <w:trHeight w:val="312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F48D8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47. Radio un televīzija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A5A76" w14:textId="77777777" w:rsidR="009E7875" w:rsidRPr="009E7875" w:rsidRDefault="009E7875" w:rsidP="009E7875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-3 955</w:t>
                  </w:r>
                </w:p>
              </w:tc>
            </w:tr>
            <w:tr w:rsidR="009E7875" w:rsidRPr="009E7875" w14:paraId="46FDF948" w14:textId="77777777" w:rsidTr="009E7875">
              <w:trPr>
                <w:trHeight w:val="624"/>
              </w:trPr>
              <w:tc>
                <w:tcPr>
                  <w:tcW w:w="4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13A6F" w14:textId="77777777" w:rsidR="009E7875" w:rsidRPr="009E7875" w:rsidRDefault="009E7875" w:rsidP="009E7875">
                  <w:pPr>
                    <w:rPr>
                      <w:color w:val="000000"/>
                      <w:lang w:eastAsia="en-US"/>
                    </w:rPr>
                  </w:pPr>
                  <w:r w:rsidRPr="009E7875">
                    <w:rPr>
                      <w:color w:val="000000"/>
                      <w:lang w:eastAsia="en-US"/>
                    </w:rPr>
                    <w:t>74.Gadskārtējā valsts budžeta izpildes procesā pārdalāmais finansējums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B6566" w14:textId="0FBF7A0C" w:rsidR="009E7875" w:rsidRPr="009E7875" w:rsidRDefault="009E7875" w:rsidP="00D676DA">
                  <w:pPr>
                    <w:jc w:val="right"/>
                    <w:rPr>
                      <w:color w:val="000000"/>
                      <w:lang w:eastAsia="en-US"/>
                    </w:rPr>
                  </w:pPr>
                  <w:r w:rsidRPr="0009380D">
                    <w:rPr>
                      <w:color w:val="000000"/>
                      <w:lang w:eastAsia="en-US"/>
                    </w:rPr>
                    <w:t>1 49</w:t>
                  </w:r>
                  <w:r w:rsidR="00D676DA" w:rsidRPr="0009380D">
                    <w:rPr>
                      <w:color w:val="000000"/>
                      <w:lang w:eastAsia="en-US"/>
                    </w:rPr>
                    <w:t>3 511</w:t>
                  </w:r>
                </w:p>
              </w:tc>
            </w:tr>
          </w:tbl>
          <w:p w14:paraId="06227D25" w14:textId="7CC0CF06" w:rsidR="00A541A8" w:rsidRPr="009E7875" w:rsidRDefault="00A541A8" w:rsidP="00A541A8">
            <w:pPr>
              <w:autoSpaceDE w:val="0"/>
              <w:autoSpaceDN w:val="0"/>
              <w:adjustRightInd w:val="0"/>
              <w:spacing w:before="120" w:after="120"/>
              <w:ind w:left="102" w:right="130" w:firstLine="304"/>
              <w:jc w:val="both"/>
              <w:rPr>
                <w:bCs/>
                <w:highlight w:val="yellow"/>
              </w:rPr>
            </w:pPr>
          </w:p>
        </w:tc>
      </w:tr>
      <w:tr w:rsidR="009D36DE" w:rsidRPr="009D1C04" w14:paraId="047F7C9B" w14:textId="77777777" w:rsidTr="00962079">
        <w:trPr>
          <w:trHeight w:val="134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61DF8E" w14:textId="77777777" w:rsidR="009D36DE" w:rsidRPr="009D1C04" w:rsidRDefault="009D36DE" w:rsidP="00B27138">
            <w:pPr>
              <w:spacing w:before="120" w:after="120"/>
            </w:pPr>
            <w:r w:rsidRPr="009D1C04">
              <w:lastRenderedPageBreak/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CA1331" w14:textId="77777777" w:rsidR="009D36DE" w:rsidRPr="009D1C04" w:rsidRDefault="009D36DE" w:rsidP="00B27138">
            <w:pPr>
              <w:spacing w:before="120" w:after="120"/>
            </w:pPr>
            <w:r w:rsidRPr="009D1C04">
              <w:t>Projekta izstrādē iesaistītās institūcijas un publiskas personas kapitālsabiedrības</w:t>
            </w:r>
          </w:p>
        </w:tc>
        <w:tc>
          <w:tcPr>
            <w:tcW w:w="6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4F1903" w14:textId="77777777" w:rsidR="009D36DE" w:rsidRPr="009D1C04" w:rsidRDefault="003B60B8" w:rsidP="00B27138">
            <w:pPr>
              <w:spacing w:before="120" w:after="120"/>
              <w:ind w:firstLine="123"/>
              <w:jc w:val="both"/>
            </w:pPr>
            <w:r w:rsidRPr="009D1C04">
              <w:t>Nav</w:t>
            </w:r>
          </w:p>
        </w:tc>
      </w:tr>
      <w:tr w:rsidR="009D36DE" w:rsidRPr="009D1C04" w14:paraId="4925835D" w14:textId="77777777" w:rsidTr="001611E9">
        <w:trPr>
          <w:trHeight w:val="17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C0B18" w14:textId="77777777" w:rsidR="009D36DE" w:rsidRPr="009D1C04" w:rsidRDefault="009D36DE" w:rsidP="00B27138">
            <w:pPr>
              <w:spacing w:before="120" w:after="120"/>
            </w:pPr>
            <w:r w:rsidRPr="009D1C04"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A267D0" w14:textId="77777777" w:rsidR="009D36DE" w:rsidRPr="009D1C04" w:rsidRDefault="009D36DE" w:rsidP="00B27138">
            <w:pPr>
              <w:spacing w:before="120" w:after="120"/>
            </w:pPr>
            <w:r w:rsidRPr="009D1C04">
              <w:t>Cita informācija</w:t>
            </w:r>
          </w:p>
        </w:tc>
        <w:tc>
          <w:tcPr>
            <w:tcW w:w="6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759D6E" w14:textId="77777777" w:rsidR="009D36DE" w:rsidRPr="009D1C04" w:rsidRDefault="003B60B8" w:rsidP="00B27138">
            <w:pPr>
              <w:spacing w:before="120" w:after="120"/>
              <w:ind w:firstLine="123"/>
              <w:jc w:val="both"/>
            </w:pPr>
            <w:r w:rsidRPr="009D1C04">
              <w:rPr>
                <w:bCs/>
              </w:rPr>
              <w:t>Nav</w:t>
            </w:r>
          </w:p>
        </w:tc>
      </w:tr>
    </w:tbl>
    <w:p w14:paraId="3F2D7109" w14:textId="77777777" w:rsidR="009D36DE" w:rsidRPr="009D1C04" w:rsidRDefault="009D36DE" w:rsidP="00B27138">
      <w:pPr>
        <w:spacing w:before="120" w:after="120"/>
      </w:pPr>
    </w:p>
    <w:tbl>
      <w:tblPr>
        <w:tblW w:w="5181" w:type="pct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  <w:gridCol w:w="40"/>
      </w:tblGrid>
      <w:tr w:rsidR="009D36DE" w:rsidRPr="009D1C04" w14:paraId="7BB5BB21" w14:textId="77777777" w:rsidTr="001611E9">
        <w:trPr>
          <w:trHeight w:val="44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D562F79" w14:textId="77777777" w:rsidR="009D36DE" w:rsidRPr="009D1C04" w:rsidRDefault="009D36DE" w:rsidP="00B27138">
            <w:pPr>
              <w:spacing w:before="120" w:after="120"/>
              <w:ind w:right="-19"/>
              <w:jc w:val="center"/>
              <w:rPr>
                <w:b/>
                <w:bCs/>
              </w:rPr>
            </w:pPr>
            <w:r w:rsidRPr="009D1C04">
              <w:rPr>
                <w:b/>
                <w:bCs/>
              </w:rPr>
              <w:t>II. Tiesību aktu projektu ietekme uz sabiedrību, tautsaimniecības attīstību un administratīvo slogu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8208D" w14:textId="77777777" w:rsidR="009D36DE" w:rsidRPr="009D1C04" w:rsidRDefault="009D36DE" w:rsidP="00B27138">
            <w:pPr>
              <w:spacing w:before="120" w:after="120"/>
              <w:ind w:firstLine="1113"/>
              <w:jc w:val="center"/>
              <w:rPr>
                <w:b/>
                <w:bCs/>
              </w:rPr>
            </w:pPr>
          </w:p>
        </w:tc>
      </w:tr>
      <w:tr w:rsidR="001611E9" w:rsidRPr="009D1C04" w14:paraId="21ED2376" w14:textId="77777777" w:rsidTr="001611E9">
        <w:trPr>
          <w:trHeight w:val="44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5D8CF36" w14:textId="77777777" w:rsidR="001611E9" w:rsidRPr="009D1C04" w:rsidRDefault="001611E9" w:rsidP="00B27138">
            <w:pPr>
              <w:spacing w:before="120" w:after="120"/>
              <w:jc w:val="center"/>
              <w:rPr>
                <w:b/>
                <w:bCs/>
                <w:highlight w:val="green"/>
              </w:rPr>
            </w:pPr>
            <w:r w:rsidRPr="009D1C04">
              <w:lastRenderedPageBreak/>
              <w:t>Projekts šo jomu neskar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20595" w14:textId="77777777" w:rsidR="001611E9" w:rsidRPr="009D1C04" w:rsidRDefault="001611E9" w:rsidP="00B27138">
            <w:pPr>
              <w:spacing w:before="120" w:after="120"/>
              <w:ind w:firstLine="1113"/>
              <w:jc w:val="center"/>
              <w:rPr>
                <w:b/>
                <w:bCs/>
                <w:highlight w:val="green"/>
              </w:rPr>
            </w:pPr>
          </w:p>
        </w:tc>
      </w:tr>
    </w:tbl>
    <w:p w14:paraId="217622C9" w14:textId="77777777" w:rsidR="00064F32" w:rsidRPr="009D1C04" w:rsidRDefault="00064F32" w:rsidP="000044FA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</w:p>
    <w:tbl>
      <w:tblPr>
        <w:tblStyle w:val="TableGrid"/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850"/>
        <w:gridCol w:w="1134"/>
        <w:gridCol w:w="851"/>
        <w:gridCol w:w="992"/>
        <w:gridCol w:w="1276"/>
        <w:gridCol w:w="8"/>
      </w:tblGrid>
      <w:tr w:rsidR="00064F32" w:rsidRPr="009D1C04" w14:paraId="33948931" w14:textId="77777777" w:rsidTr="00962079">
        <w:trPr>
          <w:jc w:val="center"/>
        </w:trPr>
        <w:tc>
          <w:tcPr>
            <w:tcW w:w="9501" w:type="dxa"/>
            <w:gridSpan w:val="9"/>
          </w:tcPr>
          <w:p w14:paraId="4C214658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64F32" w:rsidRPr="009D1C04" w14:paraId="43E1954D" w14:textId="77777777" w:rsidTr="00B50A1F">
        <w:trPr>
          <w:jc w:val="center"/>
        </w:trPr>
        <w:tc>
          <w:tcPr>
            <w:tcW w:w="1555" w:type="dxa"/>
            <w:vMerge w:val="restart"/>
          </w:tcPr>
          <w:p w14:paraId="645FF3DE" w14:textId="77777777" w:rsidR="00064F32" w:rsidRPr="009D1C04" w:rsidRDefault="00064F32" w:rsidP="00BB603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835" w:type="dxa"/>
            <w:gridSpan w:val="2"/>
            <w:vMerge w:val="restart"/>
          </w:tcPr>
          <w:p w14:paraId="501B6809" w14:textId="097DA7C8" w:rsidR="00064F32" w:rsidRPr="009D1C04" w:rsidRDefault="00064F32" w:rsidP="00BA0D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  <w:r w:rsidR="00866FAC"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5111" w:type="dxa"/>
            <w:gridSpan w:val="6"/>
          </w:tcPr>
          <w:p w14:paraId="4672F9AF" w14:textId="77777777" w:rsidR="00064F32" w:rsidRPr="009D1C04" w:rsidRDefault="00064F32" w:rsidP="008C1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9D1C04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064F32" w:rsidRPr="009D1C04" w14:paraId="14B5751D" w14:textId="77777777" w:rsidTr="00B50A1F">
        <w:trPr>
          <w:jc w:val="center"/>
        </w:trPr>
        <w:tc>
          <w:tcPr>
            <w:tcW w:w="1555" w:type="dxa"/>
            <w:vMerge/>
          </w:tcPr>
          <w:p w14:paraId="402985F0" w14:textId="77777777" w:rsidR="00064F32" w:rsidRPr="009D1C04" w:rsidRDefault="00064F32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vMerge/>
          </w:tcPr>
          <w:p w14:paraId="14040F4C" w14:textId="77777777" w:rsidR="00064F32" w:rsidRPr="009D1C04" w:rsidRDefault="00064F32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gridSpan w:val="2"/>
          </w:tcPr>
          <w:p w14:paraId="7ACB988B" w14:textId="4BA290C7" w:rsidR="00064F32" w:rsidRPr="009D1C04" w:rsidRDefault="00064F32" w:rsidP="008C1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  <w:r w:rsidR="00866FAC">
              <w:rPr>
                <w:rFonts w:ascii="Times New Roman" w:hAnsi="Times New Roman"/>
                <w:sz w:val="24"/>
                <w:szCs w:val="24"/>
                <w:lang w:eastAsia="lv-LV"/>
              </w:rPr>
              <w:t>21</w:t>
            </w: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1843" w:type="dxa"/>
            <w:gridSpan w:val="2"/>
          </w:tcPr>
          <w:p w14:paraId="6FA806B4" w14:textId="094FACED" w:rsidR="00064F32" w:rsidRPr="009D1C04" w:rsidRDefault="00064F32" w:rsidP="008C1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202</w:t>
            </w:r>
            <w:r w:rsidR="00866FA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1284" w:type="dxa"/>
            <w:gridSpan w:val="2"/>
          </w:tcPr>
          <w:p w14:paraId="1C160B1F" w14:textId="68F2BC22" w:rsidR="00064F32" w:rsidRPr="009D1C04" w:rsidRDefault="00064F32" w:rsidP="008C15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202</w:t>
            </w:r>
            <w:r w:rsidR="00866FAC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.gads</w:t>
            </w:r>
          </w:p>
        </w:tc>
      </w:tr>
      <w:tr w:rsidR="00064F32" w:rsidRPr="009D1C04" w14:paraId="07327E53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vMerge/>
          </w:tcPr>
          <w:p w14:paraId="105A8CA4" w14:textId="77777777" w:rsidR="00064F32" w:rsidRPr="009D1C04" w:rsidRDefault="00064F32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7CD21E68" w14:textId="77777777" w:rsidR="00064F32" w:rsidRPr="00CA40C3" w:rsidRDefault="00064F32" w:rsidP="00133B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saskaņā ar valsts budžetu kārtējam gadam</w:t>
            </w:r>
          </w:p>
        </w:tc>
        <w:tc>
          <w:tcPr>
            <w:tcW w:w="1134" w:type="dxa"/>
          </w:tcPr>
          <w:p w14:paraId="23E569C7" w14:textId="77777777" w:rsidR="00064F32" w:rsidRPr="00CA40C3" w:rsidRDefault="00064F32" w:rsidP="00133B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50" w:type="dxa"/>
          </w:tcPr>
          <w:p w14:paraId="3317C3A5" w14:textId="77777777" w:rsidR="00064F32" w:rsidRPr="00CA40C3" w:rsidRDefault="00064F32" w:rsidP="00133B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1134" w:type="dxa"/>
          </w:tcPr>
          <w:p w14:paraId="31B96E4E" w14:textId="650A2A57" w:rsidR="00064F32" w:rsidRPr="00CA40C3" w:rsidRDefault="00064F32" w:rsidP="00133B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izmaiņas, salīdzinot ar vidēja termiņa budžeta ietvaru 20</w:t>
            </w:r>
            <w:r w:rsidR="003C7722"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21</w:t>
            </w: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. gadam</w:t>
            </w:r>
          </w:p>
        </w:tc>
        <w:tc>
          <w:tcPr>
            <w:tcW w:w="851" w:type="dxa"/>
          </w:tcPr>
          <w:p w14:paraId="31C96640" w14:textId="77777777" w:rsidR="00064F32" w:rsidRPr="00CA40C3" w:rsidRDefault="00064F32" w:rsidP="00133B71">
            <w:pPr>
              <w:pStyle w:val="NoSpacing"/>
              <w:ind w:left="-102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992" w:type="dxa"/>
          </w:tcPr>
          <w:p w14:paraId="16647CC5" w14:textId="31BDECEA" w:rsidR="00064F32" w:rsidRPr="00CA40C3" w:rsidRDefault="00064F32" w:rsidP="00133B71">
            <w:pPr>
              <w:pStyle w:val="NoSpacing"/>
              <w:ind w:left="-102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izmaiņas, salīdzinot ar vidēja termiņa budžeta ietvaru 202</w:t>
            </w:r>
            <w:r w:rsidR="003C7722"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. gadam</w:t>
            </w:r>
          </w:p>
        </w:tc>
        <w:tc>
          <w:tcPr>
            <w:tcW w:w="1276" w:type="dxa"/>
          </w:tcPr>
          <w:p w14:paraId="28134B0A" w14:textId="421A18ED" w:rsidR="00064F32" w:rsidRPr="00CA40C3" w:rsidRDefault="00064F32" w:rsidP="00133B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izmaiņas, salīdzinot ar vidēja termiņa budžeta ietvaru 202</w:t>
            </w:r>
            <w:r w:rsidR="003C7722"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2</w:t>
            </w:r>
            <w:r w:rsidRPr="00CA40C3">
              <w:rPr>
                <w:rFonts w:ascii="Times New Roman" w:hAnsi="Times New Roman"/>
                <w:sz w:val="20"/>
                <w:szCs w:val="20"/>
                <w:lang w:eastAsia="lv-LV"/>
              </w:rPr>
              <w:t>. gadam</w:t>
            </w:r>
          </w:p>
        </w:tc>
      </w:tr>
      <w:tr w:rsidR="00064F32" w:rsidRPr="009D1C04" w14:paraId="35F42E0B" w14:textId="77777777" w:rsidTr="00B50A1F">
        <w:trPr>
          <w:gridAfter w:val="1"/>
          <w:wAfter w:w="8" w:type="dxa"/>
          <w:trHeight w:val="152"/>
          <w:jc w:val="center"/>
        </w:trPr>
        <w:tc>
          <w:tcPr>
            <w:tcW w:w="1555" w:type="dxa"/>
            <w:vAlign w:val="center"/>
          </w:tcPr>
          <w:p w14:paraId="3724F8C4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vAlign w:val="center"/>
          </w:tcPr>
          <w:p w14:paraId="20683D0A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vAlign w:val="center"/>
          </w:tcPr>
          <w:p w14:paraId="59FA6732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50" w:type="dxa"/>
            <w:vAlign w:val="center"/>
          </w:tcPr>
          <w:p w14:paraId="7655DCB3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vAlign w:val="center"/>
          </w:tcPr>
          <w:p w14:paraId="5700C2AD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51" w:type="dxa"/>
            <w:vAlign w:val="center"/>
          </w:tcPr>
          <w:p w14:paraId="5339463B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2" w:type="dxa"/>
            <w:vAlign w:val="center"/>
          </w:tcPr>
          <w:p w14:paraId="5748280A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vAlign w:val="center"/>
          </w:tcPr>
          <w:p w14:paraId="0634E2F9" w14:textId="77777777" w:rsidR="00064F32" w:rsidRPr="009D1C04" w:rsidRDefault="00064F32" w:rsidP="000044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0044FA" w:rsidRPr="009D1C04" w14:paraId="09349498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73972FB0" w14:textId="77777777" w:rsidR="001611E9" w:rsidRPr="009D1C04" w:rsidRDefault="001611E9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1701" w:type="dxa"/>
          </w:tcPr>
          <w:p w14:paraId="0A0D6F06" w14:textId="5CF91868" w:rsidR="001611E9" w:rsidRPr="009D1C04" w:rsidRDefault="00191879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91879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91879">
              <w:rPr>
                <w:rFonts w:ascii="Times New Roman" w:hAnsi="Times New Roman"/>
                <w:sz w:val="24"/>
                <w:szCs w:val="24"/>
                <w:lang w:eastAsia="lv-LV"/>
              </w:rPr>
              <w:t>907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91879">
              <w:rPr>
                <w:rFonts w:ascii="Times New Roman" w:hAnsi="Times New Roman"/>
                <w:sz w:val="24"/>
                <w:szCs w:val="24"/>
                <w:lang w:eastAsia="lv-LV"/>
              </w:rPr>
              <w:t>335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91879">
              <w:rPr>
                <w:rFonts w:ascii="Times New Roman" w:hAnsi="Times New Roman"/>
                <w:sz w:val="24"/>
                <w:szCs w:val="24"/>
                <w:lang w:eastAsia="lv-LV"/>
              </w:rPr>
              <w:t>199</w:t>
            </w:r>
          </w:p>
        </w:tc>
        <w:tc>
          <w:tcPr>
            <w:tcW w:w="1134" w:type="dxa"/>
          </w:tcPr>
          <w:p w14:paraId="4068E4DD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</w:tcPr>
          <w:p w14:paraId="1320C828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6BAB6026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289485CC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64DD9D7A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24EF3E45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044FA" w:rsidRPr="009D1C04" w14:paraId="0AD26997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41352F2F" w14:textId="4D58399D" w:rsidR="001611E9" w:rsidRPr="009D1C04" w:rsidRDefault="001611E9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  <w:r w:rsidR="00693E8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(neto)</w:t>
            </w:r>
          </w:p>
        </w:tc>
        <w:tc>
          <w:tcPr>
            <w:tcW w:w="1701" w:type="dxa"/>
          </w:tcPr>
          <w:p w14:paraId="305FFF1C" w14:textId="4B4F2687" w:rsidR="001611E9" w:rsidRPr="009D1C04" w:rsidRDefault="00B50A1F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896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760</w:t>
            </w:r>
          </w:p>
        </w:tc>
        <w:tc>
          <w:tcPr>
            <w:tcW w:w="1134" w:type="dxa"/>
          </w:tcPr>
          <w:p w14:paraId="6DCA9143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</w:tcPr>
          <w:p w14:paraId="0F33AB1B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C37F6B6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1A007E09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1FEFD18C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4E46BD21" w14:textId="77777777" w:rsidR="001611E9" w:rsidRPr="009D1C04" w:rsidRDefault="001611E9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9D1C04" w14:paraId="419170E1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45298E16" w14:textId="2C1BDB1B" w:rsidR="00064F32" w:rsidRPr="009D1C04" w:rsidRDefault="00064F32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1.2. valsts speciālais budžets</w:t>
            </w:r>
            <w:r w:rsidR="00693E8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(neto)</w:t>
            </w:r>
          </w:p>
        </w:tc>
        <w:tc>
          <w:tcPr>
            <w:tcW w:w="1701" w:type="dxa"/>
          </w:tcPr>
          <w:p w14:paraId="663CBFBA" w14:textId="28DF32E9" w:rsidR="00064F32" w:rsidRPr="009D1C04" w:rsidRDefault="00B50A1F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011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439</w:t>
            </w:r>
          </w:p>
        </w:tc>
        <w:tc>
          <w:tcPr>
            <w:tcW w:w="1134" w:type="dxa"/>
          </w:tcPr>
          <w:p w14:paraId="43942553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</w:tcPr>
          <w:p w14:paraId="2568CA6E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02A994E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3D4819C8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1211DC56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523E7814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9D1C04" w14:paraId="5520316F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03A44ADF" w14:textId="77777777" w:rsidR="00064F32" w:rsidRPr="009D1C04" w:rsidRDefault="00064F32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701" w:type="dxa"/>
          </w:tcPr>
          <w:p w14:paraId="50D90C66" w14:textId="77777777" w:rsidR="00064F32" w:rsidRPr="009D1C04" w:rsidRDefault="00064F32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31BD9885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</w:tcPr>
          <w:p w14:paraId="5190FCA2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238B648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14B5C36C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1C16C2DB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303DFD03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9D1C04" w14:paraId="1C449863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4F1544E4" w14:textId="77777777" w:rsidR="00064F32" w:rsidRPr="009D1C04" w:rsidRDefault="00064F32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1701" w:type="dxa"/>
          </w:tcPr>
          <w:p w14:paraId="7E00C94C" w14:textId="4D492AC3" w:rsidR="00064F32" w:rsidRPr="009D1C04" w:rsidRDefault="00B50A1F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842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134" w:type="dxa"/>
          </w:tcPr>
          <w:p w14:paraId="7F376D14" w14:textId="77777777" w:rsidR="00064F32" w:rsidRPr="009D1C04" w:rsidRDefault="003E3BD5" w:rsidP="000044FA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C609DDE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7194FC07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7B958316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31D2EE96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0417B342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064F32" w:rsidRPr="009D1C04" w14:paraId="68696F6A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0E96C44B" w14:textId="2D3DC9FD" w:rsidR="00064F32" w:rsidRPr="009D1C04" w:rsidRDefault="00064F32" w:rsidP="000044FA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2.1. valsts pamatbudžets</w:t>
            </w:r>
            <w:r w:rsidR="00B50A1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(neto)</w:t>
            </w:r>
          </w:p>
        </w:tc>
        <w:tc>
          <w:tcPr>
            <w:tcW w:w="1701" w:type="dxa"/>
          </w:tcPr>
          <w:p w14:paraId="48F518CF" w14:textId="2E9B1FA4" w:rsidR="00064F32" w:rsidRPr="009D1C04" w:rsidRDefault="00B50A1F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037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866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978</w:t>
            </w:r>
          </w:p>
        </w:tc>
        <w:tc>
          <w:tcPr>
            <w:tcW w:w="1134" w:type="dxa"/>
          </w:tcPr>
          <w:p w14:paraId="7DC59370" w14:textId="77777777" w:rsidR="00064F32" w:rsidRPr="009D1C04" w:rsidRDefault="003E3BD5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FB63284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2BBCAB20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7FFDB4CD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30E15EE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0E6C363D" w14:textId="77777777" w:rsidR="00064F32" w:rsidRPr="009D1C04" w:rsidRDefault="00064F32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3E3BD5" w:rsidRPr="009D1C04" w14:paraId="3DBF9203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2FE42A9F" w14:textId="77777777" w:rsidR="003E3BD5" w:rsidRPr="00B65ECC" w:rsidRDefault="003E3BD5" w:rsidP="003E3BD5">
            <w:pPr>
              <w:pStyle w:val="NoSpacing"/>
              <w:jc w:val="right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B65ECC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tajā skaitā</w:t>
            </w:r>
          </w:p>
        </w:tc>
        <w:tc>
          <w:tcPr>
            <w:tcW w:w="1701" w:type="dxa"/>
          </w:tcPr>
          <w:p w14:paraId="5F43EBED" w14:textId="77777777" w:rsidR="003E3BD5" w:rsidRPr="009D1C04" w:rsidRDefault="003E3BD5" w:rsidP="00962079">
            <w:pPr>
              <w:pStyle w:val="NoSpacing"/>
              <w:ind w:left="-253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BBEDEF4" w14:textId="77777777" w:rsidR="003E3BD5" w:rsidRPr="009D1C04" w:rsidRDefault="003E3BD5" w:rsidP="000044FA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C1A24" w14:textId="77777777" w:rsidR="003E3BD5" w:rsidRPr="009D1C04" w:rsidRDefault="003E3BD5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803DFAC" w14:textId="77777777" w:rsidR="003E3BD5" w:rsidRPr="009D1C04" w:rsidRDefault="003E3BD5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7A8A86C" w14:textId="77777777" w:rsidR="003E3BD5" w:rsidRPr="009D1C04" w:rsidRDefault="003E3BD5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C51F009" w14:textId="77777777" w:rsidR="003E3BD5" w:rsidRPr="009D1C04" w:rsidRDefault="003E3BD5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E72309B" w14:textId="77777777" w:rsidR="003E3BD5" w:rsidRPr="009D1C04" w:rsidRDefault="003E3BD5" w:rsidP="000044FA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5FFD3712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6A766037" w14:textId="4DC5A5B0" w:rsidR="00B65ECC" w:rsidRPr="00B65ECC" w:rsidRDefault="00B65ECC" w:rsidP="00B65ECC">
            <w:pPr>
              <w:pStyle w:val="NoSpacing"/>
              <w:rPr>
                <w:rFonts w:ascii="Times New Roman" w:hAnsi="Times New Roman"/>
                <w:sz w:val="18"/>
                <w:szCs w:val="18"/>
                <w:highlight w:val="yellow"/>
                <w:lang w:val="en-US"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01. Valsts prezidenta kanceleja</w:t>
            </w:r>
          </w:p>
        </w:tc>
        <w:tc>
          <w:tcPr>
            <w:tcW w:w="1701" w:type="dxa"/>
          </w:tcPr>
          <w:p w14:paraId="5A56157D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338351C0" w14:textId="74C85492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-31 975</w:t>
            </w:r>
          </w:p>
        </w:tc>
        <w:tc>
          <w:tcPr>
            <w:tcW w:w="850" w:type="dxa"/>
          </w:tcPr>
          <w:p w14:paraId="4FE3F775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79932FE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B464544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61DC1971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3C8F8CA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190D4A4D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103697A4" w14:textId="32722695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02. Saeima</w:t>
            </w:r>
          </w:p>
        </w:tc>
        <w:tc>
          <w:tcPr>
            <w:tcW w:w="1701" w:type="dxa"/>
          </w:tcPr>
          <w:p w14:paraId="196429D9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32A6374F" w14:textId="446155A8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-50 700</w:t>
            </w:r>
          </w:p>
        </w:tc>
        <w:tc>
          <w:tcPr>
            <w:tcW w:w="850" w:type="dxa"/>
          </w:tcPr>
          <w:p w14:paraId="2DA4A47F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20476AF7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6EDF3C8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520F23D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BF9CBD3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79F0B886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2DE82DFC" w14:textId="603EED35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03. Ministru kabinets</w:t>
            </w:r>
          </w:p>
        </w:tc>
        <w:tc>
          <w:tcPr>
            <w:tcW w:w="1701" w:type="dxa"/>
          </w:tcPr>
          <w:p w14:paraId="3F38F75C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077663F6" w14:textId="651FE82B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-22 542</w:t>
            </w:r>
          </w:p>
        </w:tc>
        <w:tc>
          <w:tcPr>
            <w:tcW w:w="850" w:type="dxa"/>
          </w:tcPr>
          <w:p w14:paraId="63E5782E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540762B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5023A5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184287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461049E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366A92D9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22E3F786" w14:textId="691EE43E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04. Korupcijas novēršanas un apkarošanas birojs</w:t>
            </w:r>
          </w:p>
        </w:tc>
        <w:tc>
          <w:tcPr>
            <w:tcW w:w="1701" w:type="dxa"/>
          </w:tcPr>
          <w:p w14:paraId="1E9B997D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525C00AA" w14:textId="141AA72B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-3 800</w:t>
            </w:r>
          </w:p>
        </w:tc>
        <w:tc>
          <w:tcPr>
            <w:tcW w:w="850" w:type="dxa"/>
          </w:tcPr>
          <w:p w14:paraId="2E9252B3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E7B67CE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1F4A2E51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7BDFA327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4D83052E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153410BA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632334F9" w14:textId="6126FE21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 </w:t>
            </w:r>
            <w:proofErr w:type="spellStart"/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Tiesībsarga</w:t>
            </w:r>
            <w:proofErr w:type="spellEnd"/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birojs</w:t>
            </w:r>
          </w:p>
        </w:tc>
        <w:tc>
          <w:tcPr>
            <w:tcW w:w="1701" w:type="dxa"/>
          </w:tcPr>
          <w:p w14:paraId="58B41BDB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109D93E0" w14:textId="5D8BE586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-5 400</w:t>
            </w:r>
          </w:p>
        </w:tc>
        <w:tc>
          <w:tcPr>
            <w:tcW w:w="850" w:type="dxa"/>
          </w:tcPr>
          <w:p w14:paraId="083EC0C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A7597C8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C4CD48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6A824F6D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42E09A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4CB17723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09725BA2" w14:textId="2FF02F80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08. Sabiedrības integrācijas fonds</w:t>
            </w:r>
          </w:p>
        </w:tc>
        <w:tc>
          <w:tcPr>
            <w:tcW w:w="1701" w:type="dxa"/>
          </w:tcPr>
          <w:p w14:paraId="033201D7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307D3A1F" w14:textId="5AF13BC4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-3 214</w:t>
            </w:r>
          </w:p>
        </w:tc>
        <w:tc>
          <w:tcPr>
            <w:tcW w:w="850" w:type="dxa"/>
          </w:tcPr>
          <w:p w14:paraId="4F2B86C3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3DDCCF7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7F0D0FAB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331F219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4C575054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5590AA81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4F3464A3" w14:textId="2C5B107A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10. Aizsardzības ministrija</w:t>
            </w:r>
          </w:p>
        </w:tc>
        <w:tc>
          <w:tcPr>
            <w:tcW w:w="1701" w:type="dxa"/>
          </w:tcPr>
          <w:p w14:paraId="2805A2C6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7B424C6F" w14:textId="738EB23B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-489 192</w:t>
            </w:r>
          </w:p>
        </w:tc>
        <w:tc>
          <w:tcPr>
            <w:tcW w:w="850" w:type="dxa"/>
          </w:tcPr>
          <w:p w14:paraId="397B3B9B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7AA77C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71C12E2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1B13B455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DF9DC98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07C603D7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29E9F74C" w14:textId="3C93DD08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11. Ārlietu ministrija</w:t>
            </w:r>
          </w:p>
        </w:tc>
        <w:tc>
          <w:tcPr>
            <w:tcW w:w="1701" w:type="dxa"/>
          </w:tcPr>
          <w:p w14:paraId="0FC0EFAF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77B7D494" w14:textId="44586E14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-200 914</w:t>
            </w:r>
          </w:p>
        </w:tc>
        <w:tc>
          <w:tcPr>
            <w:tcW w:w="850" w:type="dxa"/>
          </w:tcPr>
          <w:p w14:paraId="626320F5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FF4462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932FB6A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3E3D76B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76CBE967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0F33C99F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528E067A" w14:textId="0F93450A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12. Ekonomikas ministrija</w:t>
            </w:r>
          </w:p>
        </w:tc>
        <w:tc>
          <w:tcPr>
            <w:tcW w:w="1701" w:type="dxa"/>
          </w:tcPr>
          <w:p w14:paraId="2D9B5914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3BB5172D" w14:textId="0F83DDCB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-84 322</w:t>
            </w:r>
          </w:p>
        </w:tc>
        <w:tc>
          <w:tcPr>
            <w:tcW w:w="850" w:type="dxa"/>
          </w:tcPr>
          <w:p w14:paraId="2D46FB0E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71A1C88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5FC55C14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316A60D4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9117EA1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69A828A4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50CA9826" w14:textId="1FCC4EE7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13. Finanšu ministrija</w:t>
            </w:r>
          </w:p>
        </w:tc>
        <w:tc>
          <w:tcPr>
            <w:tcW w:w="1701" w:type="dxa"/>
          </w:tcPr>
          <w:p w14:paraId="073BDD46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1EA47663" w14:textId="50E07722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-100 900</w:t>
            </w:r>
          </w:p>
        </w:tc>
        <w:tc>
          <w:tcPr>
            <w:tcW w:w="850" w:type="dxa"/>
          </w:tcPr>
          <w:p w14:paraId="265E710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0231B2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DD6239A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B20A2C4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7E10E82E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3914A48A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732C0633" w14:textId="7BFBA538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 </w:t>
            </w:r>
            <w:proofErr w:type="spellStart"/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Iekšlietu</w:t>
            </w:r>
            <w:proofErr w:type="spellEnd"/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ministrija</w:t>
            </w:r>
          </w:p>
        </w:tc>
        <w:tc>
          <w:tcPr>
            <w:tcW w:w="1701" w:type="dxa"/>
          </w:tcPr>
          <w:p w14:paraId="7AF6BE92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66F9E48B" w14:textId="77C3E117" w:rsidR="00B65ECC" w:rsidRPr="0009380D" w:rsidRDefault="00B65ECC" w:rsidP="00C3671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-134 8</w:t>
            </w:r>
            <w:r w:rsidR="00C36718"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14:paraId="1BC18BEE" w14:textId="7777777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B21DE5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0D5C5268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9D2114F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7AEEE00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5AD4654F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67F906B1" w14:textId="7FFE431C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15. Izglītības un zinātnes ministrija</w:t>
            </w:r>
          </w:p>
        </w:tc>
        <w:tc>
          <w:tcPr>
            <w:tcW w:w="1701" w:type="dxa"/>
          </w:tcPr>
          <w:p w14:paraId="578295DB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47BBDF6E" w14:textId="1B3BC6DF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-61 932</w:t>
            </w:r>
          </w:p>
        </w:tc>
        <w:tc>
          <w:tcPr>
            <w:tcW w:w="850" w:type="dxa"/>
          </w:tcPr>
          <w:p w14:paraId="0D7755E2" w14:textId="7777777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626673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7A517D17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338E7B3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91D79BE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41AF4484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213F6822" w14:textId="58618D6B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16. Zemkopības ministrija</w:t>
            </w:r>
          </w:p>
        </w:tc>
        <w:tc>
          <w:tcPr>
            <w:tcW w:w="1701" w:type="dxa"/>
          </w:tcPr>
          <w:p w14:paraId="188AB16D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1BC56A9B" w14:textId="5F492510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-51 737</w:t>
            </w:r>
          </w:p>
        </w:tc>
        <w:tc>
          <w:tcPr>
            <w:tcW w:w="850" w:type="dxa"/>
          </w:tcPr>
          <w:p w14:paraId="7F978523" w14:textId="7777777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2DB7ED5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699D999A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E1A9C4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DE97EB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510D92B6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31906035" w14:textId="317B32A4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17. Satiksmes ministrija</w:t>
            </w:r>
          </w:p>
        </w:tc>
        <w:tc>
          <w:tcPr>
            <w:tcW w:w="1701" w:type="dxa"/>
          </w:tcPr>
          <w:p w14:paraId="0AC78EC6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24BCFA47" w14:textId="141FBEAB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-20 473</w:t>
            </w:r>
          </w:p>
        </w:tc>
        <w:tc>
          <w:tcPr>
            <w:tcW w:w="850" w:type="dxa"/>
          </w:tcPr>
          <w:p w14:paraId="00DA400D" w14:textId="7777777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FD7E66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8AFA3D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752C3B0D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CE24F6B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7C3F62E4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10C23DF7" w14:textId="5E527F37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18. Labklājības ministrija</w:t>
            </w:r>
          </w:p>
        </w:tc>
        <w:tc>
          <w:tcPr>
            <w:tcW w:w="1701" w:type="dxa"/>
          </w:tcPr>
          <w:p w14:paraId="06CFEB26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717CD00B" w14:textId="20E25028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-26 212</w:t>
            </w:r>
          </w:p>
        </w:tc>
        <w:tc>
          <w:tcPr>
            <w:tcW w:w="850" w:type="dxa"/>
          </w:tcPr>
          <w:p w14:paraId="5C461B86" w14:textId="7777777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89AC251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41D60B6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6614044D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8F5E42D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43D77CD2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26C1CF26" w14:textId="1DE73F51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19. Tieslietu ministrija</w:t>
            </w:r>
          </w:p>
        </w:tc>
        <w:tc>
          <w:tcPr>
            <w:tcW w:w="1701" w:type="dxa"/>
          </w:tcPr>
          <w:p w14:paraId="7434A444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228EBF23" w14:textId="1C18AD37" w:rsidR="00B65ECC" w:rsidRPr="0009380D" w:rsidRDefault="00B65ECC" w:rsidP="00C3671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 w:rsidR="00C36718"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36718"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50" w:type="dxa"/>
          </w:tcPr>
          <w:p w14:paraId="5947740F" w14:textId="7777777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253C5531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169D084D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154411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8522EBB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4CCF4EF3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3CDC69AB" w14:textId="4B74D433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21. Vides aizsardzības un reģionālās attīstības ministrija</w:t>
            </w:r>
          </w:p>
        </w:tc>
        <w:tc>
          <w:tcPr>
            <w:tcW w:w="1701" w:type="dxa"/>
          </w:tcPr>
          <w:p w14:paraId="6ECE95BE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065384F3" w14:textId="5331BCC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-45 790</w:t>
            </w:r>
          </w:p>
        </w:tc>
        <w:tc>
          <w:tcPr>
            <w:tcW w:w="850" w:type="dxa"/>
          </w:tcPr>
          <w:p w14:paraId="4D20198C" w14:textId="7777777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380DD55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61B7FF0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6ABFF175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609EF2A3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2CAB08E2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4814A428" w14:textId="5BFD9732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22. Kultūras ministrija</w:t>
            </w:r>
          </w:p>
        </w:tc>
        <w:tc>
          <w:tcPr>
            <w:tcW w:w="1701" w:type="dxa"/>
          </w:tcPr>
          <w:p w14:paraId="5AEA713D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6F0721C6" w14:textId="36240A0A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-46 833</w:t>
            </w:r>
          </w:p>
        </w:tc>
        <w:tc>
          <w:tcPr>
            <w:tcW w:w="850" w:type="dxa"/>
          </w:tcPr>
          <w:p w14:paraId="7FA7A95A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E18EEC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7D8D700E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3610BD87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B43A20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5B7E0AFC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38809DFE" w14:textId="2A9E3DDF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24. Valsts kontrole</w:t>
            </w:r>
          </w:p>
        </w:tc>
        <w:tc>
          <w:tcPr>
            <w:tcW w:w="1701" w:type="dxa"/>
          </w:tcPr>
          <w:p w14:paraId="3939F596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7F8F4CF0" w14:textId="1FA2031E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-9 085</w:t>
            </w:r>
          </w:p>
        </w:tc>
        <w:tc>
          <w:tcPr>
            <w:tcW w:w="850" w:type="dxa"/>
          </w:tcPr>
          <w:p w14:paraId="37877E0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3FAFA01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E55F74B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32FCC68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659BB95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3CC47190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0D7846CF" w14:textId="13B84C49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 </w:t>
            </w:r>
            <w:proofErr w:type="spellStart"/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Pārresoru</w:t>
            </w:r>
            <w:proofErr w:type="spellEnd"/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koordinācijas centrs</w:t>
            </w:r>
          </w:p>
        </w:tc>
        <w:tc>
          <w:tcPr>
            <w:tcW w:w="1701" w:type="dxa"/>
          </w:tcPr>
          <w:p w14:paraId="5A411DD5" w14:textId="7777777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0F225BC9" w14:textId="255E5571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-3 800</w:t>
            </w:r>
          </w:p>
        </w:tc>
        <w:tc>
          <w:tcPr>
            <w:tcW w:w="850" w:type="dxa"/>
          </w:tcPr>
          <w:p w14:paraId="3427D49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7142D0D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5C113765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1B86F848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3EFACC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2B3AAFA4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79513F8C" w14:textId="20534FCF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highlight w:val="yellow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28. Augstākā tiesa</w:t>
            </w:r>
          </w:p>
        </w:tc>
        <w:tc>
          <w:tcPr>
            <w:tcW w:w="1701" w:type="dxa"/>
          </w:tcPr>
          <w:p w14:paraId="3CFFE27C" w14:textId="35E5683A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3FA07601" w14:textId="2F0084BA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-4 015</w:t>
            </w:r>
          </w:p>
        </w:tc>
        <w:tc>
          <w:tcPr>
            <w:tcW w:w="850" w:type="dxa"/>
          </w:tcPr>
          <w:p w14:paraId="09DBDEBB" w14:textId="1C284F46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2FC61A8" w14:textId="7B8E4635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73B4CF0" w14:textId="70620608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79036408" w14:textId="68A72C79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22186BD" w14:textId="36655629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56407C87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14:paraId="4C4105DF" w14:textId="37297006" w:rsidR="00B65ECC" w:rsidRPr="00B65ECC" w:rsidRDefault="00B65ECC" w:rsidP="00B65ECC">
            <w:pPr>
              <w:jc w:val="center"/>
              <w:rPr>
                <w:sz w:val="18"/>
                <w:szCs w:val="18"/>
              </w:rPr>
            </w:pPr>
            <w:r w:rsidRPr="00B65ECC">
              <w:rPr>
                <w:color w:val="000000"/>
                <w:sz w:val="18"/>
                <w:szCs w:val="18"/>
              </w:rPr>
              <w:t>29. Veselības ministrija</w:t>
            </w:r>
          </w:p>
        </w:tc>
        <w:tc>
          <w:tcPr>
            <w:tcW w:w="1701" w:type="dxa"/>
          </w:tcPr>
          <w:p w14:paraId="36E7D16F" w14:textId="1BB4A3E7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765A6530" w14:textId="41F0A1A5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-34 453</w:t>
            </w:r>
          </w:p>
        </w:tc>
        <w:tc>
          <w:tcPr>
            <w:tcW w:w="850" w:type="dxa"/>
          </w:tcPr>
          <w:p w14:paraId="04E8E8CA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63734B8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EEE5E8B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9ADE352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7EF69F0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7EFE90E0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vAlign w:val="bottom"/>
          </w:tcPr>
          <w:p w14:paraId="56970BB2" w14:textId="4BBB5605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30. Satversmes tiesa</w:t>
            </w:r>
          </w:p>
        </w:tc>
        <w:tc>
          <w:tcPr>
            <w:tcW w:w="1701" w:type="dxa"/>
          </w:tcPr>
          <w:p w14:paraId="7BA88666" w14:textId="3C0FF5C5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0B38F5FD" w14:textId="47761B1F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-3 112</w:t>
            </w:r>
          </w:p>
        </w:tc>
        <w:tc>
          <w:tcPr>
            <w:tcW w:w="850" w:type="dxa"/>
          </w:tcPr>
          <w:p w14:paraId="2341930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25B1214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1757203A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47C0CB8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600927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2C5C7472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vAlign w:val="bottom"/>
          </w:tcPr>
          <w:p w14:paraId="199998E8" w14:textId="6CDFCE5D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32. Prokuratūra</w:t>
            </w:r>
          </w:p>
        </w:tc>
        <w:tc>
          <w:tcPr>
            <w:tcW w:w="1701" w:type="dxa"/>
          </w:tcPr>
          <w:p w14:paraId="348BB53A" w14:textId="0B159DDE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6EB44DB5" w14:textId="18FB487C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-8 500</w:t>
            </w:r>
          </w:p>
        </w:tc>
        <w:tc>
          <w:tcPr>
            <w:tcW w:w="850" w:type="dxa"/>
          </w:tcPr>
          <w:p w14:paraId="1615F837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3E01957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73903C3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1520B8F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3923DDF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5C8DF858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vAlign w:val="bottom"/>
          </w:tcPr>
          <w:p w14:paraId="48907856" w14:textId="60FCA9BD" w:rsidR="00B65ECC" w:rsidRPr="00B65ECC" w:rsidRDefault="00B65ECC" w:rsidP="00B65ECC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35. Centrālā vēlēšanu komisija</w:t>
            </w:r>
          </w:p>
        </w:tc>
        <w:tc>
          <w:tcPr>
            <w:tcW w:w="1701" w:type="dxa"/>
          </w:tcPr>
          <w:p w14:paraId="69654B6A" w14:textId="3A5EA891" w:rsidR="00B65ECC" w:rsidRPr="009D1C04" w:rsidRDefault="00B65ECC" w:rsidP="00B65ECC">
            <w:pPr>
              <w:pStyle w:val="NoSpacing"/>
              <w:ind w:left="-253"/>
              <w:jc w:val="center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6E0B08FB" w14:textId="7B1876D0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-1 400</w:t>
            </w:r>
          </w:p>
        </w:tc>
        <w:tc>
          <w:tcPr>
            <w:tcW w:w="850" w:type="dxa"/>
          </w:tcPr>
          <w:p w14:paraId="38647F78" w14:textId="77777777" w:rsidR="00B65ECC" w:rsidRPr="009D1C04" w:rsidRDefault="00B65ECC" w:rsidP="00B65E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27AE2DC" w14:textId="77777777" w:rsidR="00B65ECC" w:rsidRPr="009D1C04" w:rsidRDefault="00B65ECC" w:rsidP="00B65E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F5DB13E" w14:textId="77777777" w:rsidR="00B65ECC" w:rsidRPr="009D1C04" w:rsidRDefault="00B65ECC" w:rsidP="00B65E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8656E85" w14:textId="77777777" w:rsidR="00B65ECC" w:rsidRPr="009D1C04" w:rsidRDefault="00B65ECC" w:rsidP="00B65E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64DAA60" w14:textId="77777777" w:rsidR="00B65ECC" w:rsidRPr="009D1C04" w:rsidRDefault="00B65ECC" w:rsidP="00B65E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44DA4886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vAlign w:val="bottom"/>
          </w:tcPr>
          <w:p w14:paraId="4A33D8D4" w14:textId="58089D7D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47. Radio un televīzija</w:t>
            </w:r>
          </w:p>
        </w:tc>
        <w:tc>
          <w:tcPr>
            <w:tcW w:w="1701" w:type="dxa"/>
          </w:tcPr>
          <w:p w14:paraId="421216B4" w14:textId="1948FF48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4AFDE17D" w14:textId="74930B7C" w:rsidR="00B65ECC" w:rsidRPr="00CA40C3" w:rsidRDefault="00B65ECC" w:rsidP="00B65ECC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40C3">
              <w:rPr>
                <w:rFonts w:ascii="Times New Roman" w:hAnsi="Times New Roman"/>
                <w:color w:val="000000"/>
                <w:sz w:val="20"/>
                <w:szCs w:val="20"/>
              </w:rPr>
              <w:t>-3 955</w:t>
            </w:r>
          </w:p>
        </w:tc>
        <w:tc>
          <w:tcPr>
            <w:tcW w:w="850" w:type="dxa"/>
          </w:tcPr>
          <w:p w14:paraId="08C05A0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64B2579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1BE965C1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63F16BF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FC6B353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B65ECC" w:rsidRPr="009D1C04" w14:paraId="08BAD56D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  <w:vAlign w:val="bottom"/>
          </w:tcPr>
          <w:p w14:paraId="3E13090C" w14:textId="5D8E987A" w:rsidR="00B65ECC" w:rsidRPr="00B65ECC" w:rsidRDefault="00B65ECC" w:rsidP="00B65ECC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B65ECC">
              <w:rPr>
                <w:rFonts w:ascii="Times New Roman" w:hAnsi="Times New Roman"/>
                <w:color w:val="000000"/>
                <w:sz w:val="18"/>
                <w:szCs w:val="18"/>
              </w:rPr>
              <w:t>74.Gadskārtējā valsts budžeta izpildes procesā pārdalāmais finansējums</w:t>
            </w:r>
          </w:p>
        </w:tc>
        <w:tc>
          <w:tcPr>
            <w:tcW w:w="1701" w:type="dxa"/>
          </w:tcPr>
          <w:p w14:paraId="7B4EF11D" w14:textId="401AF6DD" w:rsidR="00B65ECC" w:rsidRPr="009D1C04" w:rsidRDefault="00B65ECC" w:rsidP="00B65ECC">
            <w:pPr>
              <w:pStyle w:val="NoSpacing"/>
              <w:ind w:left="-253"/>
              <w:jc w:val="right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1E84EAFC" w14:textId="37EAC914" w:rsidR="00B65ECC" w:rsidRPr="0009380D" w:rsidRDefault="00B65ECC" w:rsidP="00C3671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1 49</w:t>
            </w:r>
            <w:r w:rsidR="00C36718"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36718" w:rsidRPr="0009380D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50" w:type="dxa"/>
          </w:tcPr>
          <w:p w14:paraId="6C378C5A" w14:textId="77777777" w:rsidR="00B65ECC" w:rsidRPr="0009380D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2A104B7D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E2CB860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4AA1D08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D2893CC" w14:textId="77777777" w:rsidR="00B65ECC" w:rsidRPr="009D1C04" w:rsidRDefault="00B65ECC" w:rsidP="00B65EC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267BF" w:rsidRPr="009D1C04" w14:paraId="1F34EF0D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1A7389D3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701" w:type="dxa"/>
          </w:tcPr>
          <w:p w14:paraId="5D7B365F" w14:textId="3A982226" w:rsidR="006267BF" w:rsidRPr="009D1C04" w:rsidRDefault="00EF1444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F1444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F1444">
              <w:rPr>
                <w:rFonts w:ascii="Times New Roman" w:hAnsi="Times New Roman"/>
                <w:sz w:val="24"/>
                <w:szCs w:val="24"/>
                <w:lang w:eastAsia="lv-LV"/>
              </w:rPr>
              <w:t>976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F1444">
              <w:rPr>
                <w:rFonts w:ascii="Times New Roman" w:hAnsi="Times New Roman"/>
                <w:sz w:val="24"/>
                <w:szCs w:val="24"/>
                <w:lang w:eastAsia="lv-LV"/>
              </w:rPr>
              <w:t>975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F1444">
              <w:rPr>
                <w:rFonts w:ascii="Times New Roman" w:hAnsi="Times New Roman"/>
                <w:sz w:val="24"/>
                <w:szCs w:val="24"/>
                <w:lang w:eastAsia="lv-LV"/>
              </w:rPr>
              <w:t>860</w:t>
            </w:r>
          </w:p>
        </w:tc>
        <w:tc>
          <w:tcPr>
            <w:tcW w:w="1134" w:type="dxa"/>
          </w:tcPr>
          <w:p w14:paraId="5AE1C8BB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</w:tcPr>
          <w:p w14:paraId="22DE8F31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4F281BC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50BF4882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554D968A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1C951AE1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446AB02A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4CC379DF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701" w:type="dxa"/>
          </w:tcPr>
          <w:p w14:paraId="02274A0A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385015EF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</w:tcPr>
          <w:p w14:paraId="7366436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35356FA9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5E096FBF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2B10EBE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4337880A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564BD697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4BF50E81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1701" w:type="dxa"/>
          </w:tcPr>
          <w:p w14:paraId="133A3D23" w14:textId="2AEE5669" w:rsidR="006267BF" w:rsidRPr="009D1C04" w:rsidRDefault="00B50A1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-107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507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50A1F">
              <w:rPr>
                <w:rFonts w:ascii="Times New Roman" w:hAnsi="Times New Roman"/>
                <w:sz w:val="24"/>
                <w:szCs w:val="24"/>
                <w:lang w:eastAsia="lv-LV"/>
              </w:rPr>
              <w:t>639</w:t>
            </w:r>
          </w:p>
        </w:tc>
        <w:tc>
          <w:tcPr>
            <w:tcW w:w="1134" w:type="dxa"/>
          </w:tcPr>
          <w:p w14:paraId="3C482C20" w14:textId="77777777" w:rsidR="006267BF" w:rsidRPr="009D1C04" w:rsidRDefault="006267BF" w:rsidP="006267BF">
            <w:pPr>
              <w:ind w:left="-112"/>
              <w:jc w:val="right"/>
            </w:pPr>
            <w:r w:rsidRPr="009D1C04">
              <w:t>0</w:t>
            </w:r>
          </w:p>
        </w:tc>
        <w:tc>
          <w:tcPr>
            <w:tcW w:w="850" w:type="dxa"/>
          </w:tcPr>
          <w:p w14:paraId="37D19B3F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7F3D8EA2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7795D961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AC15A3F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76AFEE09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3E1455C4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36743A7E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701" w:type="dxa"/>
          </w:tcPr>
          <w:p w14:paraId="23F4D33C" w14:textId="3B3DD7F1" w:rsidR="006267BF" w:rsidRPr="009D1C04" w:rsidRDefault="000E4F21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4F21">
              <w:rPr>
                <w:rFonts w:ascii="Times New Roman" w:hAnsi="Times New Roman"/>
                <w:sz w:val="24"/>
                <w:szCs w:val="24"/>
                <w:lang w:eastAsia="lv-LV"/>
              </w:rPr>
              <w:t>-341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E4F21">
              <w:rPr>
                <w:rFonts w:ascii="Times New Roman" w:hAnsi="Times New Roman"/>
                <w:sz w:val="24"/>
                <w:szCs w:val="24"/>
                <w:lang w:eastAsia="lv-LV"/>
              </w:rPr>
              <w:t>991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E4F21">
              <w:rPr>
                <w:rFonts w:ascii="Times New Roman" w:hAnsi="Times New Roman"/>
                <w:sz w:val="24"/>
                <w:szCs w:val="24"/>
                <w:lang w:eastAsia="lv-LV"/>
              </w:rPr>
              <w:t>779</w:t>
            </w:r>
          </w:p>
        </w:tc>
        <w:tc>
          <w:tcPr>
            <w:tcW w:w="1134" w:type="dxa"/>
          </w:tcPr>
          <w:p w14:paraId="02586803" w14:textId="77777777" w:rsidR="006267BF" w:rsidRPr="009D1C04" w:rsidRDefault="006267BF" w:rsidP="006267BF">
            <w:pPr>
              <w:ind w:left="-112"/>
              <w:jc w:val="right"/>
            </w:pPr>
            <w:r w:rsidRPr="009D1C04">
              <w:t>0</w:t>
            </w:r>
          </w:p>
        </w:tc>
        <w:tc>
          <w:tcPr>
            <w:tcW w:w="850" w:type="dxa"/>
          </w:tcPr>
          <w:p w14:paraId="149AEBF2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165A66E1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2529868E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451BADA2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51E0F498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25C755ED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2D2B2548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701" w:type="dxa"/>
          </w:tcPr>
          <w:p w14:paraId="6B421644" w14:textId="51178686" w:rsidR="006267BF" w:rsidRPr="009D1C04" w:rsidRDefault="00EF1444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F1444">
              <w:rPr>
                <w:rFonts w:ascii="Times New Roman" w:hAnsi="Times New Roman"/>
                <w:sz w:val="24"/>
                <w:szCs w:val="24"/>
                <w:lang w:eastAsia="lv-LV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F1444">
              <w:rPr>
                <w:rFonts w:ascii="Times New Roman" w:hAnsi="Times New Roman"/>
                <w:sz w:val="24"/>
                <w:szCs w:val="24"/>
                <w:lang w:eastAsia="lv-LV"/>
              </w:rPr>
              <w:t>484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F1444">
              <w:rPr>
                <w:rFonts w:ascii="Times New Roman" w:hAnsi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134" w:type="dxa"/>
          </w:tcPr>
          <w:p w14:paraId="615D2A1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</w:tcPr>
          <w:p w14:paraId="4E25544E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09200FE7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2E0EC30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075D6AB2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25D2DF25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6E244F5B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6B382383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701" w:type="dxa"/>
          </w:tcPr>
          <w:p w14:paraId="63B73E31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07D9C355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</w:tcPr>
          <w:p w14:paraId="48274C13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269E5796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2392D170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52797527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18902D3E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0F939377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020539DE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4. Finanšu līdzekļi papildu </w:t>
            </w: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izdevumu finansēšanai (kompensējošu izdevumu samazinājumu norāda ar "+" zīmi)</w:t>
            </w:r>
          </w:p>
        </w:tc>
        <w:tc>
          <w:tcPr>
            <w:tcW w:w="1701" w:type="dxa"/>
          </w:tcPr>
          <w:p w14:paraId="1D89AB07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1134" w:type="dxa"/>
          </w:tcPr>
          <w:p w14:paraId="4572F9E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6EA9D10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51984FD8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</w:tcPr>
          <w:p w14:paraId="5B3BF3E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26099880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592C3254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33023F73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2B8CF2A1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1701" w:type="dxa"/>
            <w:vMerge w:val="restart"/>
          </w:tcPr>
          <w:p w14:paraId="5944DF61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34" w:type="dxa"/>
          </w:tcPr>
          <w:p w14:paraId="423A84B9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14:paraId="5A028A0B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14:paraId="2E76A3D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  <w:vMerge w:val="restart"/>
          </w:tcPr>
          <w:p w14:paraId="1878FCED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14:paraId="748BC6F1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315C0A41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7B11E881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7848DE77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701" w:type="dxa"/>
            <w:vMerge/>
          </w:tcPr>
          <w:p w14:paraId="1E8B6435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4900B29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</w:tcPr>
          <w:p w14:paraId="05090FC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7AFA7CD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  <w:vMerge/>
          </w:tcPr>
          <w:p w14:paraId="38C54122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2609125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4DACD91C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7B3EBB8F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79118BD4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701" w:type="dxa"/>
            <w:vMerge/>
          </w:tcPr>
          <w:p w14:paraId="312E44AB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70D2950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vMerge/>
          </w:tcPr>
          <w:p w14:paraId="2EF6D00F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D989BCD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  <w:vMerge/>
          </w:tcPr>
          <w:p w14:paraId="729DE4D5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2E60A5A8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4CBFF59F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581BE10A" w14:textId="77777777" w:rsidTr="00B50A1F">
        <w:trPr>
          <w:gridAfter w:val="1"/>
          <w:wAfter w:w="8" w:type="dxa"/>
          <w:jc w:val="center"/>
        </w:trPr>
        <w:tc>
          <w:tcPr>
            <w:tcW w:w="1555" w:type="dxa"/>
          </w:tcPr>
          <w:p w14:paraId="30AE653F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701" w:type="dxa"/>
            <w:vMerge/>
          </w:tcPr>
          <w:p w14:paraId="2D6EE4F3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252078F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vMerge/>
          </w:tcPr>
          <w:p w14:paraId="6FF8C526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5B03898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1" w:type="dxa"/>
            <w:vMerge/>
          </w:tcPr>
          <w:p w14:paraId="4477E760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46F424A4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</w:tcPr>
          <w:p w14:paraId="1F2E8E75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6267BF" w:rsidRPr="009D1C04" w14:paraId="1FD858CE" w14:textId="77777777" w:rsidTr="003E3BD5">
        <w:trPr>
          <w:jc w:val="center"/>
        </w:trPr>
        <w:tc>
          <w:tcPr>
            <w:tcW w:w="1555" w:type="dxa"/>
          </w:tcPr>
          <w:p w14:paraId="409521DC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946" w:type="dxa"/>
            <w:gridSpan w:val="8"/>
            <w:vMerge w:val="restart"/>
          </w:tcPr>
          <w:p w14:paraId="7A51F967" w14:textId="77777777" w:rsidR="009057D3" w:rsidRDefault="009057D3" w:rsidP="00E06C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C58B0C1" w14:textId="3FFF5AA8" w:rsidR="005648B2" w:rsidRDefault="005648B2" w:rsidP="00997653">
            <w:pPr>
              <w:pStyle w:val="NoSpacing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Aprēķina pamatā ņemti </w:t>
            </w:r>
            <w:r w:rsidRPr="00FC2EA2">
              <w:rPr>
                <w:rFonts w:ascii="Times New Roman" w:hAnsi="Times New Roman"/>
                <w:iCs/>
                <w:sz w:val="24"/>
                <w:szCs w:val="24"/>
              </w:rPr>
              <w:t xml:space="preserve">ministriju un citu centrālo valsts iestāžu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valsts pamatbudžeta programmu (apakšprogrammu) tāmēs pamatfunkciju īstenošanai plānotie izdevumi  </w:t>
            </w:r>
            <w:r w:rsidRPr="00FC2EA2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mācību, darba un dienesta komandējumiem, darba braucieniem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uz 2020.gada 16.martu, paredzot to samazinājumu </w:t>
            </w:r>
            <w:r w:rsidR="00997653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10% apmērā</w:t>
            </w:r>
            <w:r w:rsidRPr="00FC2EA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997653">
              <w:rPr>
                <w:rFonts w:ascii="Times New Roman" w:hAnsi="Times New Roman"/>
                <w:iCs/>
                <w:sz w:val="24"/>
                <w:szCs w:val="24"/>
              </w:rPr>
              <w:t>lai veiktu</w:t>
            </w:r>
            <w:r w:rsidRPr="00FC2EA2">
              <w:rPr>
                <w:rFonts w:ascii="Times New Roman" w:hAnsi="Times New Roman"/>
                <w:iCs/>
                <w:sz w:val="24"/>
                <w:szCs w:val="24"/>
              </w:rPr>
              <w:t xml:space="preserve"> apropriācijas pārdali </w:t>
            </w:r>
            <w:r w:rsidR="00997653" w:rsidRPr="000938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1 493 511</w:t>
            </w:r>
            <w:r w:rsidR="00997653" w:rsidRPr="00FC2EA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7653" w:rsidRPr="00FC2EA2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="00997653" w:rsidRPr="00FC2EA2">
              <w:rPr>
                <w:rFonts w:ascii="Times New Roman" w:eastAsiaTheme="minorHAnsi" w:hAnsi="Times New Roman"/>
                <w:sz w:val="24"/>
                <w:szCs w:val="24"/>
              </w:rPr>
              <w:t xml:space="preserve"> apmērā</w:t>
            </w:r>
            <w:r w:rsidR="00997653" w:rsidRPr="00FC2EA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2EA2">
              <w:rPr>
                <w:rFonts w:ascii="Times New Roman" w:hAnsi="Times New Roman"/>
                <w:iCs/>
                <w:sz w:val="24"/>
                <w:szCs w:val="24"/>
              </w:rPr>
              <w:t xml:space="preserve">no ministriju un citu centrālo valsts iestāžu budžetiem uz budžeta resora </w:t>
            </w:r>
            <w:r w:rsidRPr="00FC2EA2">
              <w:rPr>
                <w:rFonts w:ascii="Times New Roman" w:hAnsi="Times New Roman"/>
                <w:sz w:val="24"/>
                <w:szCs w:val="24"/>
              </w:rPr>
              <w:t xml:space="preserve">“74.Gadskārtējā valsts budžeta izpildes procesā pārdalāmais finansējums” </w:t>
            </w:r>
            <w:r w:rsidRPr="00FC2EA2">
              <w:rPr>
                <w:rFonts w:ascii="Times New Roman" w:hAnsi="Times New Roman"/>
                <w:iCs/>
                <w:sz w:val="24"/>
                <w:szCs w:val="24"/>
              </w:rPr>
              <w:t xml:space="preserve">programmu </w:t>
            </w:r>
            <w:r w:rsidRPr="00FC2EA2">
              <w:rPr>
                <w:rFonts w:ascii="Times New Roman" w:hAnsi="Times New Roman"/>
                <w:sz w:val="24"/>
                <w:szCs w:val="24"/>
              </w:rPr>
              <w:t>02.00.00 “Līdzekļi neparedzētiem gadījumiem”</w:t>
            </w:r>
            <w:r w:rsidRPr="00FC2EA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17AF082C" w14:textId="4C74530B" w:rsidR="006267BF" w:rsidRDefault="00997653" w:rsidP="00997653">
            <w:pPr>
              <w:pStyle w:val="NoSpacing"/>
              <w:spacing w:before="120" w:after="12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267BF" w:rsidRPr="009D1C04">
              <w:rPr>
                <w:rFonts w:ascii="Times New Roman" w:hAnsi="Times New Roman"/>
                <w:sz w:val="24"/>
                <w:szCs w:val="24"/>
              </w:rPr>
              <w:t>rojektam nav ietekmes uz</w:t>
            </w:r>
            <w:r w:rsidR="006267BF" w:rsidRPr="009D1C0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valsts konsolidētā budžeta finansiālo bilanci.</w:t>
            </w:r>
          </w:p>
          <w:p w14:paraId="29363692" w14:textId="23A1F7E0" w:rsidR="00E06C5A" w:rsidRPr="009D1C04" w:rsidRDefault="00E06C5A" w:rsidP="00E06C5A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267BF" w:rsidRPr="009D1C04" w14:paraId="44FD6FCB" w14:textId="77777777" w:rsidTr="003E3BD5">
        <w:trPr>
          <w:jc w:val="center"/>
        </w:trPr>
        <w:tc>
          <w:tcPr>
            <w:tcW w:w="1555" w:type="dxa"/>
          </w:tcPr>
          <w:p w14:paraId="49D3A18A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946" w:type="dxa"/>
            <w:gridSpan w:val="8"/>
            <w:vMerge/>
          </w:tcPr>
          <w:p w14:paraId="56E908A4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267BF" w:rsidRPr="009D1C04" w14:paraId="0DFAC611" w14:textId="77777777" w:rsidTr="003E3BD5">
        <w:trPr>
          <w:jc w:val="center"/>
        </w:trPr>
        <w:tc>
          <w:tcPr>
            <w:tcW w:w="1555" w:type="dxa"/>
          </w:tcPr>
          <w:p w14:paraId="49B68E05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946" w:type="dxa"/>
            <w:gridSpan w:val="8"/>
            <w:vMerge/>
          </w:tcPr>
          <w:p w14:paraId="7B733665" w14:textId="77777777" w:rsidR="006267BF" w:rsidRPr="009D1C04" w:rsidRDefault="006267BF" w:rsidP="006267B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267BF" w:rsidRPr="009D1C04" w14:paraId="1F168611" w14:textId="77777777" w:rsidTr="003E3BD5">
        <w:trPr>
          <w:jc w:val="center"/>
        </w:trPr>
        <w:tc>
          <w:tcPr>
            <w:tcW w:w="1555" w:type="dxa"/>
          </w:tcPr>
          <w:p w14:paraId="688D39F0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946" w:type="dxa"/>
            <w:gridSpan w:val="8"/>
          </w:tcPr>
          <w:p w14:paraId="0CF49C22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267BF" w:rsidRPr="009D1C04" w14:paraId="259AB945" w14:textId="77777777" w:rsidTr="003E3BD5">
        <w:trPr>
          <w:jc w:val="center"/>
        </w:trPr>
        <w:tc>
          <w:tcPr>
            <w:tcW w:w="1555" w:type="dxa"/>
          </w:tcPr>
          <w:p w14:paraId="3E21F91E" w14:textId="77777777" w:rsidR="006267BF" w:rsidRPr="009D1C04" w:rsidRDefault="006267BF" w:rsidP="006267BF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D1C04">
              <w:rPr>
                <w:rFonts w:ascii="Times New Roman" w:hAnsi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946" w:type="dxa"/>
            <w:gridSpan w:val="8"/>
          </w:tcPr>
          <w:p w14:paraId="385EBD8E" w14:textId="4D6FA664" w:rsidR="006267BF" w:rsidRPr="009D1C04" w:rsidRDefault="006267BF" w:rsidP="006267BF">
            <w:pPr>
              <w:jc w:val="both"/>
              <w:rPr>
                <w:bCs/>
                <w:color w:val="000000"/>
              </w:rPr>
            </w:pPr>
            <w:r w:rsidRPr="009D1C04">
              <w:rPr>
                <w:bCs/>
                <w:color w:val="000000"/>
              </w:rPr>
              <w:t>Nav</w:t>
            </w:r>
          </w:p>
        </w:tc>
      </w:tr>
    </w:tbl>
    <w:p w14:paraId="3BC246E3" w14:textId="77777777" w:rsidR="009D36DE" w:rsidRPr="009D1C04" w:rsidRDefault="009D36DE" w:rsidP="000044FA">
      <w:pPr>
        <w:rPr>
          <w:highlight w:val="green"/>
        </w:rPr>
      </w:pPr>
    </w:p>
    <w:tbl>
      <w:tblPr>
        <w:tblW w:w="5160" w:type="pct"/>
        <w:tblInd w:w="-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6DE" w:rsidRPr="009D1C04" w14:paraId="00EB994D" w14:textId="77777777" w:rsidTr="001611E9">
        <w:tc>
          <w:tcPr>
            <w:tcW w:w="9356" w:type="dxa"/>
            <w:tcBorders>
              <w:top w:val="outset" w:sz="2" w:space="0" w:color="414142"/>
              <w:left w:val="outset" w:sz="2" w:space="0" w:color="414142"/>
              <w:bottom w:val="outset" w:sz="2" w:space="0" w:color="414142"/>
              <w:right w:val="outset" w:sz="2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263C7F" w14:textId="77777777" w:rsidR="009D36DE" w:rsidRPr="009D1C04" w:rsidRDefault="009D36DE" w:rsidP="007A7036">
            <w:pPr>
              <w:spacing w:before="120" w:after="120"/>
              <w:jc w:val="center"/>
            </w:pPr>
            <w:r w:rsidRPr="009D1C04">
              <w:rPr>
                <w:b/>
                <w:bCs/>
              </w:rPr>
              <w:t>IV. Tiesību aktu projektu ietekme uz spēkā esošo tiesību normu sistēmu</w:t>
            </w:r>
          </w:p>
        </w:tc>
      </w:tr>
      <w:tr w:rsidR="009D36DE" w:rsidRPr="009D1C04" w14:paraId="59ED8E57" w14:textId="77777777" w:rsidTr="001611E9">
        <w:tc>
          <w:tcPr>
            <w:tcW w:w="9356" w:type="dxa"/>
            <w:tcBorders>
              <w:top w:val="outset" w:sz="2" w:space="0" w:color="414142"/>
              <w:left w:val="outset" w:sz="2" w:space="0" w:color="414142"/>
              <w:bottom w:val="outset" w:sz="2" w:space="0" w:color="414142"/>
              <w:right w:val="outset" w:sz="2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64C52F" w14:textId="77777777" w:rsidR="009D36DE" w:rsidRPr="009D1C04" w:rsidRDefault="009D36DE" w:rsidP="007A7036">
            <w:pPr>
              <w:spacing w:before="120" w:after="120"/>
              <w:jc w:val="center"/>
            </w:pPr>
            <w:r w:rsidRPr="009D1C04">
              <w:t>Projekts šo jomu neskar</w:t>
            </w:r>
          </w:p>
        </w:tc>
      </w:tr>
    </w:tbl>
    <w:p w14:paraId="097A84FD" w14:textId="77777777" w:rsidR="009D36DE" w:rsidRPr="009D1C04" w:rsidRDefault="009D36DE" w:rsidP="007A7036">
      <w:pPr>
        <w:spacing w:before="120" w:after="120"/>
      </w:pPr>
    </w:p>
    <w:tbl>
      <w:tblPr>
        <w:tblW w:w="5160" w:type="pct"/>
        <w:tblInd w:w="-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6DE" w:rsidRPr="009D1C04" w14:paraId="5F10C48B" w14:textId="77777777" w:rsidTr="001611E9">
        <w:tc>
          <w:tcPr>
            <w:tcW w:w="9356" w:type="dxa"/>
            <w:tcBorders>
              <w:top w:val="outset" w:sz="2" w:space="0" w:color="414142"/>
              <w:left w:val="outset" w:sz="2" w:space="0" w:color="414142"/>
              <w:bottom w:val="outset" w:sz="2" w:space="0" w:color="414142"/>
              <w:right w:val="outset" w:sz="2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C882C" w14:textId="77777777" w:rsidR="009D36DE" w:rsidRPr="009D1C04" w:rsidRDefault="009D36DE" w:rsidP="007A7036">
            <w:pPr>
              <w:spacing w:before="120" w:after="120"/>
              <w:jc w:val="center"/>
            </w:pPr>
            <w:r w:rsidRPr="009D1C04">
              <w:rPr>
                <w:b/>
                <w:bCs/>
              </w:rPr>
              <w:t>V. Tiesību aktu projektu atbilstība Latvijas Republikas starptautiskajām saistībām</w:t>
            </w:r>
          </w:p>
        </w:tc>
      </w:tr>
      <w:tr w:rsidR="009D36DE" w:rsidRPr="009D1C04" w14:paraId="382FE198" w14:textId="77777777" w:rsidTr="001611E9">
        <w:tc>
          <w:tcPr>
            <w:tcW w:w="9356" w:type="dxa"/>
            <w:tcBorders>
              <w:top w:val="outset" w:sz="2" w:space="0" w:color="414142"/>
              <w:left w:val="outset" w:sz="2" w:space="0" w:color="414142"/>
              <w:bottom w:val="outset" w:sz="2" w:space="0" w:color="414142"/>
              <w:right w:val="outset" w:sz="2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0EA0E" w14:textId="77777777" w:rsidR="009D36DE" w:rsidRPr="009D1C04" w:rsidRDefault="009D36DE" w:rsidP="007A7036">
            <w:pPr>
              <w:spacing w:before="120" w:after="120"/>
              <w:jc w:val="center"/>
            </w:pPr>
            <w:r w:rsidRPr="009D1C04">
              <w:t>Projekts šo jomu neskar</w:t>
            </w:r>
          </w:p>
        </w:tc>
      </w:tr>
    </w:tbl>
    <w:p w14:paraId="1FEE5B23" w14:textId="77777777" w:rsidR="009D36DE" w:rsidRPr="009D1C04" w:rsidRDefault="009D36DE" w:rsidP="007A7036">
      <w:pPr>
        <w:spacing w:before="120" w:after="120"/>
      </w:pPr>
    </w:p>
    <w:tbl>
      <w:tblPr>
        <w:tblW w:w="515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9D36DE" w:rsidRPr="009D1C04" w14:paraId="0EE457EB" w14:textId="77777777" w:rsidTr="001611E9">
        <w:trPr>
          <w:trHeight w:val="336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62B1C2B" w14:textId="77777777" w:rsidR="009D36DE" w:rsidRPr="009D1C04" w:rsidRDefault="009D36DE" w:rsidP="007A7036">
            <w:pPr>
              <w:spacing w:before="120" w:after="120"/>
              <w:ind w:firstLine="300"/>
              <w:jc w:val="center"/>
              <w:rPr>
                <w:b/>
                <w:bCs/>
              </w:rPr>
            </w:pPr>
            <w:r w:rsidRPr="009D1C04">
              <w:rPr>
                <w:b/>
                <w:bCs/>
              </w:rPr>
              <w:t>VI. Sabiedrības līdzdalība un komunikācijas aktivitātes</w:t>
            </w:r>
          </w:p>
        </w:tc>
      </w:tr>
      <w:tr w:rsidR="003B60B8" w:rsidRPr="009D1C04" w14:paraId="48A6528E" w14:textId="77777777" w:rsidTr="001611E9">
        <w:trPr>
          <w:trHeight w:val="366"/>
          <w:jc w:val="center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90D91FC" w14:textId="77777777" w:rsidR="003B60B8" w:rsidRPr="009D1C04" w:rsidRDefault="003B60B8" w:rsidP="007A7036">
            <w:pPr>
              <w:spacing w:before="120" w:after="120"/>
              <w:ind w:firstLine="300"/>
              <w:jc w:val="center"/>
              <w:rPr>
                <w:b/>
                <w:bCs/>
              </w:rPr>
            </w:pPr>
            <w:r w:rsidRPr="009D1C04">
              <w:t>Projekts šo jomu neskar</w:t>
            </w:r>
          </w:p>
        </w:tc>
      </w:tr>
    </w:tbl>
    <w:p w14:paraId="2FB9DB8B" w14:textId="77777777" w:rsidR="009D36DE" w:rsidRPr="009D1C04" w:rsidRDefault="009D36DE" w:rsidP="007A7036">
      <w:pPr>
        <w:spacing w:before="120" w:after="120"/>
      </w:pPr>
    </w:p>
    <w:tbl>
      <w:tblPr>
        <w:tblW w:w="5166" w:type="pct"/>
        <w:tblInd w:w="-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206"/>
        <w:gridCol w:w="6403"/>
      </w:tblGrid>
      <w:tr w:rsidR="009D36DE" w:rsidRPr="009D1C04" w14:paraId="06A12DA4" w14:textId="77777777" w:rsidTr="001611E9">
        <w:tc>
          <w:tcPr>
            <w:tcW w:w="93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2821B1" w14:textId="77777777" w:rsidR="009D36DE" w:rsidRPr="009D1C04" w:rsidRDefault="009D36DE" w:rsidP="007A7036">
            <w:pPr>
              <w:spacing w:before="120" w:after="120"/>
              <w:jc w:val="center"/>
              <w:rPr>
                <w:b/>
                <w:bCs/>
              </w:rPr>
            </w:pPr>
            <w:r w:rsidRPr="009D1C0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B60B8" w:rsidRPr="009D1C04" w14:paraId="22B85505" w14:textId="77777777" w:rsidTr="001611E9"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6091BD" w14:textId="77777777" w:rsidR="003B60B8" w:rsidRPr="009D1C04" w:rsidRDefault="003B60B8" w:rsidP="007A7036">
            <w:pPr>
              <w:spacing w:before="120" w:after="120"/>
            </w:pPr>
            <w:r w:rsidRPr="009D1C04">
              <w:t>1.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C40376" w14:textId="77777777" w:rsidR="003B60B8" w:rsidRPr="009D1C04" w:rsidRDefault="003B60B8" w:rsidP="007A7036">
            <w:pPr>
              <w:spacing w:before="120" w:after="120"/>
            </w:pPr>
            <w:r w:rsidRPr="009D1C04">
              <w:t>Projekta izpildē iesaistītās institūcijas</w:t>
            </w:r>
          </w:p>
        </w:tc>
        <w:tc>
          <w:tcPr>
            <w:tcW w:w="6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C58CD3" w14:textId="655EC551" w:rsidR="003B60B8" w:rsidRPr="009D1C04" w:rsidRDefault="004422AA" w:rsidP="00CC0712">
            <w:pPr>
              <w:shd w:val="clear" w:color="auto" w:fill="FFFFFF"/>
              <w:spacing w:before="120" w:after="120"/>
              <w:ind w:left="125" w:right="113"/>
              <w:jc w:val="both"/>
            </w:pPr>
            <w:r w:rsidRPr="009D1C04">
              <w:rPr>
                <w:bCs/>
                <w:color w:val="000000"/>
              </w:rPr>
              <w:t xml:space="preserve">Ministrijas un </w:t>
            </w:r>
            <w:r w:rsidR="00B4749B" w:rsidRPr="009D1C04">
              <w:rPr>
                <w:bCs/>
                <w:color w:val="000000"/>
              </w:rPr>
              <w:t>citas centrālās valsts iestādes</w:t>
            </w:r>
          </w:p>
        </w:tc>
      </w:tr>
      <w:tr w:rsidR="003B60B8" w:rsidRPr="009D1C04" w14:paraId="7F80E9B4" w14:textId="77777777" w:rsidTr="001611E9"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2568B" w14:textId="77777777" w:rsidR="003B60B8" w:rsidRPr="009D1C04" w:rsidRDefault="003B60B8" w:rsidP="007A7036">
            <w:pPr>
              <w:spacing w:before="120" w:after="120"/>
            </w:pPr>
            <w:r w:rsidRPr="009D1C04">
              <w:t>2.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DECF0A" w14:textId="77777777" w:rsidR="003B60B8" w:rsidRPr="009D1C04" w:rsidRDefault="003B60B8" w:rsidP="007A7036">
            <w:pPr>
              <w:spacing w:before="120" w:after="120"/>
            </w:pPr>
            <w:r w:rsidRPr="009D1C04">
              <w:t xml:space="preserve">Projekta izpildes ietekme uz pārvaldes funkcijām un institucionālo struktūru. </w:t>
            </w:r>
          </w:p>
          <w:p w14:paraId="28B9837B" w14:textId="77777777" w:rsidR="003B60B8" w:rsidRPr="009D1C04" w:rsidRDefault="003B60B8" w:rsidP="007A7036">
            <w:pPr>
              <w:spacing w:before="120" w:after="120"/>
            </w:pPr>
            <w:r w:rsidRPr="009D1C04">
              <w:t>Jaunu institūciju izveide, esošu institūciju likvidācija vai reorganizācija, to ietekme uz institūcijas cilvēkresursiem</w:t>
            </w:r>
          </w:p>
        </w:tc>
        <w:tc>
          <w:tcPr>
            <w:tcW w:w="6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E8A00" w14:textId="7D4E4836" w:rsidR="003B60B8" w:rsidRPr="009D1C04" w:rsidRDefault="003A1F70" w:rsidP="00CC0712">
            <w:pPr>
              <w:shd w:val="clear" w:color="auto" w:fill="FFFFFF"/>
              <w:spacing w:before="120" w:after="120"/>
              <w:ind w:left="125" w:right="113"/>
              <w:jc w:val="both"/>
            </w:pPr>
            <w:r w:rsidRPr="007D3E6E">
              <w:t>Projekts šo jomu neskar</w:t>
            </w:r>
          </w:p>
        </w:tc>
      </w:tr>
      <w:tr w:rsidR="009D36DE" w:rsidRPr="009D1C04" w14:paraId="6849D2ED" w14:textId="77777777" w:rsidTr="001611E9"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29814" w14:textId="77777777" w:rsidR="009D36DE" w:rsidRPr="009D1C04" w:rsidRDefault="009D36DE" w:rsidP="007A7036">
            <w:pPr>
              <w:spacing w:before="120" w:after="120"/>
            </w:pPr>
            <w:r w:rsidRPr="009D1C04">
              <w:t>3.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0EA25" w14:textId="77777777" w:rsidR="009D36DE" w:rsidRPr="009D1C04" w:rsidRDefault="009D36DE" w:rsidP="007A7036">
            <w:pPr>
              <w:spacing w:before="120" w:after="120"/>
            </w:pPr>
            <w:r w:rsidRPr="009D1C04">
              <w:t>Cita informācija</w:t>
            </w:r>
          </w:p>
        </w:tc>
        <w:tc>
          <w:tcPr>
            <w:tcW w:w="6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34DBB" w14:textId="64755FB6" w:rsidR="009D36DE" w:rsidRPr="009D1C04" w:rsidRDefault="008927D8" w:rsidP="007A7036">
            <w:pPr>
              <w:spacing w:before="120" w:after="120"/>
              <w:ind w:firstLine="1"/>
              <w:jc w:val="both"/>
            </w:pPr>
            <w:r>
              <w:t xml:space="preserve">    </w:t>
            </w:r>
            <w:r w:rsidR="009D36DE" w:rsidRPr="009D1C04">
              <w:t>Nav</w:t>
            </w:r>
          </w:p>
        </w:tc>
      </w:tr>
    </w:tbl>
    <w:p w14:paraId="732DBFB0" w14:textId="77777777" w:rsidR="009D36DE" w:rsidRPr="009D1C04" w:rsidRDefault="009D36DE" w:rsidP="000044FA">
      <w:pPr>
        <w:ind w:firstLine="720"/>
      </w:pPr>
    </w:p>
    <w:p w14:paraId="3D1FAADD" w14:textId="77777777" w:rsidR="009D36DE" w:rsidRPr="009D1C04" w:rsidRDefault="009D36DE" w:rsidP="000044FA"/>
    <w:p w14:paraId="02EAB7BB" w14:textId="77777777" w:rsidR="003B60B8" w:rsidRPr="009D1C04" w:rsidRDefault="003B60B8" w:rsidP="009A7EE9">
      <w:pPr>
        <w:ind w:left="283" w:firstLine="437"/>
      </w:pPr>
    </w:p>
    <w:p w14:paraId="209D1381" w14:textId="55099FD2" w:rsidR="00D444BA" w:rsidRPr="00CE332B" w:rsidRDefault="00857FA9" w:rsidP="00AD7755">
      <w:pPr>
        <w:pStyle w:val="BodyText"/>
        <w:spacing w:before="120" w:after="120"/>
        <w:jc w:val="both"/>
        <w:rPr>
          <w:sz w:val="24"/>
        </w:rPr>
      </w:pPr>
      <w:r w:rsidRPr="00CE332B">
        <w:rPr>
          <w:sz w:val="24"/>
        </w:rPr>
        <w:t>Finanšu ministr</w:t>
      </w:r>
      <w:r w:rsidR="00866FAC">
        <w:rPr>
          <w:sz w:val="24"/>
        </w:rPr>
        <w:t>s</w:t>
      </w:r>
      <w:r w:rsidR="00A541A8" w:rsidRPr="00CE332B">
        <w:rPr>
          <w:sz w:val="24"/>
        </w:rPr>
        <w:tab/>
      </w:r>
      <w:r w:rsidR="00A541A8" w:rsidRPr="00CE332B">
        <w:rPr>
          <w:sz w:val="24"/>
        </w:rPr>
        <w:tab/>
      </w:r>
      <w:r w:rsidR="00A541A8" w:rsidRPr="00CE332B">
        <w:rPr>
          <w:sz w:val="24"/>
        </w:rPr>
        <w:tab/>
      </w:r>
      <w:r w:rsidR="00A541A8" w:rsidRPr="00CE332B">
        <w:rPr>
          <w:sz w:val="24"/>
        </w:rPr>
        <w:tab/>
      </w:r>
      <w:r w:rsidR="00A541A8" w:rsidRPr="00CE332B">
        <w:rPr>
          <w:sz w:val="24"/>
        </w:rPr>
        <w:tab/>
      </w:r>
      <w:r w:rsidR="00A541A8" w:rsidRPr="00CE332B">
        <w:rPr>
          <w:sz w:val="24"/>
        </w:rPr>
        <w:tab/>
      </w:r>
      <w:r w:rsidR="00A541A8" w:rsidRPr="00CE332B">
        <w:rPr>
          <w:sz w:val="24"/>
        </w:rPr>
        <w:tab/>
      </w:r>
      <w:r w:rsidR="00866FAC">
        <w:rPr>
          <w:sz w:val="24"/>
        </w:rPr>
        <w:tab/>
        <w:t>J. Reirs</w:t>
      </w:r>
    </w:p>
    <w:p w14:paraId="4501EEBC" w14:textId="77777777" w:rsidR="00E218B9" w:rsidRPr="009D1C04" w:rsidRDefault="00E218B9" w:rsidP="00E218B9">
      <w:pPr>
        <w:pStyle w:val="BodyText"/>
        <w:jc w:val="both"/>
        <w:rPr>
          <w:sz w:val="24"/>
        </w:rPr>
      </w:pPr>
    </w:p>
    <w:p w14:paraId="763075CD" w14:textId="77777777" w:rsidR="00171A81" w:rsidRPr="009D1C04" w:rsidRDefault="00171A81" w:rsidP="00E218B9">
      <w:pPr>
        <w:pStyle w:val="BodyText"/>
        <w:jc w:val="both"/>
        <w:rPr>
          <w:sz w:val="24"/>
        </w:rPr>
      </w:pPr>
    </w:p>
    <w:p w14:paraId="3C24375A" w14:textId="77777777" w:rsidR="00C66B75" w:rsidRPr="009D1C04" w:rsidRDefault="00C66B75" w:rsidP="00E218B9">
      <w:pPr>
        <w:pStyle w:val="BodyText"/>
        <w:jc w:val="both"/>
        <w:rPr>
          <w:sz w:val="24"/>
        </w:rPr>
      </w:pPr>
    </w:p>
    <w:p w14:paraId="7D6A653F" w14:textId="17E7EAF1" w:rsidR="007A7036" w:rsidRDefault="007A7036" w:rsidP="00E218B9">
      <w:pPr>
        <w:pStyle w:val="BodyText"/>
        <w:jc w:val="both"/>
        <w:rPr>
          <w:sz w:val="24"/>
        </w:rPr>
      </w:pPr>
    </w:p>
    <w:p w14:paraId="372CD2F4" w14:textId="4D3A50D0" w:rsidR="007A7036" w:rsidRDefault="007A7036" w:rsidP="00E218B9">
      <w:pPr>
        <w:pStyle w:val="BodyText"/>
        <w:jc w:val="both"/>
        <w:rPr>
          <w:sz w:val="24"/>
        </w:rPr>
      </w:pPr>
    </w:p>
    <w:p w14:paraId="513B2BF4" w14:textId="3985A6E7" w:rsidR="007A7036" w:rsidRDefault="007A7036" w:rsidP="00E218B9">
      <w:pPr>
        <w:pStyle w:val="BodyText"/>
        <w:jc w:val="both"/>
        <w:rPr>
          <w:sz w:val="24"/>
        </w:rPr>
      </w:pPr>
    </w:p>
    <w:p w14:paraId="5760B772" w14:textId="77777777" w:rsidR="007A7036" w:rsidRPr="009D1C04" w:rsidRDefault="007A7036" w:rsidP="00E218B9">
      <w:pPr>
        <w:pStyle w:val="BodyText"/>
        <w:jc w:val="both"/>
        <w:rPr>
          <w:sz w:val="24"/>
        </w:rPr>
      </w:pPr>
    </w:p>
    <w:p w14:paraId="43C1EB7F" w14:textId="77777777" w:rsidR="000C703D" w:rsidRPr="009D1C04" w:rsidRDefault="000C703D" w:rsidP="000C703D">
      <w:pPr>
        <w:pStyle w:val="BodyText"/>
        <w:jc w:val="left"/>
        <w:rPr>
          <w:sz w:val="24"/>
        </w:rPr>
      </w:pPr>
    </w:p>
    <w:p w14:paraId="01744C12" w14:textId="436A7BC6" w:rsidR="000C703D" w:rsidRPr="00A541A8" w:rsidRDefault="00866FAC" w:rsidP="000C703D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Adijāne</w:t>
      </w:r>
      <w:r w:rsidR="000C703D" w:rsidRPr="00A541A8">
        <w:rPr>
          <w:sz w:val="20"/>
          <w:szCs w:val="20"/>
        </w:rPr>
        <w:t xml:space="preserve"> </w:t>
      </w:r>
      <w:r w:rsidR="00BF7635" w:rsidRPr="00A541A8">
        <w:rPr>
          <w:sz w:val="20"/>
          <w:szCs w:val="20"/>
        </w:rPr>
        <w:t>6</w:t>
      </w:r>
      <w:r w:rsidR="00DB37C4" w:rsidRPr="00A541A8">
        <w:rPr>
          <w:sz w:val="20"/>
          <w:szCs w:val="20"/>
        </w:rPr>
        <w:t>70</w:t>
      </w:r>
      <w:r>
        <w:rPr>
          <w:sz w:val="20"/>
          <w:szCs w:val="20"/>
        </w:rPr>
        <w:t>95437</w:t>
      </w:r>
    </w:p>
    <w:p w14:paraId="6596F55A" w14:textId="36E1AEED" w:rsidR="006D49B1" w:rsidRDefault="00CF6DF6" w:rsidP="000C703D">
      <w:pPr>
        <w:pStyle w:val="BodyText"/>
        <w:jc w:val="left"/>
        <w:rPr>
          <w:sz w:val="20"/>
          <w:szCs w:val="20"/>
        </w:rPr>
      </w:pPr>
      <w:hyperlink r:id="rId8" w:history="1">
        <w:r w:rsidR="00866FAC" w:rsidRPr="004E4979">
          <w:rPr>
            <w:rStyle w:val="Hyperlink"/>
            <w:sz w:val="20"/>
            <w:szCs w:val="20"/>
          </w:rPr>
          <w:t>zane.adijane@fm.gov.lv</w:t>
        </w:r>
      </w:hyperlink>
    </w:p>
    <w:p w14:paraId="7CB20A2F" w14:textId="77777777" w:rsidR="006D49B1" w:rsidRPr="006D49B1" w:rsidRDefault="006D49B1" w:rsidP="006D49B1">
      <w:pPr>
        <w:rPr>
          <w:lang w:eastAsia="en-US"/>
        </w:rPr>
      </w:pPr>
    </w:p>
    <w:p w14:paraId="38F9BC4E" w14:textId="77777777" w:rsidR="006D49B1" w:rsidRPr="006D49B1" w:rsidRDefault="006D49B1" w:rsidP="006D49B1">
      <w:pPr>
        <w:rPr>
          <w:lang w:eastAsia="en-US"/>
        </w:rPr>
      </w:pPr>
    </w:p>
    <w:p w14:paraId="7460904A" w14:textId="77777777" w:rsidR="006D49B1" w:rsidRPr="006D49B1" w:rsidRDefault="006D49B1" w:rsidP="006D49B1">
      <w:pPr>
        <w:rPr>
          <w:lang w:eastAsia="en-US"/>
        </w:rPr>
      </w:pPr>
    </w:p>
    <w:p w14:paraId="1D398CC0" w14:textId="77777777" w:rsidR="006D49B1" w:rsidRPr="006D49B1" w:rsidRDefault="006D49B1" w:rsidP="006D49B1">
      <w:pPr>
        <w:rPr>
          <w:lang w:eastAsia="en-US"/>
        </w:rPr>
      </w:pPr>
    </w:p>
    <w:p w14:paraId="0B0080FC" w14:textId="1F1B8E4E" w:rsidR="002204E8" w:rsidRPr="006D49B1" w:rsidRDefault="006D49B1" w:rsidP="006D49B1">
      <w:pPr>
        <w:tabs>
          <w:tab w:val="left" w:pos="1480"/>
        </w:tabs>
        <w:rPr>
          <w:lang w:eastAsia="en-US"/>
        </w:rPr>
      </w:pPr>
      <w:r>
        <w:rPr>
          <w:lang w:eastAsia="en-US"/>
        </w:rPr>
        <w:tab/>
      </w:r>
    </w:p>
    <w:sectPr w:rsidR="002204E8" w:rsidRPr="006D49B1" w:rsidSect="00332E30">
      <w:headerReference w:type="default" r:id="rId9"/>
      <w:footerReference w:type="default" r:id="rId10"/>
      <w:pgSz w:w="11906" w:h="16838"/>
      <w:pgMar w:top="993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1DE1" w14:textId="77777777" w:rsidR="003A32DC" w:rsidRDefault="003A32DC" w:rsidP="009A7EE9">
      <w:r>
        <w:separator/>
      </w:r>
    </w:p>
  </w:endnote>
  <w:endnote w:type="continuationSeparator" w:id="0">
    <w:p w14:paraId="72F798C0" w14:textId="77777777" w:rsidR="003A32DC" w:rsidRDefault="003A32DC" w:rsidP="009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D748" w14:textId="3D3B6C13" w:rsidR="004B59D9" w:rsidRDefault="0093606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D49B1">
      <w:rPr>
        <w:noProof/>
      </w:rPr>
      <w:t>FMAnot_230320_uzLNG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F06F" w14:textId="77777777" w:rsidR="003A32DC" w:rsidRDefault="003A32DC" w:rsidP="009A7EE9">
      <w:r>
        <w:separator/>
      </w:r>
    </w:p>
  </w:footnote>
  <w:footnote w:type="continuationSeparator" w:id="0">
    <w:p w14:paraId="2D5B1FA8" w14:textId="77777777" w:rsidR="003A32DC" w:rsidRDefault="003A32DC" w:rsidP="009A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8332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F8A893" w14:textId="14449F70" w:rsidR="00332E30" w:rsidRDefault="00332E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88100" w14:textId="77777777" w:rsidR="00320C6A" w:rsidRDefault="00320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8643C5C"/>
    <w:multiLevelType w:val="hybridMultilevel"/>
    <w:tmpl w:val="71D8D78C"/>
    <w:lvl w:ilvl="0" w:tplc="0426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1">
    <w:nsid w:val="2AA5344B"/>
    <w:multiLevelType w:val="hybridMultilevel"/>
    <w:tmpl w:val="CCDA5EEE"/>
    <w:lvl w:ilvl="0" w:tplc="FA1215C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D02CDE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254B97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7C49A1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62AA4A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A3E552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143DE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D62D0F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DAEDB7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4B55F3"/>
    <w:multiLevelType w:val="hybridMultilevel"/>
    <w:tmpl w:val="4AB684FE"/>
    <w:lvl w:ilvl="0" w:tplc="0426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1">
    <w:nsid w:val="350E16AC"/>
    <w:multiLevelType w:val="hybridMultilevel"/>
    <w:tmpl w:val="4E706C82"/>
    <w:lvl w:ilvl="0" w:tplc="C92E9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7C624EE" w:tentative="1">
      <w:start w:val="1"/>
      <w:numFmt w:val="lowerLetter"/>
      <w:lvlText w:val="%2."/>
      <w:lvlJc w:val="left"/>
      <w:pPr>
        <w:ind w:left="1800" w:hanging="360"/>
      </w:pPr>
    </w:lvl>
    <w:lvl w:ilvl="2" w:tplc="4A949F52" w:tentative="1">
      <w:start w:val="1"/>
      <w:numFmt w:val="lowerRoman"/>
      <w:lvlText w:val="%3."/>
      <w:lvlJc w:val="right"/>
      <w:pPr>
        <w:ind w:left="2520" w:hanging="180"/>
      </w:pPr>
    </w:lvl>
    <w:lvl w:ilvl="3" w:tplc="B7445C6E" w:tentative="1">
      <w:start w:val="1"/>
      <w:numFmt w:val="decimal"/>
      <w:lvlText w:val="%4."/>
      <w:lvlJc w:val="left"/>
      <w:pPr>
        <w:ind w:left="3240" w:hanging="360"/>
      </w:pPr>
    </w:lvl>
    <w:lvl w:ilvl="4" w:tplc="8206ADDC" w:tentative="1">
      <w:start w:val="1"/>
      <w:numFmt w:val="lowerLetter"/>
      <w:lvlText w:val="%5."/>
      <w:lvlJc w:val="left"/>
      <w:pPr>
        <w:ind w:left="3960" w:hanging="360"/>
      </w:pPr>
    </w:lvl>
    <w:lvl w:ilvl="5" w:tplc="5FD4C794" w:tentative="1">
      <w:start w:val="1"/>
      <w:numFmt w:val="lowerRoman"/>
      <w:lvlText w:val="%6."/>
      <w:lvlJc w:val="right"/>
      <w:pPr>
        <w:ind w:left="4680" w:hanging="180"/>
      </w:pPr>
    </w:lvl>
    <w:lvl w:ilvl="6" w:tplc="F77881F4" w:tentative="1">
      <w:start w:val="1"/>
      <w:numFmt w:val="decimal"/>
      <w:lvlText w:val="%7."/>
      <w:lvlJc w:val="left"/>
      <w:pPr>
        <w:ind w:left="5400" w:hanging="360"/>
      </w:pPr>
    </w:lvl>
    <w:lvl w:ilvl="7" w:tplc="D9E00FEC" w:tentative="1">
      <w:start w:val="1"/>
      <w:numFmt w:val="lowerLetter"/>
      <w:lvlText w:val="%8."/>
      <w:lvlJc w:val="left"/>
      <w:pPr>
        <w:ind w:left="6120" w:hanging="360"/>
      </w:pPr>
    </w:lvl>
    <w:lvl w:ilvl="8" w:tplc="2140E6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4730D"/>
    <w:multiLevelType w:val="hybridMultilevel"/>
    <w:tmpl w:val="FF646ABE"/>
    <w:lvl w:ilvl="0" w:tplc="0426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3B7D70E8"/>
    <w:multiLevelType w:val="hybridMultilevel"/>
    <w:tmpl w:val="81645B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E1B87"/>
    <w:multiLevelType w:val="multilevel"/>
    <w:tmpl w:val="85BCE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477225"/>
    <w:multiLevelType w:val="hybridMultilevel"/>
    <w:tmpl w:val="627C84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7986"/>
    <w:multiLevelType w:val="hybridMultilevel"/>
    <w:tmpl w:val="F480611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717"/>
    <w:multiLevelType w:val="hybridMultilevel"/>
    <w:tmpl w:val="4E9C23CE"/>
    <w:lvl w:ilvl="0" w:tplc="0426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1">
    <w:nsid w:val="6AE64DEE"/>
    <w:multiLevelType w:val="hybridMultilevel"/>
    <w:tmpl w:val="44888E1A"/>
    <w:lvl w:ilvl="0" w:tplc="C7D0E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C890C" w:tentative="1">
      <w:start w:val="1"/>
      <w:numFmt w:val="lowerLetter"/>
      <w:lvlText w:val="%2."/>
      <w:lvlJc w:val="left"/>
      <w:pPr>
        <w:ind w:left="1440" w:hanging="360"/>
      </w:pPr>
    </w:lvl>
    <w:lvl w:ilvl="2" w:tplc="FD9CD9E0" w:tentative="1">
      <w:start w:val="1"/>
      <w:numFmt w:val="lowerRoman"/>
      <w:lvlText w:val="%3."/>
      <w:lvlJc w:val="right"/>
      <w:pPr>
        <w:ind w:left="2160" w:hanging="180"/>
      </w:pPr>
    </w:lvl>
    <w:lvl w:ilvl="3" w:tplc="06822826" w:tentative="1">
      <w:start w:val="1"/>
      <w:numFmt w:val="decimal"/>
      <w:lvlText w:val="%4."/>
      <w:lvlJc w:val="left"/>
      <w:pPr>
        <w:ind w:left="2880" w:hanging="360"/>
      </w:pPr>
    </w:lvl>
    <w:lvl w:ilvl="4" w:tplc="845AFF0E" w:tentative="1">
      <w:start w:val="1"/>
      <w:numFmt w:val="lowerLetter"/>
      <w:lvlText w:val="%5."/>
      <w:lvlJc w:val="left"/>
      <w:pPr>
        <w:ind w:left="3600" w:hanging="360"/>
      </w:pPr>
    </w:lvl>
    <w:lvl w:ilvl="5" w:tplc="5E8CA23A" w:tentative="1">
      <w:start w:val="1"/>
      <w:numFmt w:val="lowerRoman"/>
      <w:lvlText w:val="%6."/>
      <w:lvlJc w:val="right"/>
      <w:pPr>
        <w:ind w:left="4320" w:hanging="180"/>
      </w:pPr>
    </w:lvl>
    <w:lvl w:ilvl="6" w:tplc="0386A564" w:tentative="1">
      <w:start w:val="1"/>
      <w:numFmt w:val="decimal"/>
      <w:lvlText w:val="%7."/>
      <w:lvlJc w:val="left"/>
      <w:pPr>
        <w:ind w:left="5040" w:hanging="360"/>
      </w:pPr>
    </w:lvl>
    <w:lvl w:ilvl="7" w:tplc="63C4E4AE" w:tentative="1">
      <w:start w:val="1"/>
      <w:numFmt w:val="lowerLetter"/>
      <w:lvlText w:val="%8."/>
      <w:lvlJc w:val="left"/>
      <w:pPr>
        <w:ind w:left="5760" w:hanging="360"/>
      </w:pPr>
    </w:lvl>
    <w:lvl w:ilvl="8" w:tplc="91C80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01BD2"/>
    <w:multiLevelType w:val="hybridMultilevel"/>
    <w:tmpl w:val="EA8E0C5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699F"/>
    <w:multiLevelType w:val="hybridMultilevel"/>
    <w:tmpl w:val="9DE27E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3B16"/>
    <w:multiLevelType w:val="hybridMultilevel"/>
    <w:tmpl w:val="F9666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28"/>
    <w:rsid w:val="000044FA"/>
    <w:rsid w:val="00011587"/>
    <w:rsid w:val="00011820"/>
    <w:rsid w:val="0001492C"/>
    <w:rsid w:val="00025B05"/>
    <w:rsid w:val="0005038A"/>
    <w:rsid w:val="00051512"/>
    <w:rsid w:val="000614F5"/>
    <w:rsid w:val="00061813"/>
    <w:rsid w:val="00064D12"/>
    <w:rsid w:val="00064E3F"/>
    <w:rsid w:val="00064F32"/>
    <w:rsid w:val="000766F8"/>
    <w:rsid w:val="000818D2"/>
    <w:rsid w:val="00085845"/>
    <w:rsid w:val="000916CE"/>
    <w:rsid w:val="0009380D"/>
    <w:rsid w:val="00094E3E"/>
    <w:rsid w:val="000A6B9A"/>
    <w:rsid w:val="000B283D"/>
    <w:rsid w:val="000B2CA0"/>
    <w:rsid w:val="000C07B8"/>
    <w:rsid w:val="000C703D"/>
    <w:rsid w:val="000D0EFF"/>
    <w:rsid w:val="000E4F21"/>
    <w:rsid w:val="000E5764"/>
    <w:rsid w:val="00110F94"/>
    <w:rsid w:val="00111617"/>
    <w:rsid w:val="00114BC2"/>
    <w:rsid w:val="0012264C"/>
    <w:rsid w:val="00133B71"/>
    <w:rsid w:val="00140526"/>
    <w:rsid w:val="001509E7"/>
    <w:rsid w:val="00152ECC"/>
    <w:rsid w:val="001554B8"/>
    <w:rsid w:val="00156E18"/>
    <w:rsid w:val="001611E9"/>
    <w:rsid w:val="00162EB9"/>
    <w:rsid w:val="00170CFC"/>
    <w:rsid w:val="00171A81"/>
    <w:rsid w:val="001769F9"/>
    <w:rsid w:val="00183027"/>
    <w:rsid w:val="00190648"/>
    <w:rsid w:val="00191879"/>
    <w:rsid w:val="0019469A"/>
    <w:rsid w:val="001A5406"/>
    <w:rsid w:val="001B13DD"/>
    <w:rsid w:val="001B419D"/>
    <w:rsid w:val="001B4D01"/>
    <w:rsid w:val="001C0756"/>
    <w:rsid w:val="001C1669"/>
    <w:rsid w:val="001C59ED"/>
    <w:rsid w:val="0020584E"/>
    <w:rsid w:val="002125CA"/>
    <w:rsid w:val="002128BD"/>
    <w:rsid w:val="002204E8"/>
    <w:rsid w:val="002453D3"/>
    <w:rsid w:val="00261740"/>
    <w:rsid w:val="0027336A"/>
    <w:rsid w:val="00283E0D"/>
    <w:rsid w:val="00285775"/>
    <w:rsid w:val="002B19A5"/>
    <w:rsid w:val="002B3D2F"/>
    <w:rsid w:val="002B5EE7"/>
    <w:rsid w:val="002C3DC9"/>
    <w:rsid w:val="002D1159"/>
    <w:rsid w:val="002D3E38"/>
    <w:rsid w:val="002F1F4A"/>
    <w:rsid w:val="002F5428"/>
    <w:rsid w:val="002F6FE7"/>
    <w:rsid w:val="00301CBB"/>
    <w:rsid w:val="00303690"/>
    <w:rsid w:val="00304F3B"/>
    <w:rsid w:val="003102C3"/>
    <w:rsid w:val="00316575"/>
    <w:rsid w:val="00320C6A"/>
    <w:rsid w:val="0032120D"/>
    <w:rsid w:val="0032647A"/>
    <w:rsid w:val="00332E30"/>
    <w:rsid w:val="00335619"/>
    <w:rsid w:val="00345A45"/>
    <w:rsid w:val="00351240"/>
    <w:rsid w:val="00352431"/>
    <w:rsid w:val="00354448"/>
    <w:rsid w:val="00363F9A"/>
    <w:rsid w:val="00364193"/>
    <w:rsid w:val="00370F44"/>
    <w:rsid w:val="003735E2"/>
    <w:rsid w:val="003740D7"/>
    <w:rsid w:val="003A1F70"/>
    <w:rsid w:val="003A32DC"/>
    <w:rsid w:val="003B60B8"/>
    <w:rsid w:val="003C21F6"/>
    <w:rsid w:val="003C6F6D"/>
    <w:rsid w:val="003C7722"/>
    <w:rsid w:val="003D6A45"/>
    <w:rsid w:val="003D6BD2"/>
    <w:rsid w:val="003E3BD5"/>
    <w:rsid w:val="003F10D1"/>
    <w:rsid w:val="003F1B84"/>
    <w:rsid w:val="003F4BF1"/>
    <w:rsid w:val="003F51B4"/>
    <w:rsid w:val="00403421"/>
    <w:rsid w:val="004071E3"/>
    <w:rsid w:val="00407869"/>
    <w:rsid w:val="0041332B"/>
    <w:rsid w:val="004170B3"/>
    <w:rsid w:val="00422A90"/>
    <w:rsid w:val="00422AFA"/>
    <w:rsid w:val="004407BB"/>
    <w:rsid w:val="004407DB"/>
    <w:rsid w:val="004422AA"/>
    <w:rsid w:val="00455577"/>
    <w:rsid w:val="00457174"/>
    <w:rsid w:val="0047084C"/>
    <w:rsid w:val="004727DB"/>
    <w:rsid w:val="00474ED8"/>
    <w:rsid w:val="00480A1B"/>
    <w:rsid w:val="00482307"/>
    <w:rsid w:val="0048561D"/>
    <w:rsid w:val="00486ED9"/>
    <w:rsid w:val="004876F3"/>
    <w:rsid w:val="00493060"/>
    <w:rsid w:val="00493BE8"/>
    <w:rsid w:val="004A456A"/>
    <w:rsid w:val="004A7D0E"/>
    <w:rsid w:val="004B0522"/>
    <w:rsid w:val="004B4E72"/>
    <w:rsid w:val="004B59D9"/>
    <w:rsid w:val="004C4D7F"/>
    <w:rsid w:val="004D0A41"/>
    <w:rsid w:val="004D1D9A"/>
    <w:rsid w:val="004E661C"/>
    <w:rsid w:val="004E72EB"/>
    <w:rsid w:val="004F70B8"/>
    <w:rsid w:val="005222BD"/>
    <w:rsid w:val="00524414"/>
    <w:rsid w:val="00524926"/>
    <w:rsid w:val="005326E9"/>
    <w:rsid w:val="00532A75"/>
    <w:rsid w:val="005331D5"/>
    <w:rsid w:val="0053409A"/>
    <w:rsid w:val="00536C44"/>
    <w:rsid w:val="005419ED"/>
    <w:rsid w:val="00542B98"/>
    <w:rsid w:val="005437C3"/>
    <w:rsid w:val="00545A7B"/>
    <w:rsid w:val="005648B2"/>
    <w:rsid w:val="00567C3A"/>
    <w:rsid w:val="005717CC"/>
    <w:rsid w:val="005802FC"/>
    <w:rsid w:val="00580CBE"/>
    <w:rsid w:val="00583D19"/>
    <w:rsid w:val="005B0615"/>
    <w:rsid w:val="005B08DC"/>
    <w:rsid w:val="005B7346"/>
    <w:rsid w:val="005C4DD7"/>
    <w:rsid w:val="005C5BDA"/>
    <w:rsid w:val="005D2988"/>
    <w:rsid w:val="005D32B1"/>
    <w:rsid w:val="005D489A"/>
    <w:rsid w:val="005D7715"/>
    <w:rsid w:val="005E0012"/>
    <w:rsid w:val="005E435A"/>
    <w:rsid w:val="005E6150"/>
    <w:rsid w:val="00603455"/>
    <w:rsid w:val="00611862"/>
    <w:rsid w:val="00612D73"/>
    <w:rsid w:val="00615766"/>
    <w:rsid w:val="006267BF"/>
    <w:rsid w:val="00630442"/>
    <w:rsid w:val="00632159"/>
    <w:rsid w:val="00632E11"/>
    <w:rsid w:val="006379D5"/>
    <w:rsid w:val="00641D60"/>
    <w:rsid w:val="00645290"/>
    <w:rsid w:val="0065034A"/>
    <w:rsid w:val="00652E48"/>
    <w:rsid w:val="00664DE2"/>
    <w:rsid w:val="00666039"/>
    <w:rsid w:val="00683A6E"/>
    <w:rsid w:val="00683B10"/>
    <w:rsid w:val="00684B77"/>
    <w:rsid w:val="0068729C"/>
    <w:rsid w:val="00693E8E"/>
    <w:rsid w:val="006B3BBA"/>
    <w:rsid w:val="006B61BD"/>
    <w:rsid w:val="006C79A1"/>
    <w:rsid w:val="006D245F"/>
    <w:rsid w:val="006D497B"/>
    <w:rsid w:val="006D49B1"/>
    <w:rsid w:val="006E12D2"/>
    <w:rsid w:val="006F2B5A"/>
    <w:rsid w:val="006F4715"/>
    <w:rsid w:val="0070316C"/>
    <w:rsid w:val="00705A8F"/>
    <w:rsid w:val="0071285B"/>
    <w:rsid w:val="00725640"/>
    <w:rsid w:val="00751999"/>
    <w:rsid w:val="00754E7D"/>
    <w:rsid w:val="00763F04"/>
    <w:rsid w:val="0076428F"/>
    <w:rsid w:val="00764807"/>
    <w:rsid w:val="007733C9"/>
    <w:rsid w:val="00777791"/>
    <w:rsid w:val="00784421"/>
    <w:rsid w:val="00790DC9"/>
    <w:rsid w:val="00792495"/>
    <w:rsid w:val="00793B6F"/>
    <w:rsid w:val="00796134"/>
    <w:rsid w:val="007A1D9F"/>
    <w:rsid w:val="007A7036"/>
    <w:rsid w:val="007B6C93"/>
    <w:rsid w:val="007C300C"/>
    <w:rsid w:val="007D693E"/>
    <w:rsid w:val="007E0FA9"/>
    <w:rsid w:val="007E157D"/>
    <w:rsid w:val="007E492A"/>
    <w:rsid w:val="007F18B8"/>
    <w:rsid w:val="00811EAA"/>
    <w:rsid w:val="00814BB4"/>
    <w:rsid w:val="008278B4"/>
    <w:rsid w:val="00836717"/>
    <w:rsid w:val="008412CC"/>
    <w:rsid w:val="0084746C"/>
    <w:rsid w:val="00853AC5"/>
    <w:rsid w:val="00857FA9"/>
    <w:rsid w:val="0086037C"/>
    <w:rsid w:val="00860930"/>
    <w:rsid w:val="00860AA4"/>
    <w:rsid w:val="00866FAC"/>
    <w:rsid w:val="00870008"/>
    <w:rsid w:val="00871282"/>
    <w:rsid w:val="00875E3E"/>
    <w:rsid w:val="0088215D"/>
    <w:rsid w:val="008927D8"/>
    <w:rsid w:val="008A3323"/>
    <w:rsid w:val="008B46B2"/>
    <w:rsid w:val="008C0091"/>
    <w:rsid w:val="008C153E"/>
    <w:rsid w:val="008C4C8E"/>
    <w:rsid w:val="008C54BF"/>
    <w:rsid w:val="008D6352"/>
    <w:rsid w:val="008E0870"/>
    <w:rsid w:val="008E3A5B"/>
    <w:rsid w:val="008E3C19"/>
    <w:rsid w:val="008F0A2E"/>
    <w:rsid w:val="008F67C8"/>
    <w:rsid w:val="008F6918"/>
    <w:rsid w:val="00905312"/>
    <w:rsid w:val="009057D3"/>
    <w:rsid w:val="00916266"/>
    <w:rsid w:val="0091691A"/>
    <w:rsid w:val="009226DC"/>
    <w:rsid w:val="009228D2"/>
    <w:rsid w:val="00923946"/>
    <w:rsid w:val="00930BF9"/>
    <w:rsid w:val="00932481"/>
    <w:rsid w:val="00936066"/>
    <w:rsid w:val="00945363"/>
    <w:rsid w:val="00945B73"/>
    <w:rsid w:val="009501D1"/>
    <w:rsid w:val="00962079"/>
    <w:rsid w:val="0097484D"/>
    <w:rsid w:val="009757FD"/>
    <w:rsid w:val="00977221"/>
    <w:rsid w:val="009807A5"/>
    <w:rsid w:val="00982034"/>
    <w:rsid w:val="009873B8"/>
    <w:rsid w:val="0099499C"/>
    <w:rsid w:val="00996A8E"/>
    <w:rsid w:val="00997653"/>
    <w:rsid w:val="00997DE8"/>
    <w:rsid w:val="009A48FE"/>
    <w:rsid w:val="009A4A62"/>
    <w:rsid w:val="009A7EE9"/>
    <w:rsid w:val="009C6D89"/>
    <w:rsid w:val="009D1C04"/>
    <w:rsid w:val="009D36DE"/>
    <w:rsid w:val="009D6BD4"/>
    <w:rsid w:val="009D6DC8"/>
    <w:rsid w:val="009E1890"/>
    <w:rsid w:val="009E4130"/>
    <w:rsid w:val="009E5A67"/>
    <w:rsid w:val="009E7875"/>
    <w:rsid w:val="009F065F"/>
    <w:rsid w:val="00A0018F"/>
    <w:rsid w:val="00A11E5A"/>
    <w:rsid w:val="00A12EFD"/>
    <w:rsid w:val="00A23985"/>
    <w:rsid w:val="00A310DC"/>
    <w:rsid w:val="00A37ADF"/>
    <w:rsid w:val="00A511BA"/>
    <w:rsid w:val="00A541A8"/>
    <w:rsid w:val="00A5756A"/>
    <w:rsid w:val="00A605A5"/>
    <w:rsid w:val="00A6237C"/>
    <w:rsid w:val="00A77AB6"/>
    <w:rsid w:val="00A8127B"/>
    <w:rsid w:val="00A85919"/>
    <w:rsid w:val="00A914D2"/>
    <w:rsid w:val="00A93CF7"/>
    <w:rsid w:val="00A95B87"/>
    <w:rsid w:val="00A97350"/>
    <w:rsid w:val="00A97367"/>
    <w:rsid w:val="00AA1528"/>
    <w:rsid w:val="00AA4A17"/>
    <w:rsid w:val="00AA5033"/>
    <w:rsid w:val="00AB45E9"/>
    <w:rsid w:val="00AB7DDF"/>
    <w:rsid w:val="00AC14B6"/>
    <w:rsid w:val="00AC7C0E"/>
    <w:rsid w:val="00AD2335"/>
    <w:rsid w:val="00AD6E8B"/>
    <w:rsid w:val="00AD7755"/>
    <w:rsid w:val="00AE7DAC"/>
    <w:rsid w:val="00AF62AE"/>
    <w:rsid w:val="00B03683"/>
    <w:rsid w:val="00B14C2E"/>
    <w:rsid w:val="00B17BAC"/>
    <w:rsid w:val="00B27138"/>
    <w:rsid w:val="00B2761E"/>
    <w:rsid w:val="00B2791A"/>
    <w:rsid w:val="00B32D11"/>
    <w:rsid w:val="00B344E5"/>
    <w:rsid w:val="00B3568E"/>
    <w:rsid w:val="00B37017"/>
    <w:rsid w:val="00B47322"/>
    <w:rsid w:val="00B4749B"/>
    <w:rsid w:val="00B50A1F"/>
    <w:rsid w:val="00B52F16"/>
    <w:rsid w:val="00B61A29"/>
    <w:rsid w:val="00B64477"/>
    <w:rsid w:val="00B65ECC"/>
    <w:rsid w:val="00B66D73"/>
    <w:rsid w:val="00B672D4"/>
    <w:rsid w:val="00B71A99"/>
    <w:rsid w:val="00B7663C"/>
    <w:rsid w:val="00B80688"/>
    <w:rsid w:val="00B87AF4"/>
    <w:rsid w:val="00BA091C"/>
    <w:rsid w:val="00BA0D84"/>
    <w:rsid w:val="00BA10D2"/>
    <w:rsid w:val="00BA4D20"/>
    <w:rsid w:val="00BA7EB5"/>
    <w:rsid w:val="00BB2AB5"/>
    <w:rsid w:val="00BB603C"/>
    <w:rsid w:val="00BD03C9"/>
    <w:rsid w:val="00BD2338"/>
    <w:rsid w:val="00BD4180"/>
    <w:rsid w:val="00BD7B24"/>
    <w:rsid w:val="00BE1183"/>
    <w:rsid w:val="00BE6099"/>
    <w:rsid w:val="00BF0C19"/>
    <w:rsid w:val="00BF18C9"/>
    <w:rsid w:val="00BF7635"/>
    <w:rsid w:val="00C074A6"/>
    <w:rsid w:val="00C13638"/>
    <w:rsid w:val="00C24DBA"/>
    <w:rsid w:val="00C36718"/>
    <w:rsid w:val="00C41B93"/>
    <w:rsid w:val="00C437F7"/>
    <w:rsid w:val="00C44880"/>
    <w:rsid w:val="00C47FFC"/>
    <w:rsid w:val="00C57036"/>
    <w:rsid w:val="00C621A0"/>
    <w:rsid w:val="00C63899"/>
    <w:rsid w:val="00C64112"/>
    <w:rsid w:val="00C656FF"/>
    <w:rsid w:val="00C65820"/>
    <w:rsid w:val="00C66B75"/>
    <w:rsid w:val="00C73478"/>
    <w:rsid w:val="00C94740"/>
    <w:rsid w:val="00CA1D83"/>
    <w:rsid w:val="00CA40C3"/>
    <w:rsid w:val="00CB2E04"/>
    <w:rsid w:val="00CC0712"/>
    <w:rsid w:val="00CC1E07"/>
    <w:rsid w:val="00CC55FA"/>
    <w:rsid w:val="00CE332B"/>
    <w:rsid w:val="00CE430D"/>
    <w:rsid w:val="00CF1350"/>
    <w:rsid w:val="00CF2F7B"/>
    <w:rsid w:val="00CF6797"/>
    <w:rsid w:val="00CF6DF6"/>
    <w:rsid w:val="00D25421"/>
    <w:rsid w:val="00D309B0"/>
    <w:rsid w:val="00D312A6"/>
    <w:rsid w:val="00D3668B"/>
    <w:rsid w:val="00D41F3E"/>
    <w:rsid w:val="00D42E07"/>
    <w:rsid w:val="00D43AB3"/>
    <w:rsid w:val="00D444BA"/>
    <w:rsid w:val="00D54B2D"/>
    <w:rsid w:val="00D57F31"/>
    <w:rsid w:val="00D6079A"/>
    <w:rsid w:val="00D676DA"/>
    <w:rsid w:val="00D82EC1"/>
    <w:rsid w:val="00D84D37"/>
    <w:rsid w:val="00D9234C"/>
    <w:rsid w:val="00D9355E"/>
    <w:rsid w:val="00D94EC3"/>
    <w:rsid w:val="00D97850"/>
    <w:rsid w:val="00DA451A"/>
    <w:rsid w:val="00DB1865"/>
    <w:rsid w:val="00DB37C4"/>
    <w:rsid w:val="00DB5A7F"/>
    <w:rsid w:val="00DB7B48"/>
    <w:rsid w:val="00DC2494"/>
    <w:rsid w:val="00DC37EA"/>
    <w:rsid w:val="00DC7876"/>
    <w:rsid w:val="00DE1003"/>
    <w:rsid w:val="00DE3336"/>
    <w:rsid w:val="00DF7062"/>
    <w:rsid w:val="00E06C5A"/>
    <w:rsid w:val="00E0769A"/>
    <w:rsid w:val="00E16501"/>
    <w:rsid w:val="00E218B9"/>
    <w:rsid w:val="00E315C4"/>
    <w:rsid w:val="00E33DB6"/>
    <w:rsid w:val="00E366AD"/>
    <w:rsid w:val="00E416EE"/>
    <w:rsid w:val="00E458CF"/>
    <w:rsid w:val="00E47E33"/>
    <w:rsid w:val="00E50E39"/>
    <w:rsid w:val="00E622DA"/>
    <w:rsid w:val="00E6509E"/>
    <w:rsid w:val="00E83006"/>
    <w:rsid w:val="00E8499A"/>
    <w:rsid w:val="00E87600"/>
    <w:rsid w:val="00E9063D"/>
    <w:rsid w:val="00EA5D90"/>
    <w:rsid w:val="00EA673A"/>
    <w:rsid w:val="00EB7284"/>
    <w:rsid w:val="00EC5F52"/>
    <w:rsid w:val="00ED0497"/>
    <w:rsid w:val="00ED59B9"/>
    <w:rsid w:val="00EE3ADF"/>
    <w:rsid w:val="00EE4F3E"/>
    <w:rsid w:val="00EE4FC4"/>
    <w:rsid w:val="00EF1444"/>
    <w:rsid w:val="00EF3BDC"/>
    <w:rsid w:val="00F10C52"/>
    <w:rsid w:val="00F14DB0"/>
    <w:rsid w:val="00F14F02"/>
    <w:rsid w:val="00F154FE"/>
    <w:rsid w:val="00F21AC1"/>
    <w:rsid w:val="00F270FF"/>
    <w:rsid w:val="00F32B28"/>
    <w:rsid w:val="00F405EC"/>
    <w:rsid w:val="00F418CA"/>
    <w:rsid w:val="00F46C31"/>
    <w:rsid w:val="00F529F2"/>
    <w:rsid w:val="00F5651C"/>
    <w:rsid w:val="00F6324C"/>
    <w:rsid w:val="00F72B01"/>
    <w:rsid w:val="00F81063"/>
    <w:rsid w:val="00F920C2"/>
    <w:rsid w:val="00F95876"/>
    <w:rsid w:val="00FA0AC6"/>
    <w:rsid w:val="00FA753E"/>
    <w:rsid w:val="00FB0AD6"/>
    <w:rsid w:val="00FB41DD"/>
    <w:rsid w:val="00FB72F9"/>
    <w:rsid w:val="00FC19DE"/>
    <w:rsid w:val="00FC2EA2"/>
    <w:rsid w:val="00FC73BD"/>
    <w:rsid w:val="00FD4884"/>
    <w:rsid w:val="00FD6AD3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430"/>
  <w15:chartTrackingRefBased/>
  <w15:docId w15:val="{A946C429-3305-472F-9C79-4996D4D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6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7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2B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2B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F3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A7EE9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A7EE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9A7EE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9A7EE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EE9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A7EE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0C7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29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6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paragraph" w:styleId="NoSpacing">
    <w:name w:val="No Spacing"/>
    <w:uiPriority w:val="1"/>
    <w:qFormat/>
    <w:rsid w:val="009D36D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3524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93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55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55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47322"/>
    <w:rPr>
      <w:rFonts w:eastAsiaTheme="minorHAnsi"/>
      <w:lang w:val="en-US" w:eastAsia="en-US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074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adijane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7D00-F10F-4899-9BAE-DE85AD87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apropriācijas pārdali” sākotnējās ietekmes novērtējuma ziņojums (anotācija)</vt:lpstr>
    </vt:vector>
  </TitlesOfParts>
  <Company>Finanšu ministrija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apropriācijas pārdali” sākotnējās ietekmes novērtējuma ziņojums (anotācija)</dc:title>
  <dc:subject>Anotācija</dc:subject>
  <dc:creator>Zane Adijāne</dc:creator>
  <cp:keywords/>
  <dc:description>zane.adijane@fm.gov.lv; 67095437</dc:description>
  <cp:lastModifiedBy>Zane Adijāne</cp:lastModifiedBy>
  <cp:revision>35</cp:revision>
  <cp:lastPrinted>2018-10-17T11:35:00Z</cp:lastPrinted>
  <dcterms:created xsi:type="dcterms:W3CDTF">2020-03-18T07:16:00Z</dcterms:created>
  <dcterms:modified xsi:type="dcterms:W3CDTF">2020-03-23T12:15:00Z</dcterms:modified>
</cp:coreProperties>
</file>