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A57D4" w14:textId="77777777" w:rsidR="00E315C4" w:rsidRPr="003B2FE4" w:rsidRDefault="00E315C4" w:rsidP="00DB5A7F">
      <w:pPr>
        <w:ind w:firstLine="300"/>
        <w:jc w:val="center"/>
        <w:rPr>
          <w:bCs/>
        </w:rPr>
      </w:pPr>
    </w:p>
    <w:p w14:paraId="7B98417E" w14:textId="062B5286" w:rsidR="00DB5A7F" w:rsidRPr="003B2FE4" w:rsidRDefault="00DB5A7F" w:rsidP="00DB5A7F">
      <w:pPr>
        <w:ind w:firstLine="300"/>
        <w:jc w:val="center"/>
        <w:rPr>
          <w:bCs/>
        </w:rPr>
      </w:pPr>
      <w:r w:rsidRPr="003B2FE4">
        <w:rPr>
          <w:bCs/>
        </w:rPr>
        <w:t xml:space="preserve">Ministru kabineta rīkojuma projekta </w:t>
      </w:r>
      <w:r w:rsidRPr="003B2FE4">
        <w:rPr>
          <w:b/>
          <w:bCs/>
        </w:rPr>
        <w:t>“</w:t>
      </w:r>
      <w:bookmarkStart w:id="0" w:name="_Hlk35704184"/>
      <w:r w:rsidR="00A331FE" w:rsidRPr="003B2FE4">
        <w:rPr>
          <w:b/>
          <w:bCs/>
        </w:rPr>
        <w:t xml:space="preserve">Par </w:t>
      </w:r>
      <w:bookmarkEnd w:id="0"/>
      <w:r w:rsidR="00A331FE" w:rsidRPr="003B2FE4">
        <w:rPr>
          <w:b/>
          <w:bCs/>
        </w:rPr>
        <w:t>l</w:t>
      </w:r>
      <w:r w:rsidR="003D6829" w:rsidRPr="003B2FE4">
        <w:rPr>
          <w:b/>
          <w:bCs/>
        </w:rPr>
        <w:t>ikumā “Par valsts budžetu 2020.</w:t>
      </w:r>
      <w:r w:rsidR="00A331FE" w:rsidRPr="003B2FE4">
        <w:rPr>
          <w:b/>
          <w:bCs/>
        </w:rPr>
        <w:t>gadam” noteikto valsts budžeta aizdevumu kopējo palielinājumu</w:t>
      </w:r>
      <w:r w:rsidRPr="003B2FE4">
        <w:rPr>
          <w:b/>
          <w:bCs/>
        </w:rPr>
        <w:t xml:space="preserve">” </w:t>
      </w:r>
      <w:r w:rsidRPr="003B2FE4">
        <w:rPr>
          <w:bCs/>
        </w:rPr>
        <w:t>sākotnējās ietekmes novērtējuma ziņojums (anotācija)</w:t>
      </w:r>
    </w:p>
    <w:p w14:paraId="1B158B0B" w14:textId="77777777" w:rsidR="00E50E39" w:rsidRPr="003B2FE4" w:rsidRDefault="00E50E39" w:rsidP="00DB5A7F">
      <w:pPr>
        <w:ind w:firstLine="300"/>
        <w:jc w:val="center"/>
        <w:rPr>
          <w:b/>
          <w:bCs/>
        </w:rPr>
      </w:pPr>
    </w:p>
    <w:p w14:paraId="2483D9AC" w14:textId="77777777" w:rsidR="00E315C4" w:rsidRPr="003B2FE4" w:rsidRDefault="00E315C4" w:rsidP="00DB5A7F">
      <w:pPr>
        <w:ind w:firstLine="300"/>
        <w:jc w:val="center"/>
        <w:rPr>
          <w:b/>
          <w:bCs/>
        </w:rPr>
      </w:pPr>
    </w:p>
    <w:p w14:paraId="7142698F" w14:textId="77777777" w:rsidR="009D36DE" w:rsidRPr="003B2FE4" w:rsidRDefault="009D36DE" w:rsidP="000044FA">
      <w:pPr>
        <w:jc w:val="center"/>
        <w:rPr>
          <w:b/>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3B2FE4" w:rsidRPr="003B2FE4" w14:paraId="5A5F0148" w14:textId="77777777"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D87722" w14:textId="77777777" w:rsidR="009D36DE" w:rsidRPr="003B2FE4" w:rsidRDefault="009D36DE" w:rsidP="000044FA">
            <w:pPr>
              <w:spacing w:before="100" w:after="100"/>
              <w:jc w:val="center"/>
              <w:rPr>
                <w:b/>
                <w:bCs/>
              </w:rPr>
            </w:pPr>
            <w:r w:rsidRPr="003B2FE4">
              <w:rPr>
                <w:b/>
                <w:bCs/>
              </w:rPr>
              <w:t>Tiesību aktu projektu anotācijas kopsavilkums</w:t>
            </w:r>
          </w:p>
        </w:tc>
      </w:tr>
      <w:tr w:rsidR="003B2FE4" w:rsidRPr="003B2FE4" w14:paraId="5DA9EC78" w14:textId="77777777"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C10E43" w14:textId="77777777" w:rsidR="009D36DE" w:rsidRPr="003B2FE4" w:rsidRDefault="009D36DE" w:rsidP="00577379">
            <w:pPr>
              <w:spacing w:before="120" w:after="120"/>
              <w:ind w:right="125"/>
              <w:jc w:val="both"/>
            </w:pPr>
            <w:r w:rsidRPr="003B2FE4">
              <w:t>Mērķis, risinājums un projekta spēkā stāšanās laiks (500 zīmes bez atstarpēm)</w:t>
            </w:r>
          </w:p>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22B90B9" w14:textId="77777777" w:rsidR="00E46FC1" w:rsidRPr="003B2FE4" w:rsidRDefault="00853AC5" w:rsidP="00E718BA">
            <w:pPr>
              <w:pStyle w:val="NoSpacing"/>
              <w:spacing w:before="120" w:after="120"/>
              <w:ind w:left="91" w:right="108"/>
              <w:jc w:val="both"/>
              <w:rPr>
                <w:rFonts w:ascii="Times New Roman" w:hAnsi="Times New Roman"/>
                <w:sz w:val="24"/>
                <w:szCs w:val="24"/>
                <w:shd w:val="clear" w:color="auto" w:fill="FFFFFF"/>
              </w:rPr>
            </w:pPr>
            <w:r w:rsidRPr="003B2FE4">
              <w:rPr>
                <w:rFonts w:ascii="Times New Roman" w:eastAsia="Times New Roman" w:hAnsi="Times New Roman"/>
                <w:iCs/>
                <w:sz w:val="24"/>
                <w:szCs w:val="24"/>
                <w:lang w:eastAsia="lv-LV"/>
              </w:rPr>
              <w:t xml:space="preserve">Ministru kabineta rīkojuma projekta </w:t>
            </w:r>
            <w:r w:rsidR="002B4D9B" w:rsidRPr="003B2FE4">
              <w:rPr>
                <w:rFonts w:ascii="Times New Roman" w:eastAsia="Times New Roman" w:hAnsi="Times New Roman"/>
                <w:iCs/>
                <w:sz w:val="24"/>
                <w:szCs w:val="24"/>
                <w:lang w:eastAsia="lv-LV"/>
              </w:rPr>
              <w:t xml:space="preserve">“Par likumā </w:t>
            </w:r>
            <w:r w:rsidRPr="003B2FE4">
              <w:rPr>
                <w:rFonts w:ascii="Times New Roman" w:eastAsia="Times New Roman" w:hAnsi="Times New Roman"/>
                <w:iCs/>
                <w:sz w:val="24"/>
                <w:szCs w:val="24"/>
                <w:lang w:eastAsia="lv-LV"/>
              </w:rPr>
              <w:t>“</w:t>
            </w:r>
            <w:r w:rsidR="003D6829" w:rsidRPr="003B2FE4">
              <w:rPr>
                <w:rFonts w:ascii="Times New Roman" w:hAnsi="Times New Roman"/>
                <w:bCs/>
                <w:sz w:val="24"/>
                <w:szCs w:val="24"/>
              </w:rPr>
              <w:t>Par valsts budžetu 2020.</w:t>
            </w:r>
            <w:r w:rsidR="00A331FE" w:rsidRPr="003B2FE4">
              <w:rPr>
                <w:rFonts w:ascii="Times New Roman" w:hAnsi="Times New Roman"/>
                <w:bCs/>
                <w:sz w:val="24"/>
                <w:szCs w:val="24"/>
              </w:rPr>
              <w:t>gadam” noteikto valsts budžeta aizdevumu kopējo palielinājumu</w:t>
            </w:r>
            <w:r w:rsidRPr="003B2FE4">
              <w:rPr>
                <w:rFonts w:ascii="Times New Roman" w:eastAsia="Times New Roman" w:hAnsi="Times New Roman"/>
                <w:iCs/>
                <w:sz w:val="24"/>
                <w:szCs w:val="24"/>
                <w:lang w:eastAsia="lv-LV"/>
              </w:rPr>
              <w:t>” (turpmāk –</w:t>
            </w:r>
            <w:r w:rsidR="00E10C35" w:rsidRPr="003B2FE4">
              <w:rPr>
                <w:rFonts w:ascii="Times New Roman" w:eastAsia="Times New Roman" w:hAnsi="Times New Roman"/>
                <w:iCs/>
                <w:sz w:val="24"/>
                <w:szCs w:val="24"/>
                <w:lang w:eastAsia="lv-LV"/>
              </w:rPr>
              <w:t xml:space="preserve"> </w:t>
            </w:r>
            <w:r w:rsidRPr="003B2FE4">
              <w:rPr>
                <w:rFonts w:ascii="Times New Roman" w:eastAsia="Times New Roman" w:hAnsi="Times New Roman"/>
                <w:iCs/>
                <w:sz w:val="24"/>
                <w:szCs w:val="24"/>
                <w:lang w:eastAsia="lv-LV"/>
              </w:rPr>
              <w:t xml:space="preserve">projekts) mērķis ir </w:t>
            </w:r>
            <w:r w:rsidR="00614952" w:rsidRPr="003B2FE4">
              <w:rPr>
                <w:rFonts w:ascii="Times New Roman" w:eastAsia="Times New Roman" w:hAnsi="Times New Roman"/>
                <w:iCs/>
                <w:sz w:val="24"/>
                <w:szCs w:val="24"/>
                <w:lang w:eastAsia="lv-LV"/>
              </w:rPr>
              <w:t xml:space="preserve">nodrošināt nepieciešamos līdzekļus </w:t>
            </w:r>
            <w:r w:rsidR="00183CD4" w:rsidRPr="003B2FE4">
              <w:rPr>
                <w:rFonts w:ascii="Times New Roman" w:hAnsi="Times New Roman"/>
                <w:sz w:val="24"/>
                <w:szCs w:val="24"/>
              </w:rPr>
              <w:t>atbalsta piešķiršana</w:t>
            </w:r>
            <w:r w:rsidR="00614952" w:rsidRPr="003B2FE4">
              <w:rPr>
                <w:rFonts w:ascii="Times New Roman" w:hAnsi="Times New Roman"/>
                <w:sz w:val="24"/>
                <w:szCs w:val="24"/>
              </w:rPr>
              <w:t>i</w:t>
            </w:r>
            <w:r w:rsidR="00183CD4" w:rsidRPr="003B2FE4">
              <w:rPr>
                <w:rFonts w:ascii="Times New Roman" w:hAnsi="Times New Roman"/>
                <w:sz w:val="24"/>
                <w:szCs w:val="24"/>
              </w:rPr>
              <w:t xml:space="preserve"> apgrozāmo līdzekļu aizdevumu veidā saimnieciskās darbības veicējiem, kuru darbību </w:t>
            </w:r>
            <w:r w:rsidR="00E46FC1" w:rsidRPr="003B2FE4">
              <w:rPr>
                <w:rFonts w:ascii="Times New Roman" w:hAnsi="Times New Roman"/>
                <w:sz w:val="24"/>
                <w:szCs w:val="24"/>
                <w:shd w:val="clear" w:color="auto" w:fill="FFFFFF"/>
              </w:rPr>
              <w:t xml:space="preserve">ietekmējusi </w:t>
            </w:r>
            <w:proofErr w:type="spellStart"/>
            <w:r w:rsidR="00E46FC1" w:rsidRPr="003B2FE4">
              <w:rPr>
                <w:rFonts w:ascii="Times New Roman" w:hAnsi="Times New Roman"/>
                <w:sz w:val="24"/>
                <w:szCs w:val="24"/>
                <w:shd w:val="clear" w:color="auto" w:fill="FFFFFF"/>
              </w:rPr>
              <w:t>koronavīrusa</w:t>
            </w:r>
            <w:proofErr w:type="spellEnd"/>
            <w:r w:rsidR="00E46FC1" w:rsidRPr="003B2FE4">
              <w:rPr>
                <w:rFonts w:ascii="Times New Roman" w:hAnsi="Times New Roman"/>
                <w:sz w:val="24"/>
                <w:szCs w:val="24"/>
                <w:shd w:val="clear" w:color="auto" w:fill="FFFFFF"/>
              </w:rPr>
              <w:t xml:space="preserve"> izraisītās slimības Covid-19 izplatība.</w:t>
            </w:r>
          </w:p>
          <w:p w14:paraId="740ACEBC" w14:textId="13BD59D2" w:rsidR="00F944FB" w:rsidRPr="003B2FE4" w:rsidRDefault="00E10C35" w:rsidP="00E718BA">
            <w:pPr>
              <w:pStyle w:val="NoSpacing"/>
              <w:spacing w:before="120" w:after="120"/>
              <w:ind w:left="91" w:right="108"/>
              <w:jc w:val="both"/>
              <w:rPr>
                <w:rFonts w:ascii="Times New Roman" w:hAnsi="Times New Roman"/>
                <w:sz w:val="24"/>
                <w:szCs w:val="24"/>
              </w:rPr>
            </w:pPr>
            <w:r w:rsidRPr="003B2FE4">
              <w:rPr>
                <w:rFonts w:ascii="Times New Roman" w:hAnsi="Times New Roman"/>
                <w:sz w:val="24"/>
                <w:szCs w:val="24"/>
              </w:rPr>
              <w:t>P</w:t>
            </w:r>
            <w:r w:rsidR="00853AC5" w:rsidRPr="003B2FE4">
              <w:rPr>
                <w:rFonts w:ascii="Times New Roman" w:hAnsi="Times New Roman"/>
                <w:sz w:val="24"/>
                <w:szCs w:val="24"/>
              </w:rPr>
              <w:t xml:space="preserve">rojekts stājas spēkā tā </w:t>
            </w:r>
            <w:r w:rsidR="000A6B9A" w:rsidRPr="003B2FE4">
              <w:rPr>
                <w:rFonts w:ascii="Times New Roman" w:hAnsi="Times New Roman"/>
                <w:sz w:val="24"/>
                <w:szCs w:val="24"/>
              </w:rPr>
              <w:t>parakstīšanas brīdī</w:t>
            </w:r>
            <w:r w:rsidR="004B0522" w:rsidRPr="003B2FE4">
              <w:rPr>
                <w:rFonts w:ascii="Times New Roman" w:hAnsi="Times New Roman"/>
                <w:sz w:val="24"/>
                <w:szCs w:val="24"/>
              </w:rPr>
              <w:t xml:space="preserve"> atbilstoši Oficiālo publikāciju un tiesiskās informācijas likuma 7.panta trešajā daļā noteiktajam</w:t>
            </w:r>
            <w:r w:rsidR="00853AC5" w:rsidRPr="003B2FE4">
              <w:rPr>
                <w:rFonts w:ascii="Times New Roman" w:hAnsi="Times New Roman"/>
                <w:sz w:val="24"/>
                <w:szCs w:val="24"/>
              </w:rPr>
              <w:t>.</w:t>
            </w:r>
          </w:p>
        </w:tc>
      </w:tr>
    </w:tbl>
    <w:p w14:paraId="5AE1A044" w14:textId="77777777" w:rsidR="009D36DE" w:rsidRPr="003B2FE4" w:rsidRDefault="009D36DE" w:rsidP="00577379">
      <w:pPr>
        <w:spacing w:before="120" w:after="120"/>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3B2FE4" w:rsidRPr="003B2FE4" w14:paraId="30959661" w14:textId="77777777"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CCE4764" w14:textId="77777777" w:rsidR="009D36DE" w:rsidRPr="003B2FE4" w:rsidRDefault="009D36DE" w:rsidP="000044FA">
            <w:pPr>
              <w:spacing w:before="100" w:after="100"/>
              <w:jc w:val="center"/>
              <w:rPr>
                <w:b/>
                <w:bCs/>
              </w:rPr>
            </w:pPr>
            <w:r w:rsidRPr="003B2FE4">
              <w:rPr>
                <w:b/>
                <w:bCs/>
              </w:rPr>
              <w:t>I. Tiesību aktu projektu izstrādes nepieciešamība</w:t>
            </w:r>
          </w:p>
        </w:tc>
      </w:tr>
      <w:tr w:rsidR="003B2FE4" w:rsidRPr="003B2FE4" w14:paraId="47CC67B4" w14:textId="77777777" w:rsidTr="001611E9">
        <w:trPr>
          <w:trHeight w:val="896"/>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B6D2EA" w14:textId="77777777" w:rsidR="009D36DE" w:rsidRPr="003B2FE4" w:rsidRDefault="009D36DE" w:rsidP="000044FA">
            <w:pPr>
              <w:spacing w:before="100" w:after="100"/>
            </w:pPr>
            <w:r w:rsidRPr="003B2FE4">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C64662" w14:textId="77777777" w:rsidR="009D36DE" w:rsidRPr="003B2FE4" w:rsidRDefault="009D36DE" w:rsidP="000044FA">
            <w:pPr>
              <w:spacing w:before="100" w:after="100"/>
            </w:pPr>
            <w:r w:rsidRPr="003B2FE4">
              <w:t>Pamatojums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6B8B66" w14:textId="5AEC4B10" w:rsidR="00E10C35" w:rsidRPr="003B2FE4" w:rsidRDefault="00E10C35" w:rsidP="00577379">
            <w:pPr>
              <w:spacing w:before="120" w:after="120"/>
              <w:ind w:left="125" w:right="113"/>
              <w:jc w:val="both"/>
            </w:pPr>
            <w:r w:rsidRPr="003B2FE4">
              <w:rPr>
                <w:shd w:val="clear" w:color="auto" w:fill="FFFFFF"/>
              </w:rPr>
              <w:t xml:space="preserve">Ņemot vērā visā valsts teritorijā izsludināto ārkārtējo situāciju (Ministru kabineta </w:t>
            </w:r>
            <w:r w:rsidR="003D6829" w:rsidRPr="003B2FE4">
              <w:rPr>
                <w:shd w:val="clear" w:color="auto" w:fill="FFFFFF"/>
              </w:rPr>
              <w:t>2020.gada 12.marta rīkojums Nr.</w:t>
            </w:r>
            <w:r w:rsidRPr="003B2FE4">
              <w:rPr>
                <w:shd w:val="clear" w:color="auto" w:fill="FFFFFF"/>
              </w:rPr>
              <w:t>103 “Par ārkārtas situācijas izsludināšanu”)</w:t>
            </w:r>
            <w:r w:rsidR="002363C2" w:rsidRPr="003B2FE4">
              <w:rPr>
                <w:shd w:val="clear" w:color="auto" w:fill="FFFFFF"/>
              </w:rPr>
              <w:t xml:space="preserve"> un </w:t>
            </w:r>
            <w:r w:rsidRPr="003B2FE4">
              <w:rPr>
                <w:shd w:val="clear" w:color="auto" w:fill="FFFFFF"/>
              </w:rPr>
              <w:t>ar to saistīto prognozējamo iespaidu uz valsts ekonomiku, likum</w:t>
            </w:r>
            <w:r w:rsidR="00CD4261" w:rsidRPr="003B2FE4">
              <w:rPr>
                <w:shd w:val="clear" w:color="auto" w:fill="FFFFFF"/>
              </w:rPr>
              <w:t>ā</w:t>
            </w:r>
            <w:r w:rsidRPr="003B2FE4">
              <w:rPr>
                <w:shd w:val="clear" w:color="auto" w:fill="FFFFFF"/>
              </w:rPr>
              <w:t xml:space="preserve"> </w:t>
            </w:r>
            <w:r w:rsidRPr="003B2FE4">
              <w:rPr>
                <w:bCs/>
              </w:rPr>
              <w:t>„Par valsts apdraudējuma un tā seku novēršanas un pārvarēšanas pasākumiem sakarā ar Covid-19 izplatību”</w:t>
            </w:r>
            <w:r w:rsidRPr="003B2FE4">
              <w:rPr>
                <w:b/>
                <w:bCs/>
                <w:sz w:val="28"/>
              </w:rPr>
              <w:t xml:space="preserve"> </w:t>
            </w:r>
            <w:r w:rsidRPr="003B2FE4">
              <w:rPr>
                <w:shd w:val="clear" w:color="auto" w:fill="FFFFFF"/>
              </w:rPr>
              <w:t>paredz</w:t>
            </w:r>
            <w:r w:rsidR="00CD4261" w:rsidRPr="003B2FE4">
              <w:rPr>
                <w:shd w:val="clear" w:color="auto" w:fill="FFFFFF"/>
              </w:rPr>
              <w:t>ēti</w:t>
            </w:r>
            <w:r w:rsidRPr="003B2FE4">
              <w:rPr>
                <w:shd w:val="clear" w:color="auto" w:fill="FFFFFF"/>
              </w:rPr>
              <w:t xml:space="preserve"> pasākum</w:t>
            </w:r>
            <w:r w:rsidR="00CD4261" w:rsidRPr="003B2FE4">
              <w:rPr>
                <w:shd w:val="clear" w:color="auto" w:fill="FFFFFF"/>
              </w:rPr>
              <w:t>i</w:t>
            </w:r>
            <w:r w:rsidRPr="003B2FE4">
              <w:rPr>
                <w:shd w:val="clear" w:color="auto" w:fill="FFFFFF"/>
              </w:rPr>
              <w:t xml:space="preserve"> C</w:t>
            </w:r>
            <w:r w:rsidR="00CD4261" w:rsidRPr="003B2FE4">
              <w:rPr>
                <w:shd w:val="clear" w:color="auto" w:fill="FFFFFF"/>
              </w:rPr>
              <w:t>ovid</w:t>
            </w:r>
            <w:r w:rsidRPr="003B2FE4">
              <w:rPr>
                <w:shd w:val="clear" w:color="auto" w:fill="FFFFFF"/>
              </w:rPr>
              <w:t>-19</w:t>
            </w:r>
            <w:r w:rsidR="00CD4261" w:rsidRPr="003B2FE4">
              <w:rPr>
                <w:shd w:val="clear" w:color="auto" w:fill="FFFFFF"/>
              </w:rPr>
              <w:t xml:space="preserve"> </w:t>
            </w:r>
            <w:r w:rsidRPr="003B2FE4">
              <w:rPr>
                <w:shd w:val="clear" w:color="auto" w:fill="FFFFFF"/>
              </w:rPr>
              <w:t>pandēmijas seku pārvarēšanai, tajā ietverot nodokļu, sociālās aizsardzības, atbalsta uzņēmējdarbībai, līdzekļu neparedzētiem gadījumiem palielināšanas, apropriāciju pārdales un citus nozarēm nepieciešamos jautājumus, kas tieši saistīti ar krīzes ātru un efektīvu pārvarēšanu, kā arī priekšlikumus par valsts atbalstu dīkstāves izmaksu kompensēšanai noteiktās krīzes skartajās nozarēs.</w:t>
            </w:r>
          </w:p>
          <w:p w14:paraId="2C03503D" w14:textId="00820C3D" w:rsidR="00767FB8" w:rsidRPr="003B2FE4" w:rsidRDefault="00F944FB" w:rsidP="00F944FB">
            <w:pPr>
              <w:spacing w:before="120" w:after="120"/>
              <w:ind w:left="125" w:right="113"/>
              <w:jc w:val="both"/>
              <w:rPr>
                <w:shd w:val="clear" w:color="auto" w:fill="FFFFFF"/>
              </w:rPr>
            </w:pPr>
            <w:r w:rsidRPr="003B2FE4">
              <w:rPr>
                <w:shd w:val="clear" w:color="auto" w:fill="FFFFFF"/>
              </w:rPr>
              <w:t xml:space="preserve">Likuma </w:t>
            </w:r>
            <w:r w:rsidRPr="003B2FE4">
              <w:rPr>
                <w:bCs/>
              </w:rPr>
              <w:t xml:space="preserve">„Par valsts apdraudējuma un tā seku novēršanas un pārvarēšanas pasākumiem sakarā ar Covid-19 izplatību” </w:t>
            </w:r>
            <w:r w:rsidRPr="003B2FE4">
              <w:t>25.pants nosaka, ka p</w:t>
            </w:r>
            <w:r w:rsidRPr="003B2FE4">
              <w:rPr>
                <w:shd w:val="clear" w:color="auto" w:fill="FFFFFF"/>
              </w:rPr>
              <w:t>ar jaunu valsts aizdevumu izsniegšanu un to nosacījumiem vai jau izsniegto valsts aizdevumu līgumu nosacījumu un ar to saistīto nodrošinājuma līgumu nosacījumu maiņu ar Covid-19 izplatību saistītās ārkārtējās situācijas ietekmes mazināšanai un novēršanai lemj Ministru kabinets. Ministru kabinetam ir tiesības palielināt l</w:t>
            </w:r>
            <w:r w:rsidR="003D6829" w:rsidRPr="003B2FE4">
              <w:rPr>
                <w:shd w:val="clear" w:color="auto" w:fill="FFFFFF"/>
              </w:rPr>
              <w:t>ikumā “Par valsts budžetu 2020.</w:t>
            </w:r>
            <w:r w:rsidRPr="003B2FE4">
              <w:rPr>
                <w:shd w:val="clear" w:color="auto" w:fill="FFFFFF"/>
              </w:rPr>
              <w:t>gadam” noteikto valsts budžeta aizdevumu kopējo palielinājumu.</w:t>
            </w:r>
          </w:p>
          <w:p w14:paraId="65389C2D" w14:textId="506AF5ED" w:rsidR="00070BB5" w:rsidRPr="003B2FE4" w:rsidRDefault="003D6829" w:rsidP="006D2271">
            <w:pPr>
              <w:spacing w:before="120" w:after="120"/>
              <w:ind w:left="125" w:right="113"/>
              <w:jc w:val="both"/>
              <w:rPr>
                <w:b/>
              </w:rPr>
            </w:pPr>
            <w:r w:rsidRPr="003B2FE4">
              <w:rPr>
                <w:shd w:val="clear" w:color="auto" w:fill="FFFFFF"/>
              </w:rPr>
              <w:t>2020.gada 19.</w:t>
            </w:r>
            <w:r w:rsidR="00070BB5" w:rsidRPr="003B2FE4">
              <w:rPr>
                <w:shd w:val="clear" w:color="auto" w:fill="FFFFFF"/>
              </w:rPr>
              <w:t xml:space="preserve">martā </w:t>
            </w:r>
            <w:r w:rsidR="006D2271">
              <w:rPr>
                <w:shd w:val="clear" w:color="auto" w:fill="FFFFFF"/>
              </w:rPr>
              <w:t>pieņemti</w:t>
            </w:r>
            <w:r w:rsidR="00070BB5" w:rsidRPr="003B2FE4">
              <w:rPr>
                <w:shd w:val="clear" w:color="auto" w:fill="FFFFFF"/>
              </w:rPr>
              <w:t xml:space="preserve"> </w:t>
            </w:r>
            <w:r w:rsidRPr="003B2FE4">
              <w:rPr>
                <w:shd w:val="clear" w:color="auto" w:fill="FFFFFF"/>
              </w:rPr>
              <w:t>Ministru kabineta noteikumi Nr.</w:t>
            </w:r>
            <w:r w:rsidR="00070BB5" w:rsidRPr="003B2FE4">
              <w:rPr>
                <w:shd w:val="clear" w:color="auto" w:fill="FFFFFF"/>
              </w:rPr>
              <w:t xml:space="preserve">149 "Noteikumi par apgrozāmo līdzekļu aizdevumiem saimnieciskās darbības veicējiem, kuru darbību ietekmējusi Covid-19 izplatība", kas paredz aizdevumu pieejamību saimnieciskās darbības veicējiem, kuru darbību ietekmējusi </w:t>
            </w:r>
            <w:proofErr w:type="spellStart"/>
            <w:r w:rsidR="00070BB5" w:rsidRPr="003B2FE4">
              <w:rPr>
                <w:shd w:val="clear" w:color="auto" w:fill="FFFFFF"/>
              </w:rPr>
              <w:t>koronavīrusa</w:t>
            </w:r>
            <w:proofErr w:type="spellEnd"/>
            <w:r w:rsidR="00070BB5" w:rsidRPr="003B2FE4">
              <w:rPr>
                <w:shd w:val="clear" w:color="auto" w:fill="FFFFFF"/>
              </w:rPr>
              <w:t xml:space="preserve"> izraisītās slimības Covid-19 izplatība.</w:t>
            </w:r>
          </w:p>
        </w:tc>
      </w:tr>
      <w:tr w:rsidR="003B2FE4" w:rsidRPr="003B2FE4" w14:paraId="4C69F073" w14:textId="77777777" w:rsidTr="003F1B84">
        <w:trPr>
          <w:trHeight w:val="682"/>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B339D0" w14:textId="77777777" w:rsidR="00D6079A" w:rsidRPr="003B2FE4" w:rsidRDefault="00D6079A" w:rsidP="000044FA">
            <w:pPr>
              <w:spacing w:before="100" w:after="100"/>
            </w:pPr>
            <w:r w:rsidRPr="003B2FE4">
              <w:lastRenderedPageBreak/>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BD96BD" w14:textId="77777777" w:rsidR="00D6079A" w:rsidRPr="003B2FE4" w:rsidRDefault="00D6079A" w:rsidP="000044FA">
            <w:pPr>
              <w:spacing w:before="100" w:after="100"/>
            </w:pPr>
            <w:r w:rsidRPr="003B2FE4">
              <w:t>Pašreizējā situācija un problēmas, kuru risināšanai tiesību akta projekts izstrādāts, tiesiskā regulējuma mērķis un būtība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50A5EE9" w14:textId="77777777" w:rsidR="003B2FE4" w:rsidRPr="003726CD" w:rsidRDefault="00E27179" w:rsidP="00E27179">
            <w:pPr>
              <w:spacing w:before="120" w:after="120"/>
              <w:ind w:left="125" w:right="113"/>
              <w:jc w:val="both"/>
            </w:pPr>
            <w:r w:rsidRPr="003726CD">
              <w:t>Katru gadu gadskārtējā valsts budžeta likumā tiek noteikts valsts aizdevumu kopējais palielinājums, t.sk. atsevišķi nosakot pašvaldību aizņēmumu kopējo palielinājumu. Savukārt kopējais gadā pieļaujamais izsniedzamo valsts aizdevumu apmērs ietver gan gadskārtējā valsts budžeta likumā noteikto valsts aizdevumu kopējo palielinājumu, gan iepriekšējos gados izsniegto valsts aizdevumu paredzētās atmaksas.</w:t>
            </w:r>
          </w:p>
          <w:p w14:paraId="0F2E1D82" w14:textId="77777777" w:rsidR="003B2FE4" w:rsidRPr="003726CD" w:rsidRDefault="003B2FE4" w:rsidP="003B2FE4">
            <w:pPr>
              <w:spacing w:before="120" w:after="120"/>
              <w:ind w:left="125" w:right="113"/>
              <w:jc w:val="both"/>
            </w:pPr>
            <w:r w:rsidRPr="003726CD">
              <w:rPr>
                <w:bCs/>
              </w:rPr>
              <w:t xml:space="preserve">Ņemot vērā, ka aizvien aktīvāk tiek izmantotas normatīvajos aktos noteiktās tiesības izņemt valsts aizdevumu vidējā termiņā, </w:t>
            </w:r>
            <w:r w:rsidRPr="003726CD">
              <w:t xml:space="preserve">saskaņā ar iepriekšējos gados noslēgto aizdevuma līgumu nosacījumiem, valsts uzņemtās saistības aizdevumu izmaksai, kas pāriet uz 2020. gadu, ir 202,4 milj. </w:t>
            </w:r>
            <w:proofErr w:type="spellStart"/>
            <w:r w:rsidRPr="003726CD">
              <w:rPr>
                <w:i/>
              </w:rPr>
              <w:t>euro</w:t>
            </w:r>
            <w:proofErr w:type="spellEnd"/>
            <w:r w:rsidRPr="003726CD">
              <w:t xml:space="preserve">, t.sk. 131,4 milj. </w:t>
            </w:r>
            <w:proofErr w:type="spellStart"/>
            <w:r w:rsidRPr="003726CD">
              <w:rPr>
                <w:i/>
              </w:rPr>
              <w:t>euro</w:t>
            </w:r>
            <w:proofErr w:type="spellEnd"/>
            <w:r w:rsidRPr="003726CD">
              <w:t xml:space="preserve"> plānotās izmaksas pašvaldībām.</w:t>
            </w:r>
          </w:p>
          <w:p w14:paraId="772ECB08" w14:textId="77777777" w:rsidR="003B2FE4" w:rsidRPr="003726CD" w:rsidRDefault="003B2FE4" w:rsidP="003B2FE4">
            <w:pPr>
              <w:spacing w:before="120" w:after="120"/>
              <w:ind w:left="125" w:right="113"/>
              <w:jc w:val="both"/>
            </w:pPr>
            <w:r w:rsidRPr="003726CD">
              <w:t xml:space="preserve">Valsts pamatbudžeta aizdevumi (izsniegto aizdevumu un izsniegto aizdevumu saņemtās atmaksas starpība) 2020.gadā plānoti 334,5 milj. </w:t>
            </w:r>
            <w:proofErr w:type="spellStart"/>
            <w:r w:rsidRPr="003726CD">
              <w:rPr>
                <w:i/>
              </w:rPr>
              <w:t>euro</w:t>
            </w:r>
            <w:proofErr w:type="spellEnd"/>
            <w:r w:rsidRPr="003726CD">
              <w:t xml:space="preserve"> apmērā. </w:t>
            </w:r>
          </w:p>
          <w:p w14:paraId="592FE4B2" w14:textId="77777777" w:rsidR="003B2FE4" w:rsidRPr="003726CD" w:rsidRDefault="003B2FE4" w:rsidP="003B2FE4">
            <w:pPr>
              <w:spacing w:before="120" w:after="120"/>
              <w:ind w:left="125" w:right="113"/>
              <w:jc w:val="both"/>
            </w:pPr>
            <w:r w:rsidRPr="003726CD">
              <w:t xml:space="preserve">Valsts budžeta izsniegtie aizdevumi plānoti 454,4 milj. </w:t>
            </w:r>
            <w:proofErr w:type="spellStart"/>
            <w:r w:rsidRPr="003726CD">
              <w:rPr>
                <w:i/>
              </w:rPr>
              <w:t>euro</w:t>
            </w:r>
            <w:proofErr w:type="spellEnd"/>
            <w:r w:rsidRPr="003726CD">
              <w:t xml:space="preserve"> apjomā, tajā skaitā:</w:t>
            </w:r>
          </w:p>
          <w:p w14:paraId="1D6564FF" w14:textId="77777777" w:rsidR="003B2FE4" w:rsidRPr="003726CD" w:rsidRDefault="003B2FE4" w:rsidP="003B2FE4">
            <w:pPr>
              <w:numPr>
                <w:ilvl w:val="0"/>
                <w:numId w:val="17"/>
              </w:numPr>
              <w:ind w:left="1066" w:hanging="357"/>
              <w:jc w:val="both"/>
            </w:pPr>
            <w:r w:rsidRPr="003726CD">
              <w:t xml:space="preserve">103,9 milj. </w:t>
            </w:r>
            <w:proofErr w:type="spellStart"/>
            <w:r w:rsidRPr="003726CD">
              <w:rPr>
                <w:i/>
              </w:rPr>
              <w:t>euro</w:t>
            </w:r>
            <w:proofErr w:type="spellEnd"/>
            <w:r w:rsidRPr="003726CD">
              <w:t xml:space="preserve"> valsts struktūrām;</w:t>
            </w:r>
          </w:p>
          <w:p w14:paraId="55E0466E" w14:textId="77777777" w:rsidR="003B2FE4" w:rsidRPr="003726CD" w:rsidRDefault="003B2FE4" w:rsidP="003B2FE4">
            <w:pPr>
              <w:numPr>
                <w:ilvl w:val="0"/>
                <w:numId w:val="17"/>
              </w:numPr>
              <w:ind w:left="1066" w:hanging="357"/>
              <w:jc w:val="both"/>
            </w:pPr>
            <w:r w:rsidRPr="003726CD">
              <w:t xml:space="preserve">229,0 milj. </w:t>
            </w:r>
            <w:proofErr w:type="spellStart"/>
            <w:r w:rsidRPr="003726CD">
              <w:rPr>
                <w:i/>
              </w:rPr>
              <w:t>euro</w:t>
            </w:r>
            <w:proofErr w:type="spellEnd"/>
            <w:r w:rsidRPr="003726CD">
              <w:t xml:space="preserve"> aizdevumiem pašvaldību struktūrām;</w:t>
            </w:r>
          </w:p>
          <w:p w14:paraId="17FAC1DB" w14:textId="77777777" w:rsidR="003B2FE4" w:rsidRPr="003726CD" w:rsidRDefault="003B2FE4" w:rsidP="003B2FE4">
            <w:pPr>
              <w:numPr>
                <w:ilvl w:val="0"/>
                <w:numId w:val="17"/>
              </w:numPr>
              <w:ind w:left="1066" w:hanging="357"/>
              <w:jc w:val="both"/>
            </w:pPr>
            <w:r w:rsidRPr="003726CD">
              <w:t xml:space="preserve">83,0 milj. </w:t>
            </w:r>
            <w:proofErr w:type="spellStart"/>
            <w:r w:rsidRPr="003726CD">
              <w:rPr>
                <w:i/>
              </w:rPr>
              <w:t>euro</w:t>
            </w:r>
            <w:proofErr w:type="spellEnd"/>
            <w:r w:rsidRPr="003726CD">
              <w:t xml:space="preserve"> aizdevumiem </w:t>
            </w:r>
            <w:proofErr w:type="spellStart"/>
            <w:r w:rsidRPr="003726CD">
              <w:t>nefinanšu</w:t>
            </w:r>
            <w:proofErr w:type="spellEnd"/>
            <w:r w:rsidRPr="003726CD">
              <w:t xml:space="preserve"> sabiedrībām,</w:t>
            </w:r>
          </w:p>
          <w:p w14:paraId="09EBA483" w14:textId="77777777" w:rsidR="003B2FE4" w:rsidRPr="003726CD" w:rsidRDefault="003B2FE4" w:rsidP="003B2FE4">
            <w:pPr>
              <w:numPr>
                <w:ilvl w:val="0"/>
                <w:numId w:val="17"/>
              </w:numPr>
              <w:ind w:left="1066" w:hanging="357"/>
              <w:jc w:val="both"/>
            </w:pPr>
            <w:r w:rsidRPr="003726CD">
              <w:t>38,5  nerezidentiem.</w:t>
            </w:r>
          </w:p>
          <w:p w14:paraId="3012E0AD" w14:textId="77777777" w:rsidR="003B2FE4" w:rsidRPr="003726CD" w:rsidRDefault="003B2FE4" w:rsidP="003B2FE4">
            <w:pPr>
              <w:spacing w:before="120" w:after="120"/>
              <w:ind w:left="125" w:right="113"/>
              <w:jc w:val="both"/>
            </w:pPr>
            <w:r w:rsidRPr="003726CD">
              <w:t xml:space="preserve">Saskaņā ar iepriekšējos gados noslēgtajos aizdevuma līgumos iekļautajiem aizdevumu atmaksas grafikiem, 2020. gadā valsts aizdevumu atmaksas plānotas 119,9  milj. </w:t>
            </w:r>
            <w:proofErr w:type="spellStart"/>
            <w:r w:rsidRPr="003726CD">
              <w:rPr>
                <w:i/>
              </w:rPr>
              <w:t>euro</w:t>
            </w:r>
            <w:proofErr w:type="spellEnd"/>
            <w:r w:rsidRPr="003726CD">
              <w:rPr>
                <w:b/>
              </w:rPr>
              <w:t xml:space="preserve"> </w:t>
            </w:r>
            <w:r w:rsidRPr="003726CD">
              <w:t>apmērā, tajā skaitā:</w:t>
            </w:r>
          </w:p>
          <w:p w14:paraId="5F421155" w14:textId="77777777" w:rsidR="003B2FE4" w:rsidRPr="003726CD" w:rsidRDefault="003B2FE4" w:rsidP="003B2FE4">
            <w:pPr>
              <w:numPr>
                <w:ilvl w:val="0"/>
                <w:numId w:val="16"/>
              </w:numPr>
              <w:tabs>
                <w:tab w:val="num" w:pos="-2268"/>
              </w:tabs>
              <w:ind w:left="1072" w:hanging="363"/>
              <w:jc w:val="both"/>
            </w:pPr>
            <w:r w:rsidRPr="003726CD">
              <w:t xml:space="preserve">no valsts struktūrām – 1,6 milj. </w:t>
            </w:r>
            <w:proofErr w:type="spellStart"/>
            <w:r w:rsidRPr="003726CD">
              <w:rPr>
                <w:i/>
              </w:rPr>
              <w:t>euro</w:t>
            </w:r>
            <w:proofErr w:type="spellEnd"/>
            <w:r w:rsidRPr="003726CD">
              <w:t>;</w:t>
            </w:r>
          </w:p>
          <w:p w14:paraId="049FC479" w14:textId="77777777" w:rsidR="003B2FE4" w:rsidRPr="003726CD" w:rsidRDefault="003B2FE4" w:rsidP="003B2FE4">
            <w:pPr>
              <w:numPr>
                <w:ilvl w:val="0"/>
                <w:numId w:val="16"/>
              </w:numPr>
              <w:tabs>
                <w:tab w:val="num" w:pos="-2268"/>
              </w:tabs>
              <w:ind w:left="1072" w:hanging="363"/>
              <w:jc w:val="both"/>
            </w:pPr>
            <w:r w:rsidRPr="003726CD">
              <w:t xml:space="preserve">no pašvaldību struktūrām – 111,1 milj. </w:t>
            </w:r>
            <w:proofErr w:type="spellStart"/>
            <w:r w:rsidRPr="003726CD">
              <w:rPr>
                <w:i/>
              </w:rPr>
              <w:t>euro</w:t>
            </w:r>
            <w:proofErr w:type="spellEnd"/>
            <w:r w:rsidRPr="003726CD">
              <w:t>;</w:t>
            </w:r>
          </w:p>
          <w:p w14:paraId="0040FA3A" w14:textId="77777777" w:rsidR="003B2FE4" w:rsidRPr="003726CD" w:rsidRDefault="003B2FE4" w:rsidP="003B2FE4">
            <w:pPr>
              <w:numPr>
                <w:ilvl w:val="0"/>
                <w:numId w:val="16"/>
              </w:numPr>
              <w:tabs>
                <w:tab w:val="num" w:pos="-2268"/>
              </w:tabs>
              <w:spacing w:after="240"/>
              <w:ind w:left="1072" w:hanging="363"/>
              <w:jc w:val="both"/>
            </w:pPr>
            <w:r w:rsidRPr="003726CD">
              <w:t xml:space="preserve">no </w:t>
            </w:r>
            <w:proofErr w:type="spellStart"/>
            <w:r w:rsidRPr="003726CD">
              <w:t>nefinanšu</w:t>
            </w:r>
            <w:proofErr w:type="spellEnd"/>
            <w:r w:rsidRPr="003726CD">
              <w:t xml:space="preserve"> sabiedrībām – 7,2 milj. </w:t>
            </w:r>
            <w:proofErr w:type="spellStart"/>
            <w:r w:rsidRPr="003726CD">
              <w:rPr>
                <w:i/>
              </w:rPr>
              <w:t>euro</w:t>
            </w:r>
            <w:proofErr w:type="spellEnd"/>
            <w:r w:rsidRPr="003726CD">
              <w:t>.</w:t>
            </w:r>
          </w:p>
          <w:p w14:paraId="2796C9D0" w14:textId="7256E3AE" w:rsidR="00A331FE" w:rsidRPr="003726CD" w:rsidRDefault="00E27179" w:rsidP="00181AB3">
            <w:pPr>
              <w:spacing w:before="120" w:after="120"/>
              <w:ind w:left="125" w:right="113"/>
              <w:jc w:val="both"/>
            </w:pPr>
            <w:r w:rsidRPr="003726CD">
              <w:rPr>
                <w:bCs/>
              </w:rPr>
              <w:t xml:space="preserve"> </w:t>
            </w:r>
            <w:r w:rsidR="00A331FE" w:rsidRPr="003726CD">
              <w:t xml:space="preserve">Likuma “Par valsts budžetu 2020.gadam” 12.pantā noteikts valsts budžeta aizdevumu kopējo palielinājums 216 319 079 </w:t>
            </w:r>
            <w:proofErr w:type="spellStart"/>
            <w:r w:rsidR="00A331FE" w:rsidRPr="003726CD">
              <w:rPr>
                <w:i/>
              </w:rPr>
              <w:t>euro</w:t>
            </w:r>
            <w:proofErr w:type="spellEnd"/>
            <w:r w:rsidR="00A331FE" w:rsidRPr="003726CD">
              <w:t xml:space="preserve"> apm</w:t>
            </w:r>
            <w:r w:rsidR="003D6829" w:rsidRPr="003726CD">
              <w:t>ērā, kas neietver šā likuma 13.</w:t>
            </w:r>
            <w:r w:rsidR="00A331FE" w:rsidRPr="003726CD">
              <w:t>pantā noteikto pašvaldību aizņēmumu kopējo palielinājumu, ja aizņēmumi tiek ņemti no Valsts kases.</w:t>
            </w:r>
          </w:p>
          <w:p w14:paraId="2DEBA88D" w14:textId="02474C77" w:rsidR="0008143E" w:rsidRPr="003726CD" w:rsidRDefault="0008143E" w:rsidP="00E27179">
            <w:pPr>
              <w:spacing w:before="120" w:after="120"/>
              <w:ind w:left="125" w:right="113"/>
              <w:jc w:val="both"/>
            </w:pPr>
            <w:r w:rsidRPr="003726CD">
              <w:t xml:space="preserve">Šā likuma 13.panta pirmajā daļā noteikts pašvaldību aizņēmumu kopējais palielinājums 118 138 258 </w:t>
            </w:r>
            <w:proofErr w:type="spellStart"/>
            <w:r w:rsidRPr="003726CD">
              <w:rPr>
                <w:i/>
              </w:rPr>
              <w:t>euro</w:t>
            </w:r>
            <w:proofErr w:type="spellEnd"/>
            <w:r w:rsidR="006F624C">
              <w:t xml:space="preserve"> apmērā.</w:t>
            </w:r>
          </w:p>
          <w:p w14:paraId="4EFF4E01" w14:textId="1BB563C5" w:rsidR="00511918" w:rsidRPr="003726CD" w:rsidRDefault="00C06009" w:rsidP="00511918">
            <w:pPr>
              <w:spacing w:before="120" w:after="120"/>
              <w:ind w:left="125" w:right="113"/>
              <w:jc w:val="both"/>
            </w:pPr>
            <w:r>
              <w:rPr>
                <w:shd w:val="clear" w:color="auto" w:fill="FFFFFF"/>
              </w:rPr>
              <w:t xml:space="preserve">2020.gada </w:t>
            </w:r>
            <w:r w:rsidR="00B53238">
              <w:rPr>
                <w:shd w:val="clear" w:color="auto" w:fill="FFFFFF"/>
              </w:rPr>
              <w:t>19</w:t>
            </w:r>
            <w:r w:rsidR="003D6829" w:rsidRPr="003726CD">
              <w:rPr>
                <w:shd w:val="clear" w:color="auto" w:fill="FFFFFF"/>
              </w:rPr>
              <w:t>.</w:t>
            </w:r>
            <w:r w:rsidR="00A331FE" w:rsidRPr="003726CD">
              <w:rPr>
                <w:shd w:val="clear" w:color="auto" w:fill="FFFFFF"/>
              </w:rPr>
              <w:t xml:space="preserve">martā </w:t>
            </w:r>
            <w:r w:rsidR="00B53238">
              <w:rPr>
                <w:shd w:val="clear" w:color="auto" w:fill="FFFFFF"/>
              </w:rPr>
              <w:t>pieņemti</w:t>
            </w:r>
            <w:bookmarkStart w:id="1" w:name="_GoBack"/>
            <w:bookmarkEnd w:id="1"/>
            <w:r w:rsidR="00A331FE" w:rsidRPr="003726CD">
              <w:rPr>
                <w:shd w:val="clear" w:color="auto" w:fill="FFFFFF"/>
              </w:rPr>
              <w:t xml:space="preserve"> </w:t>
            </w:r>
            <w:r w:rsidR="003D6829" w:rsidRPr="003726CD">
              <w:rPr>
                <w:shd w:val="clear" w:color="auto" w:fill="FFFFFF"/>
              </w:rPr>
              <w:t>Ministru kabineta noteikumi Nr.</w:t>
            </w:r>
            <w:r w:rsidR="00A331FE" w:rsidRPr="003726CD">
              <w:rPr>
                <w:shd w:val="clear" w:color="auto" w:fill="FFFFFF"/>
              </w:rPr>
              <w:t xml:space="preserve">149 "Noteikumi par apgrozāmo līdzekļu aizdevumiem saimnieciskās darbības veicējiem, kuru darbību ietekmējusi Covid-19 izplatība" (turpmāk – Noteikumi), kas paredz aizdevumu pieejamību saimnieciskās darbības veicējiem, kuru darbību ietekmējusi </w:t>
            </w:r>
            <w:proofErr w:type="spellStart"/>
            <w:r w:rsidR="00A331FE" w:rsidRPr="003726CD">
              <w:rPr>
                <w:shd w:val="clear" w:color="auto" w:fill="FFFFFF"/>
              </w:rPr>
              <w:t>koronavīrusa</w:t>
            </w:r>
            <w:proofErr w:type="spellEnd"/>
            <w:r w:rsidR="00A331FE" w:rsidRPr="003726CD">
              <w:rPr>
                <w:shd w:val="clear" w:color="auto" w:fill="FFFFFF"/>
              </w:rPr>
              <w:t xml:space="preserve"> izraisītās slimības Covid-19 izplatība. </w:t>
            </w:r>
            <w:r w:rsidR="00A331FE" w:rsidRPr="003726CD">
              <w:t>Savukārt, lai nodrošinātu apgrozāmo līdzekļu aizdevumu programmas īstenošanu, š</w:t>
            </w:r>
            <w:r w:rsidR="00A331FE" w:rsidRPr="003726CD">
              <w:rPr>
                <w:shd w:val="clear" w:color="auto" w:fill="FFFFFF"/>
              </w:rPr>
              <w:t xml:space="preserve">o Noteikumu 7.punkts paredz, ka, lai nodrošinātu finansējumu aizdevuma piešķiršanai, akciju sabiedrība </w:t>
            </w:r>
            <w:r w:rsidR="00FC5F2F" w:rsidRPr="003726CD">
              <w:rPr>
                <w:spacing w:val="-2"/>
                <w:szCs w:val="28"/>
              </w:rPr>
              <w:t xml:space="preserve">“Attīstības finanšu institūcija </w:t>
            </w:r>
            <w:proofErr w:type="spellStart"/>
            <w:r w:rsidR="00FC5F2F" w:rsidRPr="003726CD">
              <w:rPr>
                <w:spacing w:val="-2"/>
                <w:szCs w:val="28"/>
              </w:rPr>
              <w:t>Altum</w:t>
            </w:r>
            <w:proofErr w:type="spellEnd"/>
            <w:r w:rsidR="00FC5F2F" w:rsidRPr="003726CD">
              <w:rPr>
                <w:spacing w:val="-2"/>
                <w:szCs w:val="28"/>
              </w:rPr>
              <w:t>”</w:t>
            </w:r>
            <w:r w:rsidR="00A331FE" w:rsidRPr="003726CD">
              <w:rPr>
                <w:shd w:val="clear" w:color="auto" w:fill="FFFFFF"/>
              </w:rPr>
              <w:t xml:space="preserve"> piesaista valsts aizdevumu līdz 150 000 000 </w:t>
            </w:r>
            <w:proofErr w:type="spellStart"/>
            <w:r w:rsidR="00A331FE" w:rsidRPr="003726CD">
              <w:rPr>
                <w:i/>
                <w:shd w:val="clear" w:color="auto" w:fill="FFFFFF"/>
              </w:rPr>
              <w:t>euro</w:t>
            </w:r>
            <w:proofErr w:type="spellEnd"/>
            <w:r w:rsidR="00A331FE" w:rsidRPr="003726CD">
              <w:rPr>
                <w:shd w:val="clear" w:color="auto" w:fill="FFFFFF"/>
              </w:rPr>
              <w:t xml:space="preserve"> apmērā kredītlīnijas veidā.</w:t>
            </w:r>
          </w:p>
          <w:p w14:paraId="4B8297C3" w14:textId="28D357B9" w:rsidR="00511918" w:rsidRPr="003726CD" w:rsidRDefault="00A331FE" w:rsidP="00181AB3">
            <w:pPr>
              <w:spacing w:before="120" w:after="120"/>
              <w:ind w:left="125" w:right="113"/>
              <w:jc w:val="both"/>
            </w:pPr>
            <w:r w:rsidRPr="003726CD">
              <w:rPr>
                <w:shd w:val="clear" w:color="auto" w:fill="FFFFFF"/>
              </w:rPr>
              <w:t>Ministru kabineta apstiprinātā atbalsta mehānisma uzņēmējiem īstenošanai piemērojamas likuma “</w:t>
            </w:r>
            <w:hyperlink r:id="rId8" w:history="1">
              <w:r w:rsidRPr="003726CD">
                <w:t xml:space="preserve">Par valsts apdraudējuma un tā </w:t>
              </w:r>
              <w:r w:rsidRPr="003726CD">
                <w:lastRenderedPageBreak/>
                <w:t>seku novērš</w:t>
              </w:r>
            </w:hyperlink>
            <w:hyperlink r:id="rId9" w:history="1">
              <w:r w:rsidRPr="003726CD">
                <w:t>anas un pārvarēšanas pasākumiem sakarā ar Covid-19 izplatību</w:t>
              </w:r>
            </w:hyperlink>
            <w:r w:rsidRPr="003726CD">
              <w:rPr>
                <w:shd w:val="clear" w:color="auto" w:fill="FFFFFF"/>
              </w:rPr>
              <w:t>” normas, kas deleģē Ministru kabinetam tiesības palielināt l</w:t>
            </w:r>
            <w:r w:rsidR="00025805" w:rsidRPr="003726CD">
              <w:rPr>
                <w:shd w:val="clear" w:color="auto" w:fill="FFFFFF"/>
              </w:rPr>
              <w:t>ikumā "Par valsts budžetu 2020.</w:t>
            </w:r>
            <w:r w:rsidRPr="003726CD">
              <w:rPr>
                <w:shd w:val="clear" w:color="auto" w:fill="FFFFFF"/>
              </w:rPr>
              <w:t>gadam" noteikto valsts budžeta aizdevumu kopējo palielinājumu</w:t>
            </w:r>
            <w:r w:rsidR="00511918" w:rsidRPr="003726CD">
              <w:rPr>
                <w:shd w:val="clear" w:color="auto" w:fill="FFFFFF"/>
              </w:rPr>
              <w:t>.</w:t>
            </w:r>
            <w:r w:rsidRPr="003726CD">
              <w:rPr>
                <w:shd w:val="clear" w:color="auto" w:fill="FFFFFF"/>
              </w:rPr>
              <w:t xml:space="preserve"> </w:t>
            </w:r>
          </w:p>
          <w:p w14:paraId="1BD16DB1" w14:textId="62A4BCB6" w:rsidR="00D6079A" w:rsidRPr="003726CD" w:rsidRDefault="00110E29" w:rsidP="00181AB3">
            <w:pPr>
              <w:spacing w:before="120" w:after="120"/>
              <w:ind w:left="125" w:right="113"/>
              <w:jc w:val="both"/>
              <w:rPr>
                <w:bCs/>
              </w:rPr>
            </w:pPr>
            <w:r w:rsidRPr="003726CD">
              <w:t>L</w:t>
            </w:r>
            <w:r w:rsidR="00A331FE" w:rsidRPr="003726CD">
              <w:rPr>
                <w:shd w:val="clear" w:color="auto" w:fill="FFFFFF"/>
              </w:rPr>
              <w:t xml:space="preserve">ai nodrošinātu šo Noteikumu izpildi, izsniedzot akciju sabiedrībai </w:t>
            </w:r>
            <w:r w:rsidR="009522AE" w:rsidRPr="003726CD">
              <w:rPr>
                <w:spacing w:val="-2"/>
                <w:szCs w:val="28"/>
              </w:rPr>
              <w:t xml:space="preserve">“Attīstības finanšu institūcija </w:t>
            </w:r>
            <w:proofErr w:type="spellStart"/>
            <w:r w:rsidR="009522AE" w:rsidRPr="003726CD">
              <w:rPr>
                <w:spacing w:val="-2"/>
                <w:szCs w:val="28"/>
              </w:rPr>
              <w:t>Altum</w:t>
            </w:r>
            <w:proofErr w:type="spellEnd"/>
            <w:r w:rsidR="009522AE" w:rsidRPr="003726CD">
              <w:rPr>
                <w:spacing w:val="-2"/>
                <w:szCs w:val="28"/>
              </w:rPr>
              <w:t>”</w:t>
            </w:r>
            <w:r w:rsidR="00A331FE" w:rsidRPr="003726CD">
              <w:rPr>
                <w:shd w:val="clear" w:color="auto" w:fill="FFFFFF"/>
              </w:rPr>
              <w:t xml:space="preserve"> valsts aizdevumu kredītlīnijas veidā, tālāk aizdevumu nodrošināšanai saimnieciskās darbības veicējiem, kuru darbību ietekmējusi </w:t>
            </w:r>
            <w:proofErr w:type="spellStart"/>
            <w:r w:rsidR="00A331FE" w:rsidRPr="003726CD">
              <w:rPr>
                <w:shd w:val="clear" w:color="auto" w:fill="FFFFFF"/>
              </w:rPr>
              <w:t>koronavīrusa</w:t>
            </w:r>
            <w:proofErr w:type="spellEnd"/>
            <w:r w:rsidR="00A331FE" w:rsidRPr="003726CD">
              <w:rPr>
                <w:shd w:val="clear" w:color="auto" w:fill="FFFFFF"/>
              </w:rPr>
              <w:t xml:space="preserve"> izraisī</w:t>
            </w:r>
            <w:r w:rsidR="00F7738B" w:rsidRPr="003726CD">
              <w:rPr>
                <w:shd w:val="clear" w:color="auto" w:fill="FFFFFF"/>
              </w:rPr>
              <w:t>tās slimības Covid-19 izplatība</w:t>
            </w:r>
            <w:r w:rsidRPr="003726CD">
              <w:t>, Finanšu ministrija ir sagatavojusi Ministru kabineta rīkojuma projektu</w:t>
            </w:r>
            <w:r w:rsidRPr="003726CD">
              <w:rPr>
                <w:iCs/>
              </w:rPr>
              <w:t xml:space="preserve">, paredzot </w:t>
            </w:r>
            <w:r w:rsidR="00372454">
              <w:t>palielināt likuma</w:t>
            </w:r>
            <w:r w:rsidRPr="003726CD">
              <w:t xml:space="preserve"> “Par valsts budžetu 2020.gadam” </w:t>
            </w:r>
            <w:r w:rsidR="00372454">
              <w:t xml:space="preserve">12.pantā </w:t>
            </w:r>
            <w:r w:rsidRPr="003726CD">
              <w:t xml:space="preserve">noteikto valsts budžeta aizdevumu kopējo palielinājumu </w:t>
            </w:r>
            <w:r w:rsidR="00372454">
              <w:t xml:space="preserve">par </w:t>
            </w:r>
            <w:r w:rsidRPr="003726CD">
              <w:t xml:space="preserve">150 000 000 </w:t>
            </w:r>
            <w:proofErr w:type="spellStart"/>
            <w:r w:rsidR="00372454">
              <w:rPr>
                <w:i/>
              </w:rPr>
              <w:t>euro</w:t>
            </w:r>
            <w:proofErr w:type="spellEnd"/>
            <w:r w:rsidRPr="003726CD">
              <w:t>.</w:t>
            </w:r>
          </w:p>
        </w:tc>
      </w:tr>
      <w:tr w:rsidR="003B2FE4" w:rsidRPr="003B2FE4" w14:paraId="3BB49A49" w14:textId="77777777"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3A3AC1" w14:textId="77777777" w:rsidR="009D36DE" w:rsidRPr="003B2FE4" w:rsidRDefault="009D36DE" w:rsidP="000044FA">
            <w:pPr>
              <w:spacing w:before="100" w:after="100"/>
            </w:pPr>
            <w:r w:rsidRPr="003B2FE4">
              <w:lastRenderedPageBreak/>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ECC2D3" w14:textId="77777777" w:rsidR="009D36DE" w:rsidRPr="003B2FE4" w:rsidRDefault="009D36DE" w:rsidP="000044FA">
            <w:pPr>
              <w:spacing w:before="100" w:after="100"/>
            </w:pPr>
            <w:r w:rsidRPr="003B2FE4">
              <w:t>Projekta izstrādē iesaistītās institūcijas un publiskas 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FAE1C9" w14:textId="77777777" w:rsidR="009D36DE" w:rsidRPr="003B2FE4" w:rsidRDefault="003B60B8" w:rsidP="006D245F">
            <w:pPr>
              <w:spacing w:before="100" w:after="100"/>
              <w:ind w:firstLine="123"/>
              <w:jc w:val="both"/>
            </w:pPr>
            <w:r w:rsidRPr="003B2FE4">
              <w:t>Nav</w:t>
            </w:r>
          </w:p>
        </w:tc>
      </w:tr>
      <w:tr w:rsidR="003B2FE4" w:rsidRPr="003B2FE4" w14:paraId="5652B384" w14:textId="77777777"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A8FBA30" w14:textId="77777777" w:rsidR="009D36DE" w:rsidRPr="003B2FE4" w:rsidRDefault="009D36DE" w:rsidP="000044FA">
            <w:pPr>
              <w:spacing w:before="100" w:after="100"/>
            </w:pPr>
            <w:r w:rsidRPr="003B2FE4">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E68AD9" w14:textId="77777777" w:rsidR="009D36DE" w:rsidRPr="003B2FE4" w:rsidRDefault="009D36DE" w:rsidP="000044FA">
            <w:pPr>
              <w:spacing w:before="100" w:after="100"/>
            </w:pPr>
            <w:r w:rsidRPr="003B2FE4">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695E48" w14:textId="77777777" w:rsidR="009D36DE" w:rsidRPr="003B2FE4" w:rsidRDefault="003B60B8" w:rsidP="006D245F">
            <w:pPr>
              <w:spacing w:before="100" w:after="100"/>
              <w:ind w:firstLine="123"/>
              <w:jc w:val="both"/>
            </w:pPr>
            <w:r w:rsidRPr="003B2FE4">
              <w:rPr>
                <w:bCs/>
              </w:rPr>
              <w:t>Nav</w:t>
            </w:r>
          </w:p>
        </w:tc>
      </w:tr>
    </w:tbl>
    <w:p w14:paraId="3DBDB41B" w14:textId="77777777" w:rsidR="009D36DE" w:rsidRPr="003B2FE4" w:rsidRDefault="009D36DE" w:rsidP="000044FA"/>
    <w:tbl>
      <w:tblPr>
        <w:tblW w:w="5181" w:type="pct"/>
        <w:tblInd w:w="-147" w:type="dxa"/>
        <w:tblCellMar>
          <w:left w:w="10" w:type="dxa"/>
          <w:right w:w="10" w:type="dxa"/>
        </w:tblCellMar>
        <w:tblLook w:val="0000" w:firstRow="0" w:lastRow="0" w:firstColumn="0" w:lastColumn="0" w:noHBand="0" w:noVBand="0"/>
      </w:tblPr>
      <w:tblGrid>
        <w:gridCol w:w="426"/>
        <w:gridCol w:w="2121"/>
        <w:gridCol w:w="6808"/>
        <w:gridCol w:w="40"/>
      </w:tblGrid>
      <w:tr w:rsidR="003B2FE4" w:rsidRPr="003B2FE4" w14:paraId="4C146E2F" w14:textId="77777777" w:rsidTr="00D72F5C">
        <w:trPr>
          <w:trHeight w:val="444"/>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B351E4" w14:textId="77777777" w:rsidR="009D36DE" w:rsidRPr="003B2FE4" w:rsidRDefault="009D36DE" w:rsidP="004B4E72">
            <w:pPr>
              <w:ind w:right="-19"/>
              <w:jc w:val="center"/>
              <w:rPr>
                <w:b/>
                <w:bCs/>
              </w:rPr>
            </w:pPr>
            <w:r w:rsidRPr="003B2FE4">
              <w:rPr>
                <w:b/>
                <w:bCs/>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475968C0" w14:textId="77777777" w:rsidR="009D36DE" w:rsidRPr="003B2FE4" w:rsidRDefault="009D36DE" w:rsidP="000044FA">
            <w:pPr>
              <w:ind w:firstLine="1113"/>
              <w:jc w:val="center"/>
              <w:rPr>
                <w:b/>
                <w:bCs/>
              </w:rPr>
            </w:pPr>
          </w:p>
        </w:tc>
      </w:tr>
      <w:tr w:rsidR="003B2FE4" w:rsidRPr="003B2FE4" w14:paraId="31D405AE" w14:textId="77777777" w:rsidTr="00D72F5C">
        <w:trPr>
          <w:gridAfter w:val="1"/>
          <w:wAfter w:w="40" w:type="dxa"/>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AE999EE" w14:textId="55BDDAC9" w:rsidR="00D72F5C" w:rsidRPr="003B2FE4" w:rsidRDefault="00D72F5C" w:rsidP="00D72F5C">
            <w:pPr>
              <w:spacing w:before="100" w:after="100"/>
            </w:pPr>
            <w:r w:rsidRPr="003B2FE4">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C3298F" w14:textId="37D8DA03" w:rsidR="00D72F5C" w:rsidRPr="003B2FE4" w:rsidRDefault="00D72F5C" w:rsidP="00D72F5C">
            <w:pPr>
              <w:spacing w:before="100" w:after="100"/>
            </w:pPr>
            <w:r w:rsidRPr="003B2FE4">
              <w:t xml:space="preserve">Sabiedrības </w:t>
            </w:r>
            <w:proofErr w:type="spellStart"/>
            <w:r w:rsidRPr="003B2FE4">
              <w:t>mērķgrupas</w:t>
            </w:r>
            <w:proofErr w:type="spellEnd"/>
            <w:r w:rsidRPr="003B2FE4">
              <w:t>, kuras tiesiskais regulējums ietekmē vai varētu ietekmēt</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1E3495" w14:textId="57E18103" w:rsidR="00D72F5C" w:rsidRPr="003B2FE4" w:rsidRDefault="00D72F5C" w:rsidP="00FC5F2F">
            <w:pPr>
              <w:spacing w:before="120" w:after="120"/>
              <w:ind w:firstLine="125"/>
              <w:jc w:val="both"/>
              <w:rPr>
                <w:bCs/>
              </w:rPr>
            </w:pPr>
            <w:r w:rsidRPr="00EF5B50">
              <w:t xml:space="preserve">Latvijā reģistrēti saimnieciskās darbības veicēji, </w:t>
            </w:r>
            <w:r w:rsidR="00FC5F2F" w:rsidRPr="00EF5B50">
              <w:rPr>
                <w:spacing w:val="-2"/>
                <w:szCs w:val="28"/>
              </w:rPr>
              <w:t xml:space="preserve">akciju sabiedrība “Attīstības finanšu institūcija </w:t>
            </w:r>
            <w:proofErr w:type="spellStart"/>
            <w:r w:rsidR="00FC5F2F" w:rsidRPr="00EF5B50">
              <w:rPr>
                <w:spacing w:val="-2"/>
                <w:szCs w:val="28"/>
              </w:rPr>
              <w:t>Altum</w:t>
            </w:r>
            <w:proofErr w:type="spellEnd"/>
            <w:r w:rsidR="00FC5F2F" w:rsidRPr="00EF5B50">
              <w:rPr>
                <w:spacing w:val="-2"/>
                <w:szCs w:val="28"/>
              </w:rPr>
              <w:t>”</w:t>
            </w:r>
            <w:r w:rsidRPr="00EF5B50">
              <w:t>.</w:t>
            </w:r>
          </w:p>
        </w:tc>
      </w:tr>
      <w:tr w:rsidR="003B2FE4" w:rsidRPr="003B2FE4" w14:paraId="0EFEFB7B" w14:textId="77777777" w:rsidTr="00D72F5C">
        <w:trPr>
          <w:gridAfter w:val="1"/>
          <w:wAfter w:w="40" w:type="dxa"/>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9326D0" w14:textId="2430B4E0" w:rsidR="00D72F5C" w:rsidRPr="003B2FE4" w:rsidRDefault="00D72F5C" w:rsidP="00D72F5C">
            <w:pPr>
              <w:spacing w:before="100" w:after="100"/>
            </w:pPr>
            <w:r w:rsidRPr="003B2FE4">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D44B6DA" w14:textId="153080F4" w:rsidR="00D72F5C" w:rsidRPr="003B2FE4" w:rsidRDefault="00D72F5C" w:rsidP="00D72F5C">
            <w:pPr>
              <w:spacing w:before="100" w:after="100"/>
            </w:pPr>
            <w:r w:rsidRPr="003B2FE4">
              <w:t>Tiesiskā regulējuma ietekme uz tautsaimniecību un administratīvo slogu</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27B95E" w14:textId="1B35F90C" w:rsidR="00D72F5C" w:rsidRPr="003B2FE4" w:rsidRDefault="00D72F5C" w:rsidP="004158B3">
            <w:pPr>
              <w:spacing w:before="120" w:after="120"/>
              <w:ind w:firstLine="125"/>
              <w:jc w:val="both"/>
              <w:rPr>
                <w:bCs/>
              </w:rPr>
            </w:pPr>
            <w:r w:rsidRPr="003B2FE4">
              <w:rPr>
                <w:rFonts w:eastAsia="Calibri"/>
                <w:lang w:eastAsia="en-US"/>
              </w:rPr>
              <w:t>Projekts šo jomu neskar</w:t>
            </w:r>
          </w:p>
        </w:tc>
      </w:tr>
      <w:tr w:rsidR="003B2FE4" w:rsidRPr="003B2FE4" w14:paraId="31BE77B3" w14:textId="77777777" w:rsidTr="00D72F5C">
        <w:trPr>
          <w:gridAfter w:val="1"/>
          <w:wAfter w:w="40" w:type="dxa"/>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C2BB03C" w14:textId="1AF35B59" w:rsidR="00D72F5C" w:rsidRPr="003B2FE4" w:rsidRDefault="00D72F5C" w:rsidP="00D72F5C">
            <w:pPr>
              <w:spacing w:before="100" w:after="100"/>
            </w:pPr>
            <w:r w:rsidRPr="003B2FE4">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314E696" w14:textId="00CFDEA5" w:rsidR="00D72F5C" w:rsidRPr="003B2FE4" w:rsidRDefault="00D72F5C" w:rsidP="00D72F5C">
            <w:pPr>
              <w:spacing w:before="100" w:after="100"/>
            </w:pPr>
            <w:r w:rsidRPr="003B2FE4">
              <w:t>Administratīvo izmaksu monetārs novērtējums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DEB47A" w14:textId="009FFA62" w:rsidR="00D72F5C" w:rsidRPr="003B2FE4" w:rsidRDefault="00D72F5C" w:rsidP="004158B3">
            <w:pPr>
              <w:spacing w:before="120" w:after="120"/>
              <w:ind w:firstLine="125"/>
              <w:jc w:val="both"/>
              <w:rPr>
                <w:bCs/>
              </w:rPr>
            </w:pPr>
            <w:r w:rsidRPr="003B2FE4">
              <w:rPr>
                <w:rFonts w:eastAsia="Calibri"/>
                <w:lang w:eastAsia="en-US"/>
              </w:rPr>
              <w:t>Projekts šo jomu neskar</w:t>
            </w:r>
          </w:p>
        </w:tc>
      </w:tr>
      <w:tr w:rsidR="003B2FE4" w:rsidRPr="003B2FE4" w14:paraId="1E439E5E" w14:textId="77777777" w:rsidTr="00D72F5C">
        <w:trPr>
          <w:gridAfter w:val="1"/>
          <w:wAfter w:w="40" w:type="dxa"/>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BADB9E" w14:textId="2AD78B8C" w:rsidR="00D72F5C" w:rsidRPr="003B2FE4" w:rsidRDefault="00D72F5C" w:rsidP="00D72F5C">
            <w:pPr>
              <w:spacing w:before="100" w:after="100"/>
            </w:pPr>
            <w:r w:rsidRPr="003B2FE4">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881CAF" w14:textId="419D16CA" w:rsidR="00D72F5C" w:rsidRPr="003B2FE4" w:rsidRDefault="00D72F5C" w:rsidP="00D72F5C">
            <w:pPr>
              <w:spacing w:before="100" w:after="100"/>
            </w:pPr>
            <w:r w:rsidRPr="003B2FE4">
              <w:t>Atbilstības izmaksu monetārs novērtējums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C128B6" w14:textId="14553DD9" w:rsidR="00D72F5C" w:rsidRPr="003B2FE4" w:rsidRDefault="00D72F5C" w:rsidP="004158B3">
            <w:pPr>
              <w:spacing w:before="120" w:after="120"/>
              <w:ind w:firstLine="125"/>
              <w:jc w:val="both"/>
              <w:rPr>
                <w:bCs/>
              </w:rPr>
            </w:pPr>
            <w:r w:rsidRPr="003B2FE4">
              <w:rPr>
                <w:rFonts w:eastAsia="Calibri"/>
                <w:lang w:eastAsia="en-US"/>
              </w:rPr>
              <w:t>Projekts šo jomu neskar</w:t>
            </w:r>
          </w:p>
        </w:tc>
      </w:tr>
      <w:tr w:rsidR="003B2FE4" w:rsidRPr="003B2FE4" w14:paraId="27B7DE76" w14:textId="77777777" w:rsidTr="00D72F5C">
        <w:trPr>
          <w:gridAfter w:val="1"/>
          <w:wAfter w:w="40" w:type="dxa"/>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52D53C0" w14:textId="504E4297" w:rsidR="00D72F5C" w:rsidRPr="003B2FE4" w:rsidRDefault="00D72F5C" w:rsidP="00D72F5C">
            <w:pPr>
              <w:spacing w:before="100" w:after="100"/>
            </w:pPr>
            <w:r w:rsidRPr="003B2FE4">
              <w:t>5.</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F29D75" w14:textId="47B4736E" w:rsidR="00D72F5C" w:rsidRPr="003B2FE4" w:rsidRDefault="00D72F5C" w:rsidP="00D72F5C">
            <w:pPr>
              <w:spacing w:before="100" w:after="100"/>
            </w:pPr>
            <w:r w:rsidRPr="003B2FE4">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8F4787" w14:textId="19056E4A" w:rsidR="00D72F5C" w:rsidRPr="003B2FE4" w:rsidRDefault="00D72F5C" w:rsidP="004158B3">
            <w:pPr>
              <w:spacing w:before="120" w:after="120"/>
              <w:ind w:firstLine="125"/>
              <w:jc w:val="both"/>
            </w:pPr>
            <w:r w:rsidRPr="003B2FE4">
              <w:t>Nav</w:t>
            </w:r>
          </w:p>
        </w:tc>
      </w:tr>
    </w:tbl>
    <w:p w14:paraId="701CF53B" w14:textId="7C5E9D1C" w:rsidR="00D72F5C" w:rsidRPr="003B2FE4" w:rsidRDefault="00D72F5C" w:rsidP="000044FA">
      <w:pPr>
        <w:pStyle w:val="NoSpacing"/>
        <w:rPr>
          <w:rFonts w:ascii="Times New Roman" w:hAnsi="Times New Roman"/>
          <w:sz w:val="24"/>
          <w:szCs w:val="24"/>
          <w:lang w:eastAsia="lv-LV"/>
        </w:rPr>
      </w:pPr>
    </w:p>
    <w:p w14:paraId="499BF54C" w14:textId="77777777" w:rsidR="00D72F5C" w:rsidRPr="003B2FE4" w:rsidRDefault="00D72F5C" w:rsidP="000044FA">
      <w:pPr>
        <w:pStyle w:val="NoSpacing"/>
        <w:rPr>
          <w:rFonts w:ascii="Times New Roman" w:hAnsi="Times New Roman"/>
          <w:sz w:val="24"/>
          <w:szCs w:val="24"/>
          <w:lang w:eastAsia="lv-LV"/>
        </w:rPr>
      </w:pPr>
    </w:p>
    <w:tbl>
      <w:tblPr>
        <w:tblStyle w:val="TableGrid"/>
        <w:tblW w:w="9501" w:type="dxa"/>
        <w:jc w:val="center"/>
        <w:tblLayout w:type="fixed"/>
        <w:tblLook w:val="04A0" w:firstRow="1" w:lastRow="0" w:firstColumn="1" w:lastColumn="0" w:noHBand="0" w:noVBand="1"/>
      </w:tblPr>
      <w:tblGrid>
        <w:gridCol w:w="1980"/>
        <w:gridCol w:w="1276"/>
        <w:gridCol w:w="1275"/>
        <w:gridCol w:w="851"/>
        <w:gridCol w:w="1134"/>
        <w:gridCol w:w="850"/>
        <w:gridCol w:w="993"/>
        <w:gridCol w:w="1134"/>
        <w:gridCol w:w="8"/>
      </w:tblGrid>
      <w:tr w:rsidR="003B2FE4" w:rsidRPr="003B2FE4" w14:paraId="2290E396" w14:textId="77777777" w:rsidTr="00962079">
        <w:trPr>
          <w:jc w:val="center"/>
        </w:trPr>
        <w:tc>
          <w:tcPr>
            <w:tcW w:w="9501" w:type="dxa"/>
            <w:gridSpan w:val="9"/>
          </w:tcPr>
          <w:p w14:paraId="6B1BBF90" w14:textId="77777777" w:rsidR="00064F32" w:rsidRPr="003B2FE4" w:rsidRDefault="00064F32" w:rsidP="000044FA">
            <w:pPr>
              <w:pStyle w:val="NoSpacing"/>
              <w:jc w:val="center"/>
              <w:rPr>
                <w:rFonts w:ascii="Times New Roman" w:hAnsi="Times New Roman"/>
                <w:sz w:val="24"/>
                <w:szCs w:val="24"/>
                <w:lang w:eastAsia="lv-LV"/>
              </w:rPr>
            </w:pPr>
            <w:r w:rsidRPr="003B2FE4">
              <w:rPr>
                <w:rFonts w:ascii="Times New Roman" w:hAnsi="Times New Roman"/>
                <w:b/>
                <w:sz w:val="24"/>
                <w:szCs w:val="24"/>
                <w:lang w:eastAsia="lv-LV"/>
              </w:rPr>
              <w:t>III. Tiesību akta projekta ietekme uz valsts budžetu un pašvaldību budžetiem</w:t>
            </w:r>
          </w:p>
        </w:tc>
      </w:tr>
      <w:tr w:rsidR="003B2FE4" w:rsidRPr="003B2FE4" w14:paraId="5EF10583" w14:textId="77777777" w:rsidTr="00526CE8">
        <w:trPr>
          <w:jc w:val="center"/>
        </w:trPr>
        <w:tc>
          <w:tcPr>
            <w:tcW w:w="1980" w:type="dxa"/>
            <w:vMerge w:val="restart"/>
          </w:tcPr>
          <w:p w14:paraId="70055DE7" w14:textId="77777777" w:rsidR="00372421" w:rsidRPr="003B2FE4" w:rsidRDefault="00372421" w:rsidP="00372421">
            <w:pPr>
              <w:pStyle w:val="NoSpacing"/>
              <w:jc w:val="center"/>
              <w:rPr>
                <w:rFonts w:ascii="Times New Roman" w:hAnsi="Times New Roman"/>
                <w:sz w:val="20"/>
                <w:szCs w:val="20"/>
                <w:lang w:eastAsia="lv-LV"/>
              </w:rPr>
            </w:pPr>
          </w:p>
          <w:p w14:paraId="164D976C" w14:textId="77777777" w:rsidR="00372421" w:rsidRPr="003B2FE4" w:rsidRDefault="00372421" w:rsidP="00372421">
            <w:pPr>
              <w:pStyle w:val="NoSpacing"/>
              <w:jc w:val="center"/>
              <w:rPr>
                <w:rFonts w:ascii="Times New Roman" w:hAnsi="Times New Roman"/>
                <w:sz w:val="20"/>
                <w:szCs w:val="20"/>
                <w:lang w:eastAsia="lv-LV"/>
              </w:rPr>
            </w:pPr>
          </w:p>
          <w:p w14:paraId="7F95A946" w14:textId="77777777" w:rsidR="00372421" w:rsidRPr="003B2FE4" w:rsidRDefault="00372421" w:rsidP="00372421">
            <w:pPr>
              <w:pStyle w:val="NoSpacing"/>
              <w:jc w:val="center"/>
              <w:rPr>
                <w:rFonts w:ascii="Times New Roman" w:hAnsi="Times New Roman"/>
                <w:sz w:val="20"/>
                <w:szCs w:val="20"/>
                <w:lang w:eastAsia="lv-LV"/>
              </w:rPr>
            </w:pPr>
          </w:p>
          <w:p w14:paraId="1337BA23" w14:textId="77777777" w:rsidR="00372421" w:rsidRPr="003B2FE4" w:rsidRDefault="00372421" w:rsidP="00372421">
            <w:pPr>
              <w:pStyle w:val="NoSpacing"/>
              <w:jc w:val="center"/>
              <w:rPr>
                <w:rFonts w:ascii="Times New Roman" w:hAnsi="Times New Roman"/>
                <w:sz w:val="20"/>
                <w:szCs w:val="20"/>
                <w:lang w:eastAsia="lv-LV"/>
              </w:rPr>
            </w:pPr>
          </w:p>
          <w:p w14:paraId="2B77B71A" w14:textId="32842978" w:rsidR="00064F32" w:rsidRPr="003B2FE4" w:rsidRDefault="00064F32" w:rsidP="00372421">
            <w:pPr>
              <w:pStyle w:val="NoSpacing"/>
              <w:jc w:val="center"/>
              <w:rPr>
                <w:rFonts w:ascii="Times New Roman" w:hAnsi="Times New Roman"/>
                <w:sz w:val="20"/>
                <w:szCs w:val="20"/>
                <w:lang w:eastAsia="lv-LV"/>
              </w:rPr>
            </w:pPr>
            <w:r w:rsidRPr="003B2FE4">
              <w:rPr>
                <w:rFonts w:ascii="Times New Roman" w:hAnsi="Times New Roman"/>
                <w:sz w:val="20"/>
                <w:szCs w:val="20"/>
                <w:lang w:eastAsia="lv-LV"/>
              </w:rPr>
              <w:t>Rādītāji</w:t>
            </w:r>
          </w:p>
        </w:tc>
        <w:tc>
          <w:tcPr>
            <w:tcW w:w="2551" w:type="dxa"/>
            <w:gridSpan w:val="2"/>
            <w:vMerge w:val="restart"/>
          </w:tcPr>
          <w:p w14:paraId="2AB83078" w14:textId="4B3205EE" w:rsidR="00064F32" w:rsidRPr="003B2FE4" w:rsidRDefault="008322A7" w:rsidP="00E8717E">
            <w:pPr>
              <w:pStyle w:val="NoSpacing"/>
              <w:jc w:val="center"/>
              <w:rPr>
                <w:rFonts w:ascii="Times New Roman" w:hAnsi="Times New Roman"/>
                <w:sz w:val="20"/>
                <w:szCs w:val="20"/>
                <w:lang w:eastAsia="lv-LV"/>
              </w:rPr>
            </w:pPr>
            <w:r w:rsidRPr="003B2FE4">
              <w:rPr>
                <w:rFonts w:ascii="Times New Roman" w:hAnsi="Times New Roman"/>
                <w:sz w:val="20"/>
                <w:szCs w:val="20"/>
                <w:lang w:eastAsia="lv-LV"/>
              </w:rPr>
              <w:t>20</w:t>
            </w:r>
            <w:r w:rsidR="00E8717E" w:rsidRPr="003B2FE4">
              <w:rPr>
                <w:rFonts w:ascii="Times New Roman" w:hAnsi="Times New Roman"/>
                <w:sz w:val="20"/>
                <w:szCs w:val="20"/>
                <w:lang w:eastAsia="lv-LV"/>
              </w:rPr>
              <w:t>20</w:t>
            </w:r>
            <w:r w:rsidR="00064F32" w:rsidRPr="003B2FE4">
              <w:rPr>
                <w:rFonts w:ascii="Times New Roman" w:hAnsi="Times New Roman"/>
                <w:sz w:val="20"/>
                <w:szCs w:val="20"/>
                <w:lang w:eastAsia="lv-LV"/>
              </w:rPr>
              <w:t>. gads</w:t>
            </w:r>
          </w:p>
        </w:tc>
        <w:tc>
          <w:tcPr>
            <w:tcW w:w="4970" w:type="dxa"/>
            <w:gridSpan w:val="6"/>
          </w:tcPr>
          <w:p w14:paraId="77284521" w14:textId="77777777" w:rsidR="00064F32" w:rsidRPr="003B2FE4" w:rsidRDefault="00064F32" w:rsidP="00372421">
            <w:pPr>
              <w:pStyle w:val="NoSpacing"/>
              <w:jc w:val="center"/>
              <w:rPr>
                <w:rFonts w:ascii="Times New Roman" w:hAnsi="Times New Roman"/>
                <w:sz w:val="20"/>
                <w:szCs w:val="20"/>
                <w:lang w:eastAsia="lv-LV"/>
              </w:rPr>
            </w:pPr>
            <w:r w:rsidRPr="003B2FE4">
              <w:rPr>
                <w:rFonts w:ascii="Times New Roman" w:hAnsi="Times New Roman"/>
                <w:sz w:val="20"/>
                <w:szCs w:val="20"/>
                <w:lang w:eastAsia="lv-LV"/>
              </w:rPr>
              <w:t>Turpmākie trīs gadi (</w:t>
            </w:r>
            <w:proofErr w:type="spellStart"/>
            <w:r w:rsidRPr="003B2FE4">
              <w:rPr>
                <w:rFonts w:ascii="Times New Roman" w:hAnsi="Times New Roman"/>
                <w:i/>
                <w:iCs/>
                <w:sz w:val="20"/>
                <w:szCs w:val="20"/>
                <w:lang w:eastAsia="lv-LV"/>
              </w:rPr>
              <w:t>euro</w:t>
            </w:r>
            <w:proofErr w:type="spellEnd"/>
            <w:r w:rsidRPr="003B2FE4">
              <w:rPr>
                <w:rFonts w:ascii="Times New Roman" w:hAnsi="Times New Roman"/>
                <w:sz w:val="20"/>
                <w:szCs w:val="20"/>
                <w:lang w:eastAsia="lv-LV"/>
              </w:rPr>
              <w:t>)</w:t>
            </w:r>
          </w:p>
        </w:tc>
      </w:tr>
      <w:tr w:rsidR="003B2FE4" w:rsidRPr="003B2FE4" w14:paraId="72722EC7" w14:textId="77777777" w:rsidTr="00526CE8">
        <w:trPr>
          <w:jc w:val="center"/>
        </w:trPr>
        <w:tc>
          <w:tcPr>
            <w:tcW w:w="1980" w:type="dxa"/>
            <w:vMerge/>
          </w:tcPr>
          <w:p w14:paraId="5F6D5C9D" w14:textId="77777777" w:rsidR="00064F32" w:rsidRPr="003B2FE4" w:rsidRDefault="00064F32" w:rsidP="00372421">
            <w:pPr>
              <w:pStyle w:val="NoSpacing"/>
              <w:jc w:val="center"/>
              <w:rPr>
                <w:rFonts w:ascii="Times New Roman" w:hAnsi="Times New Roman"/>
                <w:sz w:val="20"/>
                <w:szCs w:val="20"/>
                <w:lang w:eastAsia="lv-LV"/>
              </w:rPr>
            </w:pPr>
          </w:p>
        </w:tc>
        <w:tc>
          <w:tcPr>
            <w:tcW w:w="2551" w:type="dxa"/>
            <w:gridSpan w:val="2"/>
            <w:vMerge/>
          </w:tcPr>
          <w:p w14:paraId="0186CDB4" w14:textId="77777777" w:rsidR="00064F32" w:rsidRPr="003B2FE4" w:rsidRDefault="00064F32" w:rsidP="00372421">
            <w:pPr>
              <w:pStyle w:val="NoSpacing"/>
              <w:jc w:val="center"/>
              <w:rPr>
                <w:rFonts w:ascii="Times New Roman" w:hAnsi="Times New Roman"/>
                <w:sz w:val="20"/>
                <w:szCs w:val="20"/>
                <w:lang w:eastAsia="lv-LV"/>
              </w:rPr>
            </w:pPr>
          </w:p>
        </w:tc>
        <w:tc>
          <w:tcPr>
            <w:tcW w:w="1985" w:type="dxa"/>
            <w:gridSpan w:val="2"/>
          </w:tcPr>
          <w:p w14:paraId="2B8E1DA0" w14:textId="0DF24701" w:rsidR="00064F32" w:rsidRPr="003B2FE4" w:rsidRDefault="008322A7" w:rsidP="00E8717E">
            <w:pPr>
              <w:pStyle w:val="NoSpacing"/>
              <w:jc w:val="center"/>
              <w:rPr>
                <w:rFonts w:ascii="Times New Roman" w:hAnsi="Times New Roman"/>
                <w:sz w:val="20"/>
                <w:szCs w:val="20"/>
                <w:lang w:eastAsia="lv-LV"/>
              </w:rPr>
            </w:pPr>
            <w:r w:rsidRPr="003B2FE4">
              <w:rPr>
                <w:rFonts w:ascii="Times New Roman" w:hAnsi="Times New Roman"/>
                <w:sz w:val="20"/>
                <w:szCs w:val="20"/>
                <w:lang w:eastAsia="lv-LV"/>
              </w:rPr>
              <w:t>202</w:t>
            </w:r>
            <w:r w:rsidR="00E8717E" w:rsidRPr="003B2FE4">
              <w:rPr>
                <w:rFonts w:ascii="Times New Roman" w:hAnsi="Times New Roman"/>
                <w:sz w:val="20"/>
                <w:szCs w:val="20"/>
                <w:lang w:eastAsia="lv-LV"/>
              </w:rPr>
              <w:t>1</w:t>
            </w:r>
            <w:r w:rsidR="00064F32" w:rsidRPr="003B2FE4">
              <w:rPr>
                <w:rFonts w:ascii="Times New Roman" w:hAnsi="Times New Roman"/>
                <w:sz w:val="20"/>
                <w:szCs w:val="20"/>
                <w:lang w:eastAsia="lv-LV"/>
              </w:rPr>
              <w:t>.gads</w:t>
            </w:r>
          </w:p>
        </w:tc>
        <w:tc>
          <w:tcPr>
            <w:tcW w:w="1843" w:type="dxa"/>
            <w:gridSpan w:val="2"/>
          </w:tcPr>
          <w:p w14:paraId="0613558D" w14:textId="0FCA40E8" w:rsidR="00064F32" w:rsidRPr="003B2FE4" w:rsidRDefault="008322A7" w:rsidP="00E8717E">
            <w:pPr>
              <w:pStyle w:val="NoSpacing"/>
              <w:jc w:val="center"/>
              <w:rPr>
                <w:rFonts w:ascii="Times New Roman" w:hAnsi="Times New Roman"/>
                <w:sz w:val="20"/>
                <w:szCs w:val="20"/>
                <w:lang w:eastAsia="lv-LV"/>
              </w:rPr>
            </w:pPr>
            <w:r w:rsidRPr="003B2FE4">
              <w:rPr>
                <w:rFonts w:ascii="Times New Roman" w:hAnsi="Times New Roman"/>
                <w:sz w:val="20"/>
                <w:szCs w:val="20"/>
                <w:lang w:eastAsia="lv-LV"/>
              </w:rPr>
              <w:t>202</w:t>
            </w:r>
            <w:r w:rsidR="00E8717E" w:rsidRPr="003B2FE4">
              <w:rPr>
                <w:rFonts w:ascii="Times New Roman" w:hAnsi="Times New Roman"/>
                <w:sz w:val="20"/>
                <w:szCs w:val="20"/>
                <w:lang w:eastAsia="lv-LV"/>
              </w:rPr>
              <w:t>2</w:t>
            </w:r>
            <w:r w:rsidR="00064F32" w:rsidRPr="003B2FE4">
              <w:rPr>
                <w:rFonts w:ascii="Times New Roman" w:hAnsi="Times New Roman"/>
                <w:sz w:val="20"/>
                <w:szCs w:val="20"/>
                <w:lang w:eastAsia="lv-LV"/>
              </w:rPr>
              <w:t>.gads</w:t>
            </w:r>
          </w:p>
        </w:tc>
        <w:tc>
          <w:tcPr>
            <w:tcW w:w="1142" w:type="dxa"/>
            <w:gridSpan w:val="2"/>
          </w:tcPr>
          <w:p w14:paraId="2EC5B9B5" w14:textId="1698BA38" w:rsidR="00064F32" w:rsidRPr="003B2FE4" w:rsidRDefault="00064F32" w:rsidP="00E8717E">
            <w:pPr>
              <w:pStyle w:val="NoSpacing"/>
              <w:jc w:val="center"/>
              <w:rPr>
                <w:rFonts w:ascii="Times New Roman" w:hAnsi="Times New Roman"/>
                <w:sz w:val="20"/>
                <w:szCs w:val="20"/>
                <w:lang w:eastAsia="lv-LV"/>
              </w:rPr>
            </w:pPr>
            <w:r w:rsidRPr="003B2FE4">
              <w:rPr>
                <w:rFonts w:ascii="Times New Roman" w:hAnsi="Times New Roman"/>
                <w:sz w:val="20"/>
                <w:szCs w:val="20"/>
                <w:lang w:eastAsia="lv-LV"/>
              </w:rPr>
              <w:t>202</w:t>
            </w:r>
            <w:r w:rsidR="00E8717E" w:rsidRPr="003B2FE4">
              <w:rPr>
                <w:rFonts w:ascii="Times New Roman" w:hAnsi="Times New Roman"/>
                <w:sz w:val="20"/>
                <w:szCs w:val="20"/>
                <w:lang w:eastAsia="lv-LV"/>
              </w:rPr>
              <w:t>3</w:t>
            </w:r>
            <w:r w:rsidRPr="003B2FE4">
              <w:rPr>
                <w:rFonts w:ascii="Times New Roman" w:hAnsi="Times New Roman"/>
                <w:sz w:val="20"/>
                <w:szCs w:val="20"/>
                <w:lang w:eastAsia="lv-LV"/>
              </w:rPr>
              <w:t>.gads</w:t>
            </w:r>
          </w:p>
        </w:tc>
      </w:tr>
      <w:tr w:rsidR="003B2FE4" w:rsidRPr="003B2FE4" w14:paraId="704E5777" w14:textId="77777777" w:rsidTr="00526CE8">
        <w:trPr>
          <w:gridAfter w:val="1"/>
          <w:wAfter w:w="8" w:type="dxa"/>
          <w:jc w:val="center"/>
        </w:trPr>
        <w:tc>
          <w:tcPr>
            <w:tcW w:w="1980" w:type="dxa"/>
            <w:vMerge/>
          </w:tcPr>
          <w:p w14:paraId="21797E92" w14:textId="77777777" w:rsidR="00064F32" w:rsidRPr="003B2FE4" w:rsidRDefault="00064F32" w:rsidP="00372421">
            <w:pPr>
              <w:pStyle w:val="NoSpacing"/>
              <w:jc w:val="center"/>
              <w:rPr>
                <w:rFonts w:ascii="Times New Roman" w:hAnsi="Times New Roman"/>
                <w:sz w:val="20"/>
                <w:szCs w:val="20"/>
                <w:lang w:eastAsia="lv-LV"/>
              </w:rPr>
            </w:pPr>
          </w:p>
        </w:tc>
        <w:tc>
          <w:tcPr>
            <w:tcW w:w="1276" w:type="dxa"/>
          </w:tcPr>
          <w:p w14:paraId="4CF9630E" w14:textId="77777777" w:rsidR="00064F32" w:rsidRPr="003B2FE4" w:rsidRDefault="00064F32" w:rsidP="00372421">
            <w:pPr>
              <w:pStyle w:val="NoSpacing"/>
              <w:jc w:val="center"/>
              <w:rPr>
                <w:rFonts w:ascii="Times New Roman" w:hAnsi="Times New Roman"/>
                <w:sz w:val="20"/>
                <w:szCs w:val="20"/>
                <w:lang w:eastAsia="lv-LV"/>
              </w:rPr>
            </w:pPr>
            <w:r w:rsidRPr="003B2FE4">
              <w:rPr>
                <w:rFonts w:ascii="Times New Roman" w:hAnsi="Times New Roman"/>
                <w:sz w:val="20"/>
                <w:szCs w:val="20"/>
                <w:lang w:eastAsia="lv-LV"/>
              </w:rPr>
              <w:t xml:space="preserve">saskaņā ar valsts budžetu </w:t>
            </w:r>
            <w:r w:rsidRPr="003B2FE4">
              <w:rPr>
                <w:rFonts w:ascii="Times New Roman" w:hAnsi="Times New Roman"/>
                <w:sz w:val="20"/>
                <w:szCs w:val="20"/>
                <w:lang w:eastAsia="lv-LV"/>
              </w:rPr>
              <w:lastRenderedPageBreak/>
              <w:t>kārtējam gadam</w:t>
            </w:r>
          </w:p>
        </w:tc>
        <w:tc>
          <w:tcPr>
            <w:tcW w:w="1275" w:type="dxa"/>
          </w:tcPr>
          <w:p w14:paraId="1659FCE2" w14:textId="77777777" w:rsidR="00064F32" w:rsidRPr="003B2FE4" w:rsidRDefault="00064F32" w:rsidP="00372421">
            <w:pPr>
              <w:pStyle w:val="NoSpacing"/>
              <w:jc w:val="center"/>
              <w:rPr>
                <w:rFonts w:ascii="Times New Roman" w:hAnsi="Times New Roman"/>
                <w:sz w:val="20"/>
                <w:szCs w:val="20"/>
                <w:lang w:eastAsia="lv-LV"/>
              </w:rPr>
            </w:pPr>
            <w:r w:rsidRPr="003B2FE4">
              <w:rPr>
                <w:rFonts w:ascii="Times New Roman" w:hAnsi="Times New Roman"/>
                <w:sz w:val="20"/>
                <w:szCs w:val="20"/>
                <w:lang w:eastAsia="lv-LV"/>
              </w:rPr>
              <w:lastRenderedPageBreak/>
              <w:t xml:space="preserve">izmaiņas kārtējā gadā, salīdzinot ar </w:t>
            </w:r>
            <w:r w:rsidRPr="003B2FE4">
              <w:rPr>
                <w:rFonts w:ascii="Times New Roman" w:hAnsi="Times New Roman"/>
                <w:sz w:val="20"/>
                <w:szCs w:val="20"/>
                <w:lang w:eastAsia="lv-LV"/>
              </w:rPr>
              <w:lastRenderedPageBreak/>
              <w:t>valsts budžetu kārtējam gadam</w:t>
            </w:r>
          </w:p>
        </w:tc>
        <w:tc>
          <w:tcPr>
            <w:tcW w:w="851" w:type="dxa"/>
          </w:tcPr>
          <w:p w14:paraId="15473A0E" w14:textId="77777777" w:rsidR="00064F32" w:rsidRPr="003B2FE4" w:rsidRDefault="00064F32" w:rsidP="00372421">
            <w:pPr>
              <w:pStyle w:val="NoSpacing"/>
              <w:jc w:val="center"/>
              <w:rPr>
                <w:rFonts w:ascii="Times New Roman" w:hAnsi="Times New Roman"/>
                <w:sz w:val="20"/>
                <w:szCs w:val="20"/>
                <w:lang w:eastAsia="lv-LV"/>
              </w:rPr>
            </w:pPr>
            <w:r w:rsidRPr="003B2FE4">
              <w:rPr>
                <w:rFonts w:ascii="Times New Roman" w:hAnsi="Times New Roman"/>
                <w:sz w:val="20"/>
                <w:szCs w:val="20"/>
                <w:lang w:eastAsia="lv-LV"/>
              </w:rPr>
              <w:lastRenderedPageBreak/>
              <w:t xml:space="preserve">saskaņā ar vidēja </w:t>
            </w:r>
            <w:r w:rsidRPr="003B2FE4">
              <w:rPr>
                <w:rFonts w:ascii="Times New Roman" w:hAnsi="Times New Roman"/>
                <w:sz w:val="20"/>
                <w:szCs w:val="20"/>
                <w:lang w:eastAsia="lv-LV"/>
              </w:rPr>
              <w:lastRenderedPageBreak/>
              <w:t>termiņa budžeta ietvaru</w:t>
            </w:r>
          </w:p>
        </w:tc>
        <w:tc>
          <w:tcPr>
            <w:tcW w:w="1134" w:type="dxa"/>
          </w:tcPr>
          <w:p w14:paraId="688AD74B" w14:textId="68EB70FB" w:rsidR="00064F32" w:rsidRPr="003B2FE4" w:rsidRDefault="00064F32" w:rsidP="00E8717E">
            <w:pPr>
              <w:pStyle w:val="NoSpacing"/>
              <w:jc w:val="center"/>
              <w:rPr>
                <w:rFonts w:ascii="Times New Roman" w:hAnsi="Times New Roman"/>
                <w:sz w:val="20"/>
                <w:szCs w:val="20"/>
                <w:lang w:eastAsia="lv-LV"/>
              </w:rPr>
            </w:pPr>
            <w:r w:rsidRPr="003B2FE4">
              <w:rPr>
                <w:rFonts w:ascii="Times New Roman" w:hAnsi="Times New Roman"/>
                <w:sz w:val="20"/>
                <w:szCs w:val="20"/>
                <w:lang w:eastAsia="lv-LV"/>
              </w:rPr>
              <w:lastRenderedPageBreak/>
              <w:t xml:space="preserve">izmaiņas, salīdzinot ar vidēja </w:t>
            </w:r>
            <w:r w:rsidRPr="003B2FE4">
              <w:rPr>
                <w:rFonts w:ascii="Times New Roman" w:hAnsi="Times New Roman"/>
                <w:sz w:val="20"/>
                <w:szCs w:val="20"/>
                <w:lang w:eastAsia="lv-LV"/>
              </w:rPr>
              <w:lastRenderedPageBreak/>
              <w:t>termiņa budžeta ietvaru 20</w:t>
            </w:r>
            <w:r w:rsidR="00C142F2" w:rsidRPr="003B2FE4">
              <w:rPr>
                <w:rFonts w:ascii="Times New Roman" w:hAnsi="Times New Roman"/>
                <w:sz w:val="20"/>
                <w:szCs w:val="20"/>
                <w:lang w:eastAsia="lv-LV"/>
              </w:rPr>
              <w:t>2</w:t>
            </w:r>
            <w:r w:rsidR="00E8717E" w:rsidRPr="003B2FE4">
              <w:rPr>
                <w:rFonts w:ascii="Times New Roman" w:hAnsi="Times New Roman"/>
                <w:sz w:val="20"/>
                <w:szCs w:val="20"/>
                <w:lang w:eastAsia="lv-LV"/>
              </w:rPr>
              <w:t>1</w:t>
            </w:r>
            <w:r w:rsidRPr="003B2FE4">
              <w:rPr>
                <w:rFonts w:ascii="Times New Roman" w:hAnsi="Times New Roman"/>
                <w:sz w:val="20"/>
                <w:szCs w:val="20"/>
                <w:lang w:eastAsia="lv-LV"/>
              </w:rPr>
              <w:t>. gadam</w:t>
            </w:r>
          </w:p>
        </w:tc>
        <w:tc>
          <w:tcPr>
            <w:tcW w:w="850" w:type="dxa"/>
          </w:tcPr>
          <w:p w14:paraId="31723888" w14:textId="77777777" w:rsidR="00064F32" w:rsidRPr="003B2FE4" w:rsidRDefault="00064F32" w:rsidP="00372421">
            <w:pPr>
              <w:pStyle w:val="NoSpacing"/>
              <w:ind w:left="-102"/>
              <w:jc w:val="center"/>
              <w:rPr>
                <w:rFonts w:ascii="Times New Roman" w:hAnsi="Times New Roman"/>
                <w:sz w:val="20"/>
                <w:szCs w:val="20"/>
                <w:lang w:eastAsia="lv-LV"/>
              </w:rPr>
            </w:pPr>
            <w:r w:rsidRPr="003B2FE4">
              <w:rPr>
                <w:rFonts w:ascii="Times New Roman" w:hAnsi="Times New Roman"/>
                <w:sz w:val="20"/>
                <w:szCs w:val="20"/>
                <w:lang w:eastAsia="lv-LV"/>
              </w:rPr>
              <w:lastRenderedPageBreak/>
              <w:t xml:space="preserve">saskaņā ar vidēja termiņa </w:t>
            </w:r>
            <w:r w:rsidRPr="003B2FE4">
              <w:rPr>
                <w:rFonts w:ascii="Times New Roman" w:hAnsi="Times New Roman"/>
                <w:sz w:val="20"/>
                <w:szCs w:val="20"/>
                <w:lang w:eastAsia="lv-LV"/>
              </w:rPr>
              <w:lastRenderedPageBreak/>
              <w:t>budžeta ietvaru</w:t>
            </w:r>
          </w:p>
        </w:tc>
        <w:tc>
          <w:tcPr>
            <w:tcW w:w="993" w:type="dxa"/>
          </w:tcPr>
          <w:p w14:paraId="05EF7C8C" w14:textId="011FBA35" w:rsidR="00064F32" w:rsidRPr="003B2FE4" w:rsidRDefault="00064F32" w:rsidP="00E8717E">
            <w:pPr>
              <w:pStyle w:val="NoSpacing"/>
              <w:ind w:left="-102"/>
              <w:jc w:val="center"/>
              <w:rPr>
                <w:rFonts w:ascii="Times New Roman" w:hAnsi="Times New Roman"/>
                <w:sz w:val="20"/>
                <w:szCs w:val="20"/>
                <w:lang w:eastAsia="lv-LV"/>
              </w:rPr>
            </w:pPr>
            <w:r w:rsidRPr="003B2FE4">
              <w:rPr>
                <w:rFonts w:ascii="Times New Roman" w:hAnsi="Times New Roman"/>
                <w:sz w:val="20"/>
                <w:szCs w:val="20"/>
                <w:lang w:eastAsia="lv-LV"/>
              </w:rPr>
              <w:lastRenderedPageBreak/>
              <w:t>izmaiņas, salīdzinot ar vid</w:t>
            </w:r>
            <w:r w:rsidR="00C142F2" w:rsidRPr="003B2FE4">
              <w:rPr>
                <w:rFonts w:ascii="Times New Roman" w:hAnsi="Times New Roman"/>
                <w:sz w:val="20"/>
                <w:szCs w:val="20"/>
                <w:lang w:eastAsia="lv-LV"/>
              </w:rPr>
              <w:t xml:space="preserve">ēja </w:t>
            </w:r>
            <w:r w:rsidR="00C142F2" w:rsidRPr="003B2FE4">
              <w:rPr>
                <w:rFonts w:ascii="Times New Roman" w:hAnsi="Times New Roman"/>
                <w:sz w:val="20"/>
                <w:szCs w:val="20"/>
                <w:lang w:eastAsia="lv-LV"/>
              </w:rPr>
              <w:lastRenderedPageBreak/>
              <w:t>termiņa budžeta ietvaru 202</w:t>
            </w:r>
            <w:r w:rsidR="00E8717E" w:rsidRPr="003B2FE4">
              <w:rPr>
                <w:rFonts w:ascii="Times New Roman" w:hAnsi="Times New Roman"/>
                <w:sz w:val="20"/>
                <w:szCs w:val="20"/>
                <w:lang w:eastAsia="lv-LV"/>
              </w:rPr>
              <w:t>2</w:t>
            </w:r>
            <w:r w:rsidRPr="003B2FE4">
              <w:rPr>
                <w:rFonts w:ascii="Times New Roman" w:hAnsi="Times New Roman"/>
                <w:sz w:val="20"/>
                <w:szCs w:val="20"/>
                <w:lang w:eastAsia="lv-LV"/>
              </w:rPr>
              <w:t>. gadam</w:t>
            </w:r>
          </w:p>
        </w:tc>
        <w:tc>
          <w:tcPr>
            <w:tcW w:w="1134" w:type="dxa"/>
          </w:tcPr>
          <w:p w14:paraId="4F89B0BE" w14:textId="22994E9F" w:rsidR="00064F32" w:rsidRPr="003B2FE4" w:rsidRDefault="00064F32" w:rsidP="00E8717E">
            <w:pPr>
              <w:pStyle w:val="NoSpacing"/>
              <w:jc w:val="center"/>
              <w:rPr>
                <w:rFonts w:ascii="Times New Roman" w:hAnsi="Times New Roman"/>
                <w:sz w:val="20"/>
                <w:szCs w:val="20"/>
                <w:lang w:eastAsia="lv-LV"/>
              </w:rPr>
            </w:pPr>
            <w:r w:rsidRPr="003B2FE4">
              <w:rPr>
                <w:rFonts w:ascii="Times New Roman" w:hAnsi="Times New Roman"/>
                <w:sz w:val="20"/>
                <w:szCs w:val="20"/>
                <w:lang w:eastAsia="lv-LV"/>
              </w:rPr>
              <w:lastRenderedPageBreak/>
              <w:t xml:space="preserve">izmaiņas, salīdzinot ar vidēja </w:t>
            </w:r>
            <w:r w:rsidRPr="003B2FE4">
              <w:rPr>
                <w:rFonts w:ascii="Times New Roman" w:hAnsi="Times New Roman"/>
                <w:sz w:val="20"/>
                <w:szCs w:val="20"/>
                <w:lang w:eastAsia="lv-LV"/>
              </w:rPr>
              <w:lastRenderedPageBreak/>
              <w:t>termiņa budžeta ietvaru 202</w:t>
            </w:r>
            <w:r w:rsidR="00E8717E" w:rsidRPr="003B2FE4">
              <w:rPr>
                <w:rFonts w:ascii="Times New Roman" w:hAnsi="Times New Roman"/>
                <w:sz w:val="20"/>
                <w:szCs w:val="20"/>
                <w:lang w:eastAsia="lv-LV"/>
              </w:rPr>
              <w:t>2</w:t>
            </w:r>
            <w:r w:rsidRPr="003B2FE4">
              <w:rPr>
                <w:rFonts w:ascii="Times New Roman" w:hAnsi="Times New Roman"/>
                <w:sz w:val="20"/>
                <w:szCs w:val="20"/>
                <w:lang w:eastAsia="lv-LV"/>
              </w:rPr>
              <w:t>. gadam</w:t>
            </w:r>
          </w:p>
        </w:tc>
      </w:tr>
      <w:tr w:rsidR="003B2FE4" w:rsidRPr="003B2FE4" w14:paraId="06738653" w14:textId="77777777" w:rsidTr="00526CE8">
        <w:trPr>
          <w:gridAfter w:val="1"/>
          <w:wAfter w:w="8" w:type="dxa"/>
          <w:jc w:val="center"/>
        </w:trPr>
        <w:tc>
          <w:tcPr>
            <w:tcW w:w="1980" w:type="dxa"/>
            <w:vAlign w:val="center"/>
          </w:tcPr>
          <w:p w14:paraId="087E6665" w14:textId="77777777" w:rsidR="00064F32" w:rsidRPr="003B2FE4" w:rsidRDefault="00064F32" w:rsidP="000044FA">
            <w:pPr>
              <w:pStyle w:val="NoSpacing"/>
              <w:jc w:val="center"/>
              <w:rPr>
                <w:rFonts w:ascii="Times New Roman" w:hAnsi="Times New Roman"/>
                <w:sz w:val="16"/>
                <w:szCs w:val="16"/>
                <w:lang w:eastAsia="lv-LV"/>
              </w:rPr>
            </w:pPr>
            <w:r w:rsidRPr="003B2FE4">
              <w:rPr>
                <w:rFonts w:ascii="Times New Roman" w:hAnsi="Times New Roman"/>
                <w:sz w:val="16"/>
                <w:szCs w:val="16"/>
                <w:lang w:eastAsia="lv-LV"/>
              </w:rPr>
              <w:lastRenderedPageBreak/>
              <w:t>1</w:t>
            </w:r>
          </w:p>
        </w:tc>
        <w:tc>
          <w:tcPr>
            <w:tcW w:w="1276" w:type="dxa"/>
            <w:vAlign w:val="center"/>
          </w:tcPr>
          <w:p w14:paraId="742AF566" w14:textId="77777777" w:rsidR="00064F32" w:rsidRPr="003B2FE4" w:rsidRDefault="00064F32" w:rsidP="000044FA">
            <w:pPr>
              <w:pStyle w:val="NoSpacing"/>
              <w:jc w:val="center"/>
              <w:rPr>
                <w:rFonts w:ascii="Times New Roman" w:hAnsi="Times New Roman"/>
                <w:sz w:val="16"/>
                <w:szCs w:val="16"/>
                <w:lang w:eastAsia="lv-LV"/>
              </w:rPr>
            </w:pPr>
            <w:r w:rsidRPr="003B2FE4">
              <w:rPr>
                <w:rFonts w:ascii="Times New Roman" w:hAnsi="Times New Roman"/>
                <w:sz w:val="16"/>
                <w:szCs w:val="16"/>
                <w:lang w:eastAsia="lv-LV"/>
              </w:rPr>
              <w:t>2</w:t>
            </w:r>
          </w:p>
        </w:tc>
        <w:tc>
          <w:tcPr>
            <w:tcW w:w="1275" w:type="dxa"/>
            <w:vAlign w:val="center"/>
          </w:tcPr>
          <w:p w14:paraId="2F15398D" w14:textId="77777777" w:rsidR="00064F32" w:rsidRPr="003B2FE4" w:rsidRDefault="00064F32" w:rsidP="000044FA">
            <w:pPr>
              <w:pStyle w:val="NoSpacing"/>
              <w:jc w:val="center"/>
              <w:rPr>
                <w:rFonts w:ascii="Times New Roman" w:hAnsi="Times New Roman"/>
                <w:sz w:val="16"/>
                <w:szCs w:val="16"/>
                <w:lang w:eastAsia="lv-LV"/>
              </w:rPr>
            </w:pPr>
            <w:r w:rsidRPr="003B2FE4">
              <w:rPr>
                <w:rFonts w:ascii="Times New Roman" w:hAnsi="Times New Roman"/>
                <w:sz w:val="16"/>
                <w:szCs w:val="16"/>
                <w:lang w:eastAsia="lv-LV"/>
              </w:rPr>
              <w:t>3</w:t>
            </w:r>
          </w:p>
        </w:tc>
        <w:tc>
          <w:tcPr>
            <w:tcW w:w="851" w:type="dxa"/>
            <w:vAlign w:val="center"/>
          </w:tcPr>
          <w:p w14:paraId="5C4D947D" w14:textId="77777777" w:rsidR="00064F32" w:rsidRPr="003B2FE4" w:rsidRDefault="00064F32" w:rsidP="000044FA">
            <w:pPr>
              <w:pStyle w:val="NoSpacing"/>
              <w:jc w:val="center"/>
              <w:rPr>
                <w:rFonts w:ascii="Times New Roman" w:hAnsi="Times New Roman"/>
                <w:sz w:val="16"/>
                <w:szCs w:val="16"/>
                <w:lang w:eastAsia="lv-LV"/>
              </w:rPr>
            </w:pPr>
            <w:r w:rsidRPr="003B2FE4">
              <w:rPr>
                <w:rFonts w:ascii="Times New Roman" w:hAnsi="Times New Roman"/>
                <w:sz w:val="16"/>
                <w:szCs w:val="16"/>
                <w:lang w:eastAsia="lv-LV"/>
              </w:rPr>
              <w:t>4</w:t>
            </w:r>
          </w:p>
        </w:tc>
        <w:tc>
          <w:tcPr>
            <w:tcW w:w="1134" w:type="dxa"/>
            <w:vAlign w:val="center"/>
          </w:tcPr>
          <w:p w14:paraId="27465714" w14:textId="77777777" w:rsidR="00064F32" w:rsidRPr="003B2FE4" w:rsidRDefault="00064F32" w:rsidP="000044FA">
            <w:pPr>
              <w:pStyle w:val="NoSpacing"/>
              <w:jc w:val="center"/>
              <w:rPr>
                <w:rFonts w:ascii="Times New Roman" w:hAnsi="Times New Roman"/>
                <w:sz w:val="16"/>
                <w:szCs w:val="16"/>
                <w:lang w:eastAsia="lv-LV"/>
              </w:rPr>
            </w:pPr>
            <w:r w:rsidRPr="003B2FE4">
              <w:rPr>
                <w:rFonts w:ascii="Times New Roman" w:hAnsi="Times New Roman"/>
                <w:sz w:val="16"/>
                <w:szCs w:val="16"/>
                <w:lang w:eastAsia="lv-LV"/>
              </w:rPr>
              <w:t>5</w:t>
            </w:r>
          </w:p>
        </w:tc>
        <w:tc>
          <w:tcPr>
            <w:tcW w:w="850" w:type="dxa"/>
            <w:vAlign w:val="center"/>
          </w:tcPr>
          <w:p w14:paraId="508761AC" w14:textId="77777777" w:rsidR="00064F32" w:rsidRPr="003B2FE4" w:rsidRDefault="00064F32" w:rsidP="000044FA">
            <w:pPr>
              <w:pStyle w:val="NoSpacing"/>
              <w:jc w:val="center"/>
              <w:rPr>
                <w:rFonts w:ascii="Times New Roman" w:hAnsi="Times New Roman"/>
                <w:sz w:val="16"/>
                <w:szCs w:val="16"/>
                <w:lang w:eastAsia="lv-LV"/>
              </w:rPr>
            </w:pPr>
            <w:r w:rsidRPr="003B2FE4">
              <w:rPr>
                <w:rFonts w:ascii="Times New Roman" w:hAnsi="Times New Roman"/>
                <w:sz w:val="16"/>
                <w:szCs w:val="16"/>
                <w:lang w:eastAsia="lv-LV"/>
              </w:rPr>
              <w:t>6</w:t>
            </w:r>
          </w:p>
        </w:tc>
        <w:tc>
          <w:tcPr>
            <w:tcW w:w="993" w:type="dxa"/>
            <w:vAlign w:val="center"/>
          </w:tcPr>
          <w:p w14:paraId="74BAE14B" w14:textId="77777777" w:rsidR="00064F32" w:rsidRPr="003B2FE4" w:rsidRDefault="00064F32" w:rsidP="000044FA">
            <w:pPr>
              <w:pStyle w:val="NoSpacing"/>
              <w:jc w:val="center"/>
              <w:rPr>
                <w:rFonts w:ascii="Times New Roman" w:hAnsi="Times New Roman"/>
                <w:sz w:val="16"/>
                <w:szCs w:val="16"/>
                <w:lang w:eastAsia="lv-LV"/>
              </w:rPr>
            </w:pPr>
            <w:r w:rsidRPr="003B2FE4">
              <w:rPr>
                <w:rFonts w:ascii="Times New Roman" w:hAnsi="Times New Roman"/>
                <w:sz w:val="16"/>
                <w:szCs w:val="16"/>
                <w:lang w:eastAsia="lv-LV"/>
              </w:rPr>
              <w:t>7</w:t>
            </w:r>
          </w:p>
        </w:tc>
        <w:tc>
          <w:tcPr>
            <w:tcW w:w="1134" w:type="dxa"/>
            <w:vAlign w:val="center"/>
          </w:tcPr>
          <w:p w14:paraId="4061E3F8" w14:textId="77777777" w:rsidR="00064F32" w:rsidRPr="003B2FE4" w:rsidRDefault="00064F32" w:rsidP="000044FA">
            <w:pPr>
              <w:pStyle w:val="NoSpacing"/>
              <w:jc w:val="center"/>
              <w:rPr>
                <w:rFonts w:ascii="Times New Roman" w:hAnsi="Times New Roman"/>
                <w:sz w:val="16"/>
                <w:szCs w:val="16"/>
                <w:lang w:eastAsia="lv-LV"/>
              </w:rPr>
            </w:pPr>
            <w:r w:rsidRPr="003B2FE4">
              <w:rPr>
                <w:rFonts w:ascii="Times New Roman" w:hAnsi="Times New Roman"/>
                <w:sz w:val="16"/>
                <w:szCs w:val="16"/>
                <w:lang w:eastAsia="lv-LV"/>
              </w:rPr>
              <w:t>8</w:t>
            </w:r>
          </w:p>
        </w:tc>
      </w:tr>
      <w:tr w:rsidR="003B2FE4" w:rsidRPr="003B2FE4" w14:paraId="6285ABA3" w14:textId="77777777" w:rsidTr="00526CE8">
        <w:trPr>
          <w:gridAfter w:val="1"/>
          <w:wAfter w:w="8" w:type="dxa"/>
          <w:jc w:val="center"/>
        </w:trPr>
        <w:tc>
          <w:tcPr>
            <w:tcW w:w="1980" w:type="dxa"/>
          </w:tcPr>
          <w:p w14:paraId="18F4E0D7" w14:textId="77777777" w:rsidR="00526CE8" w:rsidRPr="003B2FE4" w:rsidRDefault="00526CE8" w:rsidP="00526CE8">
            <w:pPr>
              <w:pStyle w:val="NoSpacing"/>
              <w:rPr>
                <w:rFonts w:ascii="Times New Roman" w:hAnsi="Times New Roman"/>
                <w:lang w:eastAsia="lv-LV"/>
              </w:rPr>
            </w:pPr>
            <w:r w:rsidRPr="003B2FE4">
              <w:rPr>
                <w:rFonts w:ascii="Times New Roman" w:hAnsi="Times New Roman"/>
                <w:lang w:eastAsia="lv-LV"/>
              </w:rPr>
              <w:t>1. Budžeta ieņēmumi</w:t>
            </w:r>
          </w:p>
        </w:tc>
        <w:tc>
          <w:tcPr>
            <w:tcW w:w="1276" w:type="dxa"/>
          </w:tcPr>
          <w:p w14:paraId="056264E9" w14:textId="1D961CFA" w:rsidR="00526CE8" w:rsidRPr="003B2FE4" w:rsidRDefault="00526CE8" w:rsidP="00526CE8">
            <w:pPr>
              <w:pStyle w:val="NoSpacing"/>
              <w:ind w:left="-253"/>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275" w:type="dxa"/>
          </w:tcPr>
          <w:p w14:paraId="2AC5F917"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1" w:type="dxa"/>
          </w:tcPr>
          <w:p w14:paraId="07F1B4E9"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5EB6020B"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0" w:type="dxa"/>
          </w:tcPr>
          <w:p w14:paraId="07795111"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993" w:type="dxa"/>
          </w:tcPr>
          <w:p w14:paraId="5427B052"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11A42E02"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r>
      <w:tr w:rsidR="003B2FE4" w:rsidRPr="003B2FE4" w14:paraId="6E564720" w14:textId="77777777" w:rsidTr="00526CE8">
        <w:trPr>
          <w:gridAfter w:val="1"/>
          <w:wAfter w:w="8" w:type="dxa"/>
          <w:jc w:val="center"/>
        </w:trPr>
        <w:tc>
          <w:tcPr>
            <w:tcW w:w="1980" w:type="dxa"/>
          </w:tcPr>
          <w:p w14:paraId="3D166CCC" w14:textId="751794B3" w:rsidR="00526CE8" w:rsidRPr="003B2FE4" w:rsidRDefault="00526CE8" w:rsidP="00526CE8">
            <w:pPr>
              <w:pStyle w:val="NoSpacing"/>
              <w:rPr>
                <w:rFonts w:ascii="Times New Roman" w:hAnsi="Times New Roman"/>
                <w:lang w:eastAsia="lv-LV"/>
              </w:rPr>
            </w:pPr>
            <w:r w:rsidRPr="003B2FE4">
              <w:rPr>
                <w:rFonts w:ascii="Times New Roman" w:hAnsi="Times New Roman"/>
                <w:lang w:eastAsia="lv-LV"/>
              </w:rPr>
              <w:t xml:space="preserve">1.1. valsts pamatbudžets, tai skaitā ieņēmumi no maksas pakalpojumiem un citi pašu ieņēmumi </w:t>
            </w:r>
            <w:r w:rsidRPr="003B2FE4">
              <w:rPr>
                <w:rFonts w:ascii="Times New Roman" w:hAnsi="Times New Roman"/>
                <w:sz w:val="24"/>
                <w:szCs w:val="24"/>
                <w:lang w:eastAsia="lv-LV"/>
              </w:rPr>
              <w:t>(neto)</w:t>
            </w:r>
          </w:p>
        </w:tc>
        <w:tc>
          <w:tcPr>
            <w:tcW w:w="1276" w:type="dxa"/>
          </w:tcPr>
          <w:p w14:paraId="2058AD1F" w14:textId="6162E447" w:rsidR="00526CE8" w:rsidRPr="003B2FE4" w:rsidRDefault="00526CE8" w:rsidP="00526CE8">
            <w:pPr>
              <w:pStyle w:val="NoSpacing"/>
              <w:ind w:left="-253"/>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275" w:type="dxa"/>
          </w:tcPr>
          <w:p w14:paraId="04F63E08"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1" w:type="dxa"/>
          </w:tcPr>
          <w:p w14:paraId="75B65C1F"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6FF8F956"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0" w:type="dxa"/>
          </w:tcPr>
          <w:p w14:paraId="3D823D9F"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993" w:type="dxa"/>
          </w:tcPr>
          <w:p w14:paraId="4882CD76"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5D10F365"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r>
      <w:tr w:rsidR="003B2FE4" w:rsidRPr="003B2FE4" w14:paraId="68E4CF1A" w14:textId="77777777" w:rsidTr="00526CE8">
        <w:trPr>
          <w:gridAfter w:val="1"/>
          <w:wAfter w:w="8" w:type="dxa"/>
          <w:jc w:val="center"/>
        </w:trPr>
        <w:tc>
          <w:tcPr>
            <w:tcW w:w="1980" w:type="dxa"/>
          </w:tcPr>
          <w:p w14:paraId="7EF383DE" w14:textId="74F6CEAA" w:rsidR="00526CE8" w:rsidRPr="003B2FE4" w:rsidRDefault="00526CE8" w:rsidP="00526CE8">
            <w:pPr>
              <w:pStyle w:val="NoSpacing"/>
              <w:rPr>
                <w:rFonts w:ascii="Times New Roman" w:hAnsi="Times New Roman"/>
                <w:lang w:eastAsia="lv-LV"/>
              </w:rPr>
            </w:pPr>
            <w:r w:rsidRPr="003B2FE4">
              <w:rPr>
                <w:rFonts w:ascii="Times New Roman" w:hAnsi="Times New Roman"/>
                <w:lang w:eastAsia="lv-LV"/>
              </w:rPr>
              <w:t xml:space="preserve">1.2. valsts speciālais budžets </w:t>
            </w:r>
            <w:r w:rsidRPr="003B2FE4">
              <w:rPr>
                <w:rFonts w:ascii="Times New Roman" w:hAnsi="Times New Roman"/>
                <w:sz w:val="24"/>
                <w:szCs w:val="24"/>
                <w:lang w:eastAsia="lv-LV"/>
              </w:rPr>
              <w:t>(neto)</w:t>
            </w:r>
          </w:p>
        </w:tc>
        <w:tc>
          <w:tcPr>
            <w:tcW w:w="1276" w:type="dxa"/>
          </w:tcPr>
          <w:p w14:paraId="5F16D58E" w14:textId="073CA29C" w:rsidR="00526CE8" w:rsidRPr="003B2FE4" w:rsidRDefault="00526CE8" w:rsidP="00526CE8">
            <w:pPr>
              <w:pStyle w:val="NoSpacing"/>
              <w:ind w:left="-253"/>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275" w:type="dxa"/>
          </w:tcPr>
          <w:p w14:paraId="0A0B96CF"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1" w:type="dxa"/>
          </w:tcPr>
          <w:p w14:paraId="79A53E17"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534BEFB7"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0" w:type="dxa"/>
          </w:tcPr>
          <w:p w14:paraId="233826F5"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993" w:type="dxa"/>
          </w:tcPr>
          <w:p w14:paraId="3C3B58ED"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4BCF405B"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r>
      <w:tr w:rsidR="003B2FE4" w:rsidRPr="003B2FE4" w14:paraId="3FFC3881" w14:textId="77777777" w:rsidTr="00526CE8">
        <w:trPr>
          <w:gridAfter w:val="1"/>
          <w:wAfter w:w="8" w:type="dxa"/>
          <w:jc w:val="center"/>
        </w:trPr>
        <w:tc>
          <w:tcPr>
            <w:tcW w:w="1980" w:type="dxa"/>
          </w:tcPr>
          <w:p w14:paraId="2CEA15CD" w14:textId="77777777" w:rsidR="00526CE8" w:rsidRPr="003B2FE4" w:rsidRDefault="00526CE8" w:rsidP="00526CE8">
            <w:pPr>
              <w:pStyle w:val="NoSpacing"/>
              <w:rPr>
                <w:rFonts w:ascii="Times New Roman" w:hAnsi="Times New Roman"/>
                <w:lang w:eastAsia="lv-LV"/>
              </w:rPr>
            </w:pPr>
            <w:r w:rsidRPr="003B2FE4">
              <w:rPr>
                <w:rFonts w:ascii="Times New Roman" w:hAnsi="Times New Roman"/>
                <w:lang w:eastAsia="lv-LV"/>
              </w:rPr>
              <w:t>1.3. pašvaldību budžets</w:t>
            </w:r>
          </w:p>
        </w:tc>
        <w:tc>
          <w:tcPr>
            <w:tcW w:w="1276" w:type="dxa"/>
          </w:tcPr>
          <w:p w14:paraId="2B532EE4" w14:textId="2243FA83" w:rsidR="00526CE8" w:rsidRPr="003B2FE4" w:rsidRDefault="00526CE8" w:rsidP="00526CE8">
            <w:pPr>
              <w:pStyle w:val="NoSpacing"/>
              <w:ind w:left="-253"/>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275" w:type="dxa"/>
          </w:tcPr>
          <w:p w14:paraId="313ABD5E"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1" w:type="dxa"/>
          </w:tcPr>
          <w:p w14:paraId="357F7F23"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773D4032"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0" w:type="dxa"/>
          </w:tcPr>
          <w:p w14:paraId="03D4C03E"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993" w:type="dxa"/>
          </w:tcPr>
          <w:p w14:paraId="13DFCA97"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0B6BC1F3"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r>
      <w:tr w:rsidR="003B2FE4" w:rsidRPr="003B2FE4" w14:paraId="1C3F2C8B" w14:textId="77777777" w:rsidTr="00526CE8">
        <w:trPr>
          <w:gridAfter w:val="1"/>
          <w:wAfter w:w="8" w:type="dxa"/>
          <w:jc w:val="center"/>
        </w:trPr>
        <w:tc>
          <w:tcPr>
            <w:tcW w:w="1980" w:type="dxa"/>
          </w:tcPr>
          <w:p w14:paraId="4A1093AA" w14:textId="77777777" w:rsidR="00526CE8" w:rsidRPr="003B2FE4" w:rsidRDefault="00526CE8" w:rsidP="00526CE8">
            <w:pPr>
              <w:pStyle w:val="NoSpacing"/>
              <w:rPr>
                <w:rFonts w:ascii="Times New Roman" w:hAnsi="Times New Roman"/>
                <w:lang w:eastAsia="lv-LV"/>
              </w:rPr>
            </w:pPr>
            <w:r w:rsidRPr="003B2FE4">
              <w:rPr>
                <w:rFonts w:ascii="Times New Roman" w:hAnsi="Times New Roman"/>
                <w:lang w:eastAsia="lv-LV"/>
              </w:rPr>
              <w:t>2. Budžeta izdevumi</w:t>
            </w:r>
          </w:p>
        </w:tc>
        <w:tc>
          <w:tcPr>
            <w:tcW w:w="1276" w:type="dxa"/>
          </w:tcPr>
          <w:p w14:paraId="78FDC2B0" w14:textId="643D10B8" w:rsidR="00526CE8" w:rsidRPr="003B2FE4" w:rsidRDefault="00526CE8" w:rsidP="00526CE8">
            <w:pPr>
              <w:pStyle w:val="NoSpacing"/>
              <w:ind w:left="-253"/>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275" w:type="dxa"/>
          </w:tcPr>
          <w:p w14:paraId="3A22C34A" w14:textId="014E0D58" w:rsidR="00526CE8" w:rsidRPr="003B2FE4" w:rsidRDefault="00526CE8" w:rsidP="00526CE8">
            <w:pPr>
              <w:pStyle w:val="NoSpacing"/>
              <w:jc w:val="right"/>
              <w:rPr>
                <w:rFonts w:ascii="Times New Roman" w:hAnsi="Times New Roman"/>
                <w:b/>
                <w:sz w:val="24"/>
                <w:szCs w:val="24"/>
                <w:lang w:eastAsia="lv-LV"/>
              </w:rPr>
            </w:pPr>
            <w:r w:rsidRPr="003B2FE4">
              <w:rPr>
                <w:rFonts w:ascii="Times New Roman" w:hAnsi="Times New Roman"/>
                <w:sz w:val="24"/>
                <w:szCs w:val="24"/>
                <w:lang w:eastAsia="lv-LV"/>
              </w:rPr>
              <w:t>0</w:t>
            </w:r>
          </w:p>
        </w:tc>
        <w:tc>
          <w:tcPr>
            <w:tcW w:w="851" w:type="dxa"/>
          </w:tcPr>
          <w:p w14:paraId="62AAB058"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493BFE3A"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0" w:type="dxa"/>
          </w:tcPr>
          <w:p w14:paraId="1D94E43E"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993" w:type="dxa"/>
          </w:tcPr>
          <w:p w14:paraId="7404EAF3"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7BB6509A"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r>
      <w:tr w:rsidR="003B2FE4" w:rsidRPr="003B2FE4" w14:paraId="5F14C625" w14:textId="77777777" w:rsidTr="00526CE8">
        <w:trPr>
          <w:gridAfter w:val="1"/>
          <w:wAfter w:w="8" w:type="dxa"/>
          <w:jc w:val="center"/>
        </w:trPr>
        <w:tc>
          <w:tcPr>
            <w:tcW w:w="1980" w:type="dxa"/>
          </w:tcPr>
          <w:p w14:paraId="3E9C8911" w14:textId="435463D5" w:rsidR="00526CE8" w:rsidRPr="003B2FE4" w:rsidRDefault="00526CE8" w:rsidP="00526CE8">
            <w:pPr>
              <w:pStyle w:val="NoSpacing"/>
              <w:rPr>
                <w:rFonts w:ascii="Times New Roman" w:hAnsi="Times New Roman"/>
                <w:sz w:val="21"/>
                <w:szCs w:val="21"/>
                <w:lang w:eastAsia="lv-LV"/>
              </w:rPr>
            </w:pPr>
            <w:r w:rsidRPr="003B2FE4">
              <w:rPr>
                <w:rFonts w:ascii="Times New Roman" w:hAnsi="Times New Roman"/>
                <w:sz w:val="21"/>
                <w:szCs w:val="21"/>
                <w:lang w:eastAsia="lv-LV"/>
              </w:rPr>
              <w:t xml:space="preserve">2.1. valsts pamatbudžets </w:t>
            </w:r>
            <w:r w:rsidRPr="003B2FE4">
              <w:rPr>
                <w:rFonts w:ascii="Times New Roman" w:hAnsi="Times New Roman"/>
                <w:sz w:val="24"/>
                <w:szCs w:val="24"/>
                <w:lang w:eastAsia="lv-LV"/>
              </w:rPr>
              <w:t>(neto)</w:t>
            </w:r>
          </w:p>
        </w:tc>
        <w:tc>
          <w:tcPr>
            <w:tcW w:w="1276" w:type="dxa"/>
          </w:tcPr>
          <w:p w14:paraId="16433056" w14:textId="33BC3EEF" w:rsidR="00526CE8" w:rsidRPr="003B2FE4" w:rsidRDefault="00526CE8" w:rsidP="00526CE8">
            <w:pPr>
              <w:pStyle w:val="NoSpacing"/>
              <w:ind w:left="-253"/>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275" w:type="dxa"/>
          </w:tcPr>
          <w:p w14:paraId="2AA220F2" w14:textId="21E24C91"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1" w:type="dxa"/>
          </w:tcPr>
          <w:p w14:paraId="28D6A541"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4D8E7113"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0" w:type="dxa"/>
          </w:tcPr>
          <w:p w14:paraId="6C94C429"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993" w:type="dxa"/>
          </w:tcPr>
          <w:p w14:paraId="22364611"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172AC6AE"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r>
      <w:tr w:rsidR="003B2FE4" w:rsidRPr="003B2FE4" w14:paraId="7FB0B2A6" w14:textId="77777777" w:rsidTr="00526CE8">
        <w:trPr>
          <w:gridAfter w:val="1"/>
          <w:wAfter w:w="8" w:type="dxa"/>
          <w:jc w:val="center"/>
        </w:trPr>
        <w:tc>
          <w:tcPr>
            <w:tcW w:w="1980" w:type="dxa"/>
          </w:tcPr>
          <w:p w14:paraId="3EBF83C1" w14:textId="77777777" w:rsidR="00526CE8" w:rsidRPr="003B2FE4" w:rsidRDefault="00526CE8" w:rsidP="00526CE8">
            <w:pPr>
              <w:pStyle w:val="NoSpacing"/>
              <w:rPr>
                <w:rFonts w:ascii="Times New Roman" w:hAnsi="Times New Roman"/>
                <w:lang w:eastAsia="lv-LV"/>
              </w:rPr>
            </w:pPr>
            <w:r w:rsidRPr="003B2FE4">
              <w:rPr>
                <w:rFonts w:ascii="Times New Roman" w:hAnsi="Times New Roman"/>
                <w:lang w:eastAsia="lv-LV"/>
              </w:rPr>
              <w:t>2.2. valsts speciālais budžets</w:t>
            </w:r>
          </w:p>
        </w:tc>
        <w:tc>
          <w:tcPr>
            <w:tcW w:w="1276" w:type="dxa"/>
          </w:tcPr>
          <w:p w14:paraId="542E510A" w14:textId="0E720924" w:rsidR="00526CE8" w:rsidRPr="003B2FE4" w:rsidRDefault="00526CE8" w:rsidP="00526CE8">
            <w:pPr>
              <w:pStyle w:val="NoSpacing"/>
              <w:ind w:left="-253"/>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275" w:type="dxa"/>
          </w:tcPr>
          <w:p w14:paraId="0FE7C2E1"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1" w:type="dxa"/>
          </w:tcPr>
          <w:p w14:paraId="492BE7D6"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3469DC20"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0" w:type="dxa"/>
          </w:tcPr>
          <w:p w14:paraId="5C2E9A3B"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993" w:type="dxa"/>
          </w:tcPr>
          <w:p w14:paraId="02DFA4C6"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58C10384"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r>
      <w:tr w:rsidR="003B2FE4" w:rsidRPr="003B2FE4" w14:paraId="372F9969" w14:textId="77777777" w:rsidTr="00526CE8">
        <w:trPr>
          <w:gridAfter w:val="1"/>
          <w:wAfter w:w="8" w:type="dxa"/>
          <w:jc w:val="center"/>
        </w:trPr>
        <w:tc>
          <w:tcPr>
            <w:tcW w:w="1980" w:type="dxa"/>
          </w:tcPr>
          <w:p w14:paraId="38C27707" w14:textId="77777777" w:rsidR="00526CE8" w:rsidRPr="003B2FE4" w:rsidRDefault="00526CE8" w:rsidP="00526CE8">
            <w:pPr>
              <w:pStyle w:val="NoSpacing"/>
              <w:rPr>
                <w:rFonts w:ascii="Times New Roman" w:hAnsi="Times New Roman"/>
                <w:lang w:eastAsia="lv-LV"/>
              </w:rPr>
            </w:pPr>
            <w:r w:rsidRPr="003B2FE4">
              <w:rPr>
                <w:rFonts w:ascii="Times New Roman" w:hAnsi="Times New Roman"/>
                <w:lang w:eastAsia="lv-LV"/>
              </w:rPr>
              <w:t>2.3. pašvaldību budžets</w:t>
            </w:r>
          </w:p>
        </w:tc>
        <w:tc>
          <w:tcPr>
            <w:tcW w:w="1276" w:type="dxa"/>
          </w:tcPr>
          <w:p w14:paraId="175D109A" w14:textId="619AC96D"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275" w:type="dxa"/>
          </w:tcPr>
          <w:p w14:paraId="68529B3E"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1" w:type="dxa"/>
          </w:tcPr>
          <w:p w14:paraId="441A7550"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46134518"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0" w:type="dxa"/>
          </w:tcPr>
          <w:p w14:paraId="6C4E8B0C"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993" w:type="dxa"/>
          </w:tcPr>
          <w:p w14:paraId="1C3949B1"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5CCCC85E"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r>
      <w:tr w:rsidR="003B2FE4" w:rsidRPr="003B2FE4" w14:paraId="73CD7EDA" w14:textId="77777777" w:rsidTr="00526CE8">
        <w:trPr>
          <w:gridAfter w:val="1"/>
          <w:wAfter w:w="8" w:type="dxa"/>
          <w:jc w:val="center"/>
        </w:trPr>
        <w:tc>
          <w:tcPr>
            <w:tcW w:w="1980" w:type="dxa"/>
          </w:tcPr>
          <w:p w14:paraId="381D3420" w14:textId="77777777" w:rsidR="00526CE8" w:rsidRPr="003B2FE4" w:rsidRDefault="00526CE8" w:rsidP="00526CE8">
            <w:pPr>
              <w:pStyle w:val="NoSpacing"/>
              <w:rPr>
                <w:rFonts w:ascii="Times New Roman" w:hAnsi="Times New Roman"/>
                <w:lang w:eastAsia="lv-LV"/>
              </w:rPr>
            </w:pPr>
            <w:r w:rsidRPr="003B2FE4">
              <w:rPr>
                <w:rFonts w:ascii="Times New Roman" w:hAnsi="Times New Roman"/>
                <w:lang w:eastAsia="lv-LV"/>
              </w:rPr>
              <w:t>3. Finansiālā ietekme</w:t>
            </w:r>
          </w:p>
        </w:tc>
        <w:tc>
          <w:tcPr>
            <w:tcW w:w="1276" w:type="dxa"/>
          </w:tcPr>
          <w:p w14:paraId="53658771" w14:textId="2BB5264E"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275" w:type="dxa"/>
          </w:tcPr>
          <w:p w14:paraId="7909CF64" w14:textId="729D5CF0" w:rsidR="00526CE8" w:rsidRPr="003B2FE4" w:rsidRDefault="00526CE8" w:rsidP="00526CE8">
            <w:pPr>
              <w:ind w:left="-112"/>
              <w:jc w:val="right"/>
            </w:pPr>
            <w:r w:rsidRPr="003B2FE4">
              <w:t>0</w:t>
            </w:r>
          </w:p>
        </w:tc>
        <w:tc>
          <w:tcPr>
            <w:tcW w:w="851" w:type="dxa"/>
          </w:tcPr>
          <w:p w14:paraId="08662B43"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52966D99"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0" w:type="dxa"/>
          </w:tcPr>
          <w:p w14:paraId="6FF772A0"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993" w:type="dxa"/>
          </w:tcPr>
          <w:p w14:paraId="02F5617C"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1AA9812E"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r>
      <w:tr w:rsidR="003B2FE4" w:rsidRPr="003B2FE4" w14:paraId="3363C3F7" w14:textId="77777777" w:rsidTr="00526CE8">
        <w:trPr>
          <w:gridAfter w:val="1"/>
          <w:wAfter w:w="8" w:type="dxa"/>
          <w:jc w:val="center"/>
        </w:trPr>
        <w:tc>
          <w:tcPr>
            <w:tcW w:w="1980" w:type="dxa"/>
          </w:tcPr>
          <w:p w14:paraId="2D886A6E" w14:textId="77777777" w:rsidR="00526CE8" w:rsidRPr="003B2FE4" w:rsidRDefault="00526CE8" w:rsidP="00526CE8">
            <w:pPr>
              <w:pStyle w:val="NoSpacing"/>
              <w:rPr>
                <w:rFonts w:ascii="Times New Roman" w:hAnsi="Times New Roman"/>
                <w:sz w:val="21"/>
                <w:szCs w:val="21"/>
                <w:lang w:eastAsia="lv-LV"/>
              </w:rPr>
            </w:pPr>
            <w:r w:rsidRPr="003B2FE4">
              <w:rPr>
                <w:rFonts w:ascii="Times New Roman" w:hAnsi="Times New Roman"/>
                <w:sz w:val="21"/>
                <w:szCs w:val="21"/>
                <w:lang w:eastAsia="lv-LV"/>
              </w:rPr>
              <w:t>3.1. valsts pamatbudžets</w:t>
            </w:r>
          </w:p>
        </w:tc>
        <w:tc>
          <w:tcPr>
            <w:tcW w:w="1276" w:type="dxa"/>
          </w:tcPr>
          <w:p w14:paraId="6567D3E7" w14:textId="7FCE0780"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275" w:type="dxa"/>
          </w:tcPr>
          <w:p w14:paraId="5B392BDE" w14:textId="0EC0E863" w:rsidR="00526CE8" w:rsidRPr="003B2FE4" w:rsidRDefault="00526CE8" w:rsidP="00526CE8">
            <w:pPr>
              <w:ind w:left="-112"/>
              <w:jc w:val="right"/>
            </w:pPr>
            <w:r w:rsidRPr="003B2FE4">
              <w:t>0</w:t>
            </w:r>
          </w:p>
        </w:tc>
        <w:tc>
          <w:tcPr>
            <w:tcW w:w="851" w:type="dxa"/>
          </w:tcPr>
          <w:p w14:paraId="3B54D384"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4043500F"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0" w:type="dxa"/>
          </w:tcPr>
          <w:p w14:paraId="716338DF"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993" w:type="dxa"/>
          </w:tcPr>
          <w:p w14:paraId="0689B2A9"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6B97A361"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r>
      <w:tr w:rsidR="003B2FE4" w:rsidRPr="003B2FE4" w14:paraId="08C899AA" w14:textId="77777777" w:rsidTr="00526CE8">
        <w:trPr>
          <w:gridAfter w:val="1"/>
          <w:wAfter w:w="8" w:type="dxa"/>
          <w:jc w:val="center"/>
        </w:trPr>
        <w:tc>
          <w:tcPr>
            <w:tcW w:w="1980" w:type="dxa"/>
          </w:tcPr>
          <w:p w14:paraId="15619ACC" w14:textId="77777777" w:rsidR="00526CE8" w:rsidRPr="003B2FE4" w:rsidRDefault="00526CE8" w:rsidP="00526CE8">
            <w:pPr>
              <w:pStyle w:val="NoSpacing"/>
              <w:rPr>
                <w:rFonts w:ascii="Times New Roman" w:hAnsi="Times New Roman"/>
                <w:lang w:eastAsia="lv-LV"/>
              </w:rPr>
            </w:pPr>
            <w:r w:rsidRPr="003B2FE4">
              <w:rPr>
                <w:rFonts w:ascii="Times New Roman" w:hAnsi="Times New Roman"/>
                <w:lang w:eastAsia="lv-LV"/>
              </w:rPr>
              <w:t>3.2. speciālais budžets</w:t>
            </w:r>
          </w:p>
        </w:tc>
        <w:tc>
          <w:tcPr>
            <w:tcW w:w="1276" w:type="dxa"/>
          </w:tcPr>
          <w:p w14:paraId="5C7C4333" w14:textId="67115D5D"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275" w:type="dxa"/>
          </w:tcPr>
          <w:p w14:paraId="262AD31F"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1" w:type="dxa"/>
          </w:tcPr>
          <w:p w14:paraId="53F20CB3"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07DE10F6"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0" w:type="dxa"/>
          </w:tcPr>
          <w:p w14:paraId="6D3D705A"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993" w:type="dxa"/>
          </w:tcPr>
          <w:p w14:paraId="690C155E"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0F9CADEA"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r>
      <w:tr w:rsidR="003B2FE4" w:rsidRPr="003B2FE4" w14:paraId="4AABF1C2" w14:textId="77777777" w:rsidTr="00526CE8">
        <w:trPr>
          <w:gridAfter w:val="1"/>
          <w:wAfter w:w="8" w:type="dxa"/>
          <w:jc w:val="center"/>
        </w:trPr>
        <w:tc>
          <w:tcPr>
            <w:tcW w:w="1980" w:type="dxa"/>
          </w:tcPr>
          <w:p w14:paraId="12BBD651" w14:textId="77777777" w:rsidR="00526CE8" w:rsidRPr="003B2FE4" w:rsidRDefault="00526CE8" w:rsidP="00526CE8">
            <w:pPr>
              <w:pStyle w:val="NoSpacing"/>
              <w:rPr>
                <w:rFonts w:ascii="Times New Roman" w:hAnsi="Times New Roman"/>
                <w:lang w:eastAsia="lv-LV"/>
              </w:rPr>
            </w:pPr>
            <w:r w:rsidRPr="003B2FE4">
              <w:rPr>
                <w:rFonts w:ascii="Times New Roman" w:hAnsi="Times New Roman"/>
                <w:lang w:eastAsia="lv-LV"/>
              </w:rPr>
              <w:t>3.3. pašvaldību budžets</w:t>
            </w:r>
          </w:p>
        </w:tc>
        <w:tc>
          <w:tcPr>
            <w:tcW w:w="1276" w:type="dxa"/>
          </w:tcPr>
          <w:p w14:paraId="4B19A6CF" w14:textId="1193182F"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275" w:type="dxa"/>
          </w:tcPr>
          <w:p w14:paraId="322134AF"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1" w:type="dxa"/>
          </w:tcPr>
          <w:p w14:paraId="3EEEDD1D"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6CA57C92"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0" w:type="dxa"/>
          </w:tcPr>
          <w:p w14:paraId="23A8E17B"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993" w:type="dxa"/>
          </w:tcPr>
          <w:p w14:paraId="20DEE9A7"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22B66776"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r>
      <w:tr w:rsidR="003B2FE4" w:rsidRPr="003B2FE4" w14:paraId="25FC07B2" w14:textId="77777777" w:rsidTr="00526CE8">
        <w:trPr>
          <w:gridAfter w:val="1"/>
          <w:wAfter w:w="8" w:type="dxa"/>
          <w:jc w:val="center"/>
        </w:trPr>
        <w:tc>
          <w:tcPr>
            <w:tcW w:w="1980" w:type="dxa"/>
          </w:tcPr>
          <w:p w14:paraId="41667BCA" w14:textId="77777777" w:rsidR="00526CE8" w:rsidRPr="003B2FE4" w:rsidRDefault="00526CE8" w:rsidP="00526CE8">
            <w:pPr>
              <w:pStyle w:val="NoSpacing"/>
              <w:rPr>
                <w:rFonts w:ascii="Times New Roman" w:hAnsi="Times New Roman"/>
                <w:lang w:eastAsia="lv-LV"/>
              </w:rPr>
            </w:pPr>
            <w:r w:rsidRPr="003B2FE4">
              <w:rPr>
                <w:rFonts w:ascii="Times New Roman" w:hAnsi="Times New Roman"/>
                <w:lang w:eastAsia="lv-LV"/>
              </w:rPr>
              <w:t>4. Finanšu līdzekļi papildu izdevumu finansēšanai (kompensējošu izdevumu samazinājumu norāda ar "+" zīmi)</w:t>
            </w:r>
          </w:p>
        </w:tc>
        <w:tc>
          <w:tcPr>
            <w:tcW w:w="1276" w:type="dxa"/>
          </w:tcPr>
          <w:p w14:paraId="13A7C5D5" w14:textId="2EF3D729"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275" w:type="dxa"/>
          </w:tcPr>
          <w:p w14:paraId="265D40DE"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rPr>
              <w:t>0</w:t>
            </w:r>
          </w:p>
        </w:tc>
        <w:tc>
          <w:tcPr>
            <w:tcW w:w="851" w:type="dxa"/>
          </w:tcPr>
          <w:p w14:paraId="628E38DF"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0528B402"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0" w:type="dxa"/>
          </w:tcPr>
          <w:p w14:paraId="058E60E9"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993" w:type="dxa"/>
          </w:tcPr>
          <w:p w14:paraId="42287641"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254D6A84"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r>
      <w:tr w:rsidR="003B2FE4" w:rsidRPr="003B2FE4" w14:paraId="49558BB9" w14:textId="77777777" w:rsidTr="00526CE8">
        <w:trPr>
          <w:gridAfter w:val="1"/>
          <w:wAfter w:w="8" w:type="dxa"/>
          <w:jc w:val="center"/>
        </w:trPr>
        <w:tc>
          <w:tcPr>
            <w:tcW w:w="1980" w:type="dxa"/>
          </w:tcPr>
          <w:p w14:paraId="50C004EA" w14:textId="77777777" w:rsidR="00526CE8" w:rsidRPr="003B2FE4" w:rsidRDefault="00526CE8" w:rsidP="00526CE8">
            <w:pPr>
              <w:pStyle w:val="NoSpacing"/>
              <w:rPr>
                <w:rFonts w:ascii="Times New Roman" w:hAnsi="Times New Roman"/>
                <w:lang w:eastAsia="lv-LV"/>
              </w:rPr>
            </w:pPr>
            <w:r w:rsidRPr="003B2FE4">
              <w:rPr>
                <w:rFonts w:ascii="Times New Roman" w:hAnsi="Times New Roman"/>
                <w:lang w:eastAsia="lv-LV"/>
              </w:rPr>
              <w:t>5. Precizēta finansiālā ietekme</w:t>
            </w:r>
          </w:p>
        </w:tc>
        <w:tc>
          <w:tcPr>
            <w:tcW w:w="1276" w:type="dxa"/>
            <w:vMerge w:val="restart"/>
          </w:tcPr>
          <w:p w14:paraId="71896942" w14:textId="0CB60CB5"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275" w:type="dxa"/>
          </w:tcPr>
          <w:p w14:paraId="3F980A87"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rPr>
              <w:t>0</w:t>
            </w:r>
          </w:p>
        </w:tc>
        <w:tc>
          <w:tcPr>
            <w:tcW w:w="851" w:type="dxa"/>
            <w:vMerge w:val="restart"/>
          </w:tcPr>
          <w:p w14:paraId="46D8B921"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034309E6"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0" w:type="dxa"/>
            <w:vMerge w:val="restart"/>
          </w:tcPr>
          <w:p w14:paraId="3DDF670A"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993" w:type="dxa"/>
          </w:tcPr>
          <w:p w14:paraId="3E80C41A"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6CEFDF47" w14:textId="77777777" w:rsidR="00526CE8" w:rsidRPr="003B2FE4" w:rsidRDefault="00526CE8" w:rsidP="00526CE8">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r>
      <w:tr w:rsidR="003B2FE4" w:rsidRPr="003B2FE4" w14:paraId="65B33339" w14:textId="77777777" w:rsidTr="00526CE8">
        <w:trPr>
          <w:gridAfter w:val="1"/>
          <w:wAfter w:w="8" w:type="dxa"/>
          <w:jc w:val="center"/>
        </w:trPr>
        <w:tc>
          <w:tcPr>
            <w:tcW w:w="1980" w:type="dxa"/>
          </w:tcPr>
          <w:p w14:paraId="71DE0575" w14:textId="77777777" w:rsidR="00064F32" w:rsidRPr="003B2FE4" w:rsidRDefault="00064F32" w:rsidP="000044FA">
            <w:pPr>
              <w:pStyle w:val="NoSpacing"/>
              <w:rPr>
                <w:rFonts w:ascii="Times New Roman" w:hAnsi="Times New Roman"/>
                <w:sz w:val="20"/>
                <w:szCs w:val="20"/>
                <w:lang w:eastAsia="lv-LV"/>
              </w:rPr>
            </w:pPr>
            <w:r w:rsidRPr="003B2FE4">
              <w:rPr>
                <w:rFonts w:ascii="Times New Roman" w:hAnsi="Times New Roman"/>
                <w:sz w:val="20"/>
                <w:szCs w:val="20"/>
                <w:lang w:eastAsia="lv-LV"/>
              </w:rPr>
              <w:t>5.1. valsts pamatbudžets</w:t>
            </w:r>
          </w:p>
        </w:tc>
        <w:tc>
          <w:tcPr>
            <w:tcW w:w="1276" w:type="dxa"/>
            <w:vMerge/>
          </w:tcPr>
          <w:p w14:paraId="6D843DC1" w14:textId="77777777" w:rsidR="00064F32" w:rsidRPr="003B2FE4" w:rsidRDefault="00064F32" w:rsidP="000044FA">
            <w:pPr>
              <w:pStyle w:val="NoSpacing"/>
              <w:jc w:val="right"/>
              <w:rPr>
                <w:rFonts w:ascii="Times New Roman" w:hAnsi="Times New Roman"/>
                <w:sz w:val="24"/>
                <w:szCs w:val="24"/>
                <w:lang w:eastAsia="lv-LV"/>
              </w:rPr>
            </w:pPr>
          </w:p>
        </w:tc>
        <w:tc>
          <w:tcPr>
            <w:tcW w:w="1275" w:type="dxa"/>
          </w:tcPr>
          <w:p w14:paraId="054216D1" w14:textId="77777777" w:rsidR="00064F32" w:rsidRPr="003B2FE4" w:rsidRDefault="00064F32" w:rsidP="000044FA">
            <w:pPr>
              <w:pStyle w:val="NoSpacing"/>
              <w:jc w:val="right"/>
              <w:rPr>
                <w:rFonts w:ascii="Times New Roman" w:hAnsi="Times New Roman"/>
                <w:sz w:val="24"/>
                <w:szCs w:val="24"/>
                <w:lang w:eastAsia="lv-LV"/>
              </w:rPr>
            </w:pPr>
            <w:r w:rsidRPr="003B2FE4">
              <w:rPr>
                <w:rFonts w:ascii="Times New Roman" w:hAnsi="Times New Roman"/>
                <w:sz w:val="24"/>
                <w:szCs w:val="24"/>
              </w:rPr>
              <w:t>0</w:t>
            </w:r>
          </w:p>
        </w:tc>
        <w:tc>
          <w:tcPr>
            <w:tcW w:w="851" w:type="dxa"/>
            <w:vMerge/>
          </w:tcPr>
          <w:p w14:paraId="53721396" w14:textId="77777777" w:rsidR="00064F32" w:rsidRPr="003B2FE4" w:rsidRDefault="00064F32" w:rsidP="000044FA">
            <w:pPr>
              <w:pStyle w:val="NoSpacing"/>
              <w:jc w:val="right"/>
              <w:rPr>
                <w:rFonts w:ascii="Times New Roman" w:hAnsi="Times New Roman"/>
                <w:sz w:val="24"/>
                <w:szCs w:val="24"/>
                <w:lang w:eastAsia="lv-LV"/>
              </w:rPr>
            </w:pPr>
          </w:p>
        </w:tc>
        <w:tc>
          <w:tcPr>
            <w:tcW w:w="1134" w:type="dxa"/>
          </w:tcPr>
          <w:p w14:paraId="5A663C27" w14:textId="77777777" w:rsidR="00064F32" w:rsidRPr="003B2FE4" w:rsidRDefault="00064F32" w:rsidP="000044FA">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0" w:type="dxa"/>
            <w:vMerge/>
          </w:tcPr>
          <w:p w14:paraId="1F1E9C21" w14:textId="77777777" w:rsidR="00064F32" w:rsidRPr="003B2FE4" w:rsidRDefault="00064F32" w:rsidP="000044FA">
            <w:pPr>
              <w:pStyle w:val="NoSpacing"/>
              <w:jc w:val="right"/>
              <w:rPr>
                <w:rFonts w:ascii="Times New Roman" w:hAnsi="Times New Roman"/>
                <w:sz w:val="24"/>
                <w:szCs w:val="24"/>
                <w:lang w:eastAsia="lv-LV"/>
              </w:rPr>
            </w:pPr>
          </w:p>
        </w:tc>
        <w:tc>
          <w:tcPr>
            <w:tcW w:w="993" w:type="dxa"/>
          </w:tcPr>
          <w:p w14:paraId="74587068" w14:textId="77777777" w:rsidR="00064F32" w:rsidRPr="003B2FE4" w:rsidRDefault="00064F32" w:rsidP="000044FA">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7FDD3E7D" w14:textId="77777777" w:rsidR="00064F32" w:rsidRPr="003B2FE4" w:rsidRDefault="00064F32" w:rsidP="000044FA">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r>
      <w:tr w:rsidR="003B2FE4" w:rsidRPr="003B2FE4" w14:paraId="75A000B9" w14:textId="77777777" w:rsidTr="00526CE8">
        <w:trPr>
          <w:gridAfter w:val="1"/>
          <w:wAfter w:w="8" w:type="dxa"/>
          <w:jc w:val="center"/>
        </w:trPr>
        <w:tc>
          <w:tcPr>
            <w:tcW w:w="1980" w:type="dxa"/>
          </w:tcPr>
          <w:p w14:paraId="26C10E9D" w14:textId="77777777" w:rsidR="00064F32" w:rsidRPr="003B2FE4" w:rsidRDefault="00064F32" w:rsidP="000044FA">
            <w:pPr>
              <w:pStyle w:val="NoSpacing"/>
              <w:rPr>
                <w:rFonts w:ascii="Times New Roman" w:hAnsi="Times New Roman"/>
                <w:lang w:eastAsia="lv-LV"/>
              </w:rPr>
            </w:pPr>
            <w:r w:rsidRPr="003B2FE4">
              <w:rPr>
                <w:rFonts w:ascii="Times New Roman" w:hAnsi="Times New Roman"/>
                <w:lang w:eastAsia="lv-LV"/>
              </w:rPr>
              <w:t>5.2. speciālais budžets</w:t>
            </w:r>
          </w:p>
        </w:tc>
        <w:tc>
          <w:tcPr>
            <w:tcW w:w="1276" w:type="dxa"/>
            <w:vMerge/>
          </w:tcPr>
          <w:p w14:paraId="575A6F01" w14:textId="77777777" w:rsidR="00064F32" w:rsidRPr="003B2FE4" w:rsidRDefault="00064F32" w:rsidP="000044FA">
            <w:pPr>
              <w:pStyle w:val="NoSpacing"/>
              <w:jc w:val="right"/>
              <w:rPr>
                <w:rFonts w:ascii="Times New Roman" w:hAnsi="Times New Roman"/>
                <w:sz w:val="24"/>
                <w:szCs w:val="24"/>
                <w:lang w:eastAsia="lv-LV"/>
              </w:rPr>
            </w:pPr>
          </w:p>
        </w:tc>
        <w:tc>
          <w:tcPr>
            <w:tcW w:w="1275" w:type="dxa"/>
          </w:tcPr>
          <w:p w14:paraId="43616EA0" w14:textId="77777777" w:rsidR="00064F32" w:rsidRPr="003B2FE4" w:rsidRDefault="00064F32" w:rsidP="000044FA">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1" w:type="dxa"/>
            <w:vMerge/>
          </w:tcPr>
          <w:p w14:paraId="0BDDD43C" w14:textId="77777777" w:rsidR="00064F32" w:rsidRPr="003B2FE4" w:rsidRDefault="00064F32" w:rsidP="000044FA">
            <w:pPr>
              <w:pStyle w:val="NoSpacing"/>
              <w:jc w:val="right"/>
              <w:rPr>
                <w:rFonts w:ascii="Times New Roman" w:hAnsi="Times New Roman"/>
                <w:sz w:val="24"/>
                <w:szCs w:val="24"/>
                <w:lang w:eastAsia="lv-LV"/>
              </w:rPr>
            </w:pPr>
          </w:p>
        </w:tc>
        <w:tc>
          <w:tcPr>
            <w:tcW w:w="1134" w:type="dxa"/>
          </w:tcPr>
          <w:p w14:paraId="5823A8AF" w14:textId="77777777" w:rsidR="00064F32" w:rsidRPr="003B2FE4" w:rsidRDefault="00064F32" w:rsidP="000044FA">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0" w:type="dxa"/>
            <w:vMerge/>
          </w:tcPr>
          <w:p w14:paraId="6B0B25D3" w14:textId="77777777" w:rsidR="00064F32" w:rsidRPr="003B2FE4" w:rsidRDefault="00064F32" w:rsidP="000044FA">
            <w:pPr>
              <w:pStyle w:val="NoSpacing"/>
              <w:jc w:val="right"/>
              <w:rPr>
                <w:rFonts w:ascii="Times New Roman" w:hAnsi="Times New Roman"/>
                <w:sz w:val="24"/>
                <w:szCs w:val="24"/>
                <w:lang w:eastAsia="lv-LV"/>
              </w:rPr>
            </w:pPr>
          </w:p>
        </w:tc>
        <w:tc>
          <w:tcPr>
            <w:tcW w:w="993" w:type="dxa"/>
          </w:tcPr>
          <w:p w14:paraId="25B71135" w14:textId="77777777" w:rsidR="00064F32" w:rsidRPr="003B2FE4" w:rsidRDefault="00064F32" w:rsidP="000044FA">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7B1BD3F9" w14:textId="77777777" w:rsidR="00064F32" w:rsidRPr="003B2FE4" w:rsidRDefault="00064F32" w:rsidP="000044FA">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r>
      <w:tr w:rsidR="003B2FE4" w:rsidRPr="003B2FE4" w14:paraId="6B097274" w14:textId="77777777" w:rsidTr="00526CE8">
        <w:trPr>
          <w:gridAfter w:val="1"/>
          <w:wAfter w:w="8" w:type="dxa"/>
          <w:jc w:val="center"/>
        </w:trPr>
        <w:tc>
          <w:tcPr>
            <w:tcW w:w="1980" w:type="dxa"/>
          </w:tcPr>
          <w:p w14:paraId="1648B06C" w14:textId="77777777" w:rsidR="00064F32" w:rsidRPr="003B2FE4" w:rsidRDefault="00064F32" w:rsidP="000044FA">
            <w:pPr>
              <w:pStyle w:val="NoSpacing"/>
              <w:rPr>
                <w:rFonts w:ascii="Times New Roman" w:hAnsi="Times New Roman"/>
                <w:lang w:eastAsia="lv-LV"/>
              </w:rPr>
            </w:pPr>
            <w:r w:rsidRPr="003B2FE4">
              <w:rPr>
                <w:rFonts w:ascii="Times New Roman" w:hAnsi="Times New Roman"/>
                <w:lang w:eastAsia="lv-LV"/>
              </w:rPr>
              <w:t>5.3. pašvaldību budžets</w:t>
            </w:r>
          </w:p>
        </w:tc>
        <w:tc>
          <w:tcPr>
            <w:tcW w:w="1276" w:type="dxa"/>
            <w:vMerge/>
          </w:tcPr>
          <w:p w14:paraId="7DA4D268" w14:textId="77777777" w:rsidR="00064F32" w:rsidRPr="003B2FE4" w:rsidRDefault="00064F32" w:rsidP="000044FA">
            <w:pPr>
              <w:pStyle w:val="NoSpacing"/>
              <w:jc w:val="right"/>
              <w:rPr>
                <w:rFonts w:ascii="Times New Roman" w:hAnsi="Times New Roman"/>
                <w:sz w:val="24"/>
                <w:szCs w:val="24"/>
                <w:lang w:eastAsia="lv-LV"/>
              </w:rPr>
            </w:pPr>
          </w:p>
        </w:tc>
        <w:tc>
          <w:tcPr>
            <w:tcW w:w="1275" w:type="dxa"/>
          </w:tcPr>
          <w:p w14:paraId="3728E24F" w14:textId="77777777" w:rsidR="00064F32" w:rsidRPr="003B2FE4" w:rsidRDefault="00064F32" w:rsidP="000044FA">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1" w:type="dxa"/>
            <w:vMerge/>
          </w:tcPr>
          <w:p w14:paraId="367EB45C" w14:textId="77777777" w:rsidR="00064F32" w:rsidRPr="003B2FE4" w:rsidRDefault="00064F32" w:rsidP="000044FA">
            <w:pPr>
              <w:pStyle w:val="NoSpacing"/>
              <w:jc w:val="right"/>
              <w:rPr>
                <w:rFonts w:ascii="Times New Roman" w:hAnsi="Times New Roman"/>
                <w:sz w:val="24"/>
                <w:szCs w:val="24"/>
                <w:lang w:eastAsia="lv-LV"/>
              </w:rPr>
            </w:pPr>
          </w:p>
        </w:tc>
        <w:tc>
          <w:tcPr>
            <w:tcW w:w="1134" w:type="dxa"/>
          </w:tcPr>
          <w:p w14:paraId="35DA0816" w14:textId="77777777" w:rsidR="00064F32" w:rsidRPr="003B2FE4" w:rsidRDefault="00064F32" w:rsidP="000044FA">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850" w:type="dxa"/>
            <w:vMerge/>
          </w:tcPr>
          <w:p w14:paraId="08750598" w14:textId="77777777" w:rsidR="00064F32" w:rsidRPr="003B2FE4" w:rsidRDefault="00064F32" w:rsidP="000044FA">
            <w:pPr>
              <w:pStyle w:val="NoSpacing"/>
              <w:jc w:val="right"/>
              <w:rPr>
                <w:rFonts w:ascii="Times New Roman" w:hAnsi="Times New Roman"/>
                <w:sz w:val="24"/>
                <w:szCs w:val="24"/>
                <w:lang w:eastAsia="lv-LV"/>
              </w:rPr>
            </w:pPr>
          </w:p>
        </w:tc>
        <w:tc>
          <w:tcPr>
            <w:tcW w:w="993" w:type="dxa"/>
          </w:tcPr>
          <w:p w14:paraId="0C644448" w14:textId="77777777" w:rsidR="00064F32" w:rsidRPr="003B2FE4" w:rsidRDefault="00064F32" w:rsidP="000044FA">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c>
          <w:tcPr>
            <w:tcW w:w="1134" w:type="dxa"/>
          </w:tcPr>
          <w:p w14:paraId="7D9C2A23" w14:textId="77777777" w:rsidR="00064F32" w:rsidRPr="003B2FE4" w:rsidRDefault="00064F32" w:rsidP="000044FA">
            <w:pPr>
              <w:pStyle w:val="NoSpacing"/>
              <w:jc w:val="right"/>
              <w:rPr>
                <w:rFonts w:ascii="Times New Roman" w:hAnsi="Times New Roman"/>
                <w:sz w:val="24"/>
                <w:szCs w:val="24"/>
                <w:lang w:eastAsia="lv-LV"/>
              </w:rPr>
            </w:pPr>
            <w:r w:rsidRPr="003B2FE4">
              <w:rPr>
                <w:rFonts w:ascii="Times New Roman" w:hAnsi="Times New Roman"/>
                <w:sz w:val="24"/>
                <w:szCs w:val="24"/>
                <w:lang w:eastAsia="lv-LV"/>
              </w:rPr>
              <w:t>0</w:t>
            </w:r>
          </w:p>
        </w:tc>
      </w:tr>
      <w:tr w:rsidR="003B2FE4" w:rsidRPr="003B2FE4" w14:paraId="2F5C9D08" w14:textId="77777777" w:rsidTr="00526CE8">
        <w:trPr>
          <w:trHeight w:val="1000"/>
          <w:jc w:val="center"/>
        </w:trPr>
        <w:tc>
          <w:tcPr>
            <w:tcW w:w="1980" w:type="dxa"/>
          </w:tcPr>
          <w:p w14:paraId="6478C227" w14:textId="77777777" w:rsidR="00422AFA" w:rsidRPr="003B2FE4" w:rsidRDefault="00422AFA" w:rsidP="000044FA">
            <w:pPr>
              <w:pStyle w:val="NoSpacing"/>
              <w:rPr>
                <w:rFonts w:ascii="Times New Roman" w:hAnsi="Times New Roman"/>
                <w:lang w:eastAsia="lv-LV"/>
              </w:rPr>
            </w:pPr>
            <w:r w:rsidRPr="003B2FE4">
              <w:rPr>
                <w:rFonts w:ascii="Times New Roman" w:hAnsi="Times New Roman"/>
                <w:lang w:eastAsia="lv-LV"/>
              </w:rPr>
              <w:t xml:space="preserve">6. Detalizēts ieņēmumu un izdevumu aprēķins (ja nepieciešams, detalizētu </w:t>
            </w:r>
            <w:r w:rsidRPr="003B2FE4">
              <w:rPr>
                <w:rFonts w:ascii="Times New Roman" w:hAnsi="Times New Roman"/>
                <w:lang w:eastAsia="lv-LV"/>
              </w:rPr>
              <w:lastRenderedPageBreak/>
              <w:t>ieņēmumu un izdevumu aprēķinu var pievienot anotācijas pielikumā)</w:t>
            </w:r>
          </w:p>
        </w:tc>
        <w:tc>
          <w:tcPr>
            <w:tcW w:w="7521" w:type="dxa"/>
            <w:gridSpan w:val="8"/>
            <w:vMerge w:val="restart"/>
          </w:tcPr>
          <w:p w14:paraId="07BD2F4F" w14:textId="43C85678" w:rsidR="00422AFA" w:rsidRPr="003B2FE4" w:rsidRDefault="00422AFA" w:rsidP="00422AFA">
            <w:pPr>
              <w:pStyle w:val="NoSpacing"/>
              <w:rPr>
                <w:rFonts w:ascii="Times New Roman" w:hAnsi="Times New Roman"/>
                <w:sz w:val="24"/>
                <w:szCs w:val="24"/>
                <w:lang w:eastAsia="lv-LV"/>
              </w:rPr>
            </w:pPr>
          </w:p>
          <w:p w14:paraId="065114AD" w14:textId="77777777" w:rsidR="000C0745" w:rsidRDefault="0093108D" w:rsidP="000C0745">
            <w:pPr>
              <w:pStyle w:val="NoSpacing"/>
              <w:spacing w:before="120" w:after="120"/>
              <w:rPr>
                <w:rFonts w:ascii="Times New Roman" w:eastAsia="Times New Roman" w:hAnsi="Times New Roman"/>
                <w:iCs/>
                <w:sz w:val="24"/>
                <w:szCs w:val="24"/>
              </w:rPr>
            </w:pPr>
            <w:r w:rsidRPr="000C0745">
              <w:rPr>
                <w:rFonts w:ascii="Times New Roman" w:hAnsi="Times New Roman"/>
                <w:sz w:val="24"/>
                <w:szCs w:val="24"/>
              </w:rPr>
              <w:t>Projektam nav ietekmes uz</w:t>
            </w:r>
            <w:r w:rsidRPr="000C0745">
              <w:rPr>
                <w:rFonts w:ascii="Times New Roman" w:eastAsia="Times New Roman" w:hAnsi="Times New Roman"/>
                <w:iCs/>
                <w:sz w:val="24"/>
                <w:szCs w:val="24"/>
              </w:rPr>
              <w:t xml:space="preserve"> valsts konsoli</w:t>
            </w:r>
            <w:r w:rsidR="000C0745">
              <w:rPr>
                <w:rFonts w:ascii="Times New Roman" w:eastAsia="Times New Roman" w:hAnsi="Times New Roman"/>
                <w:iCs/>
                <w:sz w:val="24"/>
                <w:szCs w:val="24"/>
              </w:rPr>
              <w:t>dētā budžeta finansiālo bilanci.</w:t>
            </w:r>
          </w:p>
          <w:p w14:paraId="77AA1FCB" w14:textId="1EB6CF75" w:rsidR="00307419" w:rsidRPr="000C0745" w:rsidRDefault="000C0745" w:rsidP="000C0745">
            <w:pPr>
              <w:pStyle w:val="NoSpacing"/>
              <w:spacing w:before="120" w:after="120"/>
              <w:rPr>
                <w:rFonts w:ascii="Times New Roman" w:eastAsia="Times New Roman" w:hAnsi="Times New Roman"/>
                <w:iCs/>
                <w:sz w:val="24"/>
                <w:szCs w:val="24"/>
              </w:rPr>
            </w:pPr>
            <w:r>
              <w:rPr>
                <w:rFonts w:ascii="Times New Roman" w:hAnsi="Times New Roman"/>
                <w:sz w:val="24"/>
                <w:szCs w:val="24"/>
              </w:rPr>
              <w:lastRenderedPageBreak/>
              <w:t xml:space="preserve">Palielinot </w:t>
            </w:r>
            <w:r w:rsidR="00EE15AD">
              <w:rPr>
                <w:rFonts w:ascii="Times New Roman" w:hAnsi="Times New Roman"/>
                <w:sz w:val="24"/>
                <w:szCs w:val="24"/>
              </w:rPr>
              <w:t>likuma</w:t>
            </w:r>
            <w:r w:rsidRPr="000C0745">
              <w:rPr>
                <w:rFonts w:ascii="Times New Roman" w:hAnsi="Times New Roman"/>
                <w:sz w:val="24"/>
                <w:szCs w:val="24"/>
              </w:rPr>
              <w:t xml:space="preserve"> “Par valsts budžetu 2020.gadam” </w:t>
            </w:r>
            <w:r w:rsidR="00EE15AD">
              <w:rPr>
                <w:rFonts w:ascii="Times New Roman" w:hAnsi="Times New Roman"/>
                <w:sz w:val="24"/>
                <w:szCs w:val="24"/>
              </w:rPr>
              <w:t xml:space="preserve">12.pantā </w:t>
            </w:r>
            <w:r w:rsidRPr="000C0745">
              <w:rPr>
                <w:rFonts w:ascii="Times New Roman" w:hAnsi="Times New Roman"/>
                <w:sz w:val="24"/>
                <w:szCs w:val="24"/>
              </w:rPr>
              <w:t xml:space="preserve">noteikto valsts budžeta aizdevumu kopējo palielinājumu </w:t>
            </w:r>
            <w:r w:rsidR="00EE15AD">
              <w:rPr>
                <w:rFonts w:ascii="Times New Roman" w:hAnsi="Times New Roman"/>
                <w:sz w:val="24"/>
                <w:szCs w:val="24"/>
              </w:rPr>
              <w:t xml:space="preserve">par </w:t>
            </w:r>
            <w:r w:rsidRPr="000C0745">
              <w:rPr>
                <w:rFonts w:ascii="Times New Roman" w:hAnsi="Times New Roman"/>
                <w:sz w:val="24"/>
                <w:szCs w:val="24"/>
              </w:rPr>
              <w:t xml:space="preserve">150 000 000 </w:t>
            </w:r>
            <w:proofErr w:type="spellStart"/>
            <w:r w:rsidR="00EE15AD">
              <w:rPr>
                <w:rFonts w:ascii="Times New Roman" w:hAnsi="Times New Roman"/>
                <w:i/>
                <w:sz w:val="24"/>
                <w:szCs w:val="24"/>
              </w:rPr>
              <w:t>euro</w:t>
            </w:r>
            <w:proofErr w:type="spellEnd"/>
            <w:r>
              <w:rPr>
                <w:rFonts w:ascii="Times New Roman" w:hAnsi="Times New Roman"/>
                <w:sz w:val="24"/>
                <w:szCs w:val="24"/>
              </w:rPr>
              <w:t>, atbilstošas izmaiņas</w:t>
            </w:r>
            <w:r w:rsidRPr="000C0745">
              <w:rPr>
                <w:rFonts w:ascii="Times New Roman" w:hAnsi="Times New Roman"/>
                <w:sz w:val="24"/>
                <w:szCs w:val="24"/>
              </w:rPr>
              <w:t xml:space="preserve"> </w:t>
            </w:r>
            <w:r>
              <w:rPr>
                <w:rFonts w:ascii="Times New Roman" w:hAnsi="Times New Roman"/>
                <w:sz w:val="24"/>
                <w:szCs w:val="24"/>
                <w:lang w:eastAsia="lv-LV"/>
              </w:rPr>
              <w:t xml:space="preserve">jāveic </w:t>
            </w:r>
            <w:r w:rsidR="004D36EB" w:rsidRPr="000C0745">
              <w:rPr>
                <w:rFonts w:ascii="Times New Roman" w:hAnsi="Times New Roman"/>
                <w:sz w:val="24"/>
                <w:szCs w:val="24"/>
                <w:lang w:eastAsia="lv-LV"/>
              </w:rPr>
              <w:t>finansēšanas kategorijā “Aizdevumi” Finanšu ministrijas budžeta programmā 42.00.00 “</w:t>
            </w:r>
            <w:r w:rsidR="00307419" w:rsidRPr="000C0745">
              <w:rPr>
                <w:rFonts w:ascii="Times New Roman" w:hAnsi="Times New Roman"/>
                <w:sz w:val="24"/>
                <w:szCs w:val="24"/>
                <w:lang w:eastAsia="lv-LV"/>
              </w:rPr>
              <w:t>Valsts budžeta aizdevumi un to atmaksāšana</w:t>
            </w:r>
            <w:r w:rsidR="000C57A6" w:rsidRPr="000C0745">
              <w:rPr>
                <w:rFonts w:ascii="Times New Roman" w:hAnsi="Times New Roman"/>
                <w:sz w:val="24"/>
                <w:szCs w:val="24"/>
                <w:lang w:eastAsia="lv-LV"/>
              </w:rPr>
              <w:t>”</w:t>
            </w:r>
            <w:r>
              <w:rPr>
                <w:rFonts w:ascii="Times New Roman" w:hAnsi="Times New Roman"/>
                <w:sz w:val="24"/>
                <w:szCs w:val="24"/>
                <w:lang w:eastAsia="lv-LV"/>
              </w:rPr>
              <w:t>.</w:t>
            </w:r>
          </w:p>
          <w:p w14:paraId="38D71C11" w14:textId="51216F4F" w:rsidR="007D7AC1" w:rsidRPr="003B2FE4" w:rsidRDefault="007D7AC1" w:rsidP="004D36EB">
            <w:pPr>
              <w:pStyle w:val="NoSpacing"/>
            </w:pPr>
          </w:p>
        </w:tc>
      </w:tr>
      <w:tr w:rsidR="003B2FE4" w:rsidRPr="003B2FE4" w14:paraId="032D437D" w14:textId="77777777" w:rsidTr="00526CE8">
        <w:trPr>
          <w:jc w:val="center"/>
        </w:trPr>
        <w:tc>
          <w:tcPr>
            <w:tcW w:w="1980" w:type="dxa"/>
          </w:tcPr>
          <w:p w14:paraId="0F01021E" w14:textId="77777777" w:rsidR="00422AFA" w:rsidRPr="003B2FE4" w:rsidRDefault="00422AFA" w:rsidP="000044FA">
            <w:pPr>
              <w:pStyle w:val="NoSpacing"/>
              <w:rPr>
                <w:rFonts w:ascii="Times New Roman" w:hAnsi="Times New Roman"/>
                <w:lang w:eastAsia="lv-LV"/>
              </w:rPr>
            </w:pPr>
            <w:r w:rsidRPr="003B2FE4">
              <w:rPr>
                <w:rFonts w:ascii="Times New Roman" w:hAnsi="Times New Roman"/>
                <w:lang w:eastAsia="lv-LV"/>
              </w:rPr>
              <w:lastRenderedPageBreak/>
              <w:t>6.1. detalizēts ieņēmumu aprēķins</w:t>
            </w:r>
          </w:p>
        </w:tc>
        <w:tc>
          <w:tcPr>
            <w:tcW w:w="7521" w:type="dxa"/>
            <w:gridSpan w:val="8"/>
            <w:vMerge/>
          </w:tcPr>
          <w:p w14:paraId="34BAF3F1" w14:textId="77777777" w:rsidR="00422AFA" w:rsidRPr="003B2FE4" w:rsidRDefault="00422AFA" w:rsidP="000044FA">
            <w:pPr>
              <w:pStyle w:val="NoSpacing"/>
              <w:jc w:val="right"/>
              <w:rPr>
                <w:rFonts w:ascii="Times New Roman" w:hAnsi="Times New Roman"/>
                <w:sz w:val="20"/>
                <w:szCs w:val="20"/>
                <w:lang w:eastAsia="lv-LV"/>
              </w:rPr>
            </w:pPr>
          </w:p>
        </w:tc>
      </w:tr>
      <w:tr w:rsidR="003B2FE4" w:rsidRPr="003B2FE4" w14:paraId="3B7EF858" w14:textId="77777777" w:rsidTr="00526CE8">
        <w:trPr>
          <w:jc w:val="center"/>
        </w:trPr>
        <w:tc>
          <w:tcPr>
            <w:tcW w:w="1980" w:type="dxa"/>
          </w:tcPr>
          <w:p w14:paraId="7A82CB34" w14:textId="77777777" w:rsidR="00422AFA" w:rsidRPr="003B2FE4" w:rsidRDefault="00422AFA" w:rsidP="000044FA">
            <w:pPr>
              <w:pStyle w:val="NoSpacing"/>
              <w:rPr>
                <w:rFonts w:ascii="Times New Roman" w:hAnsi="Times New Roman"/>
                <w:lang w:eastAsia="lv-LV"/>
              </w:rPr>
            </w:pPr>
            <w:r w:rsidRPr="003B2FE4">
              <w:rPr>
                <w:rFonts w:ascii="Times New Roman" w:hAnsi="Times New Roman"/>
                <w:lang w:eastAsia="lv-LV"/>
              </w:rPr>
              <w:t>6.2. detalizēts izdevumu aprēķins</w:t>
            </w:r>
          </w:p>
        </w:tc>
        <w:tc>
          <w:tcPr>
            <w:tcW w:w="7521" w:type="dxa"/>
            <w:gridSpan w:val="8"/>
            <w:vMerge/>
          </w:tcPr>
          <w:p w14:paraId="06BA7DF6" w14:textId="77777777" w:rsidR="00422AFA" w:rsidRPr="003B2FE4" w:rsidRDefault="00422AFA" w:rsidP="000044FA">
            <w:pPr>
              <w:pStyle w:val="NoSpacing"/>
              <w:jc w:val="right"/>
              <w:rPr>
                <w:rFonts w:ascii="Times New Roman" w:hAnsi="Times New Roman"/>
                <w:sz w:val="20"/>
                <w:szCs w:val="20"/>
                <w:lang w:eastAsia="lv-LV"/>
              </w:rPr>
            </w:pPr>
          </w:p>
        </w:tc>
      </w:tr>
      <w:tr w:rsidR="003B2FE4" w:rsidRPr="003B2FE4" w14:paraId="7DEA98C3" w14:textId="77777777" w:rsidTr="00526CE8">
        <w:trPr>
          <w:jc w:val="center"/>
        </w:trPr>
        <w:tc>
          <w:tcPr>
            <w:tcW w:w="1980" w:type="dxa"/>
          </w:tcPr>
          <w:p w14:paraId="110A27BB" w14:textId="77777777" w:rsidR="001611E9" w:rsidRPr="003B2FE4" w:rsidRDefault="001611E9" w:rsidP="000044FA">
            <w:pPr>
              <w:pStyle w:val="NoSpacing"/>
              <w:rPr>
                <w:rFonts w:ascii="Times New Roman" w:hAnsi="Times New Roman"/>
                <w:lang w:eastAsia="lv-LV"/>
              </w:rPr>
            </w:pPr>
            <w:r w:rsidRPr="003B2FE4">
              <w:rPr>
                <w:rFonts w:ascii="Times New Roman" w:hAnsi="Times New Roman"/>
                <w:lang w:eastAsia="lv-LV"/>
              </w:rPr>
              <w:t>7. Amata vietu skaita izmaiņas</w:t>
            </w:r>
          </w:p>
        </w:tc>
        <w:tc>
          <w:tcPr>
            <w:tcW w:w="7521" w:type="dxa"/>
            <w:gridSpan w:val="8"/>
          </w:tcPr>
          <w:p w14:paraId="4DA2E9A7" w14:textId="77777777" w:rsidR="001611E9" w:rsidRPr="003B2FE4" w:rsidRDefault="00B4749B" w:rsidP="000044FA">
            <w:pPr>
              <w:pStyle w:val="NoSpacing"/>
              <w:rPr>
                <w:rFonts w:ascii="Times New Roman" w:hAnsi="Times New Roman"/>
                <w:sz w:val="24"/>
                <w:szCs w:val="24"/>
                <w:lang w:eastAsia="lv-LV"/>
              </w:rPr>
            </w:pPr>
            <w:r w:rsidRPr="003B2FE4">
              <w:rPr>
                <w:rFonts w:ascii="Times New Roman" w:hAnsi="Times New Roman"/>
                <w:sz w:val="24"/>
                <w:szCs w:val="24"/>
              </w:rPr>
              <w:t>Projekts šo jomu neskar</w:t>
            </w:r>
          </w:p>
        </w:tc>
      </w:tr>
      <w:tr w:rsidR="001611E9" w:rsidRPr="003B2FE4" w14:paraId="75D4CB1E" w14:textId="77777777" w:rsidTr="00526CE8">
        <w:trPr>
          <w:jc w:val="center"/>
        </w:trPr>
        <w:tc>
          <w:tcPr>
            <w:tcW w:w="1980" w:type="dxa"/>
          </w:tcPr>
          <w:p w14:paraId="2BF35CAA" w14:textId="77777777" w:rsidR="001611E9" w:rsidRPr="003B2FE4" w:rsidRDefault="001611E9" w:rsidP="000044FA">
            <w:pPr>
              <w:pStyle w:val="NoSpacing"/>
              <w:rPr>
                <w:rFonts w:ascii="Times New Roman" w:hAnsi="Times New Roman"/>
                <w:lang w:eastAsia="lv-LV"/>
              </w:rPr>
            </w:pPr>
            <w:r w:rsidRPr="003B2FE4">
              <w:rPr>
                <w:rFonts w:ascii="Times New Roman" w:hAnsi="Times New Roman"/>
                <w:lang w:eastAsia="lv-LV"/>
              </w:rPr>
              <w:t>8. Cita informācija</w:t>
            </w:r>
          </w:p>
        </w:tc>
        <w:tc>
          <w:tcPr>
            <w:tcW w:w="7521" w:type="dxa"/>
            <w:gridSpan w:val="8"/>
          </w:tcPr>
          <w:p w14:paraId="3236A7EC" w14:textId="77777777" w:rsidR="001611E9" w:rsidRPr="003B2FE4" w:rsidRDefault="001611E9" w:rsidP="000044FA">
            <w:pPr>
              <w:jc w:val="both"/>
              <w:rPr>
                <w:bCs/>
              </w:rPr>
            </w:pPr>
            <w:r w:rsidRPr="003B2FE4">
              <w:rPr>
                <w:bCs/>
              </w:rPr>
              <w:t>Nav</w:t>
            </w:r>
          </w:p>
        </w:tc>
      </w:tr>
    </w:tbl>
    <w:p w14:paraId="7F813B8D" w14:textId="77777777" w:rsidR="009D36DE" w:rsidRPr="003B2FE4"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3B2FE4" w:rsidRPr="003B2FE4" w14:paraId="0F3650F4"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BD68197" w14:textId="77777777" w:rsidR="009D36DE" w:rsidRPr="003B2FE4" w:rsidRDefault="009D36DE" w:rsidP="000044FA">
            <w:pPr>
              <w:spacing w:before="100" w:after="100" w:line="293" w:lineRule="atLeast"/>
              <w:jc w:val="center"/>
            </w:pPr>
            <w:r w:rsidRPr="003B2FE4">
              <w:rPr>
                <w:b/>
                <w:bCs/>
              </w:rPr>
              <w:t>IV. Tiesību aktu projektu ietekme uz spēkā esošo tiesību normu sistēmu</w:t>
            </w:r>
          </w:p>
        </w:tc>
      </w:tr>
      <w:tr w:rsidR="003B2FE4" w:rsidRPr="003B2FE4" w14:paraId="094A977A"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1CC64FA" w14:textId="77777777" w:rsidR="009D36DE" w:rsidRPr="003B2FE4" w:rsidRDefault="009D36DE" w:rsidP="009C7442">
            <w:pPr>
              <w:spacing w:before="100" w:after="100"/>
              <w:jc w:val="center"/>
            </w:pPr>
            <w:r w:rsidRPr="003B2FE4">
              <w:t>Projekts šo jomu neskar</w:t>
            </w:r>
          </w:p>
        </w:tc>
      </w:tr>
    </w:tbl>
    <w:p w14:paraId="0DA1CFD5" w14:textId="77777777" w:rsidR="009D36DE" w:rsidRPr="003B2FE4" w:rsidRDefault="009D36DE" w:rsidP="000044FA"/>
    <w:tbl>
      <w:tblPr>
        <w:tblW w:w="5160" w:type="pct"/>
        <w:tblInd w:w="-145" w:type="dxa"/>
        <w:tblCellMar>
          <w:left w:w="10" w:type="dxa"/>
          <w:right w:w="10" w:type="dxa"/>
        </w:tblCellMar>
        <w:tblLook w:val="0000" w:firstRow="0" w:lastRow="0" w:firstColumn="0" w:lastColumn="0" w:noHBand="0" w:noVBand="0"/>
      </w:tblPr>
      <w:tblGrid>
        <w:gridCol w:w="747"/>
        <w:gridCol w:w="2514"/>
        <w:gridCol w:w="6095"/>
      </w:tblGrid>
      <w:tr w:rsidR="003B2FE4" w:rsidRPr="003B2FE4" w14:paraId="341A5737" w14:textId="77777777" w:rsidTr="00465143">
        <w:tc>
          <w:tcPr>
            <w:tcW w:w="9356" w:type="dxa"/>
            <w:gridSpan w:val="3"/>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3AECDD0" w14:textId="77777777" w:rsidR="009D36DE" w:rsidRPr="003B2FE4" w:rsidRDefault="009D36DE" w:rsidP="000044FA">
            <w:pPr>
              <w:spacing w:before="100" w:after="100" w:line="293" w:lineRule="atLeast"/>
              <w:jc w:val="center"/>
            </w:pPr>
            <w:r w:rsidRPr="003B2FE4">
              <w:rPr>
                <w:b/>
                <w:bCs/>
              </w:rPr>
              <w:t>V. Tiesību aktu projektu atbilstība Latvijas Republikas starptautiskajām saistībām</w:t>
            </w:r>
          </w:p>
        </w:tc>
      </w:tr>
      <w:tr w:rsidR="003B2FE4" w:rsidRPr="003B2FE4" w14:paraId="057C309B" w14:textId="77777777" w:rsidTr="00465143">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F17542" w14:textId="77777777" w:rsidR="00465143" w:rsidRPr="003B2FE4" w:rsidRDefault="00465143" w:rsidP="003D6F8A">
            <w:pPr>
              <w:spacing w:before="100" w:after="100"/>
            </w:pPr>
            <w:r w:rsidRPr="003B2FE4">
              <w:t>1.</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2C469D" w14:textId="17753AAA" w:rsidR="00465143" w:rsidRPr="003B2FE4" w:rsidRDefault="00465143" w:rsidP="003D6F8A">
            <w:pPr>
              <w:spacing w:before="100" w:after="100"/>
            </w:pPr>
            <w:r w:rsidRPr="003B2FE4">
              <w:rPr>
                <w:iCs/>
              </w:rPr>
              <w:t>Saistības pret Eiropas Savienību</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8A1D87" w14:textId="77777777" w:rsidR="00DC735E" w:rsidRPr="003B2FE4" w:rsidRDefault="00DC735E" w:rsidP="00DC735E">
            <w:pPr>
              <w:spacing w:before="120" w:after="120"/>
              <w:jc w:val="both"/>
            </w:pPr>
            <w:r w:rsidRPr="003B2FE4">
              <w:t>Eiropas Savienības budžeta disciplīnas ietvars jeb tā sauktais Stabilitātes un izaugsmes pakts paredz dalībvalstīm nodrošināt “veselīgas” publiskās finanses t.i. samērīgu budžeta deficīta un parāda apmēru, kā arī koordinēt dalībvalstu budžeta politiku Eiropas Savienības līmenī.</w:t>
            </w:r>
          </w:p>
          <w:p w14:paraId="169B9D49" w14:textId="77777777" w:rsidR="00DC735E" w:rsidRPr="003B2FE4" w:rsidRDefault="00DC735E" w:rsidP="00DC735E">
            <w:pPr>
              <w:spacing w:before="120" w:after="120"/>
              <w:jc w:val="both"/>
            </w:pPr>
            <w:r w:rsidRPr="003B2FE4">
              <w:t xml:space="preserve">Stabilitātes un izaugsmes pakts nosaka ierobežojumus attiecībā uz dalībvalstu pieļaujamo budžeta deficīta un parāda apmēru, kā arī regulē trajektoriju, ar kādu dalībvalstīm ir jānodrošina virzība uz Stabilitātes un izaugsmes </w:t>
            </w:r>
            <w:proofErr w:type="spellStart"/>
            <w:r w:rsidRPr="003B2FE4">
              <w:t>paktā</w:t>
            </w:r>
            <w:proofErr w:type="spellEnd"/>
            <w:r w:rsidRPr="003B2FE4">
              <w:t xml:space="preserve"> noteiktajām budžeta deficīta un parāda robežvērtībām. </w:t>
            </w:r>
          </w:p>
          <w:p w14:paraId="6AEDB9CE" w14:textId="77777777" w:rsidR="00DC735E" w:rsidRPr="003B2FE4" w:rsidRDefault="00DC735E" w:rsidP="00DC735E">
            <w:pPr>
              <w:spacing w:before="120" w:after="120"/>
              <w:jc w:val="both"/>
            </w:pPr>
            <w:r w:rsidRPr="003B2FE4">
              <w:t>Vienlaikus šajā ietvarā ir noteikti mehānismi, kas specifiskās situācijās ļauj dalībvalstīm uz laiku atkāpties no budžeta disciplīnas nosacījumiem.</w:t>
            </w:r>
          </w:p>
          <w:p w14:paraId="48A88AB3" w14:textId="2AD8C1C9" w:rsidR="00465143" w:rsidRPr="003B2FE4" w:rsidRDefault="00465143" w:rsidP="00DC735E">
            <w:pPr>
              <w:spacing w:before="120" w:after="120"/>
              <w:jc w:val="both"/>
            </w:pPr>
            <w:r w:rsidRPr="003B2FE4">
              <w:t>Valsts atbalsts C</w:t>
            </w:r>
            <w:r w:rsidR="005D20D4" w:rsidRPr="003B2FE4">
              <w:t>ovid</w:t>
            </w:r>
            <w:r w:rsidRPr="003B2FE4">
              <w:t>-19 negatīvo seku mazināšanai tiek finansēts nevis ar pašu nopelnīto naudu, bet gan ar aizņemto naudu, palielinot valsts deficītu un parādu virs iepriekš plānotā līmeņa.</w:t>
            </w:r>
          </w:p>
          <w:p w14:paraId="3C9D9C26" w14:textId="5B56F038" w:rsidR="00FA1F6A" w:rsidRPr="003B2FE4" w:rsidRDefault="00465143" w:rsidP="006400F2">
            <w:pPr>
              <w:spacing w:before="120" w:after="120"/>
              <w:jc w:val="both"/>
            </w:pPr>
            <w:r w:rsidRPr="003B2FE4">
              <w:t>Stabilitātes un izaugsmes pakts paredz iespēju neievērot iepriekš noteikto pieļaujamo deficīta un parāda līmeni, ja (1) iestājas ārkārtēji apstākļi, kas ir ārpus valdību kontroles, vai arī, ja  (2) iestājas būtiska recesija ES vai tās dalībvalstī. Iepriekš EK jau sniedza paziņojumu, ka tā atzīst C</w:t>
            </w:r>
            <w:r w:rsidR="005D20D4" w:rsidRPr="003B2FE4">
              <w:t>ovid</w:t>
            </w:r>
            <w:r w:rsidRPr="003B2FE4">
              <w:t>-19 par atbilstošu pirmajam kritērijam. 20.marta paziņojumā tā atzina, ka C</w:t>
            </w:r>
            <w:r w:rsidR="005D20D4" w:rsidRPr="003B2FE4">
              <w:t>ovid</w:t>
            </w:r>
            <w:r w:rsidRPr="003B2FE4">
              <w:t>-19 atbilst arī otrajam kritērijam.</w:t>
            </w:r>
          </w:p>
        </w:tc>
      </w:tr>
      <w:tr w:rsidR="003B2FE4" w:rsidRPr="003B2FE4" w14:paraId="5544F8D7" w14:textId="77777777" w:rsidTr="00465143">
        <w:trPr>
          <w:trHeight w:val="513"/>
        </w:trPr>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6152C6" w14:textId="77777777" w:rsidR="00465143" w:rsidRPr="003B2FE4" w:rsidRDefault="00465143" w:rsidP="003D6F8A">
            <w:pPr>
              <w:spacing w:before="100" w:after="100"/>
            </w:pPr>
            <w:r w:rsidRPr="003B2FE4">
              <w:t>2.</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00CC6C3" w14:textId="588439CF" w:rsidR="00465143" w:rsidRPr="003B2FE4" w:rsidRDefault="00465143" w:rsidP="003D6F8A">
            <w:pPr>
              <w:spacing w:before="100" w:after="100"/>
            </w:pPr>
            <w:r w:rsidRPr="003B2FE4">
              <w:rPr>
                <w:iCs/>
              </w:rPr>
              <w:t>Citas starptautiskās saistības</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D2138D" w14:textId="018E0F72" w:rsidR="00465143" w:rsidRPr="003B2FE4" w:rsidRDefault="00465143" w:rsidP="00465143">
            <w:pPr>
              <w:shd w:val="clear" w:color="auto" w:fill="FFFFFF"/>
              <w:spacing w:before="120" w:after="120"/>
              <w:jc w:val="both"/>
            </w:pPr>
            <w:r w:rsidRPr="003B2FE4">
              <w:t>Projekts šo jomu neskar</w:t>
            </w:r>
          </w:p>
        </w:tc>
      </w:tr>
      <w:tr w:rsidR="003B2FE4" w:rsidRPr="003B2FE4" w14:paraId="1D850DF0" w14:textId="77777777" w:rsidTr="00465143">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0B2A2B" w14:textId="77777777" w:rsidR="00465143" w:rsidRPr="003B2FE4" w:rsidRDefault="00465143" w:rsidP="003D6F8A">
            <w:r w:rsidRPr="003B2FE4">
              <w:t>3.</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5D9A33" w14:textId="77777777" w:rsidR="00465143" w:rsidRPr="003B2FE4" w:rsidRDefault="00465143" w:rsidP="003D6F8A">
            <w:r w:rsidRPr="003B2FE4">
              <w:t>Cita informācija</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F1638E" w14:textId="77777777" w:rsidR="00465143" w:rsidRPr="003B2FE4" w:rsidRDefault="00465143" w:rsidP="003D6F8A">
            <w:pPr>
              <w:jc w:val="both"/>
            </w:pPr>
            <w:r w:rsidRPr="003B2FE4">
              <w:t>Nav</w:t>
            </w:r>
          </w:p>
        </w:tc>
      </w:tr>
    </w:tbl>
    <w:p w14:paraId="536F51B7" w14:textId="161DE399" w:rsidR="009D36DE" w:rsidRPr="003B2FE4" w:rsidRDefault="009D36DE" w:rsidP="000044FA"/>
    <w:tbl>
      <w:tblPr>
        <w:tblW w:w="5159" w:type="pct"/>
        <w:jc w:val="center"/>
        <w:tblCellMar>
          <w:left w:w="10" w:type="dxa"/>
          <w:right w:w="10" w:type="dxa"/>
        </w:tblCellMar>
        <w:tblLook w:val="0000" w:firstRow="0" w:lastRow="0" w:firstColumn="0" w:lastColumn="0" w:noHBand="0" w:noVBand="0"/>
      </w:tblPr>
      <w:tblGrid>
        <w:gridCol w:w="9350"/>
      </w:tblGrid>
      <w:tr w:rsidR="003B2FE4" w:rsidRPr="003B2FE4" w14:paraId="4F251BD8" w14:textId="77777777" w:rsidTr="003D6F8A">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0E57E25" w14:textId="4CF83A96" w:rsidR="00465143" w:rsidRPr="003B2FE4" w:rsidRDefault="00465143" w:rsidP="00465143">
            <w:pPr>
              <w:ind w:firstLine="301"/>
              <w:jc w:val="center"/>
              <w:rPr>
                <w:b/>
                <w:bCs/>
              </w:rPr>
            </w:pPr>
            <w:r w:rsidRPr="003B2FE4">
              <w:rPr>
                <w:b/>
                <w:bCs/>
                <w:iCs/>
              </w:rPr>
              <w:lastRenderedPageBreak/>
              <w:t>1. tabula</w:t>
            </w:r>
            <w:r w:rsidRPr="003B2FE4">
              <w:rPr>
                <w:b/>
                <w:bCs/>
                <w:iCs/>
              </w:rPr>
              <w:br/>
              <w:t>Tiesību akta projekta atbilstība ES tiesību aktiem</w:t>
            </w:r>
          </w:p>
        </w:tc>
      </w:tr>
      <w:tr w:rsidR="00465143" w:rsidRPr="003B2FE4" w14:paraId="61067AED" w14:textId="77777777" w:rsidTr="003D6F8A">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DAA1578" w14:textId="77777777" w:rsidR="00465143" w:rsidRPr="003B2FE4" w:rsidRDefault="00465143" w:rsidP="009C7442">
            <w:pPr>
              <w:spacing w:before="100" w:after="100"/>
              <w:ind w:firstLine="301"/>
              <w:jc w:val="center"/>
              <w:rPr>
                <w:b/>
                <w:bCs/>
              </w:rPr>
            </w:pPr>
            <w:r w:rsidRPr="003B2FE4">
              <w:t>Projekts šo jomu neskar</w:t>
            </w:r>
          </w:p>
        </w:tc>
      </w:tr>
    </w:tbl>
    <w:p w14:paraId="13B11A15" w14:textId="442EC98D" w:rsidR="00465143" w:rsidRPr="003B2FE4" w:rsidRDefault="00465143" w:rsidP="000044FA"/>
    <w:tbl>
      <w:tblPr>
        <w:tblW w:w="5159" w:type="pct"/>
        <w:jc w:val="center"/>
        <w:tblCellMar>
          <w:left w:w="10" w:type="dxa"/>
          <w:right w:w="10" w:type="dxa"/>
        </w:tblCellMar>
        <w:tblLook w:val="0000" w:firstRow="0" w:lastRow="0" w:firstColumn="0" w:lastColumn="0" w:noHBand="0" w:noVBand="0"/>
      </w:tblPr>
      <w:tblGrid>
        <w:gridCol w:w="9350"/>
      </w:tblGrid>
      <w:tr w:rsidR="003B2FE4" w:rsidRPr="003B2FE4" w14:paraId="4F3A0DB9" w14:textId="77777777" w:rsidTr="003D6F8A">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57EDEE6" w14:textId="66169F51" w:rsidR="00465143" w:rsidRPr="003B2FE4" w:rsidRDefault="00465143" w:rsidP="00465143">
            <w:pPr>
              <w:ind w:firstLine="301"/>
              <w:jc w:val="center"/>
              <w:rPr>
                <w:b/>
                <w:bCs/>
              </w:rPr>
            </w:pPr>
            <w:r w:rsidRPr="003B2FE4">
              <w:rPr>
                <w:b/>
                <w:bCs/>
                <w:iCs/>
              </w:rPr>
              <w:t>2. tabula</w:t>
            </w:r>
            <w:r w:rsidRPr="003B2FE4">
              <w:rPr>
                <w:b/>
                <w:bCs/>
                <w:iCs/>
              </w:rPr>
              <w:br/>
              <w:t>Ar tiesību akta projektu izpildītās vai uzņemtās saistības, kas izriet no starptautiskajiem tiesību aktiem vai starptautiskas institūcijas vai organizācijas dokumentiem.</w:t>
            </w:r>
            <w:r w:rsidRPr="003B2FE4">
              <w:rPr>
                <w:b/>
                <w:bCs/>
                <w:iCs/>
              </w:rPr>
              <w:br/>
              <w:t>Pasākumi šo saistību izpildei</w:t>
            </w:r>
          </w:p>
        </w:tc>
      </w:tr>
      <w:tr w:rsidR="00465143" w:rsidRPr="003B2FE4" w14:paraId="414F9F98" w14:textId="77777777" w:rsidTr="003D6F8A">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12D48D4" w14:textId="77777777" w:rsidR="00465143" w:rsidRPr="003B2FE4" w:rsidRDefault="00465143" w:rsidP="009C7442">
            <w:pPr>
              <w:spacing w:before="100" w:after="100"/>
              <w:ind w:firstLine="301"/>
              <w:jc w:val="center"/>
              <w:rPr>
                <w:b/>
                <w:bCs/>
              </w:rPr>
            </w:pPr>
            <w:r w:rsidRPr="003B2FE4">
              <w:t>Projekts šo jomu neskar</w:t>
            </w:r>
          </w:p>
        </w:tc>
      </w:tr>
    </w:tbl>
    <w:p w14:paraId="51B23118" w14:textId="77777777" w:rsidR="00465143" w:rsidRPr="003B2FE4" w:rsidRDefault="00465143" w:rsidP="000044FA"/>
    <w:tbl>
      <w:tblPr>
        <w:tblW w:w="5159" w:type="pct"/>
        <w:jc w:val="center"/>
        <w:tblCellMar>
          <w:left w:w="10" w:type="dxa"/>
          <w:right w:w="10" w:type="dxa"/>
        </w:tblCellMar>
        <w:tblLook w:val="0000" w:firstRow="0" w:lastRow="0" w:firstColumn="0" w:lastColumn="0" w:noHBand="0" w:noVBand="0"/>
      </w:tblPr>
      <w:tblGrid>
        <w:gridCol w:w="9350"/>
      </w:tblGrid>
      <w:tr w:rsidR="003B2FE4" w:rsidRPr="003B2FE4" w14:paraId="135AC213"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09EB38B" w14:textId="77777777" w:rsidR="009D36DE" w:rsidRPr="003B2FE4" w:rsidRDefault="009D36DE" w:rsidP="000044FA">
            <w:pPr>
              <w:spacing w:before="100" w:after="100" w:line="360" w:lineRule="auto"/>
              <w:ind w:firstLine="300"/>
              <w:jc w:val="center"/>
              <w:rPr>
                <w:b/>
                <w:bCs/>
              </w:rPr>
            </w:pPr>
            <w:r w:rsidRPr="003B2FE4">
              <w:rPr>
                <w:b/>
                <w:bCs/>
              </w:rPr>
              <w:t>VI. Sabiedrības līdzdalība un komunikācijas aktivitātes</w:t>
            </w:r>
          </w:p>
        </w:tc>
      </w:tr>
      <w:tr w:rsidR="003B60B8" w:rsidRPr="003B2FE4" w14:paraId="33DC9CAF" w14:textId="77777777"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BD42002" w14:textId="77777777" w:rsidR="003B60B8" w:rsidRPr="003B2FE4" w:rsidRDefault="003B60B8" w:rsidP="009C7442">
            <w:pPr>
              <w:spacing w:before="100" w:after="100"/>
              <w:ind w:firstLine="301"/>
              <w:jc w:val="center"/>
              <w:rPr>
                <w:b/>
                <w:bCs/>
              </w:rPr>
            </w:pPr>
            <w:r w:rsidRPr="003B2FE4">
              <w:t>Projekts šo jomu neskar</w:t>
            </w:r>
          </w:p>
        </w:tc>
      </w:tr>
    </w:tbl>
    <w:p w14:paraId="3173A2A4" w14:textId="77777777" w:rsidR="009D36DE" w:rsidRPr="003B2FE4" w:rsidRDefault="009D36DE" w:rsidP="000044FA"/>
    <w:tbl>
      <w:tblPr>
        <w:tblW w:w="5166" w:type="pct"/>
        <w:tblInd w:w="-150" w:type="dxa"/>
        <w:tblCellMar>
          <w:left w:w="10" w:type="dxa"/>
          <w:right w:w="10" w:type="dxa"/>
        </w:tblCellMar>
        <w:tblLook w:val="0000" w:firstRow="0" w:lastRow="0" w:firstColumn="0" w:lastColumn="0" w:noHBand="0" w:noVBand="0"/>
      </w:tblPr>
      <w:tblGrid>
        <w:gridCol w:w="748"/>
        <w:gridCol w:w="4214"/>
        <w:gridCol w:w="4395"/>
      </w:tblGrid>
      <w:tr w:rsidR="003B2FE4" w:rsidRPr="003B2FE4" w14:paraId="167E4317" w14:textId="77777777" w:rsidTr="00372421">
        <w:tc>
          <w:tcPr>
            <w:tcW w:w="9357"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3348D7" w14:textId="77777777" w:rsidR="009D36DE" w:rsidRPr="003B2FE4" w:rsidRDefault="009D36DE" w:rsidP="000044FA">
            <w:pPr>
              <w:spacing w:before="100" w:after="100"/>
              <w:jc w:val="center"/>
              <w:rPr>
                <w:b/>
                <w:bCs/>
              </w:rPr>
            </w:pPr>
            <w:r w:rsidRPr="003B2FE4">
              <w:rPr>
                <w:b/>
                <w:bCs/>
              </w:rPr>
              <w:t>VII. Tiesību akta projekta izpildes nodrošināšana un tās ietekme uz institūcijām</w:t>
            </w:r>
          </w:p>
        </w:tc>
      </w:tr>
      <w:tr w:rsidR="003B2FE4" w:rsidRPr="003B2FE4" w14:paraId="56989E49"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E07AD0" w14:textId="77777777" w:rsidR="003B60B8" w:rsidRPr="003B2FE4" w:rsidRDefault="003B60B8" w:rsidP="000044FA">
            <w:pPr>
              <w:spacing w:before="100" w:after="100"/>
            </w:pPr>
            <w:r w:rsidRPr="003B2FE4">
              <w:t>1.</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42C8B" w14:textId="77777777" w:rsidR="003B60B8" w:rsidRPr="003B2FE4" w:rsidRDefault="003B60B8" w:rsidP="000044FA">
            <w:pPr>
              <w:spacing w:before="100" w:after="100"/>
            </w:pPr>
            <w:r w:rsidRPr="003B2FE4">
              <w:t>Projekta izpildē iesaistītās institūcijas</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BDA611" w14:textId="53B845C6" w:rsidR="003B60B8" w:rsidRPr="003B2FE4" w:rsidRDefault="00307419" w:rsidP="009C7442">
            <w:pPr>
              <w:shd w:val="clear" w:color="auto" w:fill="FFFFFF"/>
              <w:spacing w:before="120" w:after="120"/>
              <w:jc w:val="both"/>
            </w:pPr>
            <w:r w:rsidRPr="00406D24">
              <w:rPr>
                <w:bCs/>
              </w:rPr>
              <w:t xml:space="preserve">Finanšu ministrija, Valsts kase, </w:t>
            </w:r>
            <w:r w:rsidR="009522AE" w:rsidRPr="00406D24">
              <w:rPr>
                <w:bCs/>
              </w:rPr>
              <w:t xml:space="preserve">akciju </w:t>
            </w:r>
            <w:r w:rsidRPr="00406D24">
              <w:rPr>
                <w:bCs/>
              </w:rPr>
              <w:t xml:space="preserve">sabiedrība </w:t>
            </w:r>
            <w:r w:rsidR="009522AE" w:rsidRPr="00406D24">
              <w:rPr>
                <w:spacing w:val="-2"/>
                <w:szCs w:val="28"/>
              </w:rPr>
              <w:t xml:space="preserve">“Attīstības finanšu institūcija </w:t>
            </w:r>
            <w:proofErr w:type="spellStart"/>
            <w:r w:rsidR="009522AE" w:rsidRPr="00406D24">
              <w:rPr>
                <w:spacing w:val="-2"/>
                <w:szCs w:val="28"/>
              </w:rPr>
              <w:t>Altum</w:t>
            </w:r>
            <w:proofErr w:type="spellEnd"/>
            <w:r w:rsidR="009522AE" w:rsidRPr="00406D24">
              <w:rPr>
                <w:spacing w:val="-2"/>
                <w:szCs w:val="28"/>
              </w:rPr>
              <w:t>”</w:t>
            </w:r>
          </w:p>
        </w:tc>
      </w:tr>
      <w:tr w:rsidR="003B2FE4" w:rsidRPr="003B2FE4" w14:paraId="7B922FD7"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FD34A1" w14:textId="77777777" w:rsidR="003B60B8" w:rsidRPr="003B2FE4" w:rsidRDefault="003B60B8" w:rsidP="000044FA">
            <w:pPr>
              <w:spacing w:before="100" w:after="100"/>
            </w:pPr>
            <w:r w:rsidRPr="003B2FE4">
              <w:t>2.</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D8E3BA" w14:textId="77777777" w:rsidR="003B60B8" w:rsidRPr="003B2FE4" w:rsidRDefault="003B60B8" w:rsidP="000044FA">
            <w:pPr>
              <w:spacing w:before="100" w:after="100"/>
            </w:pPr>
            <w:r w:rsidRPr="003B2FE4">
              <w:t xml:space="preserve">Projekta izpildes ietekme uz pārvaldes funkcijām un institucionālo struktūru. </w:t>
            </w:r>
          </w:p>
          <w:p w14:paraId="26A504E1" w14:textId="77777777" w:rsidR="003B60B8" w:rsidRPr="003B2FE4" w:rsidRDefault="003B60B8" w:rsidP="000044FA">
            <w:pPr>
              <w:spacing w:before="100" w:after="100"/>
            </w:pPr>
            <w:r w:rsidRPr="003B2FE4">
              <w:t>Jaunu institūciju izveide, esošu institūciju likvidācija vai reorganizācija, to ietekme uz institūcijas cilvēkresursiem</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B8E8F5" w14:textId="77777777" w:rsidR="003B60B8" w:rsidRPr="003B2FE4" w:rsidRDefault="00B4749B" w:rsidP="009C7442">
            <w:pPr>
              <w:shd w:val="clear" w:color="auto" w:fill="FFFFFF"/>
              <w:spacing w:before="120" w:after="120"/>
              <w:jc w:val="both"/>
            </w:pPr>
            <w:r w:rsidRPr="003B2FE4">
              <w:t>Projekts šo jomu neskar</w:t>
            </w:r>
          </w:p>
          <w:p w14:paraId="07CDC1D8" w14:textId="77777777" w:rsidR="003B60B8" w:rsidRPr="003B2FE4" w:rsidRDefault="003B60B8" w:rsidP="009C7442">
            <w:pPr>
              <w:shd w:val="clear" w:color="auto" w:fill="FFFFFF"/>
              <w:jc w:val="both"/>
            </w:pPr>
          </w:p>
        </w:tc>
      </w:tr>
      <w:tr w:rsidR="003B2FE4" w:rsidRPr="003B2FE4" w14:paraId="06E6EC7B"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424A09" w14:textId="77777777" w:rsidR="009D36DE" w:rsidRPr="003B2FE4" w:rsidRDefault="009D36DE" w:rsidP="000044FA">
            <w:r w:rsidRPr="003B2FE4">
              <w:t>3.</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1F09B8" w14:textId="77777777" w:rsidR="009D36DE" w:rsidRPr="003B2FE4" w:rsidRDefault="009D36DE" w:rsidP="000044FA">
            <w:r w:rsidRPr="003B2FE4">
              <w:t>Cita informācija</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C4B881" w14:textId="77777777" w:rsidR="009D36DE" w:rsidRPr="003B2FE4" w:rsidRDefault="009D36DE" w:rsidP="009C7442">
            <w:pPr>
              <w:jc w:val="both"/>
            </w:pPr>
            <w:r w:rsidRPr="003B2FE4">
              <w:t>Nav</w:t>
            </w:r>
          </w:p>
        </w:tc>
      </w:tr>
    </w:tbl>
    <w:p w14:paraId="640AE653" w14:textId="77777777" w:rsidR="009D36DE" w:rsidRPr="003B2FE4" w:rsidRDefault="009D36DE" w:rsidP="000044FA">
      <w:pPr>
        <w:ind w:firstLine="720"/>
      </w:pPr>
    </w:p>
    <w:p w14:paraId="7F84DDB1" w14:textId="77777777" w:rsidR="00372421" w:rsidRPr="003B2FE4" w:rsidRDefault="00372421" w:rsidP="00E218B9">
      <w:pPr>
        <w:pStyle w:val="BodyText"/>
        <w:jc w:val="both"/>
        <w:rPr>
          <w:sz w:val="26"/>
          <w:szCs w:val="26"/>
        </w:rPr>
      </w:pPr>
    </w:p>
    <w:p w14:paraId="039B4DD4" w14:textId="77777777" w:rsidR="00372421" w:rsidRPr="003B2FE4" w:rsidRDefault="00372421" w:rsidP="00E218B9">
      <w:pPr>
        <w:pStyle w:val="BodyText"/>
        <w:jc w:val="both"/>
        <w:rPr>
          <w:sz w:val="26"/>
          <w:szCs w:val="26"/>
        </w:rPr>
      </w:pPr>
    </w:p>
    <w:p w14:paraId="5EE3DBBF" w14:textId="77777777" w:rsidR="00372421" w:rsidRPr="003B2FE4" w:rsidRDefault="00372421" w:rsidP="00E218B9">
      <w:pPr>
        <w:pStyle w:val="BodyText"/>
        <w:jc w:val="both"/>
        <w:rPr>
          <w:sz w:val="26"/>
          <w:szCs w:val="26"/>
        </w:rPr>
      </w:pPr>
    </w:p>
    <w:p w14:paraId="1721EC2D" w14:textId="37C0D6F3" w:rsidR="00D444BA" w:rsidRPr="003B2FE4" w:rsidRDefault="00AC1A2E" w:rsidP="00E218B9">
      <w:pPr>
        <w:pStyle w:val="BodyText"/>
        <w:jc w:val="both"/>
        <w:rPr>
          <w:sz w:val="26"/>
          <w:szCs w:val="26"/>
        </w:rPr>
      </w:pPr>
      <w:r w:rsidRPr="003B2FE4">
        <w:rPr>
          <w:sz w:val="26"/>
          <w:szCs w:val="26"/>
        </w:rPr>
        <w:t>Finanšu ministrs</w:t>
      </w:r>
      <w:r w:rsidR="00857FA9" w:rsidRPr="003B2FE4">
        <w:rPr>
          <w:sz w:val="26"/>
          <w:szCs w:val="26"/>
        </w:rPr>
        <w:tab/>
      </w:r>
      <w:r w:rsidR="00857FA9" w:rsidRPr="003B2FE4">
        <w:rPr>
          <w:sz w:val="26"/>
          <w:szCs w:val="26"/>
        </w:rPr>
        <w:tab/>
      </w:r>
      <w:r w:rsidR="00857FA9" w:rsidRPr="003B2FE4">
        <w:rPr>
          <w:sz w:val="26"/>
          <w:szCs w:val="26"/>
        </w:rPr>
        <w:tab/>
      </w:r>
      <w:r w:rsidR="00857FA9" w:rsidRPr="003B2FE4">
        <w:rPr>
          <w:sz w:val="26"/>
          <w:szCs w:val="26"/>
        </w:rPr>
        <w:tab/>
      </w:r>
      <w:r w:rsidR="0091691A" w:rsidRPr="003B2FE4">
        <w:rPr>
          <w:sz w:val="26"/>
          <w:szCs w:val="26"/>
        </w:rPr>
        <w:tab/>
      </w:r>
      <w:r w:rsidR="0091691A" w:rsidRPr="003B2FE4">
        <w:rPr>
          <w:sz w:val="26"/>
          <w:szCs w:val="26"/>
        </w:rPr>
        <w:tab/>
      </w:r>
      <w:r w:rsidR="009D1F15" w:rsidRPr="003B2FE4">
        <w:rPr>
          <w:sz w:val="26"/>
          <w:szCs w:val="26"/>
        </w:rPr>
        <w:t xml:space="preserve">                       </w:t>
      </w:r>
      <w:r w:rsidR="00F154FE" w:rsidRPr="003B2FE4">
        <w:rPr>
          <w:sz w:val="26"/>
          <w:szCs w:val="26"/>
        </w:rPr>
        <w:t xml:space="preserve">   </w:t>
      </w:r>
      <w:r w:rsidR="0091691A" w:rsidRPr="003B2FE4">
        <w:rPr>
          <w:sz w:val="26"/>
          <w:szCs w:val="26"/>
        </w:rPr>
        <w:t xml:space="preserve">  </w:t>
      </w:r>
      <w:r w:rsidR="00F154FE" w:rsidRPr="003B2FE4">
        <w:rPr>
          <w:sz w:val="26"/>
          <w:szCs w:val="26"/>
        </w:rPr>
        <w:t xml:space="preserve">  </w:t>
      </w:r>
      <w:r w:rsidRPr="003B2FE4">
        <w:rPr>
          <w:sz w:val="26"/>
          <w:szCs w:val="26"/>
        </w:rPr>
        <w:t>J.</w:t>
      </w:r>
      <w:r w:rsidR="00855994" w:rsidRPr="003B2FE4">
        <w:rPr>
          <w:sz w:val="26"/>
          <w:szCs w:val="26"/>
        </w:rPr>
        <w:t xml:space="preserve"> </w:t>
      </w:r>
      <w:r w:rsidRPr="003B2FE4">
        <w:rPr>
          <w:sz w:val="26"/>
          <w:szCs w:val="26"/>
        </w:rPr>
        <w:t>Reirs</w:t>
      </w:r>
      <w:r w:rsidR="0091691A" w:rsidRPr="003B2FE4">
        <w:rPr>
          <w:sz w:val="26"/>
          <w:szCs w:val="26"/>
        </w:rPr>
        <w:tab/>
      </w:r>
    </w:p>
    <w:p w14:paraId="0B6E3685" w14:textId="77777777" w:rsidR="00E218B9" w:rsidRPr="003B2FE4" w:rsidRDefault="00E218B9" w:rsidP="00E218B9">
      <w:pPr>
        <w:pStyle w:val="BodyText"/>
        <w:jc w:val="both"/>
        <w:rPr>
          <w:sz w:val="24"/>
        </w:rPr>
      </w:pPr>
    </w:p>
    <w:p w14:paraId="3329C5E9" w14:textId="58953457" w:rsidR="002837F3" w:rsidRPr="003B2FE4" w:rsidRDefault="002837F3" w:rsidP="000C703D">
      <w:pPr>
        <w:pStyle w:val="BodyText"/>
        <w:jc w:val="left"/>
        <w:rPr>
          <w:sz w:val="20"/>
          <w:szCs w:val="20"/>
        </w:rPr>
      </w:pPr>
    </w:p>
    <w:p w14:paraId="6F05E33E" w14:textId="16C77C7A" w:rsidR="00DE03E0" w:rsidRDefault="00DE03E0" w:rsidP="000C703D">
      <w:pPr>
        <w:pStyle w:val="BodyText"/>
        <w:jc w:val="left"/>
        <w:rPr>
          <w:sz w:val="20"/>
          <w:szCs w:val="20"/>
        </w:rPr>
      </w:pPr>
    </w:p>
    <w:p w14:paraId="7DFF2025" w14:textId="51F73DA9" w:rsidR="003B2FE4" w:rsidRDefault="003B2FE4" w:rsidP="000C703D">
      <w:pPr>
        <w:pStyle w:val="BodyText"/>
        <w:jc w:val="left"/>
        <w:rPr>
          <w:sz w:val="20"/>
          <w:szCs w:val="20"/>
        </w:rPr>
      </w:pPr>
    </w:p>
    <w:p w14:paraId="150554BD" w14:textId="6F6BA06C" w:rsidR="003B2FE4" w:rsidRDefault="003B2FE4" w:rsidP="000C703D">
      <w:pPr>
        <w:pStyle w:val="BodyText"/>
        <w:jc w:val="left"/>
        <w:rPr>
          <w:sz w:val="20"/>
          <w:szCs w:val="20"/>
        </w:rPr>
      </w:pPr>
    </w:p>
    <w:p w14:paraId="0EF6312B" w14:textId="4D1900DC" w:rsidR="003B2FE4" w:rsidRDefault="003B2FE4" w:rsidP="000C703D">
      <w:pPr>
        <w:pStyle w:val="BodyText"/>
        <w:jc w:val="left"/>
        <w:rPr>
          <w:sz w:val="20"/>
          <w:szCs w:val="20"/>
        </w:rPr>
      </w:pPr>
    </w:p>
    <w:p w14:paraId="5342E5B1" w14:textId="54149F63" w:rsidR="003B2FE4" w:rsidRDefault="003B2FE4" w:rsidP="000C703D">
      <w:pPr>
        <w:pStyle w:val="BodyText"/>
        <w:jc w:val="left"/>
        <w:rPr>
          <w:sz w:val="20"/>
          <w:szCs w:val="20"/>
        </w:rPr>
      </w:pPr>
    </w:p>
    <w:p w14:paraId="36337128" w14:textId="5ECD2FAA" w:rsidR="003B2FE4" w:rsidRDefault="003B2FE4" w:rsidP="000C703D">
      <w:pPr>
        <w:pStyle w:val="BodyText"/>
        <w:jc w:val="left"/>
        <w:rPr>
          <w:sz w:val="20"/>
          <w:szCs w:val="20"/>
        </w:rPr>
      </w:pPr>
    </w:p>
    <w:p w14:paraId="00AA6B2C" w14:textId="130E0C0B" w:rsidR="003B2FE4" w:rsidRDefault="003B2FE4" w:rsidP="000C703D">
      <w:pPr>
        <w:pStyle w:val="BodyText"/>
        <w:jc w:val="left"/>
        <w:rPr>
          <w:sz w:val="20"/>
          <w:szCs w:val="20"/>
        </w:rPr>
      </w:pPr>
    </w:p>
    <w:p w14:paraId="1CF0BC71" w14:textId="4BDD2053" w:rsidR="003B2FE4" w:rsidRDefault="003B2FE4" w:rsidP="000C703D">
      <w:pPr>
        <w:pStyle w:val="BodyText"/>
        <w:jc w:val="left"/>
        <w:rPr>
          <w:sz w:val="20"/>
          <w:szCs w:val="20"/>
        </w:rPr>
      </w:pPr>
    </w:p>
    <w:p w14:paraId="7D2DDF6C" w14:textId="77777777" w:rsidR="003B2FE4" w:rsidRPr="003B2FE4" w:rsidRDefault="003B2FE4" w:rsidP="000C703D">
      <w:pPr>
        <w:pStyle w:val="BodyText"/>
        <w:jc w:val="left"/>
        <w:rPr>
          <w:sz w:val="20"/>
          <w:szCs w:val="20"/>
        </w:rPr>
      </w:pPr>
    </w:p>
    <w:p w14:paraId="5819CEA5" w14:textId="77777777" w:rsidR="00DE03E0" w:rsidRPr="003B2FE4" w:rsidRDefault="00DE03E0" w:rsidP="000C703D">
      <w:pPr>
        <w:pStyle w:val="BodyText"/>
        <w:jc w:val="left"/>
        <w:rPr>
          <w:sz w:val="20"/>
          <w:szCs w:val="20"/>
        </w:rPr>
      </w:pPr>
    </w:p>
    <w:p w14:paraId="0CDD299B" w14:textId="77777777" w:rsidR="002837F3" w:rsidRPr="003B2FE4" w:rsidRDefault="002837F3" w:rsidP="000C703D">
      <w:pPr>
        <w:pStyle w:val="BodyText"/>
        <w:jc w:val="left"/>
        <w:rPr>
          <w:sz w:val="16"/>
          <w:szCs w:val="16"/>
        </w:rPr>
      </w:pPr>
    </w:p>
    <w:p w14:paraId="314F4DF0" w14:textId="77777777" w:rsidR="00855994" w:rsidRPr="003B2FE4" w:rsidRDefault="00855994" w:rsidP="00855994">
      <w:pPr>
        <w:pStyle w:val="BodyText"/>
        <w:jc w:val="left"/>
        <w:rPr>
          <w:sz w:val="20"/>
          <w:szCs w:val="20"/>
        </w:rPr>
      </w:pPr>
      <w:r w:rsidRPr="003B2FE4">
        <w:rPr>
          <w:sz w:val="20"/>
          <w:szCs w:val="20"/>
        </w:rPr>
        <w:t>Adijāne 67095437</w:t>
      </w:r>
    </w:p>
    <w:p w14:paraId="4A6DB772" w14:textId="77777777" w:rsidR="00855994" w:rsidRPr="003B2FE4" w:rsidRDefault="00B53238" w:rsidP="00855994">
      <w:pPr>
        <w:pStyle w:val="BodyText"/>
        <w:jc w:val="left"/>
        <w:rPr>
          <w:sz w:val="20"/>
          <w:szCs w:val="20"/>
        </w:rPr>
      </w:pPr>
      <w:hyperlink r:id="rId10" w:history="1">
        <w:r w:rsidR="00855994" w:rsidRPr="003B2FE4">
          <w:rPr>
            <w:rStyle w:val="Hyperlink"/>
            <w:color w:val="auto"/>
            <w:sz w:val="20"/>
            <w:szCs w:val="20"/>
          </w:rPr>
          <w:t>zane.adijane@fm.gov.lv</w:t>
        </w:r>
      </w:hyperlink>
    </w:p>
    <w:p w14:paraId="6E236049" w14:textId="77777777" w:rsidR="00855994" w:rsidRPr="003B2FE4" w:rsidRDefault="00855994" w:rsidP="00855994">
      <w:pPr>
        <w:rPr>
          <w:lang w:eastAsia="en-US"/>
        </w:rPr>
      </w:pPr>
    </w:p>
    <w:p w14:paraId="54A3AF50" w14:textId="72B1FD4C" w:rsidR="002204E8" w:rsidRPr="003B2FE4" w:rsidRDefault="002204E8" w:rsidP="00855994">
      <w:pPr>
        <w:pStyle w:val="BodyText"/>
        <w:jc w:val="left"/>
        <w:rPr>
          <w:sz w:val="16"/>
          <w:szCs w:val="16"/>
        </w:rPr>
      </w:pPr>
    </w:p>
    <w:sectPr w:rsidR="002204E8" w:rsidRPr="003B2FE4" w:rsidSect="002D3E38">
      <w:headerReference w:type="default" r:id="rId11"/>
      <w:footerReference w:type="default" r:id="rId12"/>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4C55B" w14:textId="77777777" w:rsidR="0026098D" w:rsidRDefault="0026098D" w:rsidP="009A7EE9">
      <w:r>
        <w:separator/>
      </w:r>
    </w:p>
  </w:endnote>
  <w:endnote w:type="continuationSeparator" w:id="0">
    <w:p w14:paraId="128048A4" w14:textId="77777777" w:rsidR="0026098D" w:rsidRDefault="0026098D"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8027" w14:textId="37D88519" w:rsidR="00320C6A" w:rsidRPr="00DE03E0" w:rsidRDefault="003F1B84" w:rsidP="009D6DC8">
    <w:pPr>
      <w:pStyle w:val="Footer"/>
      <w:rPr>
        <w:sz w:val="20"/>
        <w:szCs w:val="20"/>
      </w:rPr>
    </w:pPr>
    <w:r w:rsidRPr="00DE03E0">
      <w:rPr>
        <w:noProof/>
        <w:sz w:val="20"/>
        <w:szCs w:val="20"/>
      </w:rPr>
      <w:fldChar w:fldCharType="begin"/>
    </w:r>
    <w:r w:rsidRPr="00DE03E0">
      <w:rPr>
        <w:noProof/>
        <w:sz w:val="20"/>
        <w:szCs w:val="20"/>
      </w:rPr>
      <w:instrText xml:space="preserve"> FILENAME \* MERGEFORMAT </w:instrText>
    </w:r>
    <w:r w:rsidRPr="00DE03E0">
      <w:rPr>
        <w:noProof/>
        <w:sz w:val="20"/>
        <w:szCs w:val="20"/>
      </w:rPr>
      <w:fldChar w:fldCharType="separate"/>
    </w:r>
    <w:r w:rsidR="006D3519">
      <w:rPr>
        <w:noProof/>
        <w:sz w:val="20"/>
        <w:szCs w:val="20"/>
      </w:rPr>
      <w:t>FMAnot_300320_aizdev_paliel</w:t>
    </w:r>
    <w:r w:rsidRPr="00DE03E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12466" w14:textId="77777777" w:rsidR="0026098D" w:rsidRDefault="0026098D" w:rsidP="009A7EE9">
      <w:r>
        <w:separator/>
      </w:r>
    </w:p>
  </w:footnote>
  <w:footnote w:type="continuationSeparator" w:id="0">
    <w:p w14:paraId="3B919E8D" w14:textId="77777777" w:rsidR="0026098D" w:rsidRDefault="0026098D"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12465"/>
      <w:docPartObj>
        <w:docPartGallery w:val="Page Numbers (Top of Page)"/>
        <w:docPartUnique/>
      </w:docPartObj>
    </w:sdtPr>
    <w:sdtEndPr>
      <w:rPr>
        <w:noProof/>
      </w:rPr>
    </w:sdtEndPr>
    <w:sdtContent>
      <w:p w14:paraId="47A5915D" w14:textId="5E52FABC" w:rsidR="00320C6A" w:rsidRDefault="00320C6A">
        <w:pPr>
          <w:pStyle w:val="Header"/>
          <w:jc w:val="center"/>
        </w:pPr>
        <w:r>
          <w:fldChar w:fldCharType="begin"/>
        </w:r>
        <w:r>
          <w:instrText xml:space="preserve"> PAGE   \* MERGEFORMAT </w:instrText>
        </w:r>
        <w:r>
          <w:fldChar w:fldCharType="separate"/>
        </w:r>
        <w:r w:rsidR="00B53238">
          <w:rPr>
            <w:noProof/>
          </w:rPr>
          <w:t>3</w:t>
        </w:r>
        <w:r>
          <w:rPr>
            <w:noProof/>
          </w:rPr>
          <w:fldChar w:fldCharType="end"/>
        </w:r>
      </w:p>
    </w:sdtContent>
  </w:sdt>
  <w:p w14:paraId="35C688AF" w14:textId="77777777" w:rsidR="00320C6A" w:rsidRDefault="0032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1AE16DC8"/>
    <w:multiLevelType w:val="hybridMultilevel"/>
    <w:tmpl w:val="9E2EF1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4"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5"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6"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7"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1"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2"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88029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64416"/>
    <w:multiLevelType w:val="hybridMultilevel"/>
    <w:tmpl w:val="A94EA0C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9"/>
  </w:num>
  <w:num w:numId="6">
    <w:abstractNumId w:val="13"/>
  </w:num>
  <w:num w:numId="7">
    <w:abstractNumId w:val="7"/>
  </w:num>
  <w:num w:numId="8">
    <w:abstractNumId w:val="16"/>
  </w:num>
  <w:num w:numId="9">
    <w:abstractNumId w:val="12"/>
  </w:num>
  <w:num w:numId="10">
    <w:abstractNumId w:val="11"/>
  </w:num>
  <w:num w:numId="11">
    <w:abstractNumId w:val="5"/>
  </w:num>
  <w:num w:numId="12">
    <w:abstractNumId w:val="3"/>
  </w:num>
  <w:num w:numId="13">
    <w:abstractNumId w:val="2"/>
  </w:num>
  <w:num w:numId="14">
    <w:abstractNumId w:val="10"/>
  </w:num>
  <w:num w:numId="15">
    <w:abstractNumId w:val="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8"/>
    <w:rsid w:val="000044FA"/>
    <w:rsid w:val="00011587"/>
    <w:rsid w:val="00011820"/>
    <w:rsid w:val="00025805"/>
    <w:rsid w:val="0005038A"/>
    <w:rsid w:val="000512B4"/>
    <w:rsid w:val="00056C2A"/>
    <w:rsid w:val="000614F5"/>
    <w:rsid w:val="00064F32"/>
    <w:rsid w:val="00070BB5"/>
    <w:rsid w:val="00076387"/>
    <w:rsid w:val="000766F8"/>
    <w:rsid w:val="0008143E"/>
    <w:rsid w:val="000818D2"/>
    <w:rsid w:val="00085845"/>
    <w:rsid w:val="000916CE"/>
    <w:rsid w:val="000A6B9A"/>
    <w:rsid w:val="000B194B"/>
    <w:rsid w:val="000B283D"/>
    <w:rsid w:val="000B2CA0"/>
    <w:rsid w:val="000C0745"/>
    <w:rsid w:val="000C07B8"/>
    <w:rsid w:val="000C57A6"/>
    <w:rsid w:val="000C703D"/>
    <w:rsid w:val="000D0EFF"/>
    <w:rsid w:val="00110E29"/>
    <w:rsid w:val="00110F94"/>
    <w:rsid w:val="00111617"/>
    <w:rsid w:val="0012264C"/>
    <w:rsid w:val="001509E7"/>
    <w:rsid w:val="00152ECC"/>
    <w:rsid w:val="00156E18"/>
    <w:rsid w:val="001611E9"/>
    <w:rsid w:val="00162EB9"/>
    <w:rsid w:val="00170CFC"/>
    <w:rsid w:val="00171A81"/>
    <w:rsid w:val="001729A2"/>
    <w:rsid w:val="001779C5"/>
    <w:rsid w:val="00181AB3"/>
    <w:rsid w:val="00183027"/>
    <w:rsid w:val="00183CD4"/>
    <w:rsid w:val="0019469A"/>
    <w:rsid w:val="001B419D"/>
    <w:rsid w:val="001C0756"/>
    <w:rsid w:val="001C1669"/>
    <w:rsid w:val="001C59ED"/>
    <w:rsid w:val="001D0A1B"/>
    <w:rsid w:val="00202D39"/>
    <w:rsid w:val="0020584E"/>
    <w:rsid w:val="002128BD"/>
    <w:rsid w:val="002204E8"/>
    <w:rsid w:val="002363C2"/>
    <w:rsid w:val="00243679"/>
    <w:rsid w:val="002601C3"/>
    <w:rsid w:val="0026098D"/>
    <w:rsid w:val="00261740"/>
    <w:rsid w:val="0027336A"/>
    <w:rsid w:val="0028027D"/>
    <w:rsid w:val="002837F3"/>
    <w:rsid w:val="00283E0D"/>
    <w:rsid w:val="00285775"/>
    <w:rsid w:val="00292DE5"/>
    <w:rsid w:val="002A5180"/>
    <w:rsid w:val="002B19A5"/>
    <w:rsid w:val="002B3D2F"/>
    <w:rsid w:val="002B4D9B"/>
    <w:rsid w:val="002B5EE7"/>
    <w:rsid w:val="002C2C90"/>
    <w:rsid w:val="002C3DC9"/>
    <w:rsid w:val="002D34CC"/>
    <w:rsid w:val="002D3E38"/>
    <w:rsid w:val="002F5428"/>
    <w:rsid w:val="00301CBB"/>
    <w:rsid w:val="00304A2F"/>
    <w:rsid w:val="00304F3B"/>
    <w:rsid w:val="00307419"/>
    <w:rsid w:val="003145BF"/>
    <w:rsid w:val="00320C6A"/>
    <w:rsid w:val="0032120D"/>
    <w:rsid w:val="003226E0"/>
    <w:rsid w:val="0032647A"/>
    <w:rsid w:val="00334364"/>
    <w:rsid w:val="00335619"/>
    <w:rsid w:val="00352431"/>
    <w:rsid w:val="00363F9A"/>
    <w:rsid w:val="00365ED5"/>
    <w:rsid w:val="00370F44"/>
    <w:rsid w:val="00372421"/>
    <w:rsid w:val="00372454"/>
    <w:rsid w:val="003726CD"/>
    <w:rsid w:val="003735E2"/>
    <w:rsid w:val="003B2FE4"/>
    <w:rsid w:val="003B325B"/>
    <w:rsid w:val="003B60B8"/>
    <w:rsid w:val="003C21F6"/>
    <w:rsid w:val="003C6F6D"/>
    <w:rsid w:val="003D6829"/>
    <w:rsid w:val="003D6BD2"/>
    <w:rsid w:val="003E3E05"/>
    <w:rsid w:val="003F10D1"/>
    <w:rsid w:val="003F1B84"/>
    <w:rsid w:val="003F4BF1"/>
    <w:rsid w:val="00406D24"/>
    <w:rsid w:val="00407869"/>
    <w:rsid w:val="004158B3"/>
    <w:rsid w:val="004170B3"/>
    <w:rsid w:val="00422AFA"/>
    <w:rsid w:val="004422AA"/>
    <w:rsid w:val="00453528"/>
    <w:rsid w:val="00455577"/>
    <w:rsid w:val="00465143"/>
    <w:rsid w:val="0047084C"/>
    <w:rsid w:val="00474ED8"/>
    <w:rsid w:val="00480A1B"/>
    <w:rsid w:val="00482307"/>
    <w:rsid w:val="004876F3"/>
    <w:rsid w:val="00493060"/>
    <w:rsid w:val="004A456A"/>
    <w:rsid w:val="004A5A78"/>
    <w:rsid w:val="004A7D0E"/>
    <w:rsid w:val="004B0522"/>
    <w:rsid w:val="004B10FE"/>
    <w:rsid w:val="004B4E72"/>
    <w:rsid w:val="004C4D7F"/>
    <w:rsid w:val="004D1D9A"/>
    <w:rsid w:val="004D36EB"/>
    <w:rsid w:val="004D5A33"/>
    <w:rsid w:val="004F70B8"/>
    <w:rsid w:val="00511918"/>
    <w:rsid w:val="00514A88"/>
    <w:rsid w:val="005222BD"/>
    <w:rsid w:val="00524414"/>
    <w:rsid w:val="00524926"/>
    <w:rsid w:val="00526CE8"/>
    <w:rsid w:val="005331D5"/>
    <w:rsid w:val="0053409A"/>
    <w:rsid w:val="00542B13"/>
    <w:rsid w:val="00542B98"/>
    <w:rsid w:val="005437C3"/>
    <w:rsid w:val="00545A7B"/>
    <w:rsid w:val="00567C3A"/>
    <w:rsid w:val="005717CC"/>
    <w:rsid w:val="00577379"/>
    <w:rsid w:val="005802FC"/>
    <w:rsid w:val="00580CBE"/>
    <w:rsid w:val="00583D19"/>
    <w:rsid w:val="00585E9F"/>
    <w:rsid w:val="005A0D60"/>
    <w:rsid w:val="005B0615"/>
    <w:rsid w:val="005B7346"/>
    <w:rsid w:val="005C5BDA"/>
    <w:rsid w:val="005D0284"/>
    <w:rsid w:val="005D20D4"/>
    <w:rsid w:val="005D2988"/>
    <w:rsid w:val="005D489A"/>
    <w:rsid w:val="005D7B3B"/>
    <w:rsid w:val="005E0012"/>
    <w:rsid w:val="005E37B5"/>
    <w:rsid w:val="005E435A"/>
    <w:rsid w:val="005E6150"/>
    <w:rsid w:val="00603455"/>
    <w:rsid w:val="00611862"/>
    <w:rsid w:val="00614952"/>
    <w:rsid w:val="00615E7A"/>
    <w:rsid w:val="00630442"/>
    <w:rsid w:val="006312E3"/>
    <w:rsid w:val="00632159"/>
    <w:rsid w:val="006400F2"/>
    <w:rsid w:val="00641D60"/>
    <w:rsid w:val="006423EF"/>
    <w:rsid w:val="00645290"/>
    <w:rsid w:val="00652E48"/>
    <w:rsid w:val="00664DE2"/>
    <w:rsid w:val="00666039"/>
    <w:rsid w:val="00684B77"/>
    <w:rsid w:val="00697CE8"/>
    <w:rsid w:val="006A556C"/>
    <w:rsid w:val="006B05E0"/>
    <w:rsid w:val="006B3BBA"/>
    <w:rsid w:val="006C7A11"/>
    <w:rsid w:val="006D2271"/>
    <w:rsid w:val="006D245F"/>
    <w:rsid w:val="006D3519"/>
    <w:rsid w:val="006F2B5A"/>
    <w:rsid w:val="006F4715"/>
    <w:rsid w:val="006F624C"/>
    <w:rsid w:val="0070316C"/>
    <w:rsid w:val="00705A8F"/>
    <w:rsid w:val="0071285B"/>
    <w:rsid w:val="00725640"/>
    <w:rsid w:val="007275D7"/>
    <w:rsid w:val="007338E3"/>
    <w:rsid w:val="0074000A"/>
    <w:rsid w:val="007505C3"/>
    <w:rsid w:val="00751999"/>
    <w:rsid w:val="00754E7D"/>
    <w:rsid w:val="0076081E"/>
    <w:rsid w:val="00763F04"/>
    <w:rsid w:val="0076428F"/>
    <w:rsid w:val="00764807"/>
    <w:rsid w:val="00767FB8"/>
    <w:rsid w:val="007733C9"/>
    <w:rsid w:val="00777791"/>
    <w:rsid w:val="00790DC9"/>
    <w:rsid w:val="00793B6F"/>
    <w:rsid w:val="007B6C93"/>
    <w:rsid w:val="007C0493"/>
    <w:rsid w:val="007C300C"/>
    <w:rsid w:val="007C4626"/>
    <w:rsid w:val="007D1247"/>
    <w:rsid w:val="007D3E6E"/>
    <w:rsid w:val="007D693E"/>
    <w:rsid w:val="007D7AC1"/>
    <w:rsid w:val="007E0FA9"/>
    <w:rsid w:val="007E157D"/>
    <w:rsid w:val="007E492A"/>
    <w:rsid w:val="007F18B8"/>
    <w:rsid w:val="00811EAA"/>
    <w:rsid w:val="00811F34"/>
    <w:rsid w:val="00814BB4"/>
    <w:rsid w:val="008278B4"/>
    <w:rsid w:val="008322A7"/>
    <w:rsid w:val="008336C8"/>
    <w:rsid w:val="008412CC"/>
    <w:rsid w:val="00853AC5"/>
    <w:rsid w:val="00855737"/>
    <w:rsid w:val="00855994"/>
    <w:rsid w:val="00857FA9"/>
    <w:rsid w:val="0086037C"/>
    <w:rsid w:val="00860930"/>
    <w:rsid w:val="00870008"/>
    <w:rsid w:val="00871282"/>
    <w:rsid w:val="00875E3E"/>
    <w:rsid w:val="00895C1A"/>
    <w:rsid w:val="008970B4"/>
    <w:rsid w:val="008A5638"/>
    <w:rsid w:val="008B46B2"/>
    <w:rsid w:val="008C0091"/>
    <w:rsid w:val="008C4C8E"/>
    <w:rsid w:val="008C54BF"/>
    <w:rsid w:val="008E0870"/>
    <w:rsid w:val="008E3C19"/>
    <w:rsid w:val="008E5B7C"/>
    <w:rsid w:val="008F6918"/>
    <w:rsid w:val="00905312"/>
    <w:rsid w:val="0091691A"/>
    <w:rsid w:val="009226DC"/>
    <w:rsid w:val="009228D2"/>
    <w:rsid w:val="00923946"/>
    <w:rsid w:val="00927A17"/>
    <w:rsid w:val="00930BF9"/>
    <w:rsid w:val="0093108D"/>
    <w:rsid w:val="00932481"/>
    <w:rsid w:val="009343F4"/>
    <w:rsid w:val="009430A2"/>
    <w:rsid w:val="00944529"/>
    <w:rsid w:val="00945363"/>
    <w:rsid w:val="009522AE"/>
    <w:rsid w:val="0095576A"/>
    <w:rsid w:val="00962079"/>
    <w:rsid w:val="009757FD"/>
    <w:rsid w:val="00977221"/>
    <w:rsid w:val="00982034"/>
    <w:rsid w:val="009873B8"/>
    <w:rsid w:val="0099499C"/>
    <w:rsid w:val="009A18FB"/>
    <w:rsid w:val="009A48FE"/>
    <w:rsid w:val="009A4A62"/>
    <w:rsid w:val="009A6715"/>
    <w:rsid w:val="009A7EE9"/>
    <w:rsid w:val="009C211D"/>
    <w:rsid w:val="009C6D89"/>
    <w:rsid w:val="009C7442"/>
    <w:rsid w:val="009C7F21"/>
    <w:rsid w:val="009D1F15"/>
    <w:rsid w:val="009D36DE"/>
    <w:rsid w:val="009D6DC8"/>
    <w:rsid w:val="009E28C2"/>
    <w:rsid w:val="009E5A67"/>
    <w:rsid w:val="009F065F"/>
    <w:rsid w:val="00A0018F"/>
    <w:rsid w:val="00A02827"/>
    <w:rsid w:val="00A11E5A"/>
    <w:rsid w:val="00A12EFD"/>
    <w:rsid w:val="00A23985"/>
    <w:rsid w:val="00A26A03"/>
    <w:rsid w:val="00A310DC"/>
    <w:rsid w:val="00A331FE"/>
    <w:rsid w:val="00A37ADF"/>
    <w:rsid w:val="00A42A37"/>
    <w:rsid w:val="00A511BA"/>
    <w:rsid w:val="00A8127B"/>
    <w:rsid w:val="00A85919"/>
    <w:rsid w:val="00A914D2"/>
    <w:rsid w:val="00A93CF7"/>
    <w:rsid w:val="00A97367"/>
    <w:rsid w:val="00AA1528"/>
    <w:rsid w:val="00AA4A17"/>
    <w:rsid w:val="00AA5033"/>
    <w:rsid w:val="00AA5380"/>
    <w:rsid w:val="00AB45E9"/>
    <w:rsid w:val="00AB7DDF"/>
    <w:rsid w:val="00AC14B6"/>
    <w:rsid w:val="00AC1A2E"/>
    <w:rsid w:val="00AC7C0E"/>
    <w:rsid w:val="00AD2335"/>
    <w:rsid w:val="00AD3761"/>
    <w:rsid w:val="00AD6E8B"/>
    <w:rsid w:val="00AE7DAC"/>
    <w:rsid w:val="00B03683"/>
    <w:rsid w:val="00B05D95"/>
    <w:rsid w:val="00B14C2E"/>
    <w:rsid w:val="00B14E12"/>
    <w:rsid w:val="00B17BAC"/>
    <w:rsid w:val="00B2761E"/>
    <w:rsid w:val="00B2791A"/>
    <w:rsid w:val="00B344E5"/>
    <w:rsid w:val="00B3568E"/>
    <w:rsid w:val="00B37017"/>
    <w:rsid w:val="00B4749B"/>
    <w:rsid w:val="00B53238"/>
    <w:rsid w:val="00B61A29"/>
    <w:rsid w:val="00B64477"/>
    <w:rsid w:val="00B672D4"/>
    <w:rsid w:val="00B71A99"/>
    <w:rsid w:val="00B759CB"/>
    <w:rsid w:val="00B7663C"/>
    <w:rsid w:val="00B87AF4"/>
    <w:rsid w:val="00B92025"/>
    <w:rsid w:val="00B946E5"/>
    <w:rsid w:val="00BA091C"/>
    <w:rsid w:val="00BA10D2"/>
    <w:rsid w:val="00BA4D20"/>
    <w:rsid w:val="00BA7526"/>
    <w:rsid w:val="00BB2AB5"/>
    <w:rsid w:val="00BC3853"/>
    <w:rsid w:val="00BC7D94"/>
    <w:rsid w:val="00BD2338"/>
    <w:rsid w:val="00BD4180"/>
    <w:rsid w:val="00BD7B24"/>
    <w:rsid w:val="00BE79DA"/>
    <w:rsid w:val="00BF0C19"/>
    <w:rsid w:val="00BF18C9"/>
    <w:rsid w:val="00BF649C"/>
    <w:rsid w:val="00BF7635"/>
    <w:rsid w:val="00C06009"/>
    <w:rsid w:val="00C13638"/>
    <w:rsid w:val="00C142F2"/>
    <w:rsid w:val="00C24A34"/>
    <w:rsid w:val="00C27426"/>
    <w:rsid w:val="00C335C5"/>
    <w:rsid w:val="00C41B93"/>
    <w:rsid w:val="00C41E55"/>
    <w:rsid w:val="00C437F7"/>
    <w:rsid w:val="00C44880"/>
    <w:rsid w:val="00C527E6"/>
    <w:rsid w:val="00C57036"/>
    <w:rsid w:val="00C608C1"/>
    <w:rsid w:val="00C621A0"/>
    <w:rsid w:val="00C63854"/>
    <w:rsid w:val="00C64112"/>
    <w:rsid w:val="00C656FF"/>
    <w:rsid w:val="00C66B75"/>
    <w:rsid w:val="00C73478"/>
    <w:rsid w:val="00C85F9F"/>
    <w:rsid w:val="00C8713F"/>
    <w:rsid w:val="00C94740"/>
    <w:rsid w:val="00CA173D"/>
    <w:rsid w:val="00CB2E04"/>
    <w:rsid w:val="00CC1E07"/>
    <w:rsid w:val="00CC3A0B"/>
    <w:rsid w:val="00CC644C"/>
    <w:rsid w:val="00CD4261"/>
    <w:rsid w:val="00CF1350"/>
    <w:rsid w:val="00CF2F7B"/>
    <w:rsid w:val="00D0076B"/>
    <w:rsid w:val="00D06149"/>
    <w:rsid w:val="00D25421"/>
    <w:rsid w:val="00D309B0"/>
    <w:rsid w:val="00D312A6"/>
    <w:rsid w:val="00D4035B"/>
    <w:rsid w:val="00D43AB3"/>
    <w:rsid w:val="00D444BA"/>
    <w:rsid w:val="00D54B2D"/>
    <w:rsid w:val="00D6079A"/>
    <w:rsid w:val="00D72F5C"/>
    <w:rsid w:val="00D81DFB"/>
    <w:rsid w:val="00D82EC1"/>
    <w:rsid w:val="00D84D37"/>
    <w:rsid w:val="00D94EC3"/>
    <w:rsid w:val="00D97850"/>
    <w:rsid w:val="00DA451A"/>
    <w:rsid w:val="00DB143C"/>
    <w:rsid w:val="00DB1865"/>
    <w:rsid w:val="00DB37C4"/>
    <w:rsid w:val="00DB5A7F"/>
    <w:rsid w:val="00DB7B48"/>
    <w:rsid w:val="00DC37EA"/>
    <w:rsid w:val="00DC735E"/>
    <w:rsid w:val="00DE03E0"/>
    <w:rsid w:val="00DE1003"/>
    <w:rsid w:val="00DE3336"/>
    <w:rsid w:val="00DE6271"/>
    <w:rsid w:val="00E10C35"/>
    <w:rsid w:val="00E16501"/>
    <w:rsid w:val="00E218B9"/>
    <w:rsid w:val="00E27179"/>
    <w:rsid w:val="00E315C4"/>
    <w:rsid w:val="00E366AD"/>
    <w:rsid w:val="00E458CF"/>
    <w:rsid w:val="00E46FC1"/>
    <w:rsid w:val="00E47E33"/>
    <w:rsid w:val="00E50E39"/>
    <w:rsid w:val="00E62717"/>
    <w:rsid w:val="00E718BA"/>
    <w:rsid w:val="00E8499A"/>
    <w:rsid w:val="00E8717E"/>
    <w:rsid w:val="00EA6C2F"/>
    <w:rsid w:val="00ED59B9"/>
    <w:rsid w:val="00EE15AD"/>
    <w:rsid w:val="00EE3ADF"/>
    <w:rsid w:val="00EE4FC4"/>
    <w:rsid w:val="00EE78E8"/>
    <w:rsid w:val="00EF5B50"/>
    <w:rsid w:val="00EF79BA"/>
    <w:rsid w:val="00F14DB0"/>
    <w:rsid w:val="00F14F02"/>
    <w:rsid w:val="00F154FE"/>
    <w:rsid w:val="00F21AC1"/>
    <w:rsid w:val="00F2550C"/>
    <w:rsid w:val="00F32B28"/>
    <w:rsid w:val="00F405EC"/>
    <w:rsid w:val="00F529F2"/>
    <w:rsid w:val="00F7738B"/>
    <w:rsid w:val="00F920C2"/>
    <w:rsid w:val="00F93227"/>
    <w:rsid w:val="00F944FB"/>
    <w:rsid w:val="00F95876"/>
    <w:rsid w:val="00FA0AC6"/>
    <w:rsid w:val="00FA1F6A"/>
    <w:rsid w:val="00FA753E"/>
    <w:rsid w:val="00FC5F2F"/>
    <w:rsid w:val="00FC73BD"/>
    <w:rsid w:val="00FD4884"/>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B454"/>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A26A03"/>
    <w:rPr>
      <w:sz w:val="16"/>
      <w:szCs w:val="16"/>
    </w:rPr>
  </w:style>
  <w:style w:type="paragraph" w:styleId="CommentText">
    <w:name w:val="annotation text"/>
    <w:basedOn w:val="Normal"/>
    <w:link w:val="CommentTextChar"/>
    <w:uiPriority w:val="99"/>
    <w:semiHidden/>
    <w:unhideWhenUsed/>
    <w:rsid w:val="00A26A03"/>
    <w:rPr>
      <w:sz w:val="20"/>
      <w:szCs w:val="20"/>
    </w:rPr>
  </w:style>
  <w:style w:type="character" w:customStyle="1" w:styleId="CommentTextChar">
    <w:name w:val="Comment Text Char"/>
    <w:basedOn w:val="DefaultParagraphFont"/>
    <w:link w:val="CommentText"/>
    <w:uiPriority w:val="99"/>
    <w:semiHidden/>
    <w:rsid w:val="00A26A0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26A03"/>
    <w:rPr>
      <w:b/>
      <w:bCs/>
    </w:rPr>
  </w:style>
  <w:style w:type="character" w:customStyle="1" w:styleId="CommentSubjectChar">
    <w:name w:val="Comment Subject Char"/>
    <w:basedOn w:val="CommentTextChar"/>
    <w:link w:val="CommentSubject"/>
    <w:uiPriority w:val="99"/>
    <w:semiHidden/>
    <w:rsid w:val="00A26A03"/>
    <w:rPr>
      <w:rFonts w:ascii="Times New Roman" w:eastAsia="Times New Roman" w:hAnsi="Times New Roman" w:cs="Times New Roman"/>
      <w:b/>
      <w:bCs/>
      <w:sz w:val="20"/>
      <w:szCs w:val="20"/>
      <w:lang w:eastAsia="lv-LV"/>
    </w:rPr>
  </w:style>
  <w:style w:type="paragraph" w:styleId="Title">
    <w:name w:val="Title"/>
    <w:basedOn w:val="Normal"/>
    <w:link w:val="TitleChar"/>
    <w:uiPriority w:val="10"/>
    <w:qFormat/>
    <w:rsid w:val="0095576A"/>
    <w:pPr>
      <w:jc w:val="center"/>
    </w:pPr>
    <w:rPr>
      <w:szCs w:val="20"/>
      <w:lang w:eastAsia="en-US"/>
    </w:rPr>
  </w:style>
  <w:style w:type="character" w:customStyle="1" w:styleId="TitleChar">
    <w:name w:val="Title Char"/>
    <w:basedOn w:val="DefaultParagraphFont"/>
    <w:link w:val="Title"/>
    <w:uiPriority w:val="10"/>
    <w:rsid w:val="009557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679309524">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947929919">
      <w:bodyDiv w:val="1"/>
      <w:marLeft w:val="0"/>
      <w:marRight w:val="0"/>
      <w:marTop w:val="0"/>
      <w:marBottom w:val="0"/>
      <w:divBdr>
        <w:top w:val="none" w:sz="0" w:space="0" w:color="auto"/>
        <w:left w:val="none" w:sz="0" w:space="0" w:color="auto"/>
        <w:bottom w:val="none" w:sz="0" w:space="0" w:color="auto"/>
        <w:right w:val="none" w:sz="0" w:space="0" w:color="auto"/>
      </w:divBdr>
    </w:div>
    <w:div w:id="1603949695">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373-par-valsts-apdraudejuma-un-ta-seku-noversanas-un-parvaresanas-pasakumiem-sakara-ar-covid-19-izplatib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ne.adijane@fm.gov.lv" TargetMode="External"/><Relationship Id="rId4" Type="http://schemas.openxmlformats.org/officeDocument/2006/relationships/settings" Target="settings.xml"/><Relationship Id="rId9" Type="http://schemas.openxmlformats.org/officeDocument/2006/relationships/hyperlink" Target="https://likumi.lv/ta/id/313373-par-valsts-apdraudejuma-un-ta-seku-noversanas-un-parvaresanas-pasakumiem-sakara-ar-covid-19-izplatib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9B396-5FFB-4D62-ADE6-31CEB558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Ministru kabineta rīkojuma projekta “Par likumā “Par valsts budžetu 2020.gadam” noteikto valsts budžeta aizdevumu kopējo palielinājumu”” sākotnējās ietekmes novērtējuma ziņojums (anotācija)</vt:lpstr>
    </vt:vector>
  </TitlesOfParts>
  <Company>Finanšu ministrija</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likumā “Par valsts budžetu 2020.gadam” noteikto valsts budžeta aizdevumu kopējo palielinājumu”” sākotnējās ietekmes novērtējuma ziņojums (anotācija)</dc:title>
  <dc:subject>Anotācija</dc:subject>
  <dc:creator>Zane Adijāne</dc:creator>
  <cp:keywords/>
  <dc:description>zane.adijane@fm.gov.lv; 67095437</dc:description>
  <cp:lastModifiedBy>Zane Adijāne</cp:lastModifiedBy>
  <cp:revision>13</cp:revision>
  <cp:lastPrinted>2019-09-11T11:17:00Z</cp:lastPrinted>
  <dcterms:created xsi:type="dcterms:W3CDTF">2020-03-31T07:39:00Z</dcterms:created>
  <dcterms:modified xsi:type="dcterms:W3CDTF">2020-04-01T10:54:00Z</dcterms:modified>
</cp:coreProperties>
</file>