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3734" w14:textId="2FF21CEF" w:rsidR="007B5D08" w:rsidRPr="00E07A59" w:rsidRDefault="003A10F7" w:rsidP="00DA5AA3">
      <w:pPr>
        <w:shd w:val="clear" w:color="auto" w:fill="FFFFFF"/>
        <w:jc w:val="center"/>
        <w:rPr>
          <w:b/>
          <w:sz w:val="28"/>
          <w:szCs w:val="28"/>
        </w:rPr>
      </w:pPr>
      <w:r w:rsidRPr="00E07A59">
        <w:rPr>
          <w:b/>
          <w:sz w:val="28"/>
          <w:szCs w:val="28"/>
        </w:rPr>
        <w:t>Ministru kabineta noteikumu projekta</w:t>
      </w:r>
    </w:p>
    <w:p w14:paraId="14DA3B7D" w14:textId="238146A1" w:rsidR="003A10F7" w:rsidRPr="00E07A59" w:rsidRDefault="007B5D08" w:rsidP="00DA5AA3">
      <w:pPr>
        <w:shd w:val="clear" w:color="auto" w:fill="FFFFFF"/>
        <w:jc w:val="center"/>
        <w:rPr>
          <w:b/>
          <w:sz w:val="28"/>
          <w:szCs w:val="28"/>
        </w:rPr>
      </w:pPr>
      <w:r w:rsidRPr="00E07A59">
        <w:rPr>
          <w:b/>
          <w:sz w:val="28"/>
          <w:szCs w:val="28"/>
        </w:rPr>
        <w:t>“</w:t>
      </w:r>
      <w:r w:rsidRPr="00E07A59">
        <w:rPr>
          <w:b/>
          <w:bCs/>
          <w:sz w:val="28"/>
          <w:szCs w:val="28"/>
        </w:rPr>
        <w:t xml:space="preserve">Grozījumi Ministru kabineta 2014.gada 9.decembra noteikumos Nr.757 “Apsardzes darbības licencēšanas noteikumi”” </w:t>
      </w:r>
      <w:r w:rsidR="003A10F7" w:rsidRPr="00E07A59">
        <w:rPr>
          <w:b/>
          <w:bCs/>
          <w:sz w:val="28"/>
          <w:szCs w:val="28"/>
        </w:rPr>
        <w:t>sākotnējās ietekmes novērtējuma ziņojums (anotācija)</w:t>
      </w:r>
    </w:p>
    <w:p w14:paraId="1328DA71" w14:textId="77777777" w:rsidR="003A10F7" w:rsidRPr="00E07A59" w:rsidRDefault="003A10F7" w:rsidP="00DA5AA3">
      <w:pPr>
        <w:shd w:val="clear" w:color="auto" w:fill="FFFFFF"/>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47"/>
        <w:gridCol w:w="5980"/>
      </w:tblGrid>
      <w:tr w:rsidR="00A13E23" w:rsidRPr="00E07A59" w14:paraId="37715422" w14:textId="77777777" w:rsidTr="004A4740">
        <w:trPr>
          <w:cantSplit/>
        </w:trPr>
        <w:tc>
          <w:tcPr>
            <w:tcW w:w="9127" w:type="dxa"/>
            <w:gridSpan w:val="2"/>
            <w:shd w:val="clear" w:color="auto" w:fill="FFFFFF"/>
            <w:vAlign w:val="center"/>
            <w:hideMark/>
          </w:tcPr>
          <w:p w14:paraId="2150E516" w14:textId="71C09932" w:rsidR="003A10F7" w:rsidRPr="00E07A59" w:rsidRDefault="00C832DD" w:rsidP="002E47AB">
            <w:pPr>
              <w:jc w:val="center"/>
              <w:rPr>
                <w:b/>
                <w:iCs/>
                <w:sz w:val="28"/>
                <w:szCs w:val="28"/>
                <w:lang w:eastAsia="en-US"/>
              </w:rPr>
            </w:pPr>
            <w:r w:rsidRPr="00E07A59">
              <w:rPr>
                <w:rFonts w:eastAsia="Calibri"/>
                <w:b/>
                <w:sz w:val="28"/>
                <w:szCs w:val="28"/>
              </w:rPr>
              <w:t>Tiesību akta projekta anotācijas kopsavilkums</w:t>
            </w:r>
          </w:p>
        </w:tc>
      </w:tr>
      <w:tr w:rsidR="00A13E23" w:rsidRPr="00E07A59" w14:paraId="0E0E0E77" w14:textId="77777777" w:rsidTr="00661966">
        <w:trPr>
          <w:cantSplit/>
        </w:trPr>
        <w:tc>
          <w:tcPr>
            <w:tcW w:w="3147" w:type="dxa"/>
            <w:shd w:val="clear" w:color="auto" w:fill="FFFFFF"/>
            <w:hideMark/>
          </w:tcPr>
          <w:p w14:paraId="11B57FB6" w14:textId="6F0A954D" w:rsidR="003A10F7" w:rsidRPr="00E07A59" w:rsidRDefault="00C832DD" w:rsidP="002E47AB">
            <w:pPr>
              <w:rPr>
                <w:iCs/>
                <w:sz w:val="28"/>
                <w:szCs w:val="28"/>
                <w:lang w:eastAsia="en-US"/>
              </w:rPr>
            </w:pPr>
            <w:r w:rsidRPr="00E07A59">
              <w:rPr>
                <w:rFonts w:eastAsia="Calibri"/>
                <w:sz w:val="28"/>
                <w:szCs w:val="28"/>
              </w:rPr>
              <w:t>Mērķis, risinājums un projekta spēkā stāšanās laiks (500 zīmes bez atstarpēm)</w:t>
            </w:r>
          </w:p>
        </w:tc>
        <w:tc>
          <w:tcPr>
            <w:tcW w:w="5980" w:type="dxa"/>
            <w:shd w:val="clear" w:color="auto" w:fill="FFFFFF"/>
            <w:hideMark/>
          </w:tcPr>
          <w:p w14:paraId="0DD7CB6A" w14:textId="49A4CB78" w:rsidR="003A10F7" w:rsidRPr="00E07A59" w:rsidRDefault="00B014C4" w:rsidP="007A17C4">
            <w:pPr>
              <w:jc w:val="both"/>
              <w:rPr>
                <w:sz w:val="28"/>
                <w:szCs w:val="28"/>
              </w:rPr>
            </w:pPr>
            <w:r w:rsidRPr="00E07A59">
              <w:rPr>
                <w:sz w:val="28"/>
                <w:szCs w:val="28"/>
              </w:rPr>
              <w:t>Ministru kabineta noteikumu projekts “</w:t>
            </w:r>
            <w:r w:rsidRPr="00E07A59">
              <w:rPr>
                <w:bCs/>
                <w:sz w:val="28"/>
                <w:szCs w:val="28"/>
              </w:rPr>
              <w:t xml:space="preserve">Grozījumi Ministru kabineta 2014.gada 9.decembra noteikumos Nr.757 “Apsardzes darbības licencēšanas noteikumi”” (turpmāk – </w:t>
            </w:r>
            <w:r w:rsidRPr="00E07A59">
              <w:rPr>
                <w:sz w:val="28"/>
                <w:szCs w:val="28"/>
              </w:rPr>
              <w:t xml:space="preserve">projekts) izstrādāts ar mērķi uzlikt par pienākumu apsardzes komersantiem, kuri sniedz inkasācijas apsardzes pakalpojumus, izveidot iekšējās kontroles sistēmu ar mērķi samazināt un novērst noziedzīgi iegūtu līdzekļu legalizācijas un terorisma un </w:t>
            </w:r>
            <w:proofErr w:type="spellStart"/>
            <w:r w:rsidRPr="00E07A59">
              <w:rPr>
                <w:sz w:val="28"/>
                <w:szCs w:val="28"/>
              </w:rPr>
              <w:t>proliferācijas</w:t>
            </w:r>
            <w:proofErr w:type="spellEnd"/>
            <w:r w:rsidRPr="00E07A59">
              <w:rPr>
                <w:sz w:val="28"/>
                <w:szCs w:val="28"/>
              </w:rPr>
              <w:t xml:space="preserve"> finansēšanas gadījumus. </w:t>
            </w:r>
          </w:p>
          <w:p w14:paraId="7AF1170C" w14:textId="7A0169DF" w:rsidR="00B014C4" w:rsidRPr="00E07A59" w:rsidRDefault="001739BC" w:rsidP="007A17C4">
            <w:pPr>
              <w:jc w:val="both"/>
              <w:rPr>
                <w:sz w:val="28"/>
                <w:szCs w:val="28"/>
              </w:rPr>
            </w:pPr>
            <w:r w:rsidRPr="00E07A59">
              <w:rPr>
                <w:rFonts w:eastAsia="Calibri"/>
                <w:sz w:val="28"/>
                <w:szCs w:val="28"/>
              </w:rPr>
              <w:t>Projekts stāsies spēkā nākamajā dienā pēc publicēšanas oficiālajā izdevumā “Latvijas Vēstnesis”.</w:t>
            </w:r>
          </w:p>
        </w:tc>
      </w:tr>
    </w:tbl>
    <w:p w14:paraId="4C4D9C4F" w14:textId="77777777" w:rsidR="00BD5588" w:rsidRPr="00E07A59" w:rsidRDefault="00BD5588" w:rsidP="007B5D08">
      <w:pPr>
        <w:pStyle w:val="Title"/>
        <w:jc w:val="both"/>
        <w:rPr>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5"/>
        <w:gridCol w:w="2694"/>
        <w:gridCol w:w="5953"/>
      </w:tblGrid>
      <w:tr w:rsidR="00A13E23" w:rsidRPr="00E07A59" w14:paraId="362F8D7D" w14:textId="77777777" w:rsidTr="00007E25">
        <w:tc>
          <w:tcPr>
            <w:tcW w:w="5000" w:type="pct"/>
            <w:gridSpan w:val="3"/>
            <w:vAlign w:val="center"/>
            <w:hideMark/>
          </w:tcPr>
          <w:p w14:paraId="2D0430C0" w14:textId="5AEC442E" w:rsidR="00D72CBB" w:rsidRPr="00E07A59" w:rsidRDefault="00D72CBB" w:rsidP="00D72CBB">
            <w:pPr>
              <w:jc w:val="center"/>
              <w:rPr>
                <w:sz w:val="28"/>
                <w:szCs w:val="28"/>
              </w:rPr>
            </w:pPr>
            <w:r w:rsidRPr="00E07A59">
              <w:rPr>
                <w:b/>
                <w:bCs/>
                <w:sz w:val="28"/>
                <w:szCs w:val="28"/>
              </w:rPr>
              <w:t>I. Tiesību akta projekta izstrādes nepieciešamība</w:t>
            </w:r>
          </w:p>
        </w:tc>
      </w:tr>
      <w:tr w:rsidR="00A13E23" w:rsidRPr="00E07A59" w14:paraId="7DCB9320" w14:textId="77777777" w:rsidTr="00007E25">
        <w:tc>
          <w:tcPr>
            <w:tcW w:w="250" w:type="pct"/>
            <w:hideMark/>
          </w:tcPr>
          <w:p w14:paraId="5953B6A5" w14:textId="77777777" w:rsidR="00BD5588" w:rsidRPr="00E07A59" w:rsidRDefault="00BD5588" w:rsidP="009E0502">
            <w:pPr>
              <w:jc w:val="center"/>
              <w:rPr>
                <w:sz w:val="28"/>
                <w:szCs w:val="28"/>
              </w:rPr>
            </w:pPr>
            <w:r w:rsidRPr="00E07A59">
              <w:rPr>
                <w:sz w:val="28"/>
                <w:szCs w:val="28"/>
              </w:rPr>
              <w:t>1.</w:t>
            </w:r>
          </w:p>
        </w:tc>
        <w:tc>
          <w:tcPr>
            <w:tcW w:w="1480" w:type="pct"/>
          </w:tcPr>
          <w:p w14:paraId="33D074F9" w14:textId="23E2CC96" w:rsidR="00BD5588" w:rsidRPr="00E07A59" w:rsidRDefault="009E3D1F" w:rsidP="00E07A59">
            <w:pPr>
              <w:rPr>
                <w:sz w:val="28"/>
                <w:szCs w:val="28"/>
              </w:rPr>
            </w:pPr>
            <w:r w:rsidRPr="00E07A59">
              <w:rPr>
                <w:sz w:val="28"/>
                <w:szCs w:val="28"/>
              </w:rPr>
              <w:t>Pamatojums</w:t>
            </w:r>
          </w:p>
        </w:tc>
        <w:tc>
          <w:tcPr>
            <w:tcW w:w="3270" w:type="pct"/>
          </w:tcPr>
          <w:p w14:paraId="49027191" w14:textId="7BBE427B" w:rsidR="003E10DE" w:rsidRPr="00E07A59" w:rsidRDefault="00A871FB" w:rsidP="00A13E23">
            <w:pPr>
              <w:pStyle w:val="NormalWeb"/>
              <w:jc w:val="both"/>
              <w:rPr>
                <w:sz w:val="28"/>
                <w:szCs w:val="28"/>
              </w:rPr>
            </w:pPr>
            <w:r w:rsidRPr="00E07A59">
              <w:rPr>
                <w:sz w:val="28"/>
                <w:szCs w:val="28"/>
              </w:rPr>
              <w:t>Ministru kabineta 201</w:t>
            </w:r>
            <w:r w:rsidR="003E10DE" w:rsidRPr="00E07A59">
              <w:rPr>
                <w:sz w:val="28"/>
                <w:szCs w:val="28"/>
              </w:rPr>
              <w:t>8</w:t>
            </w:r>
            <w:r w:rsidRPr="00E07A59">
              <w:rPr>
                <w:sz w:val="28"/>
                <w:szCs w:val="28"/>
              </w:rPr>
              <w:t xml:space="preserve">.gada </w:t>
            </w:r>
            <w:r w:rsidR="00C37863" w:rsidRPr="00E07A59">
              <w:rPr>
                <w:sz w:val="28"/>
                <w:szCs w:val="28"/>
              </w:rPr>
              <w:t>11</w:t>
            </w:r>
            <w:r w:rsidRPr="00E07A59">
              <w:rPr>
                <w:sz w:val="28"/>
                <w:szCs w:val="28"/>
              </w:rPr>
              <w:t>.</w:t>
            </w:r>
            <w:r w:rsidR="00C37863" w:rsidRPr="00E07A59">
              <w:rPr>
                <w:sz w:val="28"/>
                <w:szCs w:val="28"/>
              </w:rPr>
              <w:t>oktobra</w:t>
            </w:r>
            <w:r w:rsidRPr="00E07A59">
              <w:rPr>
                <w:sz w:val="28"/>
                <w:szCs w:val="28"/>
              </w:rPr>
              <w:t xml:space="preserve"> rīkojum</w:t>
            </w:r>
            <w:r w:rsidR="00627BB7" w:rsidRPr="00E07A59">
              <w:rPr>
                <w:sz w:val="28"/>
                <w:szCs w:val="28"/>
              </w:rPr>
              <w:t>s</w:t>
            </w:r>
            <w:r w:rsidRPr="00E07A59">
              <w:rPr>
                <w:sz w:val="28"/>
                <w:szCs w:val="28"/>
              </w:rPr>
              <w:t xml:space="preserve"> Nr.</w:t>
            </w:r>
            <w:r w:rsidR="00C37863" w:rsidRPr="00E07A59">
              <w:rPr>
                <w:sz w:val="28"/>
                <w:szCs w:val="28"/>
              </w:rPr>
              <w:t>512</w:t>
            </w:r>
            <w:r w:rsidR="00A75E3D" w:rsidRPr="00E07A59">
              <w:rPr>
                <w:sz w:val="28"/>
                <w:szCs w:val="28"/>
              </w:rPr>
              <w:t xml:space="preserve"> </w:t>
            </w:r>
            <w:r w:rsidR="00A75E3D" w:rsidRPr="00E07A59">
              <w:rPr>
                <w:bCs/>
                <w:sz w:val="28"/>
                <w:szCs w:val="28"/>
              </w:rPr>
              <w:t>“</w:t>
            </w:r>
            <w:r w:rsidR="003E10DE" w:rsidRPr="00E07A59">
              <w:rPr>
                <w:bCs/>
                <w:sz w:val="28"/>
                <w:szCs w:val="28"/>
              </w:rPr>
              <w:t xml:space="preserve">Par Pasākumu plānu noziedzīgi iegūtu līdzekļu legalizācijas un terorisma finansēšanas novēršanai laikposmam līdz 2019. gada 31. </w:t>
            </w:r>
            <w:r w:rsidR="00E7606D" w:rsidRPr="00E07A59">
              <w:rPr>
                <w:bCs/>
                <w:sz w:val="28"/>
                <w:szCs w:val="28"/>
              </w:rPr>
              <w:t>d</w:t>
            </w:r>
            <w:r w:rsidR="003E10DE" w:rsidRPr="00E07A59">
              <w:rPr>
                <w:bCs/>
                <w:sz w:val="28"/>
                <w:szCs w:val="28"/>
              </w:rPr>
              <w:t>ecembrim</w:t>
            </w:r>
            <w:r w:rsidR="00A75E3D" w:rsidRPr="00E07A59">
              <w:rPr>
                <w:bCs/>
                <w:sz w:val="28"/>
                <w:szCs w:val="28"/>
              </w:rPr>
              <w:t>”</w:t>
            </w:r>
            <w:r w:rsidR="00A13E23" w:rsidRPr="00E07A59">
              <w:rPr>
                <w:sz w:val="28"/>
                <w:szCs w:val="28"/>
              </w:rPr>
              <w:t xml:space="preserve">, kurš izstrādāts pamatojoties uz </w:t>
            </w:r>
            <w:proofErr w:type="spellStart"/>
            <w:r w:rsidR="00A13E23" w:rsidRPr="00E07A59">
              <w:rPr>
                <w:i/>
                <w:iCs/>
                <w:sz w:val="28"/>
                <w:szCs w:val="28"/>
              </w:rPr>
              <w:t>Moneyval</w:t>
            </w:r>
            <w:proofErr w:type="spellEnd"/>
            <w:r w:rsidR="00A13E23" w:rsidRPr="00E07A59">
              <w:rPr>
                <w:sz w:val="28"/>
                <w:szCs w:val="28"/>
              </w:rPr>
              <w:t xml:space="preserve"> 5.kārtas novērtēšanas ziņojumā ietvertajām rekomendācijām.</w:t>
            </w:r>
          </w:p>
        </w:tc>
      </w:tr>
      <w:tr w:rsidR="00A13E23" w:rsidRPr="00E07A59" w14:paraId="3E76B563" w14:textId="77777777" w:rsidTr="00007E25">
        <w:tc>
          <w:tcPr>
            <w:tcW w:w="250" w:type="pct"/>
          </w:tcPr>
          <w:p w14:paraId="2676AE2F" w14:textId="1180F213" w:rsidR="00DE0F72" w:rsidRPr="00E07A59" w:rsidRDefault="00DE0F72" w:rsidP="00E07A59">
            <w:pPr>
              <w:jc w:val="center"/>
              <w:rPr>
                <w:sz w:val="28"/>
                <w:szCs w:val="28"/>
              </w:rPr>
            </w:pPr>
            <w:r w:rsidRPr="00E07A59">
              <w:rPr>
                <w:sz w:val="28"/>
                <w:szCs w:val="28"/>
              </w:rPr>
              <w:t>2.</w:t>
            </w:r>
          </w:p>
        </w:tc>
        <w:tc>
          <w:tcPr>
            <w:tcW w:w="1480" w:type="pct"/>
          </w:tcPr>
          <w:p w14:paraId="35C6E8F2" w14:textId="379A7957" w:rsidR="00DE0F72" w:rsidRPr="00E07A59" w:rsidRDefault="001F604B" w:rsidP="00E07A59">
            <w:pPr>
              <w:rPr>
                <w:sz w:val="28"/>
                <w:szCs w:val="28"/>
              </w:rPr>
            </w:pPr>
            <w:r w:rsidRPr="00E07A59">
              <w:rPr>
                <w:sz w:val="28"/>
                <w:szCs w:val="28"/>
              </w:rPr>
              <w:t>Pašreizējā situācija un problēmas, kuru risināšanai tiesību akta projekts izstrādāts, tiesiskā regulējuma mērķis un būtība</w:t>
            </w:r>
          </w:p>
        </w:tc>
        <w:tc>
          <w:tcPr>
            <w:tcW w:w="3270" w:type="pct"/>
          </w:tcPr>
          <w:p w14:paraId="41547951" w14:textId="5A6DCDDF" w:rsidR="007F2F6C" w:rsidRPr="00E07A59" w:rsidRDefault="003E10DE" w:rsidP="00341E07">
            <w:pPr>
              <w:ind w:firstLine="396"/>
              <w:jc w:val="both"/>
              <w:rPr>
                <w:sz w:val="28"/>
                <w:szCs w:val="28"/>
              </w:rPr>
            </w:pPr>
            <w:r w:rsidRPr="00E07A59">
              <w:rPr>
                <w:bCs/>
                <w:sz w:val="28"/>
                <w:szCs w:val="28"/>
              </w:rPr>
              <w:t xml:space="preserve">Noziedzīgi iegūtu līdzekļu legalizācijas un terorisma un </w:t>
            </w:r>
            <w:proofErr w:type="spellStart"/>
            <w:r w:rsidRPr="00E07A59">
              <w:rPr>
                <w:bCs/>
                <w:sz w:val="28"/>
                <w:szCs w:val="28"/>
              </w:rPr>
              <w:t>proliferācija</w:t>
            </w:r>
            <w:r w:rsidR="00A12533" w:rsidRPr="00E07A59">
              <w:rPr>
                <w:bCs/>
                <w:sz w:val="28"/>
                <w:szCs w:val="28"/>
              </w:rPr>
              <w:t>s</w:t>
            </w:r>
            <w:proofErr w:type="spellEnd"/>
            <w:r w:rsidR="00A12533" w:rsidRPr="00E07A59">
              <w:rPr>
                <w:bCs/>
                <w:sz w:val="28"/>
                <w:szCs w:val="28"/>
              </w:rPr>
              <w:t xml:space="preserve"> finansēšanas novēršanas likuma</w:t>
            </w:r>
            <w:r w:rsidR="00B55B46" w:rsidRPr="00E07A59">
              <w:rPr>
                <w:sz w:val="28"/>
                <w:szCs w:val="28"/>
              </w:rPr>
              <w:t xml:space="preserve"> </w:t>
            </w:r>
            <w:r w:rsidR="007F2F6C" w:rsidRPr="00E07A59">
              <w:rPr>
                <w:sz w:val="28"/>
                <w:szCs w:val="28"/>
              </w:rPr>
              <w:t>(turpmāk – NILLT</w:t>
            </w:r>
            <w:r w:rsidR="00A12533" w:rsidRPr="00E07A59">
              <w:rPr>
                <w:sz w:val="28"/>
                <w:szCs w:val="28"/>
              </w:rPr>
              <w:t>P</w:t>
            </w:r>
            <w:r w:rsidR="007F2F6C" w:rsidRPr="00E07A59">
              <w:rPr>
                <w:sz w:val="28"/>
                <w:szCs w:val="28"/>
              </w:rPr>
              <w:t>FN</w:t>
            </w:r>
            <w:r w:rsidR="005D4025" w:rsidRPr="00E07A59">
              <w:rPr>
                <w:sz w:val="28"/>
                <w:szCs w:val="28"/>
              </w:rPr>
              <w:t xml:space="preserve"> likums</w:t>
            </w:r>
            <w:r w:rsidR="007F2F6C" w:rsidRPr="00E07A59">
              <w:rPr>
                <w:sz w:val="28"/>
                <w:szCs w:val="28"/>
              </w:rPr>
              <w:t>) 3.panta pirmās daļas 8.punkts no</w:t>
            </w:r>
            <w:r w:rsidR="00505767" w:rsidRPr="00E07A59">
              <w:rPr>
                <w:sz w:val="28"/>
                <w:szCs w:val="28"/>
              </w:rPr>
              <w:t>saka</w:t>
            </w:r>
            <w:r w:rsidR="007F2F6C" w:rsidRPr="00E07A59">
              <w:rPr>
                <w:sz w:val="28"/>
                <w:szCs w:val="28"/>
              </w:rPr>
              <w:t>, ka personas, kas sniedz inkasācijas pakalpojumus ir šā likuma subjekti.</w:t>
            </w:r>
            <w:r w:rsidR="00341E07" w:rsidRPr="00E07A59">
              <w:rPr>
                <w:sz w:val="28"/>
                <w:szCs w:val="28"/>
              </w:rPr>
              <w:t xml:space="preserve"> </w:t>
            </w:r>
            <w:r w:rsidR="007F2F6C" w:rsidRPr="00E07A59">
              <w:rPr>
                <w:sz w:val="28"/>
                <w:szCs w:val="28"/>
              </w:rPr>
              <w:t>NILLT</w:t>
            </w:r>
            <w:r w:rsidR="004F7933" w:rsidRPr="00E07A59">
              <w:rPr>
                <w:sz w:val="28"/>
                <w:szCs w:val="28"/>
              </w:rPr>
              <w:t>P</w:t>
            </w:r>
            <w:r w:rsidR="007F2F6C" w:rsidRPr="00E07A59">
              <w:rPr>
                <w:sz w:val="28"/>
                <w:szCs w:val="28"/>
              </w:rPr>
              <w:t xml:space="preserve">FN </w:t>
            </w:r>
            <w:r w:rsidR="002407F4" w:rsidRPr="00E07A59">
              <w:rPr>
                <w:sz w:val="28"/>
                <w:szCs w:val="28"/>
              </w:rPr>
              <w:t xml:space="preserve">likuma </w:t>
            </w:r>
            <w:r w:rsidR="007F2F6C" w:rsidRPr="00E07A59">
              <w:rPr>
                <w:sz w:val="28"/>
                <w:szCs w:val="28"/>
              </w:rPr>
              <w:t>6.panta pirmā daļa no</w:t>
            </w:r>
            <w:r w:rsidR="00A6628B" w:rsidRPr="00E07A59">
              <w:rPr>
                <w:sz w:val="28"/>
                <w:szCs w:val="28"/>
              </w:rPr>
              <w:t>saka</w:t>
            </w:r>
            <w:r w:rsidR="007F2F6C" w:rsidRPr="00E07A59">
              <w:rPr>
                <w:sz w:val="28"/>
                <w:szCs w:val="28"/>
              </w:rPr>
              <w:t>, ka likuma subjekts atbilstoši savam darbības veidam veic un dokumentē noziedzīgi iegūtu līdzekļu legalizācijas un terorisma</w:t>
            </w:r>
            <w:r w:rsidR="00633385" w:rsidRPr="00E07A59">
              <w:rPr>
                <w:sz w:val="28"/>
                <w:szCs w:val="28"/>
              </w:rPr>
              <w:t xml:space="preserve"> un </w:t>
            </w:r>
            <w:proofErr w:type="spellStart"/>
            <w:r w:rsidR="00633385" w:rsidRPr="00E07A59">
              <w:rPr>
                <w:sz w:val="28"/>
                <w:szCs w:val="28"/>
              </w:rPr>
              <w:t>proliferācijas</w:t>
            </w:r>
            <w:proofErr w:type="spellEnd"/>
            <w:r w:rsidR="007F2F6C" w:rsidRPr="00E07A59">
              <w:rPr>
                <w:sz w:val="28"/>
                <w:szCs w:val="28"/>
              </w:rPr>
              <w:t xml:space="preserve"> finansēšanas risku novērtējumu, lai noskaidrotu, novērtētu, izprastu un pārvaldītu savai darbībai un klientiem piemītošos noziedzīgi iegūtu līdzekļu legalizācijas un terorisma </w:t>
            </w:r>
            <w:r w:rsidR="00116810" w:rsidRPr="00E07A59">
              <w:rPr>
                <w:sz w:val="28"/>
                <w:szCs w:val="28"/>
              </w:rPr>
              <w:t xml:space="preserve">un </w:t>
            </w:r>
            <w:proofErr w:type="spellStart"/>
            <w:r w:rsidR="00116810" w:rsidRPr="00E07A59">
              <w:rPr>
                <w:sz w:val="28"/>
                <w:szCs w:val="28"/>
              </w:rPr>
              <w:t>proliferācijas</w:t>
            </w:r>
            <w:proofErr w:type="spellEnd"/>
            <w:r w:rsidR="00116810" w:rsidRPr="00E07A59">
              <w:rPr>
                <w:sz w:val="28"/>
                <w:szCs w:val="28"/>
              </w:rPr>
              <w:t xml:space="preserve"> </w:t>
            </w:r>
            <w:r w:rsidR="007F2F6C" w:rsidRPr="00E07A59">
              <w:rPr>
                <w:sz w:val="28"/>
                <w:szCs w:val="28"/>
              </w:rPr>
              <w:t xml:space="preserve">finansēšanas riskus, un, pamatojoties uz šo novērtējumu, izveido noziedzīgi iegūtu līdzekļu legalizācijas un terorisma </w:t>
            </w:r>
            <w:r w:rsidR="00116810" w:rsidRPr="00E07A59">
              <w:rPr>
                <w:sz w:val="28"/>
                <w:szCs w:val="28"/>
              </w:rPr>
              <w:t xml:space="preserve">un </w:t>
            </w:r>
            <w:proofErr w:type="spellStart"/>
            <w:r w:rsidR="00116810" w:rsidRPr="00E07A59">
              <w:rPr>
                <w:sz w:val="28"/>
                <w:szCs w:val="28"/>
              </w:rPr>
              <w:t>proliferācijas</w:t>
            </w:r>
            <w:proofErr w:type="spellEnd"/>
            <w:r w:rsidR="00116810" w:rsidRPr="00E07A59">
              <w:rPr>
                <w:sz w:val="28"/>
                <w:szCs w:val="28"/>
              </w:rPr>
              <w:t xml:space="preserve"> </w:t>
            </w:r>
            <w:r w:rsidR="007F2F6C" w:rsidRPr="00E07A59">
              <w:rPr>
                <w:sz w:val="28"/>
                <w:szCs w:val="28"/>
              </w:rPr>
              <w:lastRenderedPageBreak/>
              <w:t xml:space="preserve">finansēšanas novēršanas iekšējās kontroles sistēmu, </w:t>
            </w:r>
            <w:bookmarkStart w:id="0" w:name="_GoBack"/>
            <w:bookmarkEnd w:id="0"/>
            <w:r w:rsidR="007F2F6C" w:rsidRPr="00E07A59">
              <w:rPr>
                <w:sz w:val="28"/>
                <w:szCs w:val="28"/>
              </w:rPr>
              <w:t xml:space="preserve">tai skaitā izstrādājot un dokumentējot attiecīgās politikas un procedūras, kuras apstiprina likuma subjekta valde, ja tā ir iecelta, vai likuma subjekta augstākā pārvaldes institūcija. </w:t>
            </w:r>
          </w:p>
          <w:p w14:paraId="1EF638A1" w14:textId="5E41EE3C" w:rsidR="00A65A24" w:rsidRPr="00E07A59" w:rsidRDefault="0048203F" w:rsidP="00A65A24">
            <w:pPr>
              <w:shd w:val="clear" w:color="auto" w:fill="FFFFFF"/>
              <w:ind w:firstLine="396"/>
              <w:jc w:val="both"/>
              <w:rPr>
                <w:sz w:val="28"/>
                <w:szCs w:val="28"/>
              </w:rPr>
            </w:pPr>
            <w:r w:rsidRPr="00E07A59">
              <w:rPr>
                <w:sz w:val="28"/>
                <w:szCs w:val="28"/>
              </w:rPr>
              <w:t xml:space="preserve">Projekta mērķis un būtība ir </w:t>
            </w:r>
            <w:r w:rsidR="00FA73CB" w:rsidRPr="00E07A59">
              <w:rPr>
                <w:sz w:val="28"/>
                <w:szCs w:val="28"/>
              </w:rPr>
              <w:t>uzlikt par pienākumu apsardzes komersantiem</w:t>
            </w:r>
            <w:r w:rsidR="00A65A24" w:rsidRPr="00E07A59">
              <w:rPr>
                <w:sz w:val="28"/>
                <w:szCs w:val="28"/>
              </w:rPr>
              <w:t xml:space="preserve">, kuri sniedz inkasācijas apsardzes pakalpojumus, </w:t>
            </w:r>
            <w:r w:rsidR="00FA73CB" w:rsidRPr="00E07A59">
              <w:rPr>
                <w:sz w:val="28"/>
                <w:szCs w:val="28"/>
              </w:rPr>
              <w:t xml:space="preserve">izveidot iekšējās kontroles sistēmu </w:t>
            </w:r>
            <w:r w:rsidRPr="00E07A59">
              <w:rPr>
                <w:sz w:val="28"/>
                <w:szCs w:val="28"/>
              </w:rPr>
              <w:t xml:space="preserve">ar mērķi </w:t>
            </w:r>
            <w:r w:rsidR="00A65A24" w:rsidRPr="00E07A59">
              <w:rPr>
                <w:sz w:val="28"/>
                <w:szCs w:val="28"/>
              </w:rPr>
              <w:t xml:space="preserve">samazināt un novērst noziedzīgi iegūtu līdzekļu legalizācijas un terorisma un </w:t>
            </w:r>
            <w:proofErr w:type="spellStart"/>
            <w:r w:rsidR="00A65A24" w:rsidRPr="00E07A59">
              <w:rPr>
                <w:sz w:val="28"/>
                <w:szCs w:val="28"/>
              </w:rPr>
              <w:t>proliferācijas</w:t>
            </w:r>
            <w:proofErr w:type="spellEnd"/>
            <w:r w:rsidR="00A65A24" w:rsidRPr="00E07A59">
              <w:rPr>
                <w:sz w:val="28"/>
                <w:szCs w:val="28"/>
              </w:rPr>
              <w:t xml:space="preserve"> finansēšanas gadījumu</w:t>
            </w:r>
            <w:r w:rsidR="00793BEB" w:rsidRPr="00E07A59">
              <w:rPr>
                <w:sz w:val="28"/>
                <w:szCs w:val="28"/>
              </w:rPr>
              <w:t>s.</w:t>
            </w:r>
          </w:p>
          <w:p w14:paraId="37C3CFD3" w14:textId="02F441EF" w:rsidR="00582C51" w:rsidRPr="00E07A59" w:rsidRDefault="007F2F6C" w:rsidP="00BB48C2">
            <w:pPr>
              <w:shd w:val="clear" w:color="auto" w:fill="FFFFFF"/>
              <w:ind w:firstLine="396"/>
              <w:jc w:val="both"/>
              <w:rPr>
                <w:sz w:val="28"/>
                <w:szCs w:val="28"/>
              </w:rPr>
            </w:pPr>
            <w:r w:rsidRPr="00E07A59">
              <w:rPr>
                <w:sz w:val="28"/>
                <w:szCs w:val="28"/>
              </w:rPr>
              <w:t xml:space="preserve">Lai nodrošinātu, ka apsardzes komersanti, kuri sniedz inkasācijas apsardzes pakalpojumus, kuru licencēšanu veic Valsts policija, izveido </w:t>
            </w:r>
            <w:r w:rsidR="00C03C88" w:rsidRPr="00E07A59">
              <w:rPr>
                <w:sz w:val="28"/>
                <w:szCs w:val="28"/>
              </w:rPr>
              <w:t xml:space="preserve">noziedzīgi iegūtu līdzekļu legalizācijas un terorisma un </w:t>
            </w:r>
            <w:proofErr w:type="spellStart"/>
            <w:r w:rsidR="00C03C88" w:rsidRPr="00E07A59">
              <w:rPr>
                <w:sz w:val="28"/>
                <w:szCs w:val="28"/>
              </w:rPr>
              <w:t>proliferācijas</w:t>
            </w:r>
            <w:proofErr w:type="spellEnd"/>
            <w:r w:rsidR="00C03C88" w:rsidRPr="00E07A59">
              <w:rPr>
                <w:sz w:val="28"/>
                <w:szCs w:val="28"/>
              </w:rPr>
              <w:t xml:space="preserve"> finansēšanas novēršanas iekšējās kontroles sistēmu</w:t>
            </w:r>
            <w:r w:rsidR="000F5A34" w:rsidRPr="00E07A59">
              <w:rPr>
                <w:sz w:val="28"/>
                <w:szCs w:val="28"/>
              </w:rPr>
              <w:t>, projekt</w:t>
            </w:r>
            <w:r w:rsidR="00056B3A" w:rsidRPr="00E07A59">
              <w:rPr>
                <w:sz w:val="28"/>
                <w:szCs w:val="28"/>
              </w:rPr>
              <w:t>a</w:t>
            </w:r>
            <w:r w:rsidR="000F5A34" w:rsidRPr="00E07A59">
              <w:rPr>
                <w:sz w:val="28"/>
                <w:szCs w:val="28"/>
              </w:rPr>
              <w:t xml:space="preserve"> </w:t>
            </w:r>
            <w:r w:rsidR="00B05201" w:rsidRPr="00E07A59">
              <w:rPr>
                <w:sz w:val="28"/>
                <w:szCs w:val="28"/>
              </w:rPr>
              <w:t xml:space="preserve">1.punkts paredz, </w:t>
            </w:r>
            <w:r w:rsidRPr="00E07A59">
              <w:rPr>
                <w:sz w:val="28"/>
                <w:szCs w:val="28"/>
              </w:rPr>
              <w:t xml:space="preserve">lai saņemtu speciālo atļauju (licenci) inkasācijas apsardzes pakalpojumu sniegšanai, komersantam </w:t>
            </w:r>
            <w:r w:rsidR="00582C51" w:rsidRPr="00E07A59">
              <w:rPr>
                <w:sz w:val="28"/>
                <w:szCs w:val="28"/>
              </w:rPr>
              <w:t>jā</w:t>
            </w:r>
            <w:r w:rsidRPr="00E07A59">
              <w:rPr>
                <w:sz w:val="28"/>
                <w:szCs w:val="28"/>
              </w:rPr>
              <w:t xml:space="preserve">izstrādā noziedzīgi iegūtu līdzekļu legalizācijas un terorisma </w:t>
            </w:r>
            <w:r w:rsidR="00F80FBE" w:rsidRPr="00E07A59">
              <w:rPr>
                <w:sz w:val="28"/>
                <w:szCs w:val="28"/>
              </w:rPr>
              <w:t xml:space="preserve">un </w:t>
            </w:r>
            <w:proofErr w:type="spellStart"/>
            <w:r w:rsidR="00F80FBE" w:rsidRPr="00E07A59">
              <w:rPr>
                <w:sz w:val="28"/>
                <w:szCs w:val="28"/>
              </w:rPr>
              <w:t>proliferācijas</w:t>
            </w:r>
            <w:proofErr w:type="spellEnd"/>
            <w:r w:rsidR="00F80FBE" w:rsidRPr="00E07A59">
              <w:rPr>
                <w:sz w:val="28"/>
                <w:szCs w:val="28"/>
              </w:rPr>
              <w:t xml:space="preserve"> </w:t>
            </w:r>
            <w:r w:rsidRPr="00E07A59">
              <w:rPr>
                <w:sz w:val="28"/>
                <w:szCs w:val="28"/>
              </w:rPr>
              <w:t>finansēšanas novēršanas iekšējās kontroles sistēm</w:t>
            </w:r>
            <w:r w:rsidR="008A78AC" w:rsidRPr="00E07A59">
              <w:rPr>
                <w:sz w:val="28"/>
                <w:szCs w:val="28"/>
              </w:rPr>
              <w:t>u</w:t>
            </w:r>
            <w:r w:rsidR="005D1C4E">
              <w:rPr>
                <w:sz w:val="28"/>
                <w:szCs w:val="28"/>
              </w:rPr>
              <w:t xml:space="preserve"> (IKS) </w:t>
            </w:r>
            <w:r w:rsidR="005D4025" w:rsidRPr="00E07A59">
              <w:rPr>
                <w:sz w:val="28"/>
                <w:szCs w:val="28"/>
              </w:rPr>
              <w:t xml:space="preserve">atbilstoši </w:t>
            </w:r>
            <w:r w:rsidRPr="00E07A59">
              <w:rPr>
                <w:sz w:val="28"/>
                <w:szCs w:val="28"/>
              </w:rPr>
              <w:t>NILLT</w:t>
            </w:r>
            <w:r w:rsidR="004F7933" w:rsidRPr="00E07A59">
              <w:rPr>
                <w:sz w:val="28"/>
                <w:szCs w:val="28"/>
              </w:rPr>
              <w:t>P</w:t>
            </w:r>
            <w:r w:rsidR="00F049BA" w:rsidRPr="00E07A59">
              <w:rPr>
                <w:sz w:val="28"/>
                <w:szCs w:val="28"/>
              </w:rPr>
              <w:t xml:space="preserve">FN </w:t>
            </w:r>
            <w:r w:rsidR="00582C51" w:rsidRPr="00E07A59">
              <w:rPr>
                <w:sz w:val="28"/>
                <w:szCs w:val="28"/>
              </w:rPr>
              <w:t>likuma prasībām.</w:t>
            </w:r>
          </w:p>
          <w:p w14:paraId="1860EC61" w14:textId="6CD8AF45" w:rsidR="007F2F6C" w:rsidRPr="00E07A59" w:rsidRDefault="007F2F6C" w:rsidP="00BB48C2">
            <w:pPr>
              <w:ind w:firstLine="396"/>
              <w:jc w:val="both"/>
              <w:rPr>
                <w:sz w:val="28"/>
                <w:szCs w:val="28"/>
              </w:rPr>
            </w:pPr>
            <w:r w:rsidRPr="00E07A59">
              <w:rPr>
                <w:sz w:val="28"/>
                <w:szCs w:val="28"/>
              </w:rPr>
              <w:t>Izmaiņas tiesiskajā regulējumā attieksies uz komersantiem, kas vēlas saņemt</w:t>
            </w:r>
            <w:r w:rsidR="009A6018" w:rsidRPr="00E07A59">
              <w:rPr>
                <w:sz w:val="28"/>
                <w:szCs w:val="28"/>
              </w:rPr>
              <w:t>,</w:t>
            </w:r>
            <w:r w:rsidRPr="00E07A59">
              <w:rPr>
                <w:sz w:val="28"/>
                <w:szCs w:val="28"/>
              </w:rPr>
              <w:t xml:space="preserve"> un, kas jau ir saņēmuši speciālo atļauju (licenci) inkasācijas apsardzes pakalpojumu sniegšanai. Attiecībā uz inkasācijas apsardzes pakalpojumu </w:t>
            </w:r>
            <w:r w:rsidR="002D5AFD" w:rsidRPr="00E07A59">
              <w:rPr>
                <w:sz w:val="28"/>
                <w:szCs w:val="28"/>
              </w:rPr>
              <w:t xml:space="preserve">sniedzējiem, kas šobrīd jau ir </w:t>
            </w:r>
            <w:r w:rsidRPr="00E07A59">
              <w:rPr>
                <w:sz w:val="28"/>
                <w:szCs w:val="28"/>
              </w:rPr>
              <w:t>saņēmuši speciālo atļauju (licenci) inkasācijas apsardzes pakalpojumu sniegšanai</w:t>
            </w:r>
            <w:r w:rsidR="00942328" w:rsidRPr="00E07A59">
              <w:rPr>
                <w:sz w:val="28"/>
                <w:szCs w:val="28"/>
              </w:rPr>
              <w:t>,</w:t>
            </w:r>
            <w:r w:rsidRPr="00E07A59">
              <w:rPr>
                <w:sz w:val="28"/>
                <w:szCs w:val="28"/>
              </w:rPr>
              <w:t xml:space="preserve"> līdz </w:t>
            </w:r>
            <w:r w:rsidR="00494CA8" w:rsidRPr="00E07A59">
              <w:rPr>
                <w:sz w:val="28"/>
                <w:szCs w:val="28"/>
              </w:rPr>
              <w:t>2020</w:t>
            </w:r>
            <w:r w:rsidRPr="00E07A59">
              <w:rPr>
                <w:sz w:val="28"/>
                <w:szCs w:val="28"/>
              </w:rPr>
              <w:t xml:space="preserve">.gada </w:t>
            </w:r>
            <w:r w:rsidR="00494CA8" w:rsidRPr="00E07A59">
              <w:rPr>
                <w:sz w:val="28"/>
                <w:szCs w:val="28"/>
              </w:rPr>
              <w:t>3</w:t>
            </w:r>
            <w:r w:rsidRPr="00E07A59">
              <w:rPr>
                <w:sz w:val="28"/>
                <w:szCs w:val="28"/>
              </w:rPr>
              <w:t>1.</w:t>
            </w:r>
            <w:r w:rsidR="00494CA8" w:rsidRPr="00E07A59">
              <w:rPr>
                <w:sz w:val="28"/>
                <w:szCs w:val="28"/>
              </w:rPr>
              <w:t>decembrim</w:t>
            </w:r>
            <w:r w:rsidRPr="00E07A59">
              <w:rPr>
                <w:sz w:val="28"/>
                <w:szCs w:val="28"/>
              </w:rPr>
              <w:t xml:space="preserve"> būs jāizstrādā iekšējās kontroles sistēma. </w:t>
            </w:r>
          </w:p>
          <w:p w14:paraId="5958F843" w14:textId="6E9F2C23" w:rsidR="007F2F6C" w:rsidRPr="00E07A59" w:rsidRDefault="007F2F6C" w:rsidP="00BB48C2">
            <w:pPr>
              <w:ind w:firstLine="396"/>
              <w:jc w:val="both"/>
              <w:rPr>
                <w:sz w:val="28"/>
                <w:szCs w:val="28"/>
              </w:rPr>
            </w:pPr>
            <w:r w:rsidRPr="00E07A59">
              <w:rPr>
                <w:sz w:val="28"/>
                <w:szCs w:val="28"/>
              </w:rPr>
              <w:t xml:space="preserve">Esošā tiesību normu sistēma ļaus nodrošināt atbilstošu kontroli no Valsts policijas puses. </w:t>
            </w:r>
            <w:r w:rsidR="00CF528A" w:rsidRPr="00E07A59">
              <w:rPr>
                <w:sz w:val="28"/>
                <w:szCs w:val="28"/>
              </w:rPr>
              <w:t xml:space="preserve">Atbilstoši </w:t>
            </w:r>
            <w:r w:rsidRPr="00E07A59">
              <w:rPr>
                <w:bCs/>
                <w:sz w:val="28"/>
                <w:szCs w:val="28"/>
              </w:rPr>
              <w:t xml:space="preserve">Ministru kabineta 2014.gada 9.decembra noteikumu Nr.757 “Apsardzes darbības licencēšanas noteikumi” </w:t>
            </w:r>
            <w:r w:rsidR="006E299B" w:rsidRPr="00E07A59">
              <w:rPr>
                <w:bCs/>
                <w:sz w:val="28"/>
                <w:szCs w:val="28"/>
              </w:rPr>
              <w:t xml:space="preserve">(turpmāk – noteikumi Nr.757) </w:t>
            </w:r>
            <w:r w:rsidRPr="00E07A59">
              <w:rPr>
                <w:bCs/>
                <w:sz w:val="28"/>
                <w:szCs w:val="28"/>
              </w:rPr>
              <w:t>25.2. un 40.punkt</w:t>
            </w:r>
            <w:r w:rsidR="00CF528A" w:rsidRPr="00E07A59">
              <w:rPr>
                <w:bCs/>
                <w:sz w:val="28"/>
                <w:szCs w:val="28"/>
              </w:rPr>
              <w:t xml:space="preserve">ā noteiktajām prasībām, </w:t>
            </w:r>
            <w:r w:rsidRPr="00E07A59">
              <w:rPr>
                <w:sz w:val="28"/>
                <w:szCs w:val="28"/>
              </w:rPr>
              <w:t>speciālo atļauju (licenci) inkasācijas apsardzes pakalpojumu sniegšanai</w:t>
            </w:r>
            <w:r w:rsidR="000D0C78" w:rsidRPr="00E07A59">
              <w:rPr>
                <w:bCs/>
                <w:sz w:val="28"/>
                <w:szCs w:val="28"/>
              </w:rPr>
              <w:t xml:space="preserve"> nevarēs izsniegt</w:t>
            </w:r>
            <w:r w:rsidRPr="00E07A59">
              <w:rPr>
                <w:sz w:val="28"/>
                <w:szCs w:val="28"/>
              </w:rPr>
              <w:t>, ja nebūs izveidota iekšējās kontroles sistēma</w:t>
            </w:r>
            <w:r w:rsidR="007D7A23" w:rsidRPr="00E07A59">
              <w:rPr>
                <w:sz w:val="28"/>
                <w:szCs w:val="28"/>
              </w:rPr>
              <w:t>,</w:t>
            </w:r>
            <w:r w:rsidRPr="00E07A59">
              <w:rPr>
                <w:sz w:val="28"/>
                <w:szCs w:val="28"/>
              </w:rPr>
              <w:t xml:space="preserve"> </w:t>
            </w:r>
            <w:r w:rsidR="006832B2" w:rsidRPr="00E07A59">
              <w:rPr>
                <w:sz w:val="28"/>
                <w:szCs w:val="28"/>
              </w:rPr>
              <w:t>kuru ir</w:t>
            </w:r>
            <w:r w:rsidRPr="00E07A59">
              <w:rPr>
                <w:sz w:val="28"/>
                <w:szCs w:val="28"/>
              </w:rPr>
              <w:t xml:space="preserve"> pienākum</w:t>
            </w:r>
            <w:r w:rsidR="006832B2" w:rsidRPr="00E07A59">
              <w:rPr>
                <w:sz w:val="28"/>
                <w:szCs w:val="28"/>
              </w:rPr>
              <w:t>s</w:t>
            </w:r>
            <w:r w:rsidRPr="00E07A59">
              <w:rPr>
                <w:sz w:val="28"/>
                <w:szCs w:val="28"/>
              </w:rPr>
              <w:t xml:space="preserve"> uzturēt, lai speciālā atļauja (licence) netiktu anulēta.</w:t>
            </w:r>
          </w:p>
          <w:p w14:paraId="43FC6681" w14:textId="723F056A" w:rsidR="007F2F6C" w:rsidRPr="00E07A59" w:rsidRDefault="007F2F6C" w:rsidP="009D1D9F">
            <w:pPr>
              <w:ind w:firstLine="396"/>
              <w:jc w:val="both"/>
              <w:rPr>
                <w:sz w:val="28"/>
                <w:szCs w:val="28"/>
              </w:rPr>
            </w:pPr>
            <w:r w:rsidRPr="00E07A59">
              <w:rPr>
                <w:sz w:val="28"/>
                <w:szCs w:val="28"/>
              </w:rPr>
              <w:t xml:space="preserve">Apsardzes darbības likuma 9.panta pirmās daļas </w:t>
            </w:r>
            <w:r w:rsidRPr="00E07A59">
              <w:rPr>
                <w:sz w:val="28"/>
                <w:szCs w:val="28"/>
              </w:rPr>
              <w:lastRenderedPageBreak/>
              <w:t>2. un 4.punkts nosaka, ka speciālo atļauju (licenci) anulē, ja apsardzes komersants pārkāpj vai nepilda minētā likuma</w:t>
            </w:r>
            <w:r w:rsidR="00052BAB" w:rsidRPr="00E07A59">
              <w:rPr>
                <w:sz w:val="28"/>
                <w:szCs w:val="28"/>
              </w:rPr>
              <w:t xml:space="preserve"> </w:t>
            </w:r>
            <w:r w:rsidRPr="00E07A59">
              <w:rPr>
                <w:sz w:val="28"/>
                <w:szCs w:val="28"/>
              </w:rPr>
              <w:t>vai citu normatīvo aktu prasības</w:t>
            </w:r>
            <w:r w:rsidR="00052BAB" w:rsidRPr="00E07A59">
              <w:rPr>
                <w:sz w:val="28"/>
                <w:szCs w:val="28"/>
              </w:rPr>
              <w:t xml:space="preserve">, </w:t>
            </w:r>
            <w:r w:rsidRPr="00E07A59">
              <w:rPr>
                <w:sz w:val="28"/>
                <w:szCs w:val="28"/>
              </w:rPr>
              <w:t>un</w:t>
            </w:r>
            <w:r w:rsidR="00D94F4B" w:rsidRPr="00E07A59">
              <w:rPr>
                <w:sz w:val="28"/>
                <w:szCs w:val="28"/>
              </w:rPr>
              <w:t>,</w:t>
            </w:r>
            <w:r w:rsidRPr="00E07A59">
              <w:rPr>
                <w:sz w:val="28"/>
                <w:szCs w:val="28"/>
              </w:rPr>
              <w:t xml:space="preserve"> ja to nosaka cits likums vai tiesas nolēmums.</w:t>
            </w:r>
            <w:r w:rsidR="009D1D9F" w:rsidRPr="00E07A59">
              <w:rPr>
                <w:sz w:val="28"/>
                <w:szCs w:val="28"/>
              </w:rPr>
              <w:t xml:space="preserve"> </w:t>
            </w:r>
            <w:r w:rsidR="00D22E43" w:rsidRPr="00E07A59">
              <w:rPr>
                <w:sz w:val="28"/>
                <w:szCs w:val="28"/>
              </w:rPr>
              <w:t xml:space="preserve">Noteikumu Nr.757 </w:t>
            </w:r>
            <w:r w:rsidRPr="00E07A59">
              <w:rPr>
                <w:sz w:val="28"/>
                <w:szCs w:val="28"/>
              </w:rPr>
              <w:t>51.punktā noteikts, ka speciālo atļauju (licenci) apsardzes komersantam anulē Apsardzes darbības likumā noteiktajos gadījumos. Licencēšanas komisija pieņem lēmumu par speciālās atļaujas (licences) anulēšanu un izdara attiecīgu ierakstu licencēšanas komisijas sēdes protokolā.</w:t>
            </w:r>
          </w:p>
          <w:p w14:paraId="04CE0FF3" w14:textId="3D0A282D" w:rsidR="007F2F6C" w:rsidRPr="00E07A59" w:rsidRDefault="007F2F6C" w:rsidP="004B4A77">
            <w:pPr>
              <w:ind w:firstLine="396"/>
              <w:jc w:val="both"/>
              <w:rPr>
                <w:sz w:val="28"/>
                <w:szCs w:val="28"/>
              </w:rPr>
            </w:pPr>
            <w:r w:rsidRPr="00E07A59">
              <w:rPr>
                <w:sz w:val="28"/>
                <w:szCs w:val="28"/>
              </w:rPr>
              <w:t>Atbilstoši NILLT</w:t>
            </w:r>
            <w:r w:rsidR="00CB596C" w:rsidRPr="00E07A59">
              <w:rPr>
                <w:sz w:val="28"/>
                <w:szCs w:val="28"/>
              </w:rPr>
              <w:t>P</w:t>
            </w:r>
            <w:r w:rsidRPr="00E07A59">
              <w:rPr>
                <w:sz w:val="28"/>
                <w:szCs w:val="28"/>
              </w:rPr>
              <w:t>FN likuma 77.panta pirmajai daļai V</w:t>
            </w:r>
            <w:r w:rsidR="00D93A3F" w:rsidRPr="00E07A59">
              <w:rPr>
                <w:sz w:val="28"/>
                <w:szCs w:val="28"/>
              </w:rPr>
              <w:t>alsts ieņēmumu dienests</w:t>
            </w:r>
            <w:r w:rsidRPr="00E07A59">
              <w:rPr>
                <w:sz w:val="28"/>
                <w:szCs w:val="28"/>
              </w:rPr>
              <w:t xml:space="preserve"> kā uzraudzības un kontroles institūcija piemēro NILLT</w:t>
            </w:r>
            <w:r w:rsidR="00CB596C" w:rsidRPr="00E07A59">
              <w:rPr>
                <w:sz w:val="28"/>
                <w:szCs w:val="28"/>
              </w:rPr>
              <w:t>P</w:t>
            </w:r>
            <w:r w:rsidRPr="00E07A59">
              <w:rPr>
                <w:sz w:val="28"/>
                <w:szCs w:val="28"/>
              </w:rPr>
              <w:t>FN likuma 78.panta pirmajā daļā paredzētas sankcijas, tai skaitā apturēt vai anulēt licenci (sertifikātu), ja tiek konstatēti normatīvo aktu pārkāpumi noziedzīgi iegūtu līdzekļu legalizācijas un terorisma</w:t>
            </w:r>
            <w:r w:rsidR="009301E8" w:rsidRPr="00E07A59">
              <w:rPr>
                <w:sz w:val="28"/>
                <w:szCs w:val="28"/>
              </w:rPr>
              <w:t xml:space="preserve"> un </w:t>
            </w:r>
            <w:proofErr w:type="spellStart"/>
            <w:r w:rsidR="009301E8" w:rsidRPr="00E07A59">
              <w:rPr>
                <w:sz w:val="28"/>
                <w:szCs w:val="28"/>
              </w:rPr>
              <w:t>proliferācijas</w:t>
            </w:r>
            <w:proofErr w:type="spellEnd"/>
            <w:r w:rsidRPr="00E07A59">
              <w:rPr>
                <w:sz w:val="28"/>
                <w:szCs w:val="28"/>
              </w:rPr>
              <w:t xml:space="preserve"> finansēšanas novēršanas jomā.</w:t>
            </w:r>
          </w:p>
          <w:p w14:paraId="2F22580E" w14:textId="77777777" w:rsidR="009F022C" w:rsidRPr="00E07A59" w:rsidRDefault="009F022C" w:rsidP="009F022C">
            <w:pPr>
              <w:ind w:firstLine="396"/>
              <w:jc w:val="both"/>
              <w:rPr>
                <w:sz w:val="28"/>
                <w:szCs w:val="28"/>
              </w:rPr>
            </w:pPr>
            <w:r w:rsidRPr="00E07A59">
              <w:rPr>
                <w:sz w:val="28"/>
                <w:szCs w:val="28"/>
              </w:rPr>
              <w:t xml:space="preserve">Projekts papildina tiesisko regulējumu ar kārtību, kādā izpildāms Valsts ieņēmumu dienesta vai citas valsts pārvaldes iestādes lēmums par NILLTPFN likuma 78.panta pirmās daļas 4.punktā paredzētās sankcijas </w:t>
            </w:r>
            <w:r w:rsidRPr="00E07A59">
              <w:rPr>
                <w:sz w:val="28"/>
                <w:szCs w:val="28"/>
                <w:shd w:val="clear" w:color="auto" w:fill="FFFFFF"/>
              </w:rPr>
              <w:t>apturēt vai anulēt licenci</w:t>
            </w:r>
            <w:r w:rsidRPr="00E07A59">
              <w:rPr>
                <w:sz w:val="28"/>
                <w:szCs w:val="28"/>
              </w:rPr>
              <w:t xml:space="preserve"> piemērošanu. </w:t>
            </w:r>
          </w:p>
          <w:p w14:paraId="5398E382" w14:textId="367A2FB3" w:rsidR="009F022C" w:rsidRPr="00E07A59" w:rsidRDefault="009F022C" w:rsidP="009F022C">
            <w:pPr>
              <w:ind w:firstLine="396"/>
              <w:jc w:val="both"/>
              <w:rPr>
                <w:sz w:val="28"/>
                <w:szCs w:val="28"/>
              </w:rPr>
            </w:pPr>
            <w:r w:rsidRPr="00E07A59">
              <w:rPr>
                <w:sz w:val="28"/>
                <w:szCs w:val="28"/>
              </w:rPr>
              <w:t>Gadījumos, kad Valsts ieņēmumu dienests vai cita valsts pārvaldes iestāde ir pieņēmusi lēmumu par speciālās atļaujas (licences) anulēšanu, pamatojoties uz NILLTPFN likuma 78.panta pirmās daļas 4.punktu</w:t>
            </w:r>
            <w:r w:rsidR="005C1E24" w:rsidRPr="00E07A59">
              <w:rPr>
                <w:sz w:val="28"/>
                <w:szCs w:val="28"/>
              </w:rPr>
              <w:t>,</w:t>
            </w:r>
            <w:r w:rsidRPr="00E07A59">
              <w:rPr>
                <w:sz w:val="28"/>
                <w:szCs w:val="28"/>
              </w:rPr>
              <w:t xml:space="preserve"> Valsts policija</w:t>
            </w:r>
            <w:r w:rsidR="003F7AED" w:rsidRPr="00E07A59">
              <w:rPr>
                <w:sz w:val="28"/>
                <w:szCs w:val="28"/>
              </w:rPr>
              <w:t>s</w:t>
            </w:r>
            <w:r w:rsidRPr="00E07A59">
              <w:rPr>
                <w:sz w:val="28"/>
                <w:szCs w:val="28"/>
              </w:rPr>
              <w:t xml:space="preserve"> licencēšanas komisija anulē speciālo atļauju (licenci), nepieņemot atsevišķu (atkārtotu) lēmumu par speciālās atļaujas (licences) anulēšanu.   </w:t>
            </w:r>
          </w:p>
          <w:p w14:paraId="116DDAFC" w14:textId="71AD4675" w:rsidR="000D26DC" w:rsidRPr="00E07A59" w:rsidRDefault="009F022C" w:rsidP="00C50F78">
            <w:pPr>
              <w:ind w:firstLine="396"/>
              <w:jc w:val="both"/>
              <w:rPr>
                <w:sz w:val="28"/>
                <w:szCs w:val="28"/>
              </w:rPr>
            </w:pPr>
            <w:r w:rsidRPr="00E07A59">
              <w:rPr>
                <w:sz w:val="28"/>
                <w:szCs w:val="28"/>
              </w:rPr>
              <w:t>Gadījumos, kad Valsts ieņēmumu dienests vai cita valsts pārvaldes iestāde ir pieņēmusi lēmumu par speciālas atļaujas (licences) apturēšanu</w:t>
            </w:r>
            <w:r w:rsidR="00242ACD" w:rsidRPr="00E07A59">
              <w:rPr>
                <w:sz w:val="28"/>
                <w:szCs w:val="28"/>
              </w:rPr>
              <w:t>,</w:t>
            </w:r>
            <w:r w:rsidRPr="00E07A59">
              <w:rPr>
                <w:sz w:val="28"/>
                <w:szCs w:val="28"/>
              </w:rPr>
              <w:t xml:space="preserve"> pamatojoties uz NILLTPFN likuma 78.panta pirmās daļas 4.punktu, ņemot vērā to, ka Apsardzes darbības likums neparedz speciālas atļaujas (licences) apturēšanu, Valsts policija</w:t>
            </w:r>
            <w:r w:rsidR="00242ACD" w:rsidRPr="00E07A59">
              <w:rPr>
                <w:sz w:val="28"/>
                <w:szCs w:val="28"/>
              </w:rPr>
              <w:t>s</w:t>
            </w:r>
            <w:r w:rsidRPr="00E07A59">
              <w:rPr>
                <w:sz w:val="28"/>
                <w:szCs w:val="28"/>
              </w:rPr>
              <w:t xml:space="preserve"> licencēšanas komisija speciālo atļauju (licenci) anulē, pamatojoties uz Apsardzes darbības likuma 9.panta pirmās daļas </w:t>
            </w:r>
            <w:r w:rsidR="009E7221" w:rsidRPr="00E07A59">
              <w:rPr>
                <w:sz w:val="28"/>
                <w:szCs w:val="28"/>
              </w:rPr>
              <w:t>2</w:t>
            </w:r>
            <w:r w:rsidRPr="00E07A59">
              <w:rPr>
                <w:sz w:val="28"/>
                <w:szCs w:val="28"/>
              </w:rPr>
              <w:t xml:space="preserve">.punktu, pieņemot lēmumu par speciālās atļaujas (licences) anulēšanu, sakarā ar to, </w:t>
            </w:r>
            <w:r w:rsidRPr="00E07A59">
              <w:rPr>
                <w:sz w:val="28"/>
                <w:szCs w:val="28"/>
              </w:rPr>
              <w:lastRenderedPageBreak/>
              <w:t xml:space="preserve">ka apsardzes komersants </w:t>
            </w:r>
            <w:r w:rsidR="00533033" w:rsidRPr="00E07A59">
              <w:rPr>
                <w:sz w:val="28"/>
                <w:szCs w:val="28"/>
              </w:rPr>
              <w:t>pārkāpj vai nepilda minētā likuma vai citu normatīvo aktu prasības.</w:t>
            </w:r>
          </w:p>
        </w:tc>
      </w:tr>
      <w:tr w:rsidR="00A13E23" w:rsidRPr="00E07A59" w14:paraId="18205378" w14:textId="77777777" w:rsidTr="00007E25">
        <w:tc>
          <w:tcPr>
            <w:tcW w:w="250" w:type="pct"/>
            <w:hideMark/>
          </w:tcPr>
          <w:p w14:paraId="2EC3DF91" w14:textId="77777777" w:rsidR="00DE0F72" w:rsidRPr="00E07A59" w:rsidRDefault="00DE0F72" w:rsidP="00DE0F72">
            <w:pPr>
              <w:jc w:val="center"/>
              <w:rPr>
                <w:sz w:val="28"/>
                <w:szCs w:val="28"/>
              </w:rPr>
            </w:pPr>
            <w:r w:rsidRPr="00E07A59">
              <w:rPr>
                <w:sz w:val="28"/>
                <w:szCs w:val="28"/>
              </w:rPr>
              <w:lastRenderedPageBreak/>
              <w:t>3.</w:t>
            </w:r>
          </w:p>
        </w:tc>
        <w:tc>
          <w:tcPr>
            <w:tcW w:w="1480" w:type="pct"/>
            <w:hideMark/>
          </w:tcPr>
          <w:p w14:paraId="2B6490B3" w14:textId="452CC707" w:rsidR="00DE0F72" w:rsidRPr="00E07A59" w:rsidRDefault="00D20D97" w:rsidP="00DE0F72">
            <w:pPr>
              <w:rPr>
                <w:sz w:val="28"/>
                <w:szCs w:val="28"/>
              </w:rPr>
            </w:pPr>
            <w:r w:rsidRPr="00E07A59">
              <w:rPr>
                <w:sz w:val="28"/>
                <w:szCs w:val="28"/>
              </w:rPr>
              <w:t>Projekta izstrādē iesaistītās institūcijas un publiskas personas kapitālsabiedrības</w:t>
            </w:r>
          </w:p>
        </w:tc>
        <w:tc>
          <w:tcPr>
            <w:tcW w:w="3270" w:type="pct"/>
            <w:hideMark/>
          </w:tcPr>
          <w:p w14:paraId="4C0FE065" w14:textId="2C19DCE6" w:rsidR="00DE0F72" w:rsidRPr="00E07A59" w:rsidRDefault="007F2F6C" w:rsidP="00DE0F72">
            <w:pPr>
              <w:rPr>
                <w:sz w:val="28"/>
                <w:szCs w:val="28"/>
              </w:rPr>
            </w:pPr>
            <w:r w:rsidRPr="00E07A59">
              <w:rPr>
                <w:sz w:val="28"/>
                <w:szCs w:val="28"/>
              </w:rPr>
              <w:t xml:space="preserve">Valsts policija, </w:t>
            </w:r>
            <w:proofErr w:type="spellStart"/>
            <w:r w:rsidRPr="00E07A59">
              <w:rPr>
                <w:sz w:val="28"/>
                <w:szCs w:val="28"/>
              </w:rPr>
              <w:t>Iekšlietu</w:t>
            </w:r>
            <w:proofErr w:type="spellEnd"/>
            <w:r w:rsidRPr="00E07A59">
              <w:rPr>
                <w:sz w:val="28"/>
                <w:szCs w:val="28"/>
              </w:rPr>
              <w:t xml:space="preserve"> ministrija.</w:t>
            </w:r>
          </w:p>
        </w:tc>
      </w:tr>
      <w:tr w:rsidR="0023019D" w:rsidRPr="00E07A59" w14:paraId="4AF4C615" w14:textId="77777777" w:rsidTr="00007E25">
        <w:tc>
          <w:tcPr>
            <w:tcW w:w="250" w:type="pct"/>
            <w:hideMark/>
          </w:tcPr>
          <w:p w14:paraId="2B2ECEBA" w14:textId="77777777" w:rsidR="00DE0F72" w:rsidRPr="00E07A59" w:rsidRDefault="00DE0F72" w:rsidP="00DE0F72">
            <w:pPr>
              <w:jc w:val="center"/>
              <w:rPr>
                <w:sz w:val="28"/>
                <w:szCs w:val="28"/>
              </w:rPr>
            </w:pPr>
            <w:r w:rsidRPr="00E07A59">
              <w:rPr>
                <w:sz w:val="28"/>
                <w:szCs w:val="28"/>
              </w:rPr>
              <w:t>4.</w:t>
            </w:r>
          </w:p>
        </w:tc>
        <w:tc>
          <w:tcPr>
            <w:tcW w:w="1480" w:type="pct"/>
            <w:hideMark/>
          </w:tcPr>
          <w:p w14:paraId="3DBD8EE3" w14:textId="77777777" w:rsidR="00DE0F72" w:rsidRPr="00E07A59" w:rsidRDefault="00DE0F72" w:rsidP="00DE0F72">
            <w:pPr>
              <w:rPr>
                <w:sz w:val="28"/>
                <w:szCs w:val="28"/>
              </w:rPr>
            </w:pPr>
            <w:r w:rsidRPr="00E07A59">
              <w:rPr>
                <w:sz w:val="28"/>
                <w:szCs w:val="28"/>
              </w:rPr>
              <w:t>Cita informācija</w:t>
            </w:r>
          </w:p>
        </w:tc>
        <w:tc>
          <w:tcPr>
            <w:tcW w:w="3270" w:type="pct"/>
            <w:hideMark/>
          </w:tcPr>
          <w:p w14:paraId="2C1F61B9" w14:textId="77777777" w:rsidR="00DE0F72" w:rsidRPr="00E07A59" w:rsidRDefault="00DE0F72" w:rsidP="00DE0F72">
            <w:pPr>
              <w:rPr>
                <w:sz w:val="28"/>
                <w:szCs w:val="28"/>
              </w:rPr>
            </w:pPr>
            <w:r w:rsidRPr="00E07A59">
              <w:rPr>
                <w:sz w:val="28"/>
                <w:szCs w:val="28"/>
              </w:rPr>
              <w:t>Nav.</w:t>
            </w:r>
          </w:p>
        </w:tc>
      </w:tr>
    </w:tbl>
    <w:p w14:paraId="2B5FDF3C" w14:textId="77777777" w:rsidR="00BD5588" w:rsidRPr="00E07A59" w:rsidRDefault="00BD5588" w:rsidP="00746E8A">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A13E23" w:rsidRPr="00E07A59" w14:paraId="62BD00DD" w14:textId="77777777" w:rsidTr="000F7C3F">
        <w:tc>
          <w:tcPr>
            <w:tcW w:w="5000" w:type="pct"/>
            <w:gridSpan w:val="3"/>
            <w:vAlign w:val="center"/>
            <w:hideMark/>
          </w:tcPr>
          <w:p w14:paraId="0FB3BF8A" w14:textId="77777777" w:rsidR="008E33C3" w:rsidRPr="00E07A59" w:rsidRDefault="008E33C3" w:rsidP="009E0502">
            <w:pPr>
              <w:jc w:val="center"/>
              <w:rPr>
                <w:b/>
                <w:sz w:val="28"/>
                <w:szCs w:val="28"/>
              </w:rPr>
            </w:pPr>
            <w:r w:rsidRPr="00E07A59">
              <w:rPr>
                <w:b/>
                <w:sz w:val="28"/>
                <w:szCs w:val="28"/>
              </w:rPr>
              <w:t xml:space="preserve">II. Tiesību akta projekta ietekme uz sabiedrību, </w:t>
            </w:r>
          </w:p>
          <w:p w14:paraId="1803BED7" w14:textId="7DC7DD8E" w:rsidR="008E33C3" w:rsidRPr="00E07A59" w:rsidRDefault="008E33C3" w:rsidP="009E0502">
            <w:pPr>
              <w:jc w:val="center"/>
              <w:rPr>
                <w:b/>
                <w:bCs/>
                <w:sz w:val="28"/>
                <w:szCs w:val="28"/>
              </w:rPr>
            </w:pPr>
            <w:r w:rsidRPr="00E07A59">
              <w:rPr>
                <w:b/>
                <w:sz w:val="28"/>
                <w:szCs w:val="28"/>
              </w:rPr>
              <w:t>tautsaimniecības attīstību un administratīvo slogu</w:t>
            </w:r>
          </w:p>
        </w:tc>
      </w:tr>
      <w:tr w:rsidR="00A13E23" w:rsidRPr="00E07A59" w14:paraId="7F141B9D" w14:textId="77777777" w:rsidTr="00712749">
        <w:tc>
          <w:tcPr>
            <w:tcW w:w="311" w:type="pct"/>
            <w:hideMark/>
          </w:tcPr>
          <w:p w14:paraId="07D7186C" w14:textId="77777777" w:rsidR="00AB28E9" w:rsidRPr="00E07A59" w:rsidRDefault="00AB28E9" w:rsidP="00AB28E9">
            <w:pPr>
              <w:jc w:val="center"/>
              <w:rPr>
                <w:sz w:val="28"/>
                <w:szCs w:val="28"/>
              </w:rPr>
            </w:pPr>
            <w:r w:rsidRPr="00E07A59">
              <w:rPr>
                <w:sz w:val="28"/>
                <w:szCs w:val="28"/>
              </w:rPr>
              <w:t>1.</w:t>
            </w:r>
          </w:p>
        </w:tc>
        <w:tc>
          <w:tcPr>
            <w:tcW w:w="1479" w:type="pct"/>
            <w:hideMark/>
          </w:tcPr>
          <w:p w14:paraId="61D09D8E" w14:textId="277C91CA" w:rsidR="00AB28E9" w:rsidRPr="00E07A59" w:rsidRDefault="002A62F1" w:rsidP="00AB28E9">
            <w:pPr>
              <w:rPr>
                <w:sz w:val="28"/>
                <w:szCs w:val="28"/>
              </w:rPr>
            </w:pPr>
            <w:r w:rsidRPr="00E07A59">
              <w:rPr>
                <w:sz w:val="28"/>
                <w:szCs w:val="28"/>
              </w:rPr>
              <w:t xml:space="preserve">Sabiedrības </w:t>
            </w:r>
            <w:proofErr w:type="spellStart"/>
            <w:r w:rsidRPr="00E07A59">
              <w:rPr>
                <w:sz w:val="28"/>
                <w:szCs w:val="28"/>
              </w:rPr>
              <w:t>mērķgrupas</w:t>
            </w:r>
            <w:proofErr w:type="spellEnd"/>
            <w:r w:rsidRPr="00E07A59">
              <w:rPr>
                <w:sz w:val="28"/>
                <w:szCs w:val="28"/>
              </w:rPr>
              <w:t>, kuras tiesiskais regulējums ietekmē vai varētu ietekmēt</w:t>
            </w:r>
          </w:p>
        </w:tc>
        <w:tc>
          <w:tcPr>
            <w:tcW w:w="3210" w:type="pct"/>
          </w:tcPr>
          <w:p w14:paraId="1B3944E1" w14:textId="6395E077" w:rsidR="00AB28E9" w:rsidRPr="00E07A59" w:rsidRDefault="007F2F6C" w:rsidP="002846D8">
            <w:pPr>
              <w:jc w:val="both"/>
              <w:rPr>
                <w:sz w:val="28"/>
                <w:szCs w:val="28"/>
              </w:rPr>
            </w:pPr>
            <w:r w:rsidRPr="00E07A59">
              <w:rPr>
                <w:sz w:val="28"/>
                <w:szCs w:val="28"/>
              </w:rPr>
              <w:t xml:space="preserve">Sabiedrības </w:t>
            </w:r>
            <w:proofErr w:type="spellStart"/>
            <w:r w:rsidRPr="00E07A59">
              <w:rPr>
                <w:sz w:val="28"/>
                <w:szCs w:val="28"/>
              </w:rPr>
              <w:t>mērķgrupa</w:t>
            </w:r>
            <w:proofErr w:type="spellEnd"/>
            <w:r w:rsidRPr="00E07A59">
              <w:rPr>
                <w:sz w:val="28"/>
                <w:szCs w:val="28"/>
              </w:rPr>
              <w:t xml:space="preserve"> ir </w:t>
            </w:r>
            <w:r w:rsidRPr="00E07A59">
              <w:rPr>
                <w:bCs/>
                <w:sz w:val="28"/>
                <w:szCs w:val="28"/>
              </w:rPr>
              <w:t>j</w:t>
            </w:r>
            <w:r w:rsidRPr="00E07A59">
              <w:rPr>
                <w:sz w:val="28"/>
                <w:szCs w:val="28"/>
              </w:rPr>
              <w:t xml:space="preserve">uridiskās personas, kas saņēmušas vai saņems speciālo atļauju (licenci) inkasācijas apsardzes pakalpojumu sniegšanai. Šobrīd Valsts policija ir izsniegusi </w:t>
            </w:r>
            <w:r w:rsidR="00BC47CE" w:rsidRPr="00E07A59">
              <w:rPr>
                <w:sz w:val="28"/>
                <w:szCs w:val="28"/>
              </w:rPr>
              <w:t>4</w:t>
            </w:r>
            <w:r w:rsidRPr="00E07A59">
              <w:rPr>
                <w:sz w:val="28"/>
                <w:szCs w:val="28"/>
              </w:rPr>
              <w:t xml:space="preserve"> speciālās atļaujas (licences) inkasācijas apsardzes pakalpojumu sniegšanai.</w:t>
            </w:r>
          </w:p>
        </w:tc>
      </w:tr>
      <w:tr w:rsidR="00A13E23" w:rsidRPr="00E07A59" w14:paraId="41155DAC" w14:textId="77777777" w:rsidTr="00712749">
        <w:tc>
          <w:tcPr>
            <w:tcW w:w="311" w:type="pct"/>
            <w:hideMark/>
          </w:tcPr>
          <w:p w14:paraId="417458DC" w14:textId="77777777" w:rsidR="00AB28E9" w:rsidRPr="00E07A59" w:rsidRDefault="00AB28E9" w:rsidP="00AB28E9">
            <w:pPr>
              <w:jc w:val="center"/>
              <w:rPr>
                <w:sz w:val="28"/>
                <w:szCs w:val="28"/>
              </w:rPr>
            </w:pPr>
            <w:r w:rsidRPr="00E07A59">
              <w:rPr>
                <w:sz w:val="28"/>
                <w:szCs w:val="28"/>
              </w:rPr>
              <w:t>2.</w:t>
            </w:r>
          </w:p>
        </w:tc>
        <w:tc>
          <w:tcPr>
            <w:tcW w:w="1479" w:type="pct"/>
            <w:hideMark/>
          </w:tcPr>
          <w:p w14:paraId="2781CF75" w14:textId="62914080" w:rsidR="00AB28E9" w:rsidRPr="00E07A59" w:rsidRDefault="00712749" w:rsidP="00AB28E9">
            <w:pPr>
              <w:rPr>
                <w:sz w:val="28"/>
                <w:szCs w:val="28"/>
              </w:rPr>
            </w:pPr>
            <w:r w:rsidRPr="00E07A59">
              <w:rPr>
                <w:sz w:val="28"/>
                <w:szCs w:val="28"/>
              </w:rPr>
              <w:t>Tiesiskā regulējuma ietekme uz tautsaimniecību un administratīvo slogu</w:t>
            </w:r>
          </w:p>
        </w:tc>
        <w:tc>
          <w:tcPr>
            <w:tcW w:w="3210" w:type="pct"/>
          </w:tcPr>
          <w:p w14:paraId="47FD5B5E" w14:textId="77777777" w:rsidR="00F976D5" w:rsidRPr="00E07A59" w:rsidRDefault="00B03CA3" w:rsidP="00C45A0C">
            <w:pPr>
              <w:jc w:val="both"/>
              <w:rPr>
                <w:sz w:val="28"/>
                <w:szCs w:val="28"/>
              </w:rPr>
            </w:pPr>
            <w:r w:rsidRPr="00E07A59">
              <w:rPr>
                <w:sz w:val="28"/>
                <w:szCs w:val="28"/>
              </w:rPr>
              <w:t>P</w:t>
            </w:r>
            <w:r w:rsidR="00AB28E9" w:rsidRPr="00E07A59">
              <w:rPr>
                <w:sz w:val="28"/>
                <w:szCs w:val="28"/>
              </w:rPr>
              <w:t xml:space="preserve">rojekts </w:t>
            </w:r>
            <w:r w:rsidR="00B74734" w:rsidRPr="00E07A59">
              <w:rPr>
                <w:sz w:val="28"/>
                <w:szCs w:val="28"/>
              </w:rPr>
              <w:t xml:space="preserve">minimāli </w:t>
            </w:r>
            <w:r w:rsidR="00AB28E9" w:rsidRPr="00E07A59">
              <w:rPr>
                <w:sz w:val="28"/>
                <w:szCs w:val="28"/>
              </w:rPr>
              <w:t xml:space="preserve">palielinās administratīvo slogu komersantiem, kas saņēmuši speciālo atļauju (licenci) </w:t>
            </w:r>
            <w:r w:rsidR="007F2F6C" w:rsidRPr="00E07A59">
              <w:rPr>
                <w:sz w:val="28"/>
                <w:szCs w:val="28"/>
              </w:rPr>
              <w:t xml:space="preserve">inkasācijas apsardzes pakalpojumu sniegšanai, jo tiek paredzēts </w:t>
            </w:r>
            <w:r w:rsidR="00B74734" w:rsidRPr="00E07A59">
              <w:rPr>
                <w:sz w:val="28"/>
                <w:szCs w:val="28"/>
              </w:rPr>
              <w:t xml:space="preserve">tikai </w:t>
            </w:r>
            <w:r w:rsidR="007F2F6C" w:rsidRPr="00E07A59">
              <w:rPr>
                <w:sz w:val="28"/>
                <w:szCs w:val="28"/>
              </w:rPr>
              <w:t>informācijas sniegšanas pienākums.</w:t>
            </w:r>
          </w:p>
          <w:p w14:paraId="3A0085AF" w14:textId="68E4B4D9" w:rsidR="00AB28E9" w:rsidRPr="00E07A59" w:rsidRDefault="00C45A0C" w:rsidP="00C45A0C">
            <w:pPr>
              <w:jc w:val="both"/>
              <w:rPr>
                <w:sz w:val="28"/>
                <w:szCs w:val="28"/>
              </w:rPr>
            </w:pPr>
            <w:r w:rsidRPr="00E07A59">
              <w:rPr>
                <w:sz w:val="28"/>
                <w:szCs w:val="28"/>
              </w:rPr>
              <w:t>P</w:t>
            </w:r>
            <w:r w:rsidR="007F2F6C" w:rsidRPr="00E07A59">
              <w:rPr>
                <w:sz w:val="28"/>
                <w:szCs w:val="28"/>
              </w:rPr>
              <w:t>rojekts</w:t>
            </w:r>
            <w:r w:rsidR="00B74734" w:rsidRPr="00E07A59">
              <w:rPr>
                <w:sz w:val="28"/>
                <w:szCs w:val="28"/>
              </w:rPr>
              <w:t xml:space="preserve"> minimāli</w:t>
            </w:r>
            <w:r w:rsidR="007F2F6C" w:rsidRPr="00E07A59">
              <w:rPr>
                <w:sz w:val="28"/>
                <w:szCs w:val="28"/>
              </w:rPr>
              <w:t xml:space="preserve"> palielinās administratīvo slogu Valsts policijai, jo tiek paredzēta komersantu iesniegtās informācijas izvērtēšana</w:t>
            </w:r>
            <w:r w:rsidR="00AB28E9" w:rsidRPr="00E07A59">
              <w:rPr>
                <w:sz w:val="28"/>
                <w:szCs w:val="28"/>
              </w:rPr>
              <w:t>.</w:t>
            </w:r>
          </w:p>
        </w:tc>
      </w:tr>
      <w:tr w:rsidR="00A13E23" w:rsidRPr="00E07A59" w14:paraId="3BE917F9" w14:textId="77777777" w:rsidTr="00712749">
        <w:tc>
          <w:tcPr>
            <w:tcW w:w="311" w:type="pct"/>
            <w:hideMark/>
          </w:tcPr>
          <w:p w14:paraId="6BB753D1" w14:textId="77777777" w:rsidR="00AB28E9" w:rsidRPr="00E07A59" w:rsidRDefault="00AB28E9" w:rsidP="00AB28E9">
            <w:pPr>
              <w:jc w:val="center"/>
              <w:rPr>
                <w:sz w:val="28"/>
                <w:szCs w:val="28"/>
              </w:rPr>
            </w:pPr>
            <w:r w:rsidRPr="00E07A59">
              <w:rPr>
                <w:sz w:val="28"/>
                <w:szCs w:val="28"/>
              </w:rPr>
              <w:t>3.</w:t>
            </w:r>
          </w:p>
        </w:tc>
        <w:tc>
          <w:tcPr>
            <w:tcW w:w="1479" w:type="pct"/>
            <w:hideMark/>
          </w:tcPr>
          <w:p w14:paraId="73176BF0" w14:textId="3D43DC87" w:rsidR="00AB28E9" w:rsidRPr="00E07A59" w:rsidRDefault="00712749" w:rsidP="00AB28E9">
            <w:pPr>
              <w:rPr>
                <w:sz w:val="28"/>
                <w:szCs w:val="28"/>
                <w:highlight w:val="lightGray"/>
              </w:rPr>
            </w:pPr>
            <w:r w:rsidRPr="00E07A59">
              <w:rPr>
                <w:sz w:val="28"/>
                <w:szCs w:val="28"/>
              </w:rPr>
              <w:t>Administratīvo izmaksu monetārs novērtējums</w:t>
            </w:r>
          </w:p>
        </w:tc>
        <w:tc>
          <w:tcPr>
            <w:tcW w:w="3210" w:type="pct"/>
          </w:tcPr>
          <w:p w14:paraId="2355F568" w14:textId="597577BE" w:rsidR="000F7C3F" w:rsidRPr="00E07A59" w:rsidRDefault="000F7C3F" w:rsidP="000F7C3F">
            <w:pPr>
              <w:jc w:val="both"/>
              <w:rPr>
                <w:sz w:val="28"/>
                <w:szCs w:val="28"/>
              </w:rPr>
            </w:pPr>
            <w:r w:rsidRPr="00E07A59">
              <w:rPr>
                <w:sz w:val="28"/>
                <w:szCs w:val="28"/>
              </w:rPr>
              <w:t xml:space="preserve">Pieņemot, ka dokumentu, kas apliecina, ka komersants ir izstrādājis noziedzīgi iegūtu līdzekļu legalizācijas un terorisma </w:t>
            </w:r>
            <w:r w:rsidR="000551FD" w:rsidRPr="00E07A59">
              <w:rPr>
                <w:sz w:val="28"/>
                <w:szCs w:val="28"/>
              </w:rPr>
              <w:t xml:space="preserve">un </w:t>
            </w:r>
            <w:proofErr w:type="spellStart"/>
            <w:r w:rsidR="000551FD" w:rsidRPr="00E07A59">
              <w:rPr>
                <w:sz w:val="28"/>
                <w:szCs w:val="28"/>
              </w:rPr>
              <w:t>proliferācijas</w:t>
            </w:r>
            <w:proofErr w:type="spellEnd"/>
            <w:r w:rsidR="000551FD" w:rsidRPr="00E07A59">
              <w:rPr>
                <w:sz w:val="28"/>
                <w:szCs w:val="28"/>
              </w:rPr>
              <w:t xml:space="preserve"> </w:t>
            </w:r>
            <w:r w:rsidRPr="00E07A59">
              <w:rPr>
                <w:sz w:val="28"/>
                <w:szCs w:val="28"/>
              </w:rPr>
              <w:t xml:space="preserve">finansēšanas novēršanas iekšējās kontroles sistēmu (turpmāk –dokuments) iesniegs </w:t>
            </w:r>
            <w:r w:rsidR="00BC47CE" w:rsidRPr="00E07A59">
              <w:rPr>
                <w:sz w:val="28"/>
                <w:szCs w:val="28"/>
              </w:rPr>
              <w:t>ne vairāk</w:t>
            </w:r>
            <w:r w:rsidR="001A150F" w:rsidRPr="00E07A59">
              <w:rPr>
                <w:sz w:val="28"/>
                <w:szCs w:val="28"/>
              </w:rPr>
              <w:t>,</w:t>
            </w:r>
            <w:r w:rsidR="00BC47CE" w:rsidRPr="00E07A59">
              <w:rPr>
                <w:sz w:val="28"/>
                <w:szCs w:val="28"/>
              </w:rPr>
              <w:t xml:space="preserve"> kā </w:t>
            </w:r>
            <w:r w:rsidRPr="00E07A59">
              <w:rPr>
                <w:sz w:val="28"/>
                <w:szCs w:val="28"/>
              </w:rPr>
              <w:t>5 komersanti un dokuments jāiesniedz vienu reizi:</w:t>
            </w:r>
          </w:p>
          <w:p w14:paraId="33B45DBD" w14:textId="77777777" w:rsidR="000F7C3F" w:rsidRPr="00E07A59" w:rsidRDefault="000F7C3F" w:rsidP="000F7C3F">
            <w:pPr>
              <w:jc w:val="both"/>
              <w:rPr>
                <w:b/>
                <w:sz w:val="28"/>
                <w:szCs w:val="28"/>
              </w:rPr>
            </w:pPr>
            <w:r w:rsidRPr="00E07A59">
              <w:rPr>
                <w:b/>
                <w:sz w:val="28"/>
                <w:szCs w:val="28"/>
              </w:rPr>
              <w:t>Administratīvās izmaksas komersantam:</w:t>
            </w:r>
          </w:p>
          <w:p w14:paraId="297CF606" w14:textId="5F22E65E" w:rsidR="000F7C3F" w:rsidRPr="00E07A59" w:rsidRDefault="000F7C3F" w:rsidP="000F7C3F">
            <w:pPr>
              <w:rPr>
                <w:sz w:val="28"/>
                <w:szCs w:val="28"/>
              </w:rPr>
            </w:pPr>
            <w:r w:rsidRPr="00E07A59">
              <w:rPr>
                <w:sz w:val="28"/>
                <w:szCs w:val="28"/>
              </w:rPr>
              <w:t xml:space="preserve">Aprēķinos tiek izmantota vidējā darba alga – </w:t>
            </w:r>
            <w:r w:rsidR="008B3585" w:rsidRPr="00E07A59">
              <w:rPr>
                <w:sz w:val="28"/>
                <w:szCs w:val="28"/>
              </w:rPr>
              <w:t>6,45</w:t>
            </w:r>
            <w:r w:rsidRPr="00E07A59">
              <w:rPr>
                <w:sz w:val="28"/>
                <w:szCs w:val="28"/>
              </w:rPr>
              <w:t xml:space="preserve"> </w:t>
            </w:r>
            <w:proofErr w:type="spellStart"/>
            <w:r w:rsidRPr="00E07A59">
              <w:rPr>
                <w:i/>
                <w:sz w:val="28"/>
                <w:szCs w:val="28"/>
              </w:rPr>
              <w:t>euro</w:t>
            </w:r>
            <w:proofErr w:type="spellEnd"/>
            <w:r w:rsidRPr="00E07A59">
              <w:rPr>
                <w:sz w:val="28"/>
                <w:szCs w:val="28"/>
              </w:rPr>
              <w:t xml:space="preserve"> stundā (Centrālās statistikas pārvaldes dati 201</w:t>
            </w:r>
            <w:r w:rsidR="008B3585" w:rsidRPr="00E07A59">
              <w:rPr>
                <w:sz w:val="28"/>
                <w:szCs w:val="28"/>
              </w:rPr>
              <w:t>9</w:t>
            </w:r>
            <w:r w:rsidRPr="00E07A59">
              <w:rPr>
                <w:sz w:val="28"/>
                <w:szCs w:val="28"/>
              </w:rPr>
              <w:t>.</w:t>
            </w:r>
            <w:r w:rsidR="008B3585" w:rsidRPr="00E07A59">
              <w:rPr>
                <w:sz w:val="28"/>
                <w:szCs w:val="28"/>
              </w:rPr>
              <w:t xml:space="preserve">gada 2.ceturkšņa </w:t>
            </w:r>
            <w:r w:rsidRPr="00E07A59">
              <w:rPr>
                <w:sz w:val="28"/>
                <w:szCs w:val="28"/>
              </w:rPr>
              <w:t xml:space="preserve">mēneša vidējā darba samaksa: </w:t>
            </w:r>
            <w:r w:rsidR="008B3585" w:rsidRPr="00E07A59">
              <w:rPr>
                <w:sz w:val="28"/>
                <w:szCs w:val="28"/>
              </w:rPr>
              <w:t xml:space="preserve">1083 </w:t>
            </w:r>
            <w:proofErr w:type="spellStart"/>
            <w:r w:rsidRPr="00E07A59">
              <w:rPr>
                <w:i/>
                <w:sz w:val="28"/>
                <w:szCs w:val="28"/>
              </w:rPr>
              <w:t>euro</w:t>
            </w:r>
            <w:proofErr w:type="spellEnd"/>
            <w:r w:rsidRPr="00E07A59">
              <w:rPr>
                <w:sz w:val="28"/>
                <w:szCs w:val="28"/>
              </w:rPr>
              <w:t>, 168 stundas/mēnesī)</w:t>
            </w:r>
          </w:p>
          <w:p w14:paraId="39F72044" w14:textId="77777777" w:rsidR="000F7C3F" w:rsidRPr="00E07A59" w:rsidRDefault="000F7C3F" w:rsidP="000F7C3F">
            <w:pPr>
              <w:pStyle w:val="ListParagraph"/>
              <w:numPr>
                <w:ilvl w:val="0"/>
                <w:numId w:val="1"/>
              </w:numPr>
              <w:ind w:left="0" w:firstLine="0"/>
              <w:jc w:val="both"/>
              <w:rPr>
                <w:rFonts w:ascii="Times New Roman" w:hAnsi="Times New Roman" w:cs="Times New Roman"/>
                <w:b/>
                <w:sz w:val="28"/>
                <w:szCs w:val="28"/>
              </w:rPr>
            </w:pPr>
            <w:r w:rsidRPr="00E07A59">
              <w:rPr>
                <w:rFonts w:ascii="Times New Roman" w:hAnsi="Times New Roman" w:cs="Times New Roman"/>
                <w:b/>
                <w:sz w:val="28"/>
                <w:szCs w:val="28"/>
              </w:rPr>
              <w:t>Dokumenta sastādīšana</w:t>
            </w:r>
          </w:p>
          <w:p w14:paraId="589DB39B" w14:textId="77777777" w:rsidR="000F7C3F" w:rsidRPr="00E07A59" w:rsidRDefault="000F7C3F" w:rsidP="000F7C3F">
            <w:pPr>
              <w:jc w:val="both"/>
              <w:rPr>
                <w:sz w:val="28"/>
                <w:szCs w:val="28"/>
              </w:rPr>
            </w:pPr>
            <w:r w:rsidRPr="00E07A59">
              <w:rPr>
                <w:sz w:val="28"/>
                <w:szCs w:val="28"/>
              </w:rPr>
              <w:t xml:space="preserve">Valsts policijas pieņēmumi: </w:t>
            </w:r>
          </w:p>
          <w:p w14:paraId="35003885" w14:textId="6539CD7A"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komersants dokumentu sastāda papīra formātā</w:t>
            </w:r>
            <w:r w:rsidR="00C83C4C" w:rsidRPr="00E07A59">
              <w:rPr>
                <w:rFonts w:ascii="Times New Roman" w:hAnsi="Times New Roman" w:cs="Times New Roman"/>
                <w:sz w:val="28"/>
                <w:szCs w:val="28"/>
              </w:rPr>
              <w:t>,</w:t>
            </w:r>
            <w:r w:rsidRPr="00E07A59">
              <w:rPr>
                <w:rFonts w:ascii="Times New Roman" w:hAnsi="Times New Roman" w:cs="Times New Roman"/>
                <w:sz w:val="28"/>
                <w:szCs w:val="28"/>
              </w:rPr>
              <w:t xml:space="preserve"> tam vidēji patērējot 15 minūtes (0,25 st.);</w:t>
            </w:r>
          </w:p>
          <w:p w14:paraId="64851FC7" w14:textId="479E9FCE"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papildus nepieciešamie izdevumi papīram sastāda 0,07</w:t>
            </w:r>
            <w:r w:rsidR="00E07A59">
              <w:rPr>
                <w:rFonts w:ascii="Times New Roman" w:hAnsi="Times New Roman" w:cs="Times New Roman"/>
                <w:sz w:val="28"/>
                <w:szCs w:val="28"/>
              </w:rPr>
              <w:t xml:space="preserve"> </w:t>
            </w:r>
            <w:proofErr w:type="spellStart"/>
            <w:r w:rsidRPr="00E07A59">
              <w:rPr>
                <w:rFonts w:ascii="Times New Roman" w:hAnsi="Times New Roman" w:cs="Times New Roman"/>
                <w:i/>
                <w:sz w:val="28"/>
                <w:szCs w:val="28"/>
              </w:rPr>
              <w:t>euro</w:t>
            </w:r>
            <w:proofErr w:type="spellEnd"/>
            <w:r w:rsidRPr="00E07A59">
              <w:rPr>
                <w:rFonts w:ascii="Times New Roman" w:hAnsi="Times New Roman" w:cs="Times New Roman"/>
                <w:sz w:val="28"/>
                <w:szCs w:val="28"/>
              </w:rPr>
              <w:t xml:space="preserve"> par lapu.</w:t>
            </w:r>
          </w:p>
          <w:p w14:paraId="622110D9" w14:textId="17B8E17F" w:rsidR="000F7C3F" w:rsidRPr="00E07A59" w:rsidRDefault="000F7C3F" w:rsidP="000F7C3F">
            <w:pPr>
              <w:jc w:val="both"/>
              <w:rPr>
                <w:i/>
                <w:sz w:val="28"/>
                <w:szCs w:val="28"/>
              </w:rPr>
            </w:pPr>
            <w:r w:rsidRPr="00E07A59">
              <w:rPr>
                <w:sz w:val="28"/>
                <w:szCs w:val="28"/>
              </w:rPr>
              <w:t>C</w:t>
            </w:r>
            <w:r w:rsidRPr="00E07A59">
              <w:rPr>
                <w:sz w:val="28"/>
                <w:szCs w:val="28"/>
                <w:vertAlign w:val="subscript"/>
              </w:rPr>
              <w:t xml:space="preserve">1 </w:t>
            </w:r>
            <w:r w:rsidRPr="00E07A59">
              <w:rPr>
                <w:sz w:val="28"/>
                <w:szCs w:val="28"/>
              </w:rPr>
              <w:t>= (</w:t>
            </w:r>
            <w:r w:rsidR="008B3585" w:rsidRPr="00E07A59">
              <w:rPr>
                <w:sz w:val="28"/>
                <w:szCs w:val="28"/>
              </w:rPr>
              <w:t>6,45</w:t>
            </w:r>
            <w:r w:rsidRPr="00E07A59">
              <w:rPr>
                <w:sz w:val="28"/>
                <w:szCs w:val="28"/>
              </w:rPr>
              <w:t xml:space="preserve"> x 0,25) x (5 x 1) + (5 x 0,07)  = </w:t>
            </w:r>
            <w:r w:rsidR="008B3585" w:rsidRPr="00E07A59">
              <w:rPr>
                <w:sz w:val="28"/>
                <w:szCs w:val="28"/>
              </w:rPr>
              <w:t>8,41</w:t>
            </w:r>
            <w:r w:rsidRPr="00E07A59">
              <w:rPr>
                <w:sz w:val="28"/>
                <w:szCs w:val="28"/>
              </w:rPr>
              <w:t xml:space="preserve"> </w:t>
            </w:r>
            <w:proofErr w:type="spellStart"/>
            <w:r w:rsidRPr="00E07A59">
              <w:rPr>
                <w:i/>
                <w:sz w:val="28"/>
                <w:szCs w:val="28"/>
              </w:rPr>
              <w:t>euro</w:t>
            </w:r>
            <w:proofErr w:type="spellEnd"/>
          </w:p>
          <w:p w14:paraId="299042D4" w14:textId="77777777" w:rsidR="000F7C3F" w:rsidRPr="00E07A59" w:rsidRDefault="000F7C3F" w:rsidP="000F7C3F">
            <w:pPr>
              <w:pStyle w:val="ListParagraph"/>
              <w:numPr>
                <w:ilvl w:val="0"/>
                <w:numId w:val="1"/>
              </w:numPr>
              <w:ind w:left="0" w:firstLine="0"/>
              <w:jc w:val="both"/>
              <w:rPr>
                <w:rFonts w:ascii="Times New Roman" w:hAnsi="Times New Roman" w:cs="Times New Roman"/>
                <w:b/>
                <w:sz w:val="28"/>
                <w:szCs w:val="28"/>
              </w:rPr>
            </w:pPr>
            <w:r w:rsidRPr="00E07A59">
              <w:rPr>
                <w:rFonts w:ascii="Times New Roman" w:hAnsi="Times New Roman" w:cs="Times New Roman"/>
                <w:b/>
                <w:sz w:val="28"/>
                <w:szCs w:val="28"/>
              </w:rPr>
              <w:t>Dokumenta iesniegšana</w:t>
            </w:r>
          </w:p>
          <w:p w14:paraId="1E608B5F" w14:textId="77777777" w:rsidR="000F7C3F" w:rsidRPr="00E07A59" w:rsidRDefault="000F7C3F" w:rsidP="000F7C3F">
            <w:pPr>
              <w:jc w:val="both"/>
              <w:rPr>
                <w:sz w:val="28"/>
                <w:szCs w:val="28"/>
              </w:rPr>
            </w:pPr>
            <w:r w:rsidRPr="00E07A59">
              <w:rPr>
                <w:sz w:val="28"/>
                <w:szCs w:val="28"/>
              </w:rPr>
              <w:t>Valsts policijas pieņēmumi:</w:t>
            </w:r>
          </w:p>
          <w:p w14:paraId="78CF7282" w14:textId="34212090"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Trīs komersanti dokumentu nosūtīs pa pastu</w:t>
            </w:r>
            <w:r w:rsidR="008F32ED" w:rsidRPr="00E07A59">
              <w:rPr>
                <w:rFonts w:ascii="Times New Roman" w:hAnsi="Times New Roman" w:cs="Times New Roman"/>
                <w:sz w:val="28"/>
                <w:szCs w:val="28"/>
              </w:rPr>
              <w:t>,</w:t>
            </w:r>
            <w:r w:rsidRPr="00E07A59">
              <w:rPr>
                <w:rFonts w:ascii="Times New Roman" w:hAnsi="Times New Roman" w:cs="Times New Roman"/>
                <w:sz w:val="28"/>
                <w:szCs w:val="28"/>
              </w:rPr>
              <w:t xml:space="preserve"> tam izmantojot parastu vēstuli un pasta sūtījumu vidējā cena – </w:t>
            </w:r>
            <w:r w:rsidR="008B3585" w:rsidRPr="00E07A59">
              <w:rPr>
                <w:rFonts w:ascii="Times New Roman" w:hAnsi="Times New Roman" w:cs="Times New Roman"/>
                <w:sz w:val="28"/>
                <w:szCs w:val="28"/>
              </w:rPr>
              <w:t>1,71</w:t>
            </w:r>
            <w:r w:rsidRPr="00E07A59">
              <w:rPr>
                <w:rFonts w:ascii="Times New Roman" w:hAnsi="Times New Roman" w:cs="Times New Roman"/>
                <w:sz w:val="28"/>
                <w:szCs w:val="28"/>
              </w:rPr>
              <w:t xml:space="preserve"> </w:t>
            </w:r>
            <w:proofErr w:type="spellStart"/>
            <w:r w:rsidRPr="00E07A59">
              <w:rPr>
                <w:rFonts w:ascii="Times New Roman" w:hAnsi="Times New Roman" w:cs="Times New Roman"/>
                <w:i/>
                <w:sz w:val="28"/>
                <w:szCs w:val="28"/>
              </w:rPr>
              <w:t>euro</w:t>
            </w:r>
            <w:proofErr w:type="spellEnd"/>
          </w:p>
          <w:p w14:paraId="4968CB81" w14:textId="598109A7"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Divi komersanti dokumentu iesniegs personīgi</w:t>
            </w:r>
            <w:r w:rsidR="008F32ED" w:rsidRPr="00E07A59">
              <w:rPr>
                <w:rFonts w:ascii="Times New Roman" w:hAnsi="Times New Roman" w:cs="Times New Roman"/>
                <w:sz w:val="28"/>
                <w:szCs w:val="28"/>
              </w:rPr>
              <w:t>,</w:t>
            </w:r>
            <w:r w:rsidRPr="00E07A59">
              <w:rPr>
                <w:rFonts w:ascii="Times New Roman" w:hAnsi="Times New Roman" w:cs="Times New Roman"/>
                <w:sz w:val="28"/>
                <w:szCs w:val="28"/>
              </w:rPr>
              <w:t xml:space="preserve"> izmantojot sabiedrisko transportu un ceļā pavadot 2 stundas. Paredzamās sabiedriskā transporta izmaksas sastāda 4,00 </w:t>
            </w:r>
            <w:proofErr w:type="spellStart"/>
            <w:r w:rsidRPr="00E07A59">
              <w:rPr>
                <w:rFonts w:ascii="Times New Roman" w:hAnsi="Times New Roman" w:cs="Times New Roman"/>
                <w:i/>
                <w:sz w:val="28"/>
                <w:szCs w:val="28"/>
              </w:rPr>
              <w:t>euro</w:t>
            </w:r>
            <w:proofErr w:type="spellEnd"/>
            <w:r w:rsidRPr="00E07A59">
              <w:rPr>
                <w:rFonts w:ascii="Times New Roman" w:hAnsi="Times New Roman" w:cs="Times New Roman"/>
                <w:sz w:val="28"/>
                <w:szCs w:val="28"/>
              </w:rPr>
              <w:t xml:space="preserve"> (sabiedriskā transporta biļete turp un atpakaļ)</w:t>
            </w:r>
          </w:p>
          <w:p w14:paraId="5453EB74" w14:textId="77777777" w:rsidR="000F7C3F" w:rsidRPr="00E07A59" w:rsidRDefault="000F7C3F" w:rsidP="000F7C3F">
            <w:pPr>
              <w:pStyle w:val="ListParagraph"/>
              <w:ind w:left="0"/>
              <w:jc w:val="both"/>
              <w:rPr>
                <w:rFonts w:ascii="Times New Roman" w:hAnsi="Times New Roman" w:cs="Times New Roman"/>
                <w:sz w:val="28"/>
                <w:szCs w:val="28"/>
              </w:rPr>
            </w:pPr>
          </w:p>
          <w:p w14:paraId="327CA7F2" w14:textId="30F77C0E" w:rsidR="000F7C3F" w:rsidRPr="00E07A59" w:rsidRDefault="000F7C3F" w:rsidP="000F7C3F">
            <w:pPr>
              <w:pStyle w:val="ListParagraph"/>
              <w:ind w:left="0"/>
              <w:jc w:val="both"/>
              <w:rPr>
                <w:rFonts w:ascii="Times New Roman" w:hAnsi="Times New Roman" w:cs="Times New Roman"/>
                <w:sz w:val="28"/>
                <w:szCs w:val="28"/>
              </w:rPr>
            </w:pPr>
            <w:r w:rsidRPr="00E07A59">
              <w:rPr>
                <w:rFonts w:ascii="Times New Roman" w:hAnsi="Times New Roman" w:cs="Times New Roman"/>
                <w:sz w:val="28"/>
                <w:szCs w:val="28"/>
              </w:rPr>
              <w:t>C</w:t>
            </w:r>
            <w:r w:rsidRPr="00E07A59">
              <w:rPr>
                <w:rFonts w:ascii="Times New Roman" w:hAnsi="Times New Roman" w:cs="Times New Roman"/>
                <w:sz w:val="28"/>
                <w:szCs w:val="28"/>
                <w:vertAlign w:val="subscript"/>
              </w:rPr>
              <w:t>2</w:t>
            </w:r>
            <w:r w:rsidRPr="00E07A59">
              <w:rPr>
                <w:rFonts w:ascii="Times New Roman" w:hAnsi="Times New Roman" w:cs="Times New Roman"/>
                <w:sz w:val="28"/>
                <w:szCs w:val="28"/>
              </w:rPr>
              <w:t xml:space="preserve"> = (3 x </w:t>
            </w:r>
            <w:r w:rsidR="008B3585" w:rsidRPr="00E07A59">
              <w:rPr>
                <w:rFonts w:ascii="Times New Roman" w:hAnsi="Times New Roman" w:cs="Times New Roman"/>
                <w:sz w:val="28"/>
                <w:szCs w:val="28"/>
              </w:rPr>
              <w:t>1,71</w:t>
            </w:r>
            <w:r w:rsidR="00AA1B79" w:rsidRPr="00E07A59">
              <w:rPr>
                <w:rFonts w:ascii="Times New Roman" w:hAnsi="Times New Roman" w:cs="Times New Roman"/>
                <w:sz w:val="28"/>
                <w:szCs w:val="28"/>
              </w:rPr>
              <w:t>) + ((</w:t>
            </w:r>
            <w:r w:rsidR="008B3585" w:rsidRPr="00E07A59">
              <w:rPr>
                <w:rFonts w:ascii="Times New Roman" w:hAnsi="Times New Roman" w:cs="Times New Roman"/>
                <w:sz w:val="28"/>
                <w:szCs w:val="28"/>
              </w:rPr>
              <w:t>6,45</w:t>
            </w:r>
            <w:r w:rsidRPr="00E07A59">
              <w:rPr>
                <w:rFonts w:ascii="Times New Roman" w:hAnsi="Times New Roman" w:cs="Times New Roman"/>
                <w:sz w:val="28"/>
                <w:szCs w:val="28"/>
              </w:rPr>
              <w:t xml:space="preserve"> x 2) x (2 x 1) + (2 x 4,00)) = </w:t>
            </w:r>
            <w:r w:rsidR="00A9410B" w:rsidRPr="00E07A59">
              <w:rPr>
                <w:rFonts w:ascii="Times New Roman" w:hAnsi="Times New Roman" w:cs="Times New Roman"/>
                <w:sz w:val="28"/>
                <w:szCs w:val="28"/>
              </w:rPr>
              <w:t>38,93</w:t>
            </w:r>
            <w:r w:rsidRPr="00E07A59">
              <w:rPr>
                <w:rFonts w:ascii="Times New Roman" w:hAnsi="Times New Roman" w:cs="Times New Roman"/>
                <w:sz w:val="28"/>
                <w:szCs w:val="28"/>
              </w:rPr>
              <w:t xml:space="preserve"> </w:t>
            </w:r>
            <w:proofErr w:type="spellStart"/>
            <w:r w:rsidRPr="00E07A59">
              <w:rPr>
                <w:rFonts w:ascii="Times New Roman" w:hAnsi="Times New Roman" w:cs="Times New Roman"/>
                <w:i/>
                <w:sz w:val="28"/>
                <w:szCs w:val="28"/>
              </w:rPr>
              <w:t>euro</w:t>
            </w:r>
            <w:proofErr w:type="spellEnd"/>
          </w:p>
          <w:p w14:paraId="7343AA7B" w14:textId="77777777" w:rsidR="000F7C3F" w:rsidRPr="00E07A59" w:rsidRDefault="000F7C3F" w:rsidP="000F7C3F">
            <w:pPr>
              <w:jc w:val="both"/>
              <w:rPr>
                <w:b/>
                <w:sz w:val="28"/>
                <w:szCs w:val="28"/>
              </w:rPr>
            </w:pPr>
            <w:r w:rsidRPr="00E07A59">
              <w:rPr>
                <w:b/>
                <w:sz w:val="28"/>
                <w:szCs w:val="28"/>
              </w:rPr>
              <w:t>Kopējās administratīvās izmaksas komersantam:</w:t>
            </w:r>
          </w:p>
          <w:p w14:paraId="05F01A09" w14:textId="1F6B6649" w:rsidR="000F7C3F" w:rsidRPr="00E07A59" w:rsidRDefault="000F7C3F" w:rsidP="000F7C3F">
            <w:pPr>
              <w:jc w:val="both"/>
              <w:rPr>
                <w:b/>
                <w:i/>
                <w:sz w:val="28"/>
                <w:szCs w:val="28"/>
              </w:rPr>
            </w:pPr>
            <w:proofErr w:type="spellStart"/>
            <w:r w:rsidRPr="00E07A59">
              <w:rPr>
                <w:b/>
                <w:sz w:val="28"/>
                <w:szCs w:val="28"/>
              </w:rPr>
              <w:t>C</w:t>
            </w:r>
            <w:r w:rsidRPr="00E07A59">
              <w:rPr>
                <w:b/>
                <w:sz w:val="28"/>
                <w:szCs w:val="28"/>
                <w:vertAlign w:val="subscript"/>
              </w:rPr>
              <w:t>komersantam</w:t>
            </w:r>
            <w:proofErr w:type="spellEnd"/>
            <w:r w:rsidRPr="00E07A59">
              <w:rPr>
                <w:b/>
                <w:sz w:val="28"/>
                <w:szCs w:val="28"/>
                <w:vertAlign w:val="subscript"/>
              </w:rPr>
              <w:t xml:space="preserve"> </w:t>
            </w:r>
            <w:r w:rsidRPr="00E07A59">
              <w:rPr>
                <w:b/>
                <w:sz w:val="28"/>
                <w:szCs w:val="28"/>
              </w:rPr>
              <w:t xml:space="preserve">= </w:t>
            </w:r>
            <w:r w:rsidR="00A9410B" w:rsidRPr="00E07A59">
              <w:rPr>
                <w:b/>
                <w:sz w:val="28"/>
                <w:szCs w:val="28"/>
              </w:rPr>
              <w:t>8,41+38,93 = 47,34</w:t>
            </w:r>
            <w:r w:rsidRPr="00E07A59">
              <w:rPr>
                <w:b/>
                <w:sz w:val="28"/>
                <w:szCs w:val="28"/>
              </w:rPr>
              <w:t xml:space="preserve"> </w:t>
            </w:r>
            <w:proofErr w:type="spellStart"/>
            <w:r w:rsidRPr="00E07A59">
              <w:rPr>
                <w:b/>
                <w:i/>
                <w:sz w:val="28"/>
                <w:szCs w:val="28"/>
              </w:rPr>
              <w:t>euro</w:t>
            </w:r>
            <w:proofErr w:type="spellEnd"/>
          </w:p>
          <w:p w14:paraId="67238DBB" w14:textId="77777777" w:rsidR="000F7C3F" w:rsidRPr="00E07A59" w:rsidRDefault="000F7C3F" w:rsidP="000F7C3F">
            <w:pPr>
              <w:jc w:val="both"/>
              <w:rPr>
                <w:b/>
                <w:sz w:val="28"/>
                <w:szCs w:val="28"/>
              </w:rPr>
            </w:pPr>
            <w:r w:rsidRPr="00E07A59">
              <w:rPr>
                <w:b/>
                <w:sz w:val="28"/>
                <w:szCs w:val="28"/>
              </w:rPr>
              <w:t>Administratīvās izmaksas Valsts policijai:</w:t>
            </w:r>
          </w:p>
          <w:p w14:paraId="5A011D31" w14:textId="369832DE" w:rsidR="000F7C3F" w:rsidRPr="00E07A59" w:rsidRDefault="000F7C3F" w:rsidP="000F7C3F">
            <w:pPr>
              <w:jc w:val="both"/>
              <w:rPr>
                <w:i/>
                <w:sz w:val="28"/>
                <w:szCs w:val="28"/>
              </w:rPr>
            </w:pPr>
            <w:r w:rsidRPr="00E07A59">
              <w:rPr>
                <w:sz w:val="28"/>
                <w:szCs w:val="28"/>
              </w:rPr>
              <w:t xml:space="preserve">Aprēķinos tiek izmantota vidējā darba alga - </w:t>
            </w:r>
            <w:r w:rsidR="008B3585" w:rsidRPr="00E07A59">
              <w:rPr>
                <w:sz w:val="28"/>
                <w:szCs w:val="28"/>
              </w:rPr>
              <w:t>6,45</w:t>
            </w:r>
            <w:r w:rsidRPr="00E07A59">
              <w:rPr>
                <w:sz w:val="28"/>
                <w:szCs w:val="28"/>
              </w:rPr>
              <w:t xml:space="preserve"> </w:t>
            </w:r>
            <w:proofErr w:type="spellStart"/>
            <w:r w:rsidRPr="00E07A59">
              <w:rPr>
                <w:i/>
                <w:sz w:val="28"/>
                <w:szCs w:val="28"/>
              </w:rPr>
              <w:t>euro</w:t>
            </w:r>
            <w:proofErr w:type="spellEnd"/>
          </w:p>
          <w:p w14:paraId="77C9CDF8" w14:textId="77777777" w:rsidR="000F7C3F" w:rsidRPr="00E07A59" w:rsidRDefault="000F7C3F" w:rsidP="000F7C3F">
            <w:pPr>
              <w:pStyle w:val="ListParagraph"/>
              <w:numPr>
                <w:ilvl w:val="0"/>
                <w:numId w:val="3"/>
              </w:numPr>
              <w:ind w:left="0" w:firstLine="0"/>
              <w:jc w:val="both"/>
              <w:rPr>
                <w:rFonts w:ascii="Times New Roman" w:hAnsi="Times New Roman" w:cs="Times New Roman"/>
                <w:b/>
                <w:sz w:val="28"/>
                <w:szCs w:val="28"/>
              </w:rPr>
            </w:pPr>
            <w:r w:rsidRPr="00E07A59">
              <w:rPr>
                <w:rFonts w:ascii="Times New Roman" w:hAnsi="Times New Roman" w:cs="Times New Roman"/>
                <w:b/>
                <w:sz w:val="28"/>
                <w:szCs w:val="28"/>
              </w:rPr>
              <w:t>Iesniegto dokumentu izskatīšana un lēmuma pieņemšana</w:t>
            </w:r>
          </w:p>
          <w:p w14:paraId="13EF95E3" w14:textId="77777777" w:rsidR="000F7C3F" w:rsidRPr="00E07A59" w:rsidRDefault="000F7C3F" w:rsidP="000F7C3F">
            <w:pPr>
              <w:jc w:val="both"/>
              <w:rPr>
                <w:sz w:val="28"/>
                <w:szCs w:val="28"/>
              </w:rPr>
            </w:pPr>
            <w:r w:rsidRPr="00E07A59">
              <w:rPr>
                <w:sz w:val="28"/>
                <w:szCs w:val="28"/>
              </w:rPr>
              <w:t>Valsts policijas pieņēmums:</w:t>
            </w:r>
          </w:p>
          <w:p w14:paraId="6955E36E" w14:textId="58F1005C"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nodarbinātais izskata dok</w:t>
            </w:r>
            <w:r w:rsidR="006D6A8E" w:rsidRPr="00E07A59">
              <w:rPr>
                <w:rFonts w:ascii="Times New Roman" w:hAnsi="Times New Roman" w:cs="Times New Roman"/>
                <w:sz w:val="28"/>
                <w:szCs w:val="28"/>
              </w:rPr>
              <w:t>u</w:t>
            </w:r>
            <w:r w:rsidRPr="00E07A59">
              <w:rPr>
                <w:rFonts w:ascii="Times New Roman" w:hAnsi="Times New Roman" w:cs="Times New Roman"/>
                <w:sz w:val="28"/>
                <w:szCs w:val="28"/>
              </w:rPr>
              <w:t>mentu un pieņem lēmumu vidēji patērējot 15 minūtes (0,25 st.).</w:t>
            </w:r>
          </w:p>
          <w:p w14:paraId="1F02D51F" w14:textId="1D5077DD" w:rsidR="000F7C3F" w:rsidRPr="00E07A59" w:rsidRDefault="000F7C3F" w:rsidP="000F7C3F">
            <w:pPr>
              <w:jc w:val="both"/>
              <w:rPr>
                <w:i/>
                <w:sz w:val="28"/>
                <w:szCs w:val="28"/>
              </w:rPr>
            </w:pPr>
            <w:r w:rsidRPr="00E07A59">
              <w:rPr>
                <w:sz w:val="28"/>
                <w:szCs w:val="28"/>
              </w:rPr>
              <w:t>C</w:t>
            </w:r>
            <w:r w:rsidRPr="00E07A59">
              <w:rPr>
                <w:sz w:val="28"/>
                <w:szCs w:val="28"/>
                <w:vertAlign w:val="subscript"/>
              </w:rPr>
              <w:t>1</w:t>
            </w:r>
            <w:r w:rsidRPr="00E07A59">
              <w:rPr>
                <w:sz w:val="28"/>
                <w:szCs w:val="28"/>
              </w:rPr>
              <w:t xml:space="preserve"> = (</w:t>
            </w:r>
            <w:r w:rsidR="00A9410B" w:rsidRPr="00E07A59">
              <w:rPr>
                <w:sz w:val="28"/>
                <w:szCs w:val="28"/>
              </w:rPr>
              <w:t>6,45</w:t>
            </w:r>
            <w:r w:rsidRPr="00E07A59">
              <w:rPr>
                <w:sz w:val="28"/>
                <w:szCs w:val="28"/>
              </w:rPr>
              <w:t xml:space="preserve"> x 0,25) x (5 x 1) = </w:t>
            </w:r>
            <w:r w:rsidR="00A9410B" w:rsidRPr="00E07A59">
              <w:rPr>
                <w:sz w:val="28"/>
                <w:szCs w:val="28"/>
              </w:rPr>
              <w:t>8,06</w:t>
            </w:r>
            <w:r w:rsidRPr="00E07A59">
              <w:rPr>
                <w:sz w:val="28"/>
                <w:szCs w:val="28"/>
              </w:rPr>
              <w:t xml:space="preserve"> </w:t>
            </w:r>
            <w:proofErr w:type="spellStart"/>
            <w:r w:rsidRPr="00E07A59">
              <w:rPr>
                <w:i/>
                <w:sz w:val="28"/>
                <w:szCs w:val="28"/>
              </w:rPr>
              <w:t>euro</w:t>
            </w:r>
            <w:proofErr w:type="spellEnd"/>
          </w:p>
          <w:p w14:paraId="30A79E04" w14:textId="77777777" w:rsidR="006D6A8E" w:rsidRPr="00E07A59" w:rsidRDefault="006D6A8E" w:rsidP="000F7C3F">
            <w:pPr>
              <w:jc w:val="both"/>
              <w:rPr>
                <w:sz w:val="28"/>
                <w:szCs w:val="28"/>
              </w:rPr>
            </w:pPr>
          </w:p>
          <w:p w14:paraId="4AB6B7CA" w14:textId="77777777" w:rsidR="000F7C3F" w:rsidRPr="00E07A59" w:rsidRDefault="000F7C3F" w:rsidP="000F7C3F">
            <w:pPr>
              <w:jc w:val="both"/>
              <w:rPr>
                <w:sz w:val="28"/>
                <w:szCs w:val="28"/>
              </w:rPr>
            </w:pPr>
            <w:r w:rsidRPr="00E07A59">
              <w:rPr>
                <w:b/>
                <w:sz w:val="28"/>
                <w:szCs w:val="28"/>
              </w:rPr>
              <w:t>2. Informācijas ievadīšana sistēmā</w:t>
            </w:r>
          </w:p>
          <w:p w14:paraId="5EB59CB1" w14:textId="77777777" w:rsidR="000F7C3F" w:rsidRPr="00E07A59" w:rsidRDefault="000F7C3F" w:rsidP="000F7C3F">
            <w:pPr>
              <w:jc w:val="both"/>
              <w:rPr>
                <w:sz w:val="28"/>
                <w:szCs w:val="28"/>
              </w:rPr>
            </w:pPr>
            <w:r w:rsidRPr="00E07A59">
              <w:rPr>
                <w:sz w:val="28"/>
                <w:szCs w:val="28"/>
              </w:rPr>
              <w:t>Valsts policijas pieņēmums:</w:t>
            </w:r>
          </w:p>
          <w:p w14:paraId="78492A1C" w14:textId="77777777" w:rsidR="000F7C3F" w:rsidRPr="00E07A59" w:rsidRDefault="000F7C3F" w:rsidP="000F7C3F">
            <w:pPr>
              <w:pStyle w:val="ListParagraph"/>
              <w:numPr>
                <w:ilvl w:val="0"/>
                <w:numId w:val="2"/>
              </w:numPr>
              <w:ind w:left="0" w:firstLine="0"/>
              <w:jc w:val="both"/>
              <w:rPr>
                <w:rFonts w:ascii="Times New Roman" w:hAnsi="Times New Roman" w:cs="Times New Roman"/>
                <w:sz w:val="28"/>
                <w:szCs w:val="28"/>
              </w:rPr>
            </w:pPr>
            <w:r w:rsidRPr="00E07A59">
              <w:rPr>
                <w:rFonts w:ascii="Times New Roman" w:hAnsi="Times New Roman" w:cs="Times New Roman"/>
                <w:sz w:val="28"/>
                <w:szCs w:val="28"/>
              </w:rPr>
              <w:t>nodarbinātais, lai sistēmā ievadītu informāciju no iesniegumiem, vidēji patērē 5 minūtes (0,08 st.).</w:t>
            </w:r>
          </w:p>
          <w:p w14:paraId="29E15F05" w14:textId="53529F95" w:rsidR="000F7C3F" w:rsidRPr="00E07A59" w:rsidRDefault="000F7C3F" w:rsidP="000F7C3F">
            <w:pPr>
              <w:jc w:val="both"/>
              <w:rPr>
                <w:i/>
                <w:sz w:val="28"/>
                <w:szCs w:val="28"/>
              </w:rPr>
            </w:pPr>
            <w:r w:rsidRPr="00E07A59">
              <w:rPr>
                <w:sz w:val="28"/>
                <w:szCs w:val="28"/>
              </w:rPr>
              <w:t xml:space="preserve">C </w:t>
            </w:r>
            <w:r w:rsidRPr="00E07A59">
              <w:rPr>
                <w:sz w:val="28"/>
                <w:szCs w:val="28"/>
                <w:vertAlign w:val="subscript"/>
              </w:rPr>
              <w:t>2</w:t>
            </w:r>
            <w:r w:rsidRPr="00E07A59">
              <w:rPr>
                <w:sz w:val="28"/>
                <w:szCs w:val="28"/>
              </w:rPr>
              <w:t xml:space="preserve"> = (</w:t>
            </w:r>
            <w:r w:rsidR="00A9410B" w:rsidRPr="00E07A59">
              <w:rPr>
                <w:sz w:val="28"/>
                <w:szCs w:val="28"/>
              </w:rPr>
              <w:t>6,45</w:t>
            </w:r>
            <w:r w:rsidRPr="00E07A59">
              <w:rPr>
                <w:sz w:val="28"/>
                <w:szCs w:val="28"/>
              </w:rPr>
              <w:t xml:space="preserve"> x 0,08) x (5 x 1) = </w:t>
            </w:r>
            <w:r w:rsidR="00A9410B" w:rsidRPr="00E07A59">
              <w:rPr>
                <w:sz w:val="28"/>
                <w:szCs w:val="28"/>
              </w:rPr>
              <w:t>2,58</w:t>
            </w:r>
            <w:r w:rsidRPr="00E07A59">
              <w:rPr>
                <w:sz w:val="28"/>
                <w:szCs w:val="28"/>
              </w:rPr>
              <w:t xml:space="preserve"> </w:t>
            </w:r>
            <w:proofErr w:type="spellStart"/>
            <w:r w:rsidRPr="00E07A59">
              <w:rPr>
                <w:i/>
                <w:sz w:val="28"/>
                <w:szCs w:val="28"/>
              </w:rPr>
              <w:t>euro</w:t>
            </w:r>
            <w:proofErr w:type="spellEnd"/>
          </w:p>
          <w:p w14:paraId="46071D8E" w14:textId="77777777" w:rsidR="000F7C3F" w:rsidRPr="00E07A59" w:rsidRDefault="000F7C3F" w:rsidP="000F7C3F">
            <w:pPr>
              <w:jc w:val="both"/>
              <w:rPr>
                <w:sz w:val="28"/>
                <w:szCs w:val="28"/>
              </w:rPr>
            </w:pPr>
            <w:r w:rsidRPr="00E07A59">
              <w:rPr>
                <w:b/>
                <w:sz w:val="28"/>
                <w:szCs w:val="28"/>
              </w:rPr>
              <w:t>Kopējās administratīvās izmaksas Valsts policijai</w:t>
            </w:r>
            <w:r w:rsidRPr="00E07A59">
              <w:rPr>
                <w:sz w:val="28"/>
                <w:szCs w:val="28"/>
              </w:rPr>
              <w:t>:</w:t>
            </w:r>
          </w:p>
          <w:p w14:paraId="1A05A927" w14:textId="23C0F34B" w:rsidR="000F7C3F" w:rsidRPr="00E07A59" w:rsidRDefault="000F7C3F" w:rsidP="000F7C3F">
            <w:pPr>
              <w:jc w:val="both"/>
              <w:rPr>
                <w:b/>
                <w:i/>
                <w:sz w:val="28"/>
                <w:szCs w:val="28"/>
              </w:rPr>
            </w:pPr>
            <w:r w:rsidRPr="00E07A59">
              <w:rPr>
                <w:b/>
                <w:sz w:val="28"/>
                <w:szCs w:val="28"/>
              </w:rPr>
              <w:t>C</w:t>
            </w:r>
            <w:r w:rsidRPr="00E07A59">
              <w:rPr>
                <w:b/>
                <w:sz w:val="28"/>
                <w:szCs w:val="28"/>
                <w:vertAlign w:val="subscript"/>
              </w:rPr>
              <w:t>VP</w:t>
            </w:r>
            <w:r w:rsidRPr="00E07A59">
              <w:rPr>
                <w:b/>
                <w:sz w:val="28"/>
                <w:szCs w:val="28"/>
              </w:rPr>
              <w:t xml:space="preserve"> = </w:t>
            </w:r>
            <w:r w:rsidR="00A9410B" w:rsidRPr="00E07A59">
              <w:rPr>
                <w:b/>
                <w:sz w:val="28"/>
                <w:szCs w:val="28"/>
              </w:rPr>
              <w:t>8,06+2,58 = 10,64</w:t>
            </w:r>
            <w:r w:rsidRPr="00E07A59">
              <w:rPr>
                <w:b/>
                <w:i/>
                <w:sz w:val="28"/>
                <w:szCs w:val="28"/>
              </w:rPr>
              <w:t xml:space="preserve"> </w:t>
            </w:r>
            <w:proofErr w:type="spellStart"/>
            <w:r w:rsidRPr="00E07A59">
              <w:rPr>
                <w:b/>
                <w:i/>
                <w:sz w:val="28"/>
                <w:szCs w:val="28"/>
              </w:rPr>
              <w:t>euro</w:t>
            </w:r>
            <w:proofErr w:type="spellEnd"/>
          </w:p>
          <w:p w14:paraId="66370B77" w14:textId="77777777" w:rsidR="000F7C3F" w:rsidRPr="00E07A59" w:rsidRDefault="000F7C3F" w:rsidP="000F7C3F">
            <w:pPr>
              <w:jc w:val="both"/>
              <w:rPr>
                <w:b/>
                <w:i/>
                <w:sz w:val="28"/>
                <w:szCs w:val="28"/>
              </w:rPr>
            </w:pPr>
            <w:r w:rsidRPr="00E07A59">
              <w:rPr>
                <w:b/>
                <w:i/>
                <w:sz w:val="28"/>
                <w:szCs w:val="28"/>
              </w:rPr>
              <w:t>Administratīvās izmaksas KOPĀ:</w:t>
            </w:r>
          </w:p>
          <w:p w14:paraId="6494CF7F" w14:textId="3C4247C2" w:rsidR="00AB28E9" w:rsidRPr="00E07A59" w:rsidRDefault="000F7C3F" w:rsidP="006E3388">
            <w:pPr>
              <w:jc w:val="both"/>
              <w:rPr>
                <w:sz w:val="28"/>
                <w:szCs w:val="28"/>
              </w:rPr>
            </w:pPr>
            <w:r w:rsidRPr="00E07A59">
              <w:rPr>
                <w:b/>
                <w:sz w:val="28"/>
                <w:szCs w:val="28"/>
              </w:rPr>
              <w:t xml:space="preserve">C </w:t>
            </w:r>
            <w:r w:rsidRPr="00E07A59">
              <w:rPr>
                <w:b/>
                <w:sz w:val="28"/>
                <w:szCs w:val="28"/>
                <w:vertAlign w:val="subscript"/>
              </w:rPr>
              <w:t>kopā</w:t>
            </w:r>
            <w:r w:rsidRPr="00E07A59">
              <w:rPr>
                <w:b/>
                <w:sz w:val="28"/>
                <w:szCs w:val="28"/>
              </w:rPr>
              <w:t xml:space="preserve"> = C </w:t>
            </w:r>
            <w:r w:rsidRPr="00E07A59">
              <w:rPr>
                <w:b/>
                <w:sz w:val="28"/>
                <w:szCs w:val="28"/>
                <w:vertAlign w:val="subscript"/>
              </w:rPr>
              <w:t>personai vai</w:t>
            </w:r>
            <w:r w:rsidRPr="00E07A59">
              <w:rPr>
                <w:b/>
                <w:sz w:val="28"/>
                <w:szCs w:val="28"/>
              </w:rPr>
              <w:t xml:space="preserve"> </w:t>
            </w:r>
            <w:r w:rsidRPr="00E07A59">
              <w:rPr>
                <w:b/>
                <w:sz w:val="28"/>
                <w:szCs w:val="28"/>
                <w:vertAlign w:val="subscript"/>
              </w:rPr>
              <w:t xml:space="preserve">komersantam </w:t>
            </w:r>
            <w:r w:rsidRPr="00E07A59">
              <w:rPr>
                <w:b/>
                <w:sz w:val="28"/>
                <w:szCs w:val="28"/>
              </w:rPr>
              <w:t>+ C</w:t>
            </w:r>
            <w:r w:rsidRPr="00E07A59">
              <w:rPr>
                <w:b/>
                <w:sz w:val="28"/>
                <w:szCs w:val="28"/>
                <w:vertAlign w:val="subscript"/>
              </w:rPr>
              <w:t xml:space="preserve">VP </w:t>
            </w:r>
            <w:r w:rsidRPr="00E07A59">
              <w:rPr>
                <w:b/>
                <w:sz w:val="28"/>
                <w:szCs w:val="28"/>
              </w:rPr>
              <w:t xml:space="preserve">= </w:t>
            </w:r>
            <w:r w:rsidR="00A9410B" w:rsidRPr="00E07A59">
              <w:rPr>
                <w:b/>
                <w:sz w:val="28"/>
                <w:szCs w:val="28"/>
              </w:rPr>
              <w:t>47,34+10,64 = 57,98</w:t>
            </w:r>
            <w:r w:rsidRPr="00E07A59">
              <w:rPr>
                <w:b/>
                <w:i/>
                <w:sz w:val="28"/>
                <w:szCs w:val="28"/>
              </w:rPr>
              <w:t xml:space="preserve"> </w:t>
            </w:r>
            <w:proofErr w:type="spellStart"/>
            <w:r w:rsidRPr="00E07A59">
              <w:rPr>
                <w:b/>
                <w:i/>
                <w:sz w:val="28"/>
                <w:szCs w:val="28"/>
              </w:rPr>
              <w:t>euro</w:t>
            </w:r>
            <w:proofErr w:type="spellEnd"/>
          </w:p>
        </w:tc>
      </w:tr>
      <w:tr w:rsidR="00A13E23" w:rsidRPr="00E07A59" w14:paraId="66738B6E" w14:textId="77777777" w:rsidTr="00712749">
        <w:tc>
          <w:tcPr>
            <w:tcW w:w="311" w:type="pct"/>
            <w:hideMark/>
          </w:tcPr>
          <w:p w14:paraId="78498751" w14:textId="77777777" w:rsidR="00AB28E9" w:rsidRPr="00E07A59" w:rsidRDefault="00AB28E9" w:rsidP="00AB28E9">
            <w:pPr>
              <w:jc w:val="center"/>
              <w:rPr>
                <w:sz w:val="28"/>
                <w:szCs w:val="28"/>
              </w:rPr>
            </w:pPr>
            <w:r w:rsidRPr="00E07A59">
              <w:rPr>
                <w:sz w:val="28"/>
                <w:szCs w:val="28"/>
              </w:rPr>
              <w:t>4.</w:t>
            </w:r>
          </w:p>
        </w:tc>
        <w:tc>
          <w:tcPr>
            <w:tcW w:w="1479" w:type="pct"/>
            <w:hideMark/>
          </w:tcPr>
          <w:p w14:paraId="37D922CA" w14:textId="1A378838" w:rsidR="00AB28E9" w:rsidRPr="00E07A59" w:rsidRDefault="0011304A" w:rsidP="00AB28E9">
            <w:pPr>
              <w:rPr>
                <w:sz w:val="28"/>
                <w:szCs w:val="28"/>
              </w:rPr>
            </w:pPr>
            <w:r w:rsidRPr="00E07A59">
              <w:rPr>
                <w:sz w:val="28"/>
                <w:szCs w:val="28"/>
              </w:rPr>
              <w:t>Atbilstības izmaksu monetārs novērtējums</w:t>
            </w:r>
          </w:p>
        </w:tc>
        <w:tc>
          <w:tcPr>
            <w:tcW w:w="3210" w:type="pct"/>
          </w:tcPr>
          <w:p w14:paraId="20187CAC" w14:textId="519D69CE" w:rsidR="00AB28E9" w:rsidRPr="00E07A59" w:rsidRDefault="00FE4194" w:rsidP="000C37DD">
            <w:pPr>
              <w:jc w:val="both"/>
              <w:rPr>
                <w:sz w:val="28"/>
                <w:szCs w:val="28"/>
              </w:rPr>
            </w:pPr>
            <w:r w:rsidRPr="00E07A59">
              <w:rPr>
                <w:sz w:val="28"/>
                <w:szCs w:val="28"/>
              </w:rPr>
              <w:t>Atkarībā no iekšējās</w:t>
            </w:r>
            <w:r w:rsidR="00BA7169" w:rsidRPr="00E07A59">
              <w:rPr>
                <w:sz w:val="28"/>
                <w:szCs w:val="28"/>
              </w:rPr>
              <w:t xml:space="preserve"> kontroles sistēmas kvalitātes, </w:t>
            </w:r>
            <w:r w:rsidRPr="00E07A59">
              <w:rPr>
                <w:sz w:val="28"/>
                <w:szCs w:val="28"/>
              </w:rPr>
              <w:t>izmaksas var svārstīties no 100 EUR līdz vairākiem tūkstošiem EUR.</w:t>
            </w:r>
            <w:r w:rsidR="00857342" w:rsidRPr="00E07A59">
              <w:rPr>
                <w:sz w:val="28"/>
                <w:szCs w:val="28"/>
              </w:rPr>
              <w:t xml:space="preserve"> Pieņemot, ka tirgū pakalpojumu sniegs </w:t>
            </w:r>
            <w:r w:rsidR="00BC47CE" w:rsidRPr="00E07A59">
              <w:rPr>
                <w:sz w:val="28"/>
                <w:szCs w:val="28"/>
              </w:rPr>
              <w:t>ne vairāk kā 5</w:t>
            </w:r>
            <w:r w:rsidR="00857342" w:rsidRPr="00E07A59">
              <w:rPr>
                <w:sz w:val="28"/>
                <w:szCs w:val="28"/>
              </w:rPr>
              <w:t xml:space="preserve"> komersanti ar vidēju riska līmeni, kopējās atbilstības izmaksas varētu veidot vismaz 2000 EUR.</w:t>
            </w:r>
          </w:p>
        </w:tc>
      </w:tr>
      <w:tr w:rsidR="00AB28E9" w:rsidRPr="00E07A59" w14:paraId="6D2DD036" w14:textId="77777777" w:rsidTr="00712749">
        <w:tc>
          <w:tcPr>
            <w:tcW w:w="311" w:type="pct"/>
            <w:hideMark/>
          </w:tcPr>
          <w:p w14:paraId="79B8D698" w14:textId="77777777" w:rsidR="00AB28E9" w:rsidRPr="00E07A59" w:rsidRDefault="00AB28E9" w:rsidP="00AB28E9">
            <w:pPr>
              <w:jc w:val="center"/>
              <w:rPr>
                <w:sz w:val="28"/>
                <w:szCs w:val="28"/>
              </w:rPr>
            </w:pPr>
            <w:r w:rsidRPr="00E07A59">
              <w:rPr>
                <w:sz w:val="28"/>
                <w:szCs w:val="28"/>
              </w:rPr>
              <w:t>5.</w:t>
            </w:r>
          </w:p>
        </w:tc>
        <w:tc>
          <w:tcPr>
            <w:tcW w:w="1479" w:type="pct"/>
            <w:hideMark/>
          </w:tcPr>
          <w:p w14:paraId="430D8B0A" w14:textId="77777777" w:rsidR="00AB28E9" w:rsidRPr="00E07A59" w:rsidRDefault="00AB28E9" w:rsidP="00AB28E9">
            <w:pPr>
              <w:rPr>
                <w:sz w:val="28"/>
                <w:szCs w:val="28"/>
              </w:rPr>
            </w:pPr>
            <w:r w:rsidRPr="00E07A59">
              <w:rPr>
                <w:sz w:val="28"/>
                <w:szCs w:val="28"/>
              </w:rPr>
              <w:t>Cita informācija</w:t>
            </w:r>
          </w:p>
        </w:tc>
        <w:tc>
          <w:tcPr>
            <w:tcW w:w="3210" w:type="pct"/>
          </w:tcPr>
          <w:p w14:paraId="799BE85A" w14:textId="77777777" w:rsidR="00AB28E9" w:rsidRPr="00E07A59" w:rsidRDefault="00AB28E9" w:rsidP="00AB28E9">
            <w:pPr>
              <w:rPr>
                <w:sz w:val="28"/>
                <w:szCs w:val="28"/>
              </w:rPr>
            </w:pPr>
            <w:r w:rsidRPr="00E07A59">
              <w:rPr>
                <w:sz w:val="28"/>
                <w:szCs w:val="28"/>
              </w:rPr>
              <w:t>Nav</w:t>
            </w:r>
            <w:r w:rsidR="009B19DA" w:rsidRPr="00E07A59">
              <w:rPr>
                <w:sz w:val="28"/>
                <w:szCs w:val="28"/>
              </w:rPr>
              <w:t>.</w:t>
            </w:r>
          </w:p>
        </w:tc>
      </w:tr>
    </w:tbl>
    <w:p w14:paraId="119989DA" w14:textId="77777777" w:rsidR="00BD5588" w:rsidRPr="00E07A59" w:rsidRDefault="00BD5588" w:rsidP="00BA0924">
      <w:pPr>
        <w:pStyle w:val="Title"/>
        <w:ind w:firstLine="539"/>
        <w:jc w:val="both"/>
        <w:rPr>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A13E23" w:rsidRPr="00E07A59" w14:paraId="1A0AC65D" w14:textId="77777777" w:rsidTr="009F0237">
        <w:trPr>
          <w:cantSplit/>
        </w:trPr>
        <w:tc>
          <w:tcPr>
            <w:tcW w:w="9131" w:type="dxa"/>
            <w:shd w:val="clear" w:color="auto" w:fill="auto"/>
            <w:vAlign w:val="center"/>
            <w:hideMark/>
          </w:tcPr>
          <w:p w14:paraId="1609086E" w14:textId="77777777" w:rsidR="006534C1" w:rsidRPr="00E07A59" w:rsidRDefault="00046E08" w:rsidP="002E47AB">
            <w:pPr>
              <w:jc w:val="center"/>
              <w:rPr>
                <w:b/>
                <w:bCs/>
                <w:sz w:val="28"/>
                <w:szCs w:val="28"/>
                <w:lang w:eastAsia="en-US"/>
              </w:rPr>
            </w:pPr>
            <w:r w:rsidRPr="00E07A59">
              <w:rPr>
                <w:b/>
                <w:bCs/>
                <w:sz w:val="28"/>
                <w:szCs w:val="28"/>
                <w:lang w:eastAsia="en-US"/>
              </w:rPr>
              <w:t xml:space="preserve">III. Tiesību akta projekta ietekme uz valsts budžetu un </w:t>
            </w:r>
          </w:p>
          <w:p w14:paraId="4A4A28C4" w14:textId="73952A51" w:rsidR="00AC6695" w:rsidRPr="00E07A59" w:rsidRDefault="00046E08" w:rsidP="002E47AB">
            <w:pPr>
              <w:jc w:val="center"/>
              <w:rPr>
                <w:b/>
                <w:bCs/>
                <w:sz w:val="28"/>
                <w:szCs w:val="28"/>
                <w:lang w:eastAsia="en-US"/>
              </w:rPr>
            </w:pPr>
            <w:r w:rsidRPr="00E07A59">
              <w:rPr>
                <w:b/>
                <w:bCs/>
                <w:sz w:val="28"/>
                <w:szCs w:val="28"/>
                <w:lang w:eastAsia="en-US"/>
              </w:rPr>
              <w:t>pašvaldību budžetiem</w:t>
            </w:r>
          </w:p>
        </w:tc>
      </w:tr>
      <w:tr w:rsidR="00A13E23" w:rsidRPr="00E07A59" w14:paraId="0C879BC0" w14:textId="77777777" w:rsidTr="009F0237">
        <w:trPr>
          <w:cantSplit/>
        </w:trPr>
        <w:tc>
          <w:tcPr>
            <w:tcW w:w="9131" w:type="dxa"/>
            <w:shd w:val="clear" w:color="auto" w:fill="auto"/>
            <w:vAlign w:val="center"/>
          </w:tcPr>
          <w:p w14:paraId="2A68AB7D" w14:textId="0B4F901D" w:rsidR="00AC6695" w:rsidRPr="00E07A59" w:rsidRDefault="00046E08" w:rsidP="002E47AB">
            <w:pPr>
              <w:jc w:val="center"/>
              <w:rPr>
                <w:b/>
                <w:bCs/>
                <w:sz w:val="28"/>
                <w:szCs w:val="28"/>
                <w:lang w:eastAsia="en-US"/>
              </w:rPr>
            </w:pPr>
            <w:r w:rsidRPr="00E07A59">
              <w:rPr>
                <w:bCs/>
                <w:sz w:val="28"/>
                <w:szCs w:val="28"/>
                <w:lang w:eastAsia="en-US"/>
              </w:rPr>
              <w:t>P</w:t>
            </w:r>
            <w:r w:rsidR="00AC6695" w:rsidRPr="00E07A59">
              <w:rPr>
                <w:bCs/>
                <w:sz w:val="28"/>
                <w:szCs w:val="28"/>
                <w:lang w:eastAsia="en-US"/>
              </w:rPr>
              <w:t>rojekts šo jomu neskar</w:t>
            </w:r>
            <w:r w:rsidR="009B19DA" w:rsidRPr="00E07A59">
              <w:rPr>
                <w:bCs/>
                <w:sz w:val="28"/>
                <w:szCs w:val="28"/>
                <w:lang w:eastAsia="en-US"/>
              </w:rPr>
              <w:t>.</w:t>
            </w:r>
          </w:p>
        </w:tc>
      </w:tr>
      <w:tr w:rsidR="00A13E23" w:rsidRPr="00E07A59" w14:paraId="3C4310E1" w14:textId="77777777" w:rsidTr="009F0237">
        <w:trPr>
          <w:cantSplit/>
        </w:trPr>
        <w:tc>
          <w:tcPr>
            <w:tcW w:w="9131" w:type="dxa"/>
            <w:tcBorders>
              <w:left w:val="nil"/>
              <w:right w:val="nil"/>
            </w:tcBorders>
            <w:shd w:val="clear" w:color="auto" w:fill="auto"/>
            <w:vAlign w:val="center"/>
          </w:tcPr>
          <w:p w14:paraId="496ED736" w14:textId="77777777" w:rsidR="00AC6695" w:rsidRPr="00E07A59" w:rsidRDefault="00AC6695" w:rsidP="002E47AB">
            <w:pPr>
              <w:jc w:val="center"/>
              <w:rPr>
                <w:b/>
                <w:bCs/>
                <w:sz w:val="28"/>
                <w:szCs w:val="28"/>
                <w:lang w:eastAsia="en-US"/>
              </w:rPr>
            </w:pPr>
          </w:p>
        </w:tc>
      </w:tr>
      <w:tr w:rsidR="00A13E23" w:rsidRPr="00E07A59" w14:paraId="25311D4A" w14:textId="77777777" w:rsidTr="009F0237">
        <w:tblPrEx>
          <w:tblCellMar>
            <w:top w:w="30" w:type="dxa"/>
            <w:left w:w="30" w:type="dxa"/>
            <w:bottom w:w="30" w:type="dxa"/>
            <w:right w:w="30" w:type="dxa"/>
          </w:tblCellMar>
        </w:tblPrEx>
        <w:trPr>
          <w:cantSplit/>
        </w:trPr>
        <w:tc>
          <w:tcPr>
            <w:tcW w:w="9131" w:type="dxa"/>
            <w:vAlign w:val="center"/>
            <w:hideMark/>
          </w:tcPr>
          <w:p w14:paraId="73EB4E8B" w14:textId="16FB0DEC" w:rsidR="00AC6695" w:rsidRPr="00E07A59" w:rsidRDefault="00B84904" w:rsidP="002E47AB">
            <w:pPr>
              <w:jc w:val="center"/>
              <w:rPr>
                <w:b/>
                <w:bCs/>
                <w:sz w:val="28"/>
                <w:szCs w:val="28"/>
              </w:rPr>
            </w:pPr>
            <w:r w:rsidRPr="00E07A59">
              <w:rPr>
                <w:b/>
                <w:bCs/>
                <w:sz w:val="28"/>
                <w:szCs w:val="28"/>
              </w:rPr>
              <w:t>IV. Tiesību akta projekta ietekme uz spēkā esošo tiesību normu sistēmu</w:t>
            </w:r>
          </w:p>
        </w:tc>
      </w:tr>
      <w:tr w:rsidR="00A13E23" w:rsidRPr="00E07A59" w14:paraId="1B0F98C9" w14:textId="77777777" w:rsidTr="009F0237">
        <w:tblPrEx>
          <w:tblCellMar>
            <w:top w:w="30" w:type="dxa"/>
            <w:left w:w="30" w:type="dxa"/>
            <w:bottom w:w="30" w:type="dxa"/>
            <w:right w:w="30" w:type="dxa"/>
          </w:tblCellMar>
        </w:tblPrEx>
        <w:trPr>
          <w:cantSplit/>
          <w:trHeight w:val="389"/>
        </w:trPr>
        <w:tc>
          <w:tcPr>
            <w:tcW w:w="9131" w:type="dxa"/>
            <w:hideMark/>
          </w:tcPr>
          <w:p w14:paraId="40ABD4CD" w14:textId="42DEEFC5" w:rsidR="003915BC" w:rsidRPr="00E07A59" w:rsidRDefault="002837F1" w:rsidP="003915BC">
            <w:pPr>
              <w:jc w:val="center"/>
              <w:rPr>
                <w:sz w:val="28"/>
                <w:szCs w:val="28"/>
              </w:rPr>
            </w:pPr>
            <w:r w:rsidRPr="00E07A59">
              <w:rPr>
                <w:bCs/>
                <w:sz w:val="28"/>
                <w:szCs w:val="28"/>
                <w:lang w:eastAsia="en-US"/>
              </w:rPr>
              <w:t>P</w:t>
            </w:r>
            <w:r w:rsidR="003915BC" w:rsidRPr="00E07A59">
              <w:rPr>
                <w:bCs/>
                <w:sz w:val="28"/>
                <w:szCs w:val="28"/>
                <w:lang w:eastAsia="en-US"/>
              </w:rPr>
              <w:t>rojekts šo jomu neskar.</w:t>
            </w:r>
          </w:p>
        </w:tc>
      </w:tr>
    </w:tbl>
    <w:p w14:paraId="46BF956D" w14:textId="77777777" w:rsidR="00AC6695" w:rsidRPr="00E07A59" w:rsidRDefault="00AC6695" w:rsidP="00BA0924">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13E23" w:rsidRPr="00E07A59" w14:paraId="73AE3861" w14:textId="77777777" w:rsidTr="002E47AB">
        <w:trPr>
          <w:cantSplit/>
        </w:trPr>
        <w:tc>
          <w:tcPr>
            <w:tcW w:w="5000" w:type="pct"/>
            <w:vAlign w:val="center"/>
            <w:hideMark/>
          </w:tcPr>
          <w:p w14:paraId="0FE8BB2A" w14:textId="77777777" w:rsidR="006534C1" w:rsidRPr="00E07A59" w:rsidRDefault="004273D6" w:rsidP="002E47AB">
            <w:pPr>
              <w:jc w:val="center"/>
              <w:rPr>
                <w:b/>
                <w:sz w:val="28"/>
                <w:szCs w:val="28"/>
              </w:rPr>
            </w:pPr>
            <w:r w:rsidRPr="00E07A59">
              <w:rPr>
                <w:b/>
                <w:sz w:val="28"/>
                <w:szCs w:val="28"/>
              </w:rPr>
              <w:t xml:space="preserve">V. Tiesību akta projekta atbilstība Latvijas Republikas </w:t>
            </w:r>
          </w:p>
          <w:p w14:paraId="3ED45ADA" w14:textId="6E60E39E" w:rsidR="00AC6695" w:rsidRPr="00E07A59" w:rsidRDefault="004273D6" w:rsidP="002E47AB">
            <w:pPr>
              <w:jc w:val="center"/>
              <w:rPr>
                <w:b/>
                <w:bCs/>
                <w:sz w:val="28"/>
                <w:szCs w:val="28"/>
              </w:rPr>
            </w:pPr>
            <w:r w:rsidRPr="00E07A59">
              <w:rPr>
                <w:b/>
                <w:sz w:val="28"/>
                <w:szCs w:val="28"/>
              </w:rPr>
              <w:t>starptautiskajām saistībām</w:t>
            </w:r>
          </w:p>
        </w:tc>
      </w:tr>
      <w:tr w:rsidR="00AC6695" w:rsidRPr="00E07A59" w14:paraId="45E9D9F9" w14:textId="77777777" w:rsidTr="002E47AB">
        <w:trPr>
          <w:cantSplit/>
        </w:trPr>
        <w:tc>
          <w:tcPr>
            <w:tcW w:w="5000" w:type="pct"/>
            <w:vAlign w:val="center"/>
          </w:tcPr>
          <w:p w14:paraId="7DB5E39C" w14:textId="43DB6A64" w:rsidR="00AC6695" w:rsidRPr="00E07A59" w:rsidRDefault="004F77BE" w:rsidP="002E47AB">
            <w:pPr>
              <w:jc w:val="center"/>
              <w:rPr>
                <w:b/>
                <w:bCs/>
                <w:sz w:val="28"/>
                <w:szCs w:val="28"/>
                <w:lang w:eastAsia="en-US"/>
              </w:rPr>
            </w:pPr>
            <w:r w:rsidRPr="00E07A59">
              <w:rPr>
                <w:bCs/>
                <w:sz w:val="28"/>
                <w:szCs w:val="28"/>
                <w:lang w:eastAsia="en-US"/>
              </w:rPr>
              <w:t>P</w:t>
            </w:r>
            <w:r w:rsidR="00AC6695" w:rsidRPr="00E07A59">
              <w:rPr>
                <w:bCs/>
                <w:sz w:val="28"/>
                <w:szCs w:val="28"/>
                <w:lang w:eastAsia="en-US"/>
              </w:rPr>
              <w:t>rojekts šo jomu neskar</w:t>
            </w:r>
            <w:r w:rsidR="009B19DA" w:rsidRPr="00E07A59">
              <w:rPr>
                <w:bCs/>
                <w:sz w:val="28"/>
                <w:szCs w:val="28"/>
                <w:lang w:eastAsia="en-US"/>
              </w:rPr>
              <w:t>.</w:t>
            </w:r>
          </w:p>
        </w:tc>
      </w:tr>
    </w:tbl>
    <w:p w14:paraId="375BFA80" w14:textId="77777777" w:rsidR="00AC6695" w:rsidRPr="00E07A59" w:rsidRDefault="00AC6695" w:rsidP="00BA0924">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
        <w:gridCol w:w="2411"/>
        <w:gridCol w:w="6406"/>
      </w:tblGrid>
      <w:tr w:rsidR="00A13E23" w:rsidRPr="00E07A59" w14:paraId="1CA4A28C" w14:textId="77777777" w:rsidTr="00536F6C">
        <w:trPr>
          <w:cantSplit/>
        </w:trPr>
        <w:tc>
          <w:tcPr>
            <w:tcW w:w="5000" w:type="pct"/>
            <w:gridSpan w:val="3"/>
            <w:vAlign w:val="center"/>
            <w:hideMark/>
          </w:tcPr>
          <w:p w14:paraId="5EA5E08E" w14:textId="0517AB32" w:rsidR="00AC6695" w:rsidRPr="00E07A59" w:rsidRDefault="00140C84" w:rsidP="002E47AB">
            <w:pPr>
              <w:jc w:val="center"/>
              <w:rPr>
                <w:b/>
                <w:bCs/>
                <w:sz w:val="28"/>
                <w:szCs w:val="28"/>
              </w:rPr>
            </w:pPr>
            <w:r w:rsidRPr="00E07A59">
              <w:rPr>
                <w:b/>
                <w:bCs/>
                <w:sz w:val="28"/>
                <w:szCs w:val="28"/>
              </w:rPr>
              <w:t>VI. Sabiedrības līdzdalība un komunikācijas aktivitātes</w:t>
            </w:r>
          </w:p>
        </w:tc>
      </w:tr>
      <w:tr w:rsidR="00A13E23" w:rsidRPr="00E07A59" w14:paraId="408B8CA7" w14:textId="77777777" w:rsidTr="00536F6C">
        <w:trPr>
          <w:cantSplit/>
        </w:trPr>
        <w:tc>
          <w:tcPr>
            <w:tcW w:w="172" w:type="pct"/>
            <w:hideMark/>
          </w:tcPr>
          <w:p w14:paraId="72FC8B1B" w14:textId="77777777" w:rsidR="00D433E2" w:rsidRPr="00E07A59" w:rsidRDefault="00D433E2" w:rsidP="00D433E2">
            <w:pPr>
              <w:jc w:val="center"/>
              <w:rPr>
                <w:sz w:val="28"/>
                <w:szCs w:val="28"/>
              </w:rPr>
            </w:pPr>
            <w:r w:rsidRPr="00E07A59">
              <w:rPr>
                <w:sz w:val="28"/>
                <w:szCs w:val="28"/>
              </w:rPr>
              <w:t>1.</w:t>
            </w:r>
          </w:p>
        </w:tc>
        <w:tc>
          <w:tcPr>
            <w:tcW w:w="1320" w:type="pct"/>
            <w:hideMark/>
          </w:tcPr>
          <w:p w14:paraId="5D717821" w14:textId="0A03EC25" w:rsidR="00D433E2" w:rsidRPr="00E07A59" w:rsidRDefault="00C97A60" w:rsidP="00D433E2">
            <w:pPr>
              <w:rPr>
                <w:sz w:val="28"/>
                <w:szCs w:val="28"/>
                <w:highlight w:val="red"/>
              </w:rPr>
            </w:pPr>
            <w:r w:rsidRPr="00E07A59">
              <w:rPr>
                <w:sz w:val="28"/>
                <w:szCs w:val="28"/>
              </w:rPr>
              <w:t>Plānotās sabiedrības līdzdalības un komunikācijas aktivitātes saistībā ar projektu</w:t>
            </w:r>
          </w:p>
        </w:tc>
        <w:tc>
          <w:tcPr>
            <w:tcW w:w="3508" w:type="pct"/>
          </w:tcPr>
          <w:p w14:paraId="651A646D" w14:textId="136AF7F9" w:rsidR="00655CAB" w:rsidRPr="00E07A59" w:rsidRDefault="00143318" w:rsidP="00F85550">
            <w:pPr>
              <w:jc w:val="both"/>
              <w:rPr>
                <w:sz w:val="28"/>
                <w:szCs w:val="28"/>
                <w:highlight w:val="red"/>
              </w:rPr>
            </w:pPr>
            <w:r w:rsidRPr="00E07A59">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A13E23" w:rsidRPr="00E07A59" w14:paraId="49642786" w14:textId="77777777" w:rsidTr="00536F6C">
        <w:trPr>
          <w:cantSplit/>
        </w:trPr>
        <w:tc>
          <w:tcPr>
            <w:tcW w:w="172" w:type="pct"/>
            <w:hideMark/>
          </w:tcPr>
          <w:p w14:paraId="449FC174" w14:textId="77777777" w:rsidR="00D433E2" w:rsidRPr="00E07A59" w:rsidRDefault="00D433E2" w:rsidP="00D433E2">
            <w:pPr>
              <w:jc w:val="center"/>
              <w:rPr>
                <w:sz w:val="28"/>
                <w:szCs w:val="28"/>
              </w:rPr>
            </w:pPr>
            <w:r w:rsidRPr="00E07A59">
              <w:rPr>
                <w:sz w:val="28"/>
                <w:szCs w:val="28"/>
              </w:rPr>
              <w:t>2.</w:t>
            </w:r>
          </w:p>
        </w:tc>
        <w:tc>
          <w:tcPr>
            <w:tcW w:w="1320" w:type="pct"/>
            <w:hideMark/>
          </w:tcPr>
          <w:p w14:paraId="3FCD505D" w14:textId="77777777" w:rsidR="00D433E2" w:rsidRPr="00E07A59" w:rsidRDefault="00D433E2" w:rsidP="00D433E2">
            <w:pPr>
              <w:rPr>
                <w:sz w:val="28"/>
                <w:szCs w:val="28"/>
                <w:highlight w:val="lightGray"/>
              </w:rPr>
            </w:pPr>
            <w:r w:rsidRPr="00E07A59">
              <w:rPr>
                <w:sz w:val="28"/>
                <w:szCs w:val="28"/>
              </w:rPr>
              <w:t>Sabiedrības līdzdalība projekta izstrādē</w:t>
            </w:r>
          </w:p>
        </w:tc>
        <w:tc>
          <w:tcPr>
            <w:tcW w:w="3508" w:type="pct"/>
          </w:tcPr>
          <w:p w14:paraId="0AFAA402" w14:textId="19F8A7C3" w:rsidR="00536F6C" w:rsidRPr="00E07A59" w:rsidRDefault="00536F6C" w:rsidP="00536F6C">
            <w:pPr>
              <w:jc w:val="both"/>
              <w:rPr>
                <w:sz w:val="28"/>
                <w:szCs w:val="28"/>
              </w:rPr>
            </w:pPr>
            <w:r w:rsidRPr="00E07A59">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w:t>
            </w:r>
            <w:r w:rsidR="00E07A59" w:rsidRPr="00E07A59">
              <w:rPr>
                <w:sz w:val="28"/>
                <w:szCs w:val="28"/>
              </w:rPr>
              <w:t>2017</w:t>
            </w:r>
            <w:r w:rsidRPr="00E07A59">
              <w:rPr>
                <w:sz w:val="28"/>
                <w:szCs w:val="28"/>
              </w:rPr>
              <w:t>.gada</w:t>
            </w:r>
            <w:r w:rsidR="00E07A59" w:rsidRPr="00E07A59">
              <w:rPr>
                <w:sz w:val="28"/>
                <w:szCs w:val="28"/>
              </w:rPr>
              <w:t xml:space="preserve"> </w:t>
            </w:r>
            <w:r w:rsidR="00182B23">
              <w:rPr>
                <w:sz w:val="28"/>
                <w:szCs w:val="28"/>
              </w:rPr>
              <w:t>22</w:t>
            </w:r>
            <w:r w:rsidR="00E07A59" w:rsidRPr="00E07A59">
              <w:rPr>
                <w:sz w:val="28"/>
                <w:szCs w:val="28"/>
              </w:rPr>
              <w:t>.maijā</w:t>
            </w:r>
            <w:r w:rsidRPr="00E07A59">
              <w:rPr>
                <w:sz w:val="28"/>
                <w:szCs w:val="28"/>
              </w:rPr>
              <w:t xml:space="preserve"> ievietots </w:t>
            </w:r>
            <w:proofErr w:type="spellStart"/>
            <w:r w:rsidRPr="00E07A59">
              <w:rPr>
                <w:sz w:val="28"/>
                <w:szCs w:val="28"/>
              </w:rPr>
              <w:t>Iekšlietu</w:t>
            </w:r>
            <w:proofErr w:type="spellEnd"/>
            <w:r w:rsidRPr="00E07A59">
              <w:rPr>
                <w:sz w:val="28"/>
                <w:szCs w:val="28"/>
              </w:rPr>
              <w:t xml:space="preserve"> ministrijas mājas lapā sadaļā „Sabiedrības līdzdalība” </w:t>
            </w:r>
            <w:proofErr w:type="spellStart"/>
            <w:r w:rsidRPr="00E07A59">
              <w:rPr>
                <w:sz w:val="28"/>
                <w:szCs w:val="28"/>
              </w:rPr>
              <w:t>apakšsadaļā</w:t>
            </w:r>
            <w:proofErr w:type="spellEnd"/>
            <w:r w:rsidRPr="00E07A59">
              <w:rPr>
                <w:sz w:val="28"/>
                <w:szCs w:val="28"/>
              </w:rPr>
              <w:t xml:space="preserve"> ”Diskusiju dokumenti”, tīmekļvietnes adrese: </w:t>
            </w:r>
            <w:hyperlink r:id="rId8" w:history="1">
              <w:r w:rsidR="00E07A59" w:rsidRPr="00E07A59">
                <w:rPr>
                  <w:rStyle w:val="Hyperlink"/>
                  <w:sz w:val="28"/>
                  <w:szCs w:val="28"/>
                </w:rPr>
                <w:t>http://www.iem.gov.lv/lat/sadarbiba_ar_nvo/diskusiju_dokumenti/?doc=42027</w:t>
              </w:r>
            </w:hyperlink>
            <w:r w:rsidR="00E07A59" w:rsidRPr="00E07A59">
              <w:rPr>
                <w:sz w:val="28"/>
                <w:szCs w:val="28"/>
              </w:rPr>
              <w:t xml:space="preserve"> .</w:t>
            </w:r>
          </w:p>
          <w:p w14:paraId="4290D5BA" w14:textId="15AD7819" w:rsidR="00D433E2" w:rsidRPr="00E07A59" w:rsidRDefault="00536F6C" w:rsidP="00282BD7">
            <w:pPr>
              <w:jc w:val="both"/>
              <w:rPr>
                <w:sz w:val="28"/>
                <w:szCs w:val="28"/>
                <w:highlight w:val="red"/>
              </w:rPr>
            </w:pPr>
            <w:proofErr w:type="spellStart"/>
            <w:r w:rsidRPr="00E07A59">
              <w:rPr>
                <w:sz w:val="28"/>
                <w:szCs w:val="28"/>
              </w:rPr>
              <w:t>Iekšlietu</w:t>
            </w:r>
            <w:proofErr w:type="spellEnd"/>
            <w:r w:rsidRPr="00E07A59">
              <w:rPr>
                <w:sz w:val="28"/>
                <w:szCs w:val="28"/>
              </w:rPr>
              <w:t xml:space="preserve"> ministrija, izpildot Ministru kabineta 2009.gada 25.augusta noteikumu Nr.970 ”Sabiedrības līdzdalības kārtība attīstības plānošanas procesā” 14.punktu, projektu </w:t>
            </w:r>
            <w:r w:rsidR="00282BD7" w:rsidRPr="00E07A59">
              <w:rPr>
                <w:sz w:val="28"/>
                <w:szCs w:val="28"/>
              </w:rPr>
              <w:t>2017</w:t>
            </w:r>
            <w:r w:rsidRPr="00E07A59">
              <w:rPr>
                <w:sz w:val="28"/>
                <w:szCs w:val="28"/>
              </w:rPr>
              <w:t>.gada</w:t>
            </w:r>
            <w:r w:rsidR="008753C9" w:rsidRPr="00E07A59">
              <w:rPr>
                <w:sz w:val="28"/>
                <w:szCs w:val="28"/>
              </w:rPr>
              <w:t xml:space="preserve"> </w:t>
            </w:r>
            <w:r w:rsidR="00282BD7" w:rsidRPr="00E07A59">
              <w:rPr>
                <w:sz w:val="28"/>
                <w:szCs w:val="28"/>
              </w:rPr>
              <w:t>15</w:t>
            </w:r>
            <w:r w:rsidRPr="00E07A59">
              <w:rPr>
                <w:sz w:val="28"/>
                <w:szCs w:val="28"/>
              </w:rPr>
              <w:t>.</w:t>
            </w:r>
            <w:r w:rsidR="00282BD7" w:rsidRPr="00E07A59">
              <w:rPr>
                <w:sz w:val="28"/>
                <w:szCs w:val="28"/>
              </w:rPr>
              <w:t>jūnijā</w:t>
            </w:r>
            <w:r w:rsidRPr="00E07A59">
              <w:rPr>
                <w:sz w:val="28"/>
                <w:szCs w:val="28"/>
              </w:rPr>
              <w:t xml:space="preserve"> nosūtīja Valsts kancelejai </w:t>
            </w:r>
            <w:hyperlink r:id="rId9" w:history="1">
              <w:r w:rsidR="00282BD7" w:rsidRPr="00E07A59">
                <w:rPr>
                  <w:rStyle w:val="Hyperlink"/>
                  <w:sz w:val="28"/>
                  <w:szCs w:val="28"/>
                </w:rPr>
                <w:t>http://tap.mk.gov.lv/mk/vsssanaksmes/saraksts/darbakartiba/?sede=2017-06-15</w:t>
              </w:r>
            </w:hyperlink>
            <w:r w:rsidRPr="00E07A59">
              <w:rPr>
                <w:sz w:val="28"/>
                <w:szCs w:val="28"/>
              </w:rPr>
              <w:t>.</w:t>
            </w:r>
          </w:p>
        </w:tc>
      </w:tr>
      <w:tr w:rsidR="00A13E23" w:rsidRPr="00E07A59" w14:paraId="334156FF" w14:textId="77777777" w:rsidTr="00536F6C">
        <w:trPr>
          <w:cantSplit/>
        </w:trPr>
        <w:tc>
          <w:tcPr>
            <w:tcW w:w="172" w:type="pct"/>
            <w:hideMark/>
          </w:tcPr>
          <w:p w14:paraId="224D0930" w14:textId="77777777" w:rsidR="00AC6695" w:rsidRPr="00E07A59" w:rsidRDefault="00AC6695" w:rsidP="002E47AB">
            <w:pPr>
              <w:jc w:val="center"/>
              <w:rPr>
                <w:sz w:val="28"/>
                <w:szCs w:val="28"/>
              </w:rPr>
            </w:pPr>
            <w:r w:rsidRPr="00E07A59">
              <w:rPr>
                <w:sz w:val="28"/>
                <w:szCs w:val="28"/>
              </w:rPr>
              <w:t>3.</w:t>
            </w:r>
          </w:p>
        </w:tc>
        <w:tc>
          <w:tcPr>
            <w:tcW w:w="1320" w:type="pct"/>
            <w:hideMark/>
          </w:tcPr>
          <w:p w14:paraId="0066312F" w14:textId="77777777" w:rsidR="00AC6695" w:rsidRPr="00E07A59" w:rsidRDefault="00AC6695" w:rsidP="002E47AB">
            <w:pPr>
              <w:rPr>
                <w:sz w:val="28"/>
                <w:szCs w:val="28"/>
                <w:highlight w:val="lightGray"/>
              </w:rPr>
            </w:pPr>
            <w:r w:rsidRPr="00E07A59">
              <w:rPr>
                <w:sz w:val="28"/>
                <w:szCs w:val="28"/>
              </w:rPr>
              <w:t>Sabiedrības līdzdalības rezultāti</w:t>
            </w:r>
          </w:p>
        </w:tc>
        <w:tc>
          <w:tcPr>
            <w:tcW w:w="3508" w:type="pct"/>
          </w:tcPr>
          <w:p w14:paraId="6B799B22" w14:textId="62E25985" w:rsidR="00D908B0" w:rsidRPr="00E07A59" w:rsidRDefault="00CF6ACA" w:rsidP="00D908B0">
            <w:pPr>
              <w:rPr>
                <w:sz w:val="28"/>
                <w:szCs w:val="28"/>
                <w:highlight w:val="red"/>
              </w:rPr>
            </w:pPr>
            <w:r w:rsidRPr="00215EA9">
              <w:rPr>
                <w:sz w:val="28"/>
                <w:szCs w:val="28"/>
              </w:rPr>
              <w:t>Sabiedrības viedoklis par projektu nav saņemts.</w:t>
            </w:r>
          </w:p>
        </w:tc>
      </w:tr>
      <w:tr w:rsidR="00AC6695" w:rsidRPr="00E07A59" w14:paraId="12863604" w14:textId="77777777" w:rsidTr="00536F6C">
        <w:trPr>
          <w:cantSplit/>
        </w:trPr>
        <w:tc>
          <w:tcPr>
            <w:tcW w:w="172" w:type="pct"/>
            <w:hideMark/>
          </w:tcPr>
          <w:p w14:paraId="6CB34F39" w14:textId="77777777" w:rsidR="00AC6695" w:rsidRPr="00E07A59" w:rsidRDefault="00AC6695" w:rsidP="002E47AB">
            <w:pPr>
              <w:jc w:val="center"/>
              <w:rPr>
                <w:sz w:val="28"/>
                <w:szCs w:val="28"/>
              </w:rPr>
            </w:pPr>
            <w:r w:rsidRPr="00E07A59">
              <w:rPr>
                <w:sz w:val="28"/>
                <w:szCs w:val="28"/>
              </w:rPr>
              <w:t>4.</w:t>
            </w:r>
          </w:p>
        </w:tc>
        <w:tc>
          <w:tcPr>
            <w:tcW w:w="1320" w:type="pct"/>
            <w:hideMark/>
          </w:tcPr>
          <w:p w14:paraId="35F32EB3" w14:textId="77777777" w:rsidR="00AC6695" w:rsidRPr="00E07A59" w:rsidRDefault="00AC6695" w:rsidP="002E47AB">
            <w:pPr>
              <w:rPr>
                <w:sz w:val="28"/>
                <w:szCs w:val="28"/>
              </w:rPr>
            </w:pPr>
            <w:r w:rsidRPr="00E07A59">
              <w:rPr>
                <w:sz w:val="28"/>
                <w:szCs w:val="28"/>
              </w:rPr>
              <w:t>Cita informācija</w:t>
            </w:r>
          </w:p>
        </w:tc>
        <w:tc>
          <w:tcPr>
            <w:tcW w:w="3508" w:type="pct"/>
          </w:tcPr>
          <w:p w14:paraId="4D535F92" w14:textId="77777777" w:rsidR="00AC6695" w:rsidRPr="00E07A59" w:rsidRDefault="00AC6695" w:rsidP="002E47AB">
            <w:pPr>
              <w:rPr>
                <w:i/>
                <w:sz w:val="28"/>
                <w:szCs w:val="28"/>
              </w:rPr>
            </w:pPr>
            <w:r w:rsidRPr="00E07A59">
              <w:rPr>
                <w:sz w:val="28"/>
                <w:szCs w:val="28"/>
              </w:rPr>
              <w:t>Nav</w:t>
            </w:r>
            <w:r w:rsidR="009B19DA" w:rsidRPr="00E07A59">
              <w:rPr>
                <w:i/>
                <w:sz w:val="28"/>
                <w:szCs w:val="28"/>
              </w:rPr>
              <w:t>.</w:t>
            </w:r>
          </w:p>
        </w:tc>
      </w:tr>
    </w:tbl>
    <w:p w14:paraId="454A53B4" w14:textId="1EC265D3" w:rsidR="00BD5588" w:rsidRPr="00E07A59" w:rsidRDefault="00BD5588" w:rsidP="00DE0F72">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A13E23" w:rsidRPr="00E07A59" w14:paraId="03981301" w14:textId="77777777" w:rsidTr="009E0502">
        <w:trPr>
          <w:cantSplit/>
        </w:trPr>
        <w:tc>
          <w:tcPr>
            <w:tcW w:w="5000" w:type="pct"/>
            <w:gridSpan w:val="3"/>
            <w:vAlign w:val="center"/>
            <w:hideMark/>
          </w:tcPr>
          <w:p w14:paraId="120DCE27" w14:textId="77777777" w:rsidR="003B4347" w:rsidRPr="00E07A59" w:rsidRDefault="00BD5588" w:rsidP="009E0502">
            <w:pPr>
              <w:jc w:val="center"/>
              <w:rPr>
                <w:b/>
                <w:bCs/>
                <w:sz w:val="28"/>
                <w:szCs w:val="28"/>
              </w:rPr>
            </w:pPr>
            <w:r w:rsidRPr="00E07A59">
              <w:rPr>
                <w:sz w:val="28"/>
                <w:szCs w:val="28"/>
              </w:rPr>
              <w:br w:type="page"/>
            </w:r>
            <w:r w:rsidR="003B4347" w:rsidRPr="00E07A59">
              <w:rPr>
                <w:b/>
                <w:bCs/>
                <w:sz w:val="28"/>
                <w:szCs w:val="28"/>
              </w:rPr>
              <w:t xml:space="preserve">VII. Tiesību akta projekta izpildes nodrošināšana un </w:t>
            </w:r>
          </w:p>
          <w:p w14:paraId="17110922" w14:textId="36AA6039" w:rsidR="00BD5588" w:rsidRPr="00E07A59" w:rsidRDefault="003B4347" w:rsidP="009E0502">
            <w:pPr>
              <w:jc w:val="center"/>
              <w:rPr>
                <w:b/>
                <w:bCs/>
                <w:sz w:val="28"/>
                <w:szCs w:val="28"/>
              </w:rPr>
            </w:pPr>
            <w:r w:rsidRPr="00E07A59">
              <w:rPr>
                <w:b/>
                <w:bCs/>
                <w:sz w:val="28"/>
                <w:szCs w:val="28"/>
              </w:rPr>
              <w:t>tās ietekme uz institūcijām</w:t>
            </w:r>
          </w:p>
        </w:tc>
      </w:tr>
      <w:tr w:rsidR="00A13E23" w:rsidRPr="00E07A59" w14:paraId="7EA3404D" w14:textId="77777777" w:rsidTr="0029553A">
        <w:trPr>
          <w:cantSplit/>
        </w:trPr>
        <w:tc>
          <w:tcPr>
            <w:tcW w:w="311" w:type="pct"/>
            <w:hideMark/>
          </w:tcPr>
          <w:p w14:paraId="7C1DC2EF" w14:textId="77777777" w:rsidR="0029553A" w:rsidRPr="00E07A59" w:rsidRDefault="0029553A" w:rsidP="0029553A">
            <w:pPr>
              <w:jc w:val="center"/>
              <w:rPr>
                <w:sz w:val="28"/>
                <w:szCs w:val="28"/>
              </w:rPr>
            </w:pPr>
            <w:r w:rsidRPr="00E07A59">
              <w:rPr>
                <w:sz w:val="28"/>
                <w:szCs w:val="28"/>
              </w:rPr>
              <w:t>1.</w:t>
            </w:r>
          </w:p>
        </w:tc>
        <w:tc>
          <w:tcPr>
            <w:tcW w:w="1479" w:type="pct"/>
            <w:hideMark/>
          </w:tcPr>
          <w:p w14:paraId="1CCC4629" w14:textId="77777777" w:rsidR="0029553A" w:rsidRPr="00E07A59" w:rsidRDefault="0029553A" w:rsidP="0029553A">
            <w:pPr>
              <w:rPr>
                <w:sz w:val="28"/>
                <w:szCs w:val="28"/>
              </w:rPr>
            </w:pPr>
            <w:r w:rsidRPr="00E07A59">
              <w:rPr>
                <w:sz w:val="28"/>
                <w:szCs w:val="28"/>
              </w:rPr>
              <w:t>Projekta izpildē iesaistītās institūcijas</w:t>
            </w:r>
          </w:p>
        </w:tc>
        <w:tc>
          <w:tcPr>
            <w:tcW w:w="3210" w:type="pct"/>
          </w:tcPr>
          <w:p w14:paraId="62FD7D37" w14:textId="4A77232A" w:rsidR="0029553A" w:rsidRPr="00E07A59" w:rsidRDefault="003915BC" w:rsidP="0029553A">
            <w:pPr>
              <w:rPr>
                <w:sz w:val="28"/>
                <w:szCs w:val="28"/>
              </w:rPr>
            </w:pPr>
            <w:r w:rsidRPr="00E07A59">
              <w:rPr>
                <w:sz w:val="28"/>
                <w:szCs w:val="28"/>
              </w:rPr>
              <w:t>Valsts policija</w:t>
            </w:r>
            <w:r w:rsidR="00F12203" w:rsidRPr="00E07A59">
              <w:rPr>
                <w:sz w:val="28"/>
                <w:szCs w:val="28"/>
              </w:rPr>
              <w:t>.</w:t>
            </w:r>
          </w:p>
          <w:p w14:paraId="396F51D6" w14:textId="06DD5BED" w:rsidR="0029553A" w:rsidRPr="00E07A59" w:rsidRDefault="0029553A" w:rsidP="0029553A">
            <w:pPr>
              <w:rPr>
                <w:sz w:val="28"/>
                <w:szCs w:val="28"/>
              </w:rPr>
            </w:pPr>
          </w:p>
        </w:tc>
      </w:tr>
      <w:tr w:rsidR="00A13E23" w:rsidRPr="00E07A59" w14:paraId="0A6FD393" w14:textId="77777777" w:rsidTr="0029553A">
        <w:trPr>
          <w:cantSplit/>
        </w:trPr>
        <w:tc>
          <w:tcPr>
            <w:tcW w:w="311" w:type="pct"/>
            <w:hideMark/>
          </w:tcPr>
          <w:p w14:paraId="57E6C7B4" w14:textId="77777777" w:rsidR="0029553A" w:rsidRPr="00E07A59" w:rsidRDefault="0029553A" w:rsidP="0029553A">
            <w:pPr>
              <w:jc w:val="center"/>
              <w:rPr>
                <w:sz w:val="28"/>
                <w:szCs w:val="28"/>
              </w:rPr>
            </w:pPr>
            <w:r w:rsidRPr="00E07A59">
              <w:rPr>
                <w:sz w:val="28"/>
                <w:szCs w:val="28"/>
              </w:rPr>
              <w:t>2.</w:t>
            </w:r>
          </w:p>
        </w:tc>
        <w:tc>
          <w:tcPr>
            <w:tcW w:w="1479" w:type="pct"/>
            <w:hideMark/>
          </w:tcPr>
          <w:p w14:paraId="59EE90C0" w14:textId="77777777" w:rsidR="00E07A59" w:rsidRDefault="00636F1F" w:rsidP="00E07A59">
            <w:pPr>
              <w:rPr>
                <w:sz w:val="28"/>
                <w:szCs w:val="28"/>
              </w:rPr>
            </w:pPr>
            <w:r w:rsidRPr="00E07A59">
              <w:rPr>
                <w:sz w:val="28"/>
                <w:szCs w:val="28"/>
              </w:rPr>
              <w:t>Projekta izpildes ietekme uz pārvaldes funkcijām un institucionālo struktūru.</w:t>
            </w:r>
          </w:p>
          <w:p w14:paraId="4B881670" w14:textId="30340B77" w:rsidR="0029553A" w:rsidRPr="00E07A59" w:rsidRDefault="00636F1F" w:rsidP="00E07A59">
            <w:pPr>
              <w:rPr>
                <w:sz w:val="28"/>
                <w:szCs w:val="28"/>
              </w:rPr>
            </w:pPr>
            <w:r w:rsidRPr="00E07A59">
              <w:rPr>
                <w:sz w:val="28"/>
                <w:szCs w:val="28"/>
              </w:rPr>
              <w:t>Jaunu institūciju izveide, esošu institūciju likvidācija vai reorganizācija, to ietekme uz institūcijas cilvēkresursiem</w:t>
            </w:r>
          </w:p>
        </w:tc>
        <w:tc>
          <w:tcPr>
            <w:tcW w:w="3210" w:type="pct"/>
          </w:tcPr>
          <w:p w14:paraId="3ED19C8E" w14:textId="2F08F530" w:rsidR="008D4062" w:rsidRPr="00E07A59" w:rsidRDefault="008D4062" w:rsidP="0029553A">
            <w:pPr>
              <w:jc w:val="both"/>
              <w:rPr>
                <w:sz w:val="28"/>
                <w:szCs w:val="28"/>
              </w:rPr>
            </w:pPr>
            <w:r w:rsidRPr="00E07A59">
              <w:rPr>
                <w:sz w:val="28"/>
                <w:szCs w:val="28"/>
              </w:rPr>
              <w:t>Projekta izpildes rezultātā nav paredzēta esošu institūciju likvidācija vai reorganizācija. Iestāžu institucionālā struktūra netiek ietekmēta, papildus cilvēkresursi nav nepieciešami.</w:t>
            </w:r>
          </w:p>
        </w:tc>
      </w:tr>
      <w:tr w:rsidR="0029553A" w:rsidRPr="00E07A59" w14:paraId="5CE9BBD0" w14:textId="77777777" w:rsidTr="0029553A">
        <w:trPr>
          <w:cantSplit/>
        </w:trPr>
        <w:tc>
          <w:tcPr>
            <w:tcW w:w="311" w:type="pct"/>
            <w:hideMark/>
          </w:tcPr>
          <w:p w14:paraId="7F1455A9" w14:textId="77777777" w:rsidR="0029553A" w:rsidRPr="00E07A59" w:rsidRDefault="0029553A" w:rsidP="0029553A">
            <w:pPr>
              <w:jc w:val="center"/>
              <w:rPr>
                <w:sz w:val="28"/>
                <w:szCs w:val="28"/>
              </w:rPr>
            </w:pPr>
            <w:r w:rsidRPr="00E07A59">
              <w:rPr>
                <w:sz w:val="28"/>
                <w:szCs w:val="28"/>
              </w:rPr>
              <w:t>3.</w:t>
            </w:r>
          </w:p>
        </w:tc>
        <w:tc>
          <w:tcPr>
            <w:tcW w:w="1479" w:type="pct"/>
            <w:hideMark/>
          </w:tcPr>
          <w:p w14:paraId="4A273B7D" w14:textId="77777777" w:rsidR="0029553A" w:rsidRPr="00E07A59" w:rsidRDefault="0029553A" w:rsidP="0029553A">
            <w:pPr>
              <w:rPr>
                <w:sz w:val="28"/>
                <w:szCs w:val="28"/>
              </w:rPr>
            </w:pPr>
            <w:r w:rsidRPr="00E07A59">
              <w:rPr>
                <w:sz w:val="28"/>
                <w:szCs w:val="28"/>
              </w:rPr>
              <w:t>Cita informācija</w:t>
            </w:r>
          </w:p>
        </w:tc>
        <w:tc>
          <w:tcPr>
            <w:tcW w:w="3210" w:type="pct"/>
          </w:tcPr>
          <w:p w14:paraId="5E22176E" w14:textId="77777777" w:rsidR="0029553A" w:rsidRPr="00E07A59" w:rsidRDefault="0029553A" w:rsidP="0029553A">
            <w:pPr>
              <w:rPr>
                <w:sz w:val="28"/>
                <w:szCs w:val="28"/>
              </w:rPr>
            </w:pPr>
            <w:r w:rsidRPr="00E07A59">
              <w:rPr>
                <w:sz w:val="28"/>
                <w:szCs w:val="28"/>
              </w:rPr>
              <w:t>Nav</w:t>
            </w:r>
            <w:r w:rsidR="009B19DA" w:rsidRPr="00E07A59">
              <w:rPr>
                <w:sz w:val="28"/>
                <w:szCs w:val="28"/>
              </w:rPr>
              <w:t>.</w:t>
            </w:r>
          </w:p>
        </w:tc>
      </w:tr>
    </w:tbl>
    <w:p w14:paraId="0030D1BA" w14:textId="77777777" w:rsidR="003915BC" w:rsidRDefault="003915BC" w:rsidP="003915BC">
      <w:pPr>
        <w:tabs>
          <w:tab w:val="left" w:pos="6237"/>
        </w:tabs>
        <w:jc w:val="both"/>
        <w:rPr>
          <w:sz w:val="28"/>
          <w:szCs w:val="28"/>
          <w:lang w:val="de-DE"/>
        </w:rPr>
      </w:pPr>
    </w:p>
    <w:p w14:paraId="26DB3A3D" w14:textId="77777777" w:rsidR="0003620F" w:rsidRDefault="0003620F" w:rsidP="003915BC">
      <w:pPr>
        <w:tabs>
          <w:tab w:val="left" w:pos="6237"/>
        </w:tabs>
        <w:jc w:val="both"/>
        <w:rPr>
          <w:sz w:val="28"/>
          <w:szCs w:val="28"/>
          <w:lang w:val="de-DE"/>
        </w:rPr>
      </w:pPr>
    </w:p>
    <w:p w14:paraId="43560D14" w14:textId="77777777" w:rsidR="0003620F" w:rsidRPr="00E07A59" w:rsidRDefault="0003620F" w:rsidP="003915BC">
      <w:pPr>
        <w:tabs>
          <w:tab w:val="left" w:pos="6237"/>
        </w:tabs>
        <w:jc w:val="both"/>
        <w:rPr>
          <w:sz w:val="28"/>
          <w:szCs w:val="28"/>
          <w:lang w:val="de-DE"/>
        </w:rPr>
      </w:pPr>
    </w:p>
    <w:p w14:paraId="6BEA72C8" w14:textId="5ED7B71E" w:rsidR="003915BC" w:rsidRPr="00E07A59" w:rsidRDefault="003915BC" w:rsidP="003915BC">
      <w:pPr>
        <w:tabs>
          <w:tab w:val="left" w:pos="6237"/>
        </w:tabs>
        <w:jc w:val="both"/>
        <w:rPr>
          <w:sz w:val="28"/>
          <w:szCs w:val="28"/>
        </w:rPr>
      </w:pPr>
      <w:proofErr w:type="spellStart"/>
      <w:r w:rsidRPr="00E07A59">
        <w:rPr>
          <w:sz w:val="28"/>
          <w:szCs w:val="28"/>
        </w:rPr>
        <w:t>Iekšlietu</w:t>
      </w:r>
      <w:proofErr w:type="spellEnd"/>
      <w:r w:rsidRPr="00E07A59">
        <w:rPr>
          <w:sz w:val="28"/>
          <w:szCs w:val="28"/>
        </w:rPr>
        <w:t xml:space="preserve"> ministrs                                                                </w:t>
      </w:r>
      <w:r w:rsidR="00441010" w:rsidRPr="00E07A59">
        <w:rPr>
          <w:sz w:val="28"/>
          <w:szCs w:val="28"/>
        </w:rPr>
        <w:t xml:space="preserve">Sandis </w:t>
      </w:r>
      <w:proofErr w:type="spellStart"/>
      <w:r w:rsidR="00441010" w:rsidRPr="00E07A59">
        <w:rPr>
          <w:sz w:val="28"/>
          <w:szCs w:val="28"/>
        </w:rPr>
        <w:t>Ģirģens</w:t>
      </w:r>
      <w:proofErr w:type="spellEnd"/>
    </w:p>
    <w:p w14:paraId="072F1521" w14:textId="77777777" w:rsidR="00764760" w:rsidRDefault="00764760" w:rsidP="003915BC">
      <w:pPr>
        <w:jc w:val="both"/>
        <w:rPr>
          <w:sz w:val="28"/>
          <w:szCs w:val="28"/>
        </w:rPr>
      </w:pPr>
    </w:p>
    <w:p w14:paraId="574086B7" w14:textId="77777777" w:rsidR="0003620F" w:rsidRDefault="0003620F" w:rsidP="003915BC">
      <w:pPr>
        <w:jc w:val="both"/>
        <w:rPr>
          <w:sz w:val="28"/>
          <w:szCs w:val="28"/>
        </w:rPr>
      </w:pPr>
    </w:p>
    <w:p w14:paraId="617CFB23" w14:textId="77777777" w:rsidR="0003620F" w:rsidRPr="00E07A59" w:rsidRDefault="0003620F" w:rsidP="003915BC">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693"/>
      </w:tblGrid>
      <w:tr w:rsidR="00764760" w:rsidRPr="00E07A59" w14:paraId="621628FB" w14:textId="77777777" w:rsidTr="007B5D4D">
        <w:tc>
          <w:tcPr>
            <w:tcW w:w="6204" w:type="dxa"/>
          </w:tcPr>
          <w:p w14:paraId="7DA85698" w14:textId="77777777" w:rsidR="00764760" w:rsidRPr="00E07A59" w:rsidRDefault="00764760" w:rsidP="00764760">
            <w:pPr>
              <w:tabs>
                <w:tab w:val="left" w:pos="6521"/>
              </w:tabs>
              <w:jc w:val="both"/>
              <w:rPr>
                <w:sz w:val="28"/>
                <w:szCs w:val="28"/>
              </w:rPr>
            </w:pPr>
            <w:r w:rsidRPr="00E07A59">
              <w:rPr>
                <w:sz w:val="28"/>
                <w:szCs w:val="28"/>
              </w:rPr>
              <w:t>Vīza: valsts sekretārs</w:t>
            </w:r>
          </w:p>
        </w:tc>
        <w:tc>
          <w:tcPr>
            <w:tcW w:w="2693" w:type="dxa"/>
          </w:tcPr>
          <w:p w14:paraId="3E0F0A97" w14:textId="77777777" w:rsidR="00764760" w:rsidRPr="00E07A59" w:rsidRDefault="00764760" w:rsidP="00764760">
            <w:pPr>
              <w:tabs>
                <w:tab w:val="left" w:pos="6521"/>
              </w:tabs>
              <w:jc w:val="both"/>
              <w:rPr>
                <w:sz w:val="28"/>
                <w:szCs w:val="28"/>
              </w:rPr>
            </w:pPr>
            <w:r w:rsidRPr="00E07A59">
              <w:rPr>
                <w:sz w:val="28"/>
                <w:szCs w:val="28"/>
              </w:rPr>
              <w:t>Dimitrijs Trofimovs</w:t>
            </w:r>
          </w:p>
        </w:tc>
      </w:tr>
    </w:tbl>
    <w:p w14:paraId="469036AE" w14:textId="77777777" w:rsidR="00E07A59" w:rsidRDefault="00E07A59" w:rsidP="00E07A59">
      <w:pPr>
        <w:jc w:val="both"/>
        <w:rPr>
          <w:sz w:val="18"/>
          <w:szCs w:val="18"/>
        </w:rPr>
      </w:pPr>
    </w:p>
    <w:p w14:paraId="12BB53B2" w14:textId="77777777" w:rsidR="0003620F" w:rsidRDefault="0003620F" w:rsidP="00E07A59">
      <w:pPr>
        <w:jc w:val="both"/>
        <w:rPr>
          <w:sz w:val="18"/>
          <w:szCs w:val="18"/>
        </w:rPr>
      </w:pPr>
    </w:p>
    <w:p w14:paraId="37868F4F" w14:textId="77777777" w:rsidR="0003620F" w:rsidRDefault="0003620F" w:rsidP="00E07A59">
      <w:pPr>
        <w:jc w:val="both"/>
        <w:rPr>
          <w:sz w:val="18"/>
          <w:szCs w:val="18"/>
        </w:rPr>
      </w:pPr>
    </w:p>
    <w:p w14:paraId="403493A7" w14:textId="77777777" w:rsidR="0003620F" w:rsidRDefault="0003620F" w:rsidP="00E07A59">
      <w:pPr>
        <w:jc w:val="both"/>
        <w:rPr>
          <w:sz w:val="18"/>
          <w:szCs w:val="18"/>
        </w:rPr>
      </w:pPr>
    </w:p>
    <w:p w14:paraId="3C115239" w14:textId="77777777" w:rsidR="0003620F" w:rsidRDefault="0003620F" w:rsidP="00E07A59">
      <w:pPr>
        <w:jc w:val="both"/>
        <w:rPr>
          <w:sz w:val="18"/>
          <w:szCs w:val="18"/>
        </w:rPr>
      </w:pPr>
    </w:p>
    <w:p w14:paraId="7F8C2567" w14:textId="77777777" w:rsidR="0003620F" w:rsidRDefault="0003620F" w:rsidP="00E07A59">
      <w:pPr>
        <w:jc w:val="both"/>
        <w:rPr>
          <w:sz w:val="18"/>
          <w:szCs w:val="18"/>
        </w:rPr>
      </w:pPr>
    </w:p>
    <w:p w14:paraId="3E83D24F" w14:textId="77777777" w:rsidR="0003620F" w:rsidRDefault="0003620F" w:rsidP="00E07A59">
      <w:pPr>
        <w:jc w:val="both"/>
        <w:rPr>
          <w:sz w:val="18"/>
          <w:szCs w:val="18"/>
        </w:rPr>
      </w:pPr>
    </w:p>
    <w:p w14:paraId="6227FE22" w14:textId="77777777" w:rsidR="0003620F" w:rsidRDefault="0003620F" w:rsidP="00E07A59">
      <w:pPr>
        <w:jc w:val="both"/>
        <w:rPr>
          <w:sz w:val="18"/>
          <w:szCs w:val="18"/>
        </w:rPr>
      </w:pPr>
    </w:p>
    <w:p w14:paraId="334D4B99" w14:textId="77777777" w:rsidR="0003620F" w:rsidRDefault="0003620F" w:rsidP="00E07A59">
      <w:pPr>
        <w:jc w:val="both"/>
        <w:rPr>
          <w:sz w:val="18"/>
          <w:szCs w:val="18"/>
        </w:rPr>
      </w:pPr>
    </w:p>
    <w:p w14:paraId="3759FFFA" w14:textId="77777777" w:rsidR="0003620F" w:rsidRDefault="0003620F" w:rsidP="00E07A59">
      <w:pPr>
        <w:jc w:val="both"/>
        <w:rPr>
          <w:sz w:val="18"/>
          <w:szCs w:val="18"/>
        </w:rPr>
      </w:pPr>
    </w:p>
    <w:p w14:paraId="12BDFA08" w14:textId="77777777" w:rsidR="0003620F" w:rsidRDefault="0003620F" w:rsidP="00E07A59">
      <w:pPr>
        <w:jc w:val="both"/>
        <w:rPr>
          <w:sz w:val="18"/>
          <w:szCs w:val="18"/>
        </w:rPr>
      </w:pPr>
    </w:p>
    <w:p w14:paraId="1D2DC113" w14:textId="77777777" w:rsidR="0003620F" w:rsidRDefault="0003620F" w:rsidP="00E07A59">
      <w:pPr>
        <w:jc w:val="both"/>
        <w:rPr>
          <w:sz w:val="18"/>
          <w:szCs w:val="18"/>
        </w:rPr>
      </w:pPr>
    </w:p>
    <w:p w14:paraId="7F54CA45" w14:textId="77777777" w:rsidR="0003620F" w:rsidRDefault="0003620F" w:rsidP="00E07A59">
      <w:pPr>
        <w:jc w:val="both"/>
        <w:rPr>
          <w:sz w:val="18"/>
          <w:szCs w:val="18"/>
        </w:rPr>
      </w:pPr>
    </w:p>
    <w:p w14:paraId="72E0A722" w14:textId="77777777" w:rsidR="0003620F" w:rsidRDefault="0003620F" w:rsidP="00E07A59">
      <w:pPr>
        <w:jc w:val="both"/>
        <w:rPr>
          <w:sz w:val="18"/>
          <w:szCs w:val="18"/>
        </w:rPr>
      </w:pPr>
    </w:p>
    <w:p w14:paraId="2F78BD1D" w14:textId="77777777" w:rsidR="0003620F" w:rsidRDefault="0003620F" w:rsidP="00E07A59">
      <w:pPr>
        <w:jc w:val="both"/>
        <w:rPr>
          <w:sz w:val="18"/>
          <w:szCs w:val="18"/>
        </w:rPr>
      </w:pPr>
    </w:p>
    <w:p w14:paraId="45FBBB74" w14:textId="77777777" w:rsidR="0003620F" w:rsidRDefault="0003620F" w:rsidP="00E07A59">
      <w:pPr>
        <w:jc w:val="both"/>
        <w:rPr>
          <w:sz w:val="18"/>
          <w:szCs w:val="18"/>
        </w:rPr>
      </w:pPr>
    </w:p>
    <w:p w14:paraId="06F2C84B" w14:textId="258E8B47" w:rsidR="00E07A59" w:rsidRPr="00E07A59" w:rsidRDefault="00E07A59" w:rsidP="00E07A59">
      <w:pPr>
        <w:jc w:val="both"/>
        <w:rPr>
          <w:sz w:val="18"/>
          <w:szCs w:val="18"/>
        </w:rPr>
      </w:pPr>
      <w:r>
        <w:rPr>
          <w:sz w:val="18"/>
          <w:szCs w:val="18"/>
        </w:rPr>
        <w:t>L</w:t>
      </w:r>
      <w:r w:rsidRPr="00E07A59">
        <w:rPr>
          <w:sz w:val="18"/>
          <w:szCs w:val="18"/>
        </w:rPr>
        <w:t>ejniece-Riekstiņa</w:t>
      </w:r>
      <w:r w:rsidR="003915BC" w:rsidRPr="00E07A59">
        <w:rPr>
          <w:sz w:val="18"/>
          <w:szCs w:val="18"/>
        </w:rPr>
        <w:t>, 67208</w:t>
      </w:r>
      <w:r w:rsidRPr="00E07A59">
        <w:rPr>
          <w:sz w:val="18"/>
          <w:szCs w:val="18"/>
        </w:rPr>
        <w:t>100</w:t>
      </w:r>
    </w:p>
    <w:p w14:paraId="72A6E568" w14:textId="0508D873" w:rsidR="000B0D3B" w:rsidRPr="00E07A59" w:rsidRDefault="00E07A59" w:rsidP="00E07A59">
      <w:pPr>
        <w:jc w:val="both"/>
        <w:rPr>
          <w:sz w:val="18"/>
          <w:szCs w:val="18"/>
        </w:rPr>
      </w:pPr>
      <w:r w:rsidRPr="00E07A59">
        <w:rPr>
          <w:sz w:val="18"/>
          <w:szCs w:val="18"/>
        </w:rPr>
        <w:t xml:space="preserve">dina.lejniece-riekstina@vp.gov.lv </w:t>
      </w:r>
    </w:p>
    <w:p w14:paraId="3AC8ABD4" w14:textId="6EC88D36" w:rsidR="00154A67" w:rsidRPr="00E07A59" w:rsidRDefault="00154A67" w:rsidP="00154A67">
      <w:pPr>
        <w:tabs>
          <w:tab w:val="right" w:pos="9074"/>
        </w:tabs>
        <w:rPr>
          <w:sz w:val="18"/>
          <w:szCs w:val="18"/>
        </w:rPr>
      </w:pPr>
    </w:p>
    <w:sectPr w:rsidR="00154A67" w:rsidRPr="00E07A59" w:rsidSect="0003620F">
      <w:headerReference w:type="default" r:id="rId10"/>
      <w:footerReference w:type="default" r:id="rId11"/>
      <w:footerReference w:type="first" r:id="rId12"/>
      <w:pgSz w:w="11906" w:h="16838"/>
      <w:pgMar w:top="1134" w:right="1134" w:bottom="1134" w:left="1701"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51CB" w14:textId="77777777" w:rsidR="003C2FAD" w:rsidRDefault="003C2FAD" w:rsidP="003A10F7">
      <w:r>
        <w:separator/>
      </w:r>
    </w:p>
  </w:endnote>
  <w:endnote w:type="continuationSeparator" w:id="0">
    <w:p w14:paraId="4E3C27F0" w14:textId="77777777" w:rsidR="003C2FAD" w:rsidRDefault="003C2FAD"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FB1C" w14:textId="7FD1F04F" w:rsidR="003A10F7" w:rsidRPr="00473E29" w:rsidRDefault="00473E29" w:rsidP="00473E29">
    <w:pPr>
      <w:tabs>
        <w:tab w:val="center" w:pos="4153"/>
        <w:tab w:val="right" w:pos="8306"/>
      </w:tabs>
      <w:jc w:val="both"/>
      <w:rPr>
        <w:sz w:val="20"/>
        <w:szCs w:val="20"/>
      </w:rPr>
    </w:pPr>
    <w:r w:rsidRPr="00473E29">
      <w:rPr>
        <w:sz w:val="20"/>
        <w:szCs w:val="20"/>
      </w:rPr>
      <w:t>IEM</w:t>
    </w:r>
    <w:r w:rsidR="0003620F">
      <w:rPr>
        <w:sz w:val="20"/>
        <w:szCs w:val="20"/>
      </w:rPr>
      <w:t>a</w:t>
    </w:r>
    <w:r w:rsidRPr="00473E29">
      <w:rPr>
        <w:sz w:val="20"/>
        <w:szCs w:val="20"/>
      </w:rPr>
      <w:t>not_</w:t>
    </w:r>
    <w:r w:rsidR="00B50849">
      <w:rPr>
        <w:sz w:val="20"/>
        <w:szCs w:val="20"/>
      </w:rPr>
      <w:t>061119</w:t>
    </w:r>
    <w:r>
      <w:rPr>
        <w:sz w:val="20"/>
        <w:szCs w:val="20"/>
      </w:rPr>
      <w:t>_licencesana.</w:t>
    </w:r>
    <w:r w:rsidRPr="00473E29">
      <w:rPr>
        <w:sz w:val="20"/>
        <w:szCs w:val="20"/>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A6F8" w14:textId="426CB498" w:rsidR="00473E29" w:rsidRPr="00473E29" w:rsidRDefault="00473E29" w:rsidP="00473E29">
    <w:pPr>
      <w:tabs>
        <w:tab w:val="center" w:pos="4153"/>
        <w:tab w:val="right" w:pos="8306"/>
      </w:tabs>
      <w:jc w:val="both"/>
      <w:rPr>
        <w:sz w:val="20"/>
        <w:szCs w:val="20"/>
      </w:rPr>
    </w:pPr>
    <w:r w:rsidRPr="00473E29">
      <w:rPr>
        <w:sz w:val="20"/>
        <w:szCs w:val="20"/>
      </w:rPr>
      <w:t>IEMAnot_</w:t>
    </w:r>
    <w:r w:rsidR="002D002A">
      <w:rPr>
        <w:sz w:val="20"/>
        <w:szCs w:val="20"/>
      </w:rPr>
      <w:t>14</w:t>
    </w:r>
    <w:r>
      <w:rPr>
        <w:sz w:val="20"/>
        <w:szCs w:val="20"/>
      </w:rPr>
      <w:t>1019_licencesana.</w:t>
    </w:r>
    <w:r w:rsidRPr="00473E29">
      <w:rPr>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98E0" w14:textId="77777777" w:rsidR="003C2FAD" w:rsidRDefault="003C2FAD" w:rsidP="003A10F7">
      <w:r>
        <w:separator/>
      </w:r>
    </w:p>
  </w:footnote>
  <w:footnote w:type="continuationSeparator" w:id="0">
    <w:p w14:paraId="22DE2678" w14:textId="77777777" w:rsidR="003C2FAD" w:rsidRDefault="003C2FAD" w:rsidP="003A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13338"/>
      <w:docPartObj>
        <w:docPartGallery w:val="Page Numbers (Top of Page)"/>
        <w:docPartUnique/>
      </w:docPartObj>
    </w:sdtPr>
    <w:sdtEndPr/>
    <w:sdtContent>
      <w:p w14:paraId="038B59ED" w14:textId="317091C9" w:rsidR="00E11199" w:rsidRDefault="00E11199">
        <w:pPr>
          <w:pStyle w:val="Header"/>
          <w:jc w:val="center"/>
        </w:pPr>
        <w:r>
          <w:fldChar w:fldCharType="begin"/>
        </w:r>
        <w:r>
          <w:instrText>PAGE   \* MERGEFORMAT</w:instrText>
        </w:r>
        <w:r>
          <w:fldChar w:fldCharType="separate"/>
        </w:r>
        <w:r w:rsidR="0003620F">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84"/>
    <w:multiLevelType w:val="hybridMultilevel"/>
    <w:tmpl w:val="6A0A5CC2"/>
    <w:lvl w:ilvl="0" w:tplc="37C872EC">
      <w:start w:val="20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70688"/>
    <w:multiLevelType w:val="multilevel"/>
    <w:tmpl w:val="AF7EF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E05DC2"/>
    <w:multiLevelType w:val="hybridMultilevel"/>
    <w:tmpl w:val="4D926168"/>
    <w:lvl w:ilvl="0" w:tplc="5D2A8D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00C66"/>
    <w:rsid w:val="00000DA8"/>
    <w:rsid w:val="00006F87"/>
    <w:rsid w:val="00007E25"/>
    <w:rsid w:val="0003620F"/>
    <w:rsid w:val="00046E08"/>
    <w:rsid w:val="00052BAB"/>
    <w:rsid w:val="000551FD"/>
    <w:rsid w:val="00056B3A"/>
    <w:rsid w:val="00064184"/>
    <w:rsid w:val="0006506C"/>
    <w:rsid w:val="00074B24"/>
    <w:rsid w:val="00095AB5"/>
    <w:rsid w:val="00096E53"/>
    <w:rsid w:val="000B0D3B"/>
    <w:rsid w:val="000B1C72"/>
    <w:rsid w:val="000C2190"/>
    <w:rsid w:val="000C31FD"/>
    <w:rsid w:val="000C37DD"/>
    <w:rsid w:val="000D0C78"/>
    <w:rsid w:val="000D26DC"/>
    <w:rsid w:val="000E1321"/>
    <w:rsid w:val="000E6E9D"/>
    <w:rsid w:val="000F5A34"/>
    <w:rsid w:val="000F7C3F"/>
    <w:rsid w:val="001047F7"/>
    <w:rsid w:val="0011304A"/>
    <w:rsid w:val="00116810"/>
    <w:rsid w:val="00140C84"/>
    <w:rsid w:val="00143318"/>
    <w:rsid w:val="00147191"/>
    <w:rsid w:val="0014786E"/>
    <w:rsid w:val="00154A67"/>
    <w:rsid w:val="00165BDC"/>
    <w:rsid w:val="001739BC"/>
    <w:rsid w:val="00177C3F"/>
    <w:rsid w:val="00182B23"/>
    <w:rsid w:val="00187508"/>
    <w:rsid w:val="001A150F"/>
    <w:rsid w:val="001A2DB9"/>
    <w:rsid w:val="001B7106"/>
    <w:rsid w:val="001F604B"/>
    <w:rsid w:val="0023019D"/>
    <w:rsid w:val="002407F4"/>
    <w:rsid w:val="00242ACD"/>
    <w:rsid w:val="00254634"/>
    <w:rsid w:val="002623ED"/>
    <w:rsid w:val="0026401F"/>
    <w:rsid w:val="0026763F"/>
    <w:rsid w:val="00267DC4"/>
    <w:rsid w:val="00271F8B"/>
    <w:rsid w:val="002826EF"/>
    <w:rsid w:val="00282BD7"/>
    <w:rsid w:val="002837F1"/>
    <w:rsid w:val="002846D8"/>
    <w:rsid w:val="0028616B"/>
    <w:rsid w:val="0029553A"/>
    <w:rsid w:val="002A493F"/>
    <w:rsid w:val="002A552D"/>
    <w:rsid w:val="002A62F1"/>
    <w:rsid w:val="002B1C17"/>
    <w:rsid w:val="002B78C6"/>
    <w:rsid w:val="002D002A"/>
    <w:rsid w:val="002D5AFD"/>
    <w:rsid w:val="002F5DB2"/>
    <w:rsid w:val="00310F5F"/>
    <w:rsid w:val="003151A3"/>
    <w:rsid w:val="00341E07"/>
    <w:rsid w:val="00347481"/>
    <w:rsid w:val="0036029C"/>
    <w:rsid w:val="00362551"/>
    <w:rsid w:val="00365D6D"/>
    <w:rsid w:val="0036692F"/>
    <w:rsid w:val="0036797B"/>
    <w:rsid w:val="003915BC"/>
    <w:rsid w:val="0039209D"/>
    <w:rsid w:val="00397A12"/>
    <w:rsid w:val="003A10F7"/>
    <w:rsid w:val="003A6329"/>
    <w:rsid w:val="003B4347"/>
    <w:rsid w:val="003B463D"/>
    <w:rsid w:val="003C2FAD"/>
    <w:rsid w:val="003C57E5"/>
    <w:rsid w:val="003E10DE"/>
    <w:rsid w:val="003F163D"/>
    <w:rsid w:val="003F3AF8"/>
    <w:rsid w:val="003F7AED"/>
    <w:rsid w:val="004242F4"/>
    <w:rsid w:val="004273D6"/>
    <w:rsid w:val="00440E62"/>
    <w:rsid w:val="00441010"/>
    <w:rsid w:val="004615A2"/>
    <w:rsid w:val="00462EE9"/>
    <w:rsid w:val="00464F72"/>
    <w:rsid w:val="00473E29"/>
    <w:rsid w:val="0048203F"/>
    <w:rsid w:val="00494CA8"/>
    <w:rsid w:val="004963A5"/>
    <w:rsid w:val="004A4740"/>
    <w:rsid w:val="004A7F6F"/>
    <w:rsid w:val="004B4A77"/>
    <w:rsid w:val="004C6598"/>
    <w:rsid w:val="004D09AA"/>
    <w:rsid w:val="004D5E51"/>
    <w:rsid w:val="004F0E7C"/>
    <w:rsid w:val="004F77BE"/>
    <w:rsid w:val="004F7933"/>
    <w:rsid w:val="00500E03"/>
    <w:rsid w:val="00505767"/>
    <w:rsid w:val="00522D01"/>
    <w:rsid w:val="00524C90"/>
    <w:rsid w:val="00531D83"/>
    <w:rsid w:val="00533033"/>
    <w:rsid w:val="00536718"/>
    <w:rsid w:val="00536F6C"/>
    <w:rsid w:val="00537AAC"/>
    <w:rsid w:val="00540E61"/>
    <w:rsid w:val="00545E39"/>
    <w:rsid w:val="00566DED"/>
    <w:rsid w:val="00572B0D"/>
    <w:rsid w:val="00582C51"/>
    <w:rsid w:val="005830CD"/>
    <w:rsid w:val="00590D02"/>
    <w:rsid w:val="00593C75"/>
    <w:rsid w:val="005C1E24"/>
    <w:rsid w:val="005C302C"/>
    <w:rsid w:val="005D1C4E"/>
    <w:rsid w:val="005D319F"/>
    <w:rsid w:val="005D4025"/>
    <w:rsid w:val="005F2047"/>
    <w:rsid w:val="005F3DE4"/>
    <w:rsid w:val="005F56D5"/>
    <w:rsid w:val="00601871"/>
    <w:rsid w:val="00612E3C"/>
    <w:rsid w:val="0062193D"/>
    <w:rsid w:val="00627BB7"/>
    <w:rsid w:val="00627C06"/>
    <w:rsid w:val="00633385"/>
    <w:rsid w:val="00636F1F"/>
    <w:rsid w:val="006534C1"/>
    <w:rsid w:val="00655CAB"/>
    <w:rsid w:val="00661966"/>
    <w:rsid w:val="006832B2"/>
    <w:rsid w:val="006A5E7B"/>
    <w:rsid w:val="006B3B01"/>
    <w:rsid w:val="006C0F5C"/>
    <w:rsid w:val="006C3583"/>
    <w:rsid w:val="006C79D8"/>
    <w:rsid w:val="006D6A8E"/>
    <w:rsid w:val="006E299B"/>
    <w:rsid w:val="006E2A97"/>
    <w:rsid w:val="006E3388"/>
    <w:rsid w:val="006F7EC3"/>
    <w:rsid w:val="00702083"/>
    <w:rsid w:val="00712749"/>
    <w:rsid w:val="00713611"/>
    <w:rsid w:val="00716036"/>
    <w:rsid w:val="00716E64"/>
    <w:rsid w:val="007304D6"/>
    <w:rsid w:val="00746E8A"/>
    <w:rsid w:val="00762AC2"/>
    <w:rsid w:val="00764760"/>
    <w:rsid w:val="00766595"/>
    <w:rsid w:val="007710B3"/>
    <w:rsid w:val="00793BEB"/>
    <w:rsid w:val="007A17C4"/>
    <w:rsid w:val="007B34B2"/>
    <w:rsid w:val="007B5D08"/>
    <w:rsid w:val="007B7A14"/>
    <w:rsid w:val="007C08F8"/>
    <w:rsid w:val="007C7CBD"/>
    <w:rsid w:val="007D7A23"/>
    <w:rsid w:val="007E04A5"/>
    <w:rsid w:val="007F2F6C"/>
    <w:rsid w:val="007F5A97"/>
    <w:rsid w:val="00824242"/>
    <w:rsid w:val="0082498B"/>
    <w:rsid w:val="00857342"/>
    <w:rsid w:val="008632A7"/>
    <w:rsid w:val="0087107F"/>
    <w:rsid w:val="00872A7F"/>
    <w:rsid w:val="008753C9"/>
    <w:rsid w:val="0087615B"/>
    <w:rsid w:val="00890679"/>
    <w:rsid w:val="008A32FB"/>
    <w:rsid w:val="008A6E09"/>
    <w:rsid w:val="008A78AC"/>
    <w:rsid w:val="008B3585"/>
    <w:rsid w:val="008B4DE0"/>
    <w:rsid w:val="008C11F6"/>
    <w:rsid w:val="008C1C3F"/>
    <w:rsid w:val="008C4465"/>
    <w:rsid w:val="008D4062"/>
    <w:rsid w:val="008D50D0"/>
    <w:rsid w:val="008E117C"/>
    <w:rsid w:val="008E33C3"/>
    <w:rsid w:val="008E6A37"/>
    <w:rsid w:val="008F0A77"/>
    <w:rsid w:val="008F32ED"/>
    <w:rsid w:val="00915449"/>
    <w:rsid w:val="009217F4"/>
    <w:rsid w:val="00922AEB"/>
    <w:rsid w:val="009301E8"/>
    <w:rsid w:val="0094112F"/>
    <w:rsid w:val="00942328"/>
    <w:rsid w:val="009464EF"/>
    <w:rsid w:val="009567C5"/>
    <w:rsid w:val="00973404"/>
    <w:rsid w:val="00984876"/>
    <w:rsid w:val="009A6018"/>
    <w:rsid w:val="009A6473"/>
    <w:rsid w:val="009B0CD4"/>
    <w:rsid w:val="009B19DA"/>
    <w:rsid w:val="009B2E19"/>
    <w:rsid w:val="009B5155"/>
    <w:rsid w:val="009C677A"/>
    <w:rsid w:val="009D1D9F"/>
    <w:rsid w:val="009E3D1F"/>
    <w:rsid w:val="009E7221"/>
    <w:rsid w:val="009F022C"/>
    <w:rsid w:val="009F0237"/>
    <w:rsid w:val="009F5452"/>
    <w:rsid w:val="00A05E6E"/>
    <w:rsid w:val="00A1035D"/>
    <w:rsid w:val="00A12533"/>
    <w:rsid w:val="00A13E23"/>
    <w:rsid w:val="00A176D3"/>
    <w:rsid w:val="00A27BAE"/>
    <w:rsid w:val="00A37A22"/>
    <w:rsid w:val="00A4536D"/>
    <w:rsid w:val="00A565E0"/>
    <w:rsid w:val="00A606F1"/>
    <w:rsid w:val="00A65A24"/>
    <w:rsid w:val="00A6628B"/>
    <w:rsid w:val="00A75E3D"/>
    <w:rsid w:val="00A871FB"/>
    <w:rsid w:val="00A9410B"/>
    <w:rsid w:val="00AA0BFF"/>
    <w:rsid w:val="00AA124C"/>
    <w:rsid w:val="00AA1B79"/>
    <w:rsid w:val="00AB28E9"/>
    <w:rsid w:val="00AC1F54"/>
    <w:rsid w:val="00AC6695"/>
    <w:rsid w:val="00AC67F9"/>
    <w:rsid w:val="00AD73D3"/>
    <w:rsid w:val="00AF1BF3"/>
    <w:rsid w:val="00AF7E4B"/>
    <w:rsid w:val="00B014C4"/>
    <w:rsid w:val="00B03CA3"/>
    <w:rsid w:val="00B05201"/>
    <w:rsid w:val="00B347FB"/>
    <w:rsid w:val="00B50849"/>
    <w:rsid w:val="00B52565"/>
    <w:rsid w:val="00B55B46"/>
    <w:rsid w:val="00B6690F"/>
    <w:rsid w:val="00B6701D"/>
    <w:rsid w:val="00B74734"/>
    <w:rsid w:val="00B81364"/>
    <w:rsid w:val="00B84904"/>
    <w:rsid w:val="00B874AF"/>
    <w:rsid w:val="00B94112"/>
    <w:rsid w:val="00B9439D"/>
    <w:rsid w:val="00BA0924"/>
    <w:rsid w:val="00BA6DED"/>
    <w:rsid w:val="00BA6ECD"/>
    <w:rsid w:val="00BA7169"/>
    <w:rsid w:val="00BB48C2"/>
    <w:rsid w:val="00BB7A83"/>
    <w:rsid w:val="00BB7F31"/>
    <w:rsid w:val="00BC2F4C"/>
    <w:rsid w:val="00BC47CE"/>
    <w:rsid w:val="00BD2078"/>
    <w:rsid w:val="00BD5588"/>
    <w:rsid w:val="00C01E86"/>
    <w:rsid w:val="00C03C88"/>
    <w:rsid w:val="00C37863"/>
    <w:rsid w:val="00C45A0C"/>
    <w:rsid w:val="00C50F78"/>
    <w:rsid w:val="00C6728F"/>
    <w:rsid w:val="00C67E7F"/>
    <w:rsid w:val="00C74710"/>
    <w:rsid w:val="00C832DD"/>
    <w:rsid w:val="00C83C4C"/>
    <w:rsid w:val="00C844A4"/>
    <w:rsid w:val="00C97A60"/>
    <w:rsid w:val="00CA187C"/>
    <w:rsid w:val="00CB596C"/>
    <w:rsid w:val="00CC1A0C"/>
    <w:rsid w:val="00CE020E"/>
    <w:rsid w:val="00CE76D0"/>
    <w:rsid w:val="00CF2E2D"/>
    <w:rsid w:val="00CF3996"/>
    <w:rsid w:val="00CF528A"/>
    <w:rsid w:val="00CF6A1F"/>
    <w:rsid w:val="00CF6ACA"/>
    <w:rsid w:val="00D148DC"/>
    <w:rsid w:val="00D20D97"/>
    <w:rsid w:val="00D2255F"/>
    <w:rsid w:val="00D22E43"/>
    <w:rsid w:val="00D433E2"/>
    <w:rsid w:val="00D45591"/>
    <w:rsid w:val="00D47AF1"/>
    <w:rsid w:val="00D650DE"/>
    <w:rsid w:val="00D72CBB"/>
    <w:rsid w:val="00D75045"/>
    <w:rsid w:val="00D85177"/>
    <w:rsid w:val="00D908B0"/>
    <w:rsid w:val="00D90BBF"/>
    <w:rsid w:val="00D93A3F"/>
    <w:rsid w:val="00D94F4B"/>
    <w:rsid w:val="00DA5AA3"/>
    <w:rsid w:val="00DD7D82"/>
    <w:rsid w:val="00DE0DF2"/>
    <w:rsid w:val="00DE0F72"/>
    <w:rsid w:val="00E0757C"/>
    <w:rsid w:val="00E07A59"/>
    <w:rsid w:val="00E11199"/>
    <w:rsid w:val="00E166AA"/>
    <w:rsid w:val="00E34AD6"/>
    <w:rsid w:val="00E44472"/>
    <w:rsid w:val="00E653AA"/>
    <w:rsid w:val="00E7606D"/>
    <w:rsid w:val="00E82CB1"/>
    <w:rsid w:val="00E86E82"/>
    <w:rsid w:val="00E97692"/>
    <w:rsid w:val="00EA1C8B"/>
    <w:rsid w:val="00EA4D0F"/>
    <w:rsid w:val="00EC7056"/>
    <w:rsid w:val="00EC79BA"/>
    <w:rsid w:val="00EE5B8B"/>
    <w:rsid w:val="00F012F4"/>
    <w:rsid w:val="00F049BA"/>
    <w:rsid w:val="00F12203"/>
    <w:rsid w:val="00F27757"/>
    <w:rsid w:val="00F46A0F"/>
    <w:rsid w:val="00F57651"/>
    <w:rsid w:val="00F6276E"/>
    <w:rsid w:val="00F76F1A"/>
    <w:rsid w:val="00F80FBE"/>
    <w:rsid w:val="00F81F62"/>
    <w:rsid w:val="00F85550"/>
    <w:rsid w:val="00F86A11"/>
    <w:rsid w:val="00F876ED"/>
    <w:rsid w:val="00F90563"/>
    <w:rsid w:val="00F976D5"/>
    <w:rsid w:val="00FA73CB"/>
    <w:rsid w:val="00FB54DF"/>
    <w:rsid w:val="00FC65AA"/>
    <w:rsid w:val="00FE4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F0378"/>
  <w15:docId w15:val="{380B3C8A-5CD7-4D66-B674-08A03F0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A10F7"/>
    <w:pPr>
      <w:tabs>
        <w:tab w:val="center" w:pos="4153"/>
        <w:tab w:val="right" w:pos="8306"/>
      </w:tabs>
    </w:pPr>
  </w:style>
  <w:style w:type="character" w:customStyle="1" w:styleId="HeaderChar">
    <w:name w:val="Header Char"/>
    <w:basedOn w:val="DefaultParagraphFont"/>
    <w:link w:val="Header"/>
    <w:uiPriority w:val="99"/>
    <w:rsid w:val="003A10F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10F7"/>
    <w:pPr>
      <w:tabs>
        <w:tab w:val="center" w:pos="4153"/>
        <w:tab w:val="right" w:pos="8306"/>
      </w:tabs>
    </w:pPr>
  </w:style>
  <w:style w:type="character" w:customStyle="1" w:styleId="FooterChar">
    <w:name w:val="Footer Char"/>
    <w:basedOn w:val="DefaultParagraphFont"/>
    <w:link w:val="Footer"/>
    <w:uiPriority w:val="99"/>
    <w:rsid w:val="003A10F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B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96E53"/>
    <w:rPr>
      <w:sz w:val="16"/>
      <w:szCs w:val="16"/>
    </w:rPr>
  </w:style>
  <w:style w:type="paragraph" w:styleId="CommentText">
    <w:name w:val="annotation text"/>
    <w:basedOn w:val="Normal"/>
    <w:link w:val="CommentTextChar"/>
    <w:uiPriority w:val="99"/>
    <w:semiHidden/>
    <w:unhideWhenUsed/>
    <w:rsid w:val="00096E53"/>
    <w:rPr>
      <w:sz w:val="20"/>
      <w:szCs w:val="20"/>
    </w:rPr>
  </w:style>
  <w:style w:type="character" w:customStyle="1" w:styleId="CommentTextChar">
    <w:name w:val="Comment Text Char"/>
    <w:basedOn w:val="DefaultParagraphFont"/>
    <w:link w:val="CommentText"/>
    <w:uiPriority w:val="99"/>
    <w:semiHidden/>
    <w:rsid w:val="00096E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6E53"/>
    <w:rPr>
      <w:b/>
      <w:bCs/>
    </w:rPr>
  </w:style>
  <w:style w:type="character" w:customStyle="1" w:styleId="CommentSubjectChar">
    <w:name w:val="Comment Subject Char"/>
    <w:basedOn w:val="CommentTextChar"/>
    <w:link w:val="CommentSubject"/>
    <w:uiPriority w:val="99"/>
    <w:semiHidden/>
    <w:rsid w:val="00096E5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F7C3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6476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505767"/>
    <w:pPr>
      <w:spacing w:line="360" w:lineRule="auto"/>
      <w:ind w:firstLine="300"/>
    </w:pPr>
    <w:rPr>
      <w:color w:val="414142"/>
      <w:sz w:val="20"/>
      <w:szCs w:val="20"/>
    </w:rPr>
  </w:style>
  <w:style w:type="paragraph" w:styleId="Revision">
    <w:name w:val="Revision"/>
    <w:hidden/>
    <w:uiPriority w:val="99"/>
    <w:semiHidden/>
    <w:rsid w:val="006E3388"/>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0D26DC"/>
    <w:pPr>
      <w:spacing w:before="75" w:after="75"/>
      <w:ind w:firstLine="375"/>
      <w:jc w:val="both"/>
    </w:pPr>
  </w:style>
  <w:style w:type="paragraph" w:styleId="NormalWeb">
    <w:name w:val="Normal (Web)"/>
    <w:basedOn w:val="Normal"/>
    <w:uiPriority w:val="99"/>
    <w:unhideWhenUsed/>
    <w:rsid w:val="00A13E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1659">
      <w:bodyDiv w:val="1"/>
      <w:marLeft w:val="0"/>
      <w:marRight w:val="0"/>
      <w:marTop w:val="0"/>
      <w:marBottom w:val="0"/>
      <w:divBdr>
        <w:top w:val="none" w:sz="0" w:space="0" w:color="auto"/>
        <w:left w:val="none" w:sz="0" w:space="0" w:color="auto"/>
        <w:bottom w:val="none" w:sz="0" w:space="0" w:color="auto"/>
        <w:right w:val="none" w:sz="0" w:space="0" w:color="auto"/>
      </w:divBdr>
    </w:div>
    <w:div w:id="316881015">
      <w:bodyDiv w:val="1"/>
      <w:marLeft w:val="0"/>
      <w:marRight w:val="0"/>
      <w:marTop w:val="0"/>
      <w:marBottom w:val="0"/>
      <w:divBdr>
        <w:top w:val="none" w:sz="0" w:space="0" w:color="auto"/>
        <w:left w:val="none" w:sz="0" w:space="0" w:color="auto"/>
        <w:bottom w:val="none" w:sz="0" w:space="0" w:color="auto"/>
        <w:right w:val="none" w:sz="0" w:space="0" w:color="auto"/>
      </w:divBdr>
      <w:divsChild>
        <w:div w:id="1808862883">
          <w:marLeft w:val="0"/>
          <w:marRight w:val="0"/>
          <w:marTop w:val="0"/>
          <w:marBottom w:val="0"/>
          <w:divBdr>
            <w:top w:val="none" w:sz="0" w:space="0" w:color="auto"/>
            <w:left w:val="none" w:sz="0" w:space="0" w:color="auto"/>
            <w:bottom w:val="none" w:sz="0" w:space="0" w:color="auto"/>
            <w:right w:val="none" w:sz="0" w:space="0" w:color="auto"/>
          </w:divBdr>
          <w:divsChild>
            <w:div w:id="1679964620">
              <w:marLeft w:val="0"/>
              <w:marRight w:val="0"/>
              <w:marTop w:val="0"/>
              <w:marBottom w:val="0"/>
              <w:divBdr>
                <w:top w:val="none" w:sz="0" w:space="0" w:color="auto"/>
                <w:left w:val="none" w:sz="0" w:space="0" w:color="auto"/>
                <w:bottom w:val="none" w:sz="0" w:space="0" w:color="auto"/>
                <w:right w:val="none" w:sz="0" w:space="0" w:color="auto"/>
              </w:divBdr>
              <w:divsChild>
                <w:div w:id="1968773147">
                  <w:marLeft w:val="0"/>
                  <w:marRight w:val="0"/>
                  <w:marTop w:val="0"/>
                  <w:marBottom w:val="0"/>
                  <w:divBdr>
                    <w:top w:val="none" w:sz="0" w:space="0" w:color="auto"/>
                    <w:left w:val="none" w:sz="0" w:space="0" w:color="auto"/>
                    <w:bottom w:val="none" w:sz="0" w:space="0" w:color="auto"/>
                    <w:right w:val="none" w:sz="0" w:space="0" w:color="auto"/>
                  </w:divBdr>
                  <w:divsChild>
                    <w:div w:id="770781197">
                      <w:marLeft w:val="0"/>
                      <w:marRight w:val="0"/>
                      <w:marTop w:val="0"/>
                      <w:marBottom w:val="0"/>
                      <w:divBdr>
                        <w:top w:val="none" w:sz="0" w:space="0" w:color="auto"/>
                        <w:left w:val="none" w:sz="0" w:space="0" w:color="auto"/>
                        <w:bottom w:val="none" w:sz="0" w:space="0" w:color="auto"/>
                        <w:right w:val="none" w:sz="0" w:space="0" w:color="auto"/>
                      </w:divBdr>
                      <w:divsChild>
                        <w:div w:id="1654144726">
                          <w:marLeft w:val="0"/>
                          <w:marRight w:val="0"/>
                          <w:marTop w:val="0"/>
                          <w:marBottom w:val="0"/>
                          <w:divBdr>
                            <w:top w:val="none" w:sz="0" w:space="0" w:color="auto"/>
                            <w:left w:val="none" w:sz="0" w:space="0" w:color="auto"/>
                            <w:bottom w:val="none" w:sz="0" w:space="0" w:color="auto"/>
                            <w:right w:val="none" w:sz="0" w:space="0" w:color="auto"/>
                          </w:divBdr>
                          <w:divsChild>
                            <w:div w:id="8572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29545">
      <w:bodyDiv w:val="1"/>
      <w:marLeft w:val="0"/>
      <w:marRight w:val="0"/>
      <w:marTop w:val="0"/>
      <w:marBottom w:val="0"/>
      <w:divBdr>
        <w:top w:val="none" w:sz="0" w:space="0" w:color="auto"/>
        <w:left w:val="none" w:sz="0" w:space="0" w:color="auto"/>
        <w:bottom w:val="none" w:sz="0" w:space="0" w:color="auto"/>
        <w:right w:val="none" w:sz="0" w:space="0" w:color="auto"/>
      </w:divBdr>
    </w:div>
    <w:div w:id="618222794">
      <w:bodyDiv w:val="1"/>
      <w:marLeft w:val="0"/>
      <w:marRight w:val="0"/>
      <w:marTop w:val="0"/>
      <w:marBottom w:val="0"/>
      <w:divBdr>
        <w:top w:val="none" w:sz="0" w:space="0" w:color="auto"/>
        <w:left w:val="none" w:sz="0" w:space="0" w:color="auto"/>
        <w:bottom w:val="none" w:sz="0" w:space="0" w:color="auto"/>
        <w:right w:val="none" w:sz="0" w:space="0" w:color="auto"/>
      </w:divBdr>
      <w:divsChild>
        <w:div w:id="957757041">
          <w:marLeft w:val="0"/>
          <w:marRight w:val="0"/>
          <w:marTop w:val="0"/>
          <w:marBottom w:val="0"/>
          <w:divBdr>
            <w:top w:val="none" w:sz="0" w:space="0" w:color="auto"/>
            <w:left w:val="none" w:sz="0" w:space="0" w:color="auto"/>
            <w:bottom w:val="none" w:sz="0" w:space="0" w:color="auto"/>
            <w:right w:val="none" w:sz="0" w:space="0" w:color="auto"/>
          </w:divBdr>
          <w:divsChild>
            <w:div w:id="1552420786">
              <w:marLeft w:val="0"/>
              <w:marRight w:val="0"/>
              <w:marTop w:val="0"/>
              <w:marBottom w:val="0"/>
              <w:divBdr>
                <w:top w:val="none" w:sz="0" w:space="0" w:color="auto"/>
                <w:left w:val="none" w:sz="0" w:space="0" w:color="auto"/>
                <w:bottom w:val="none" w:sz="0" w:space="0" w:color="auto"/>
                <w:right w:val="none" w:sz="0" w:space="0" w:color="auto"/>
              </w:divBdr>
              <w:divsChild>
                <w:div w:id="1068262269">
                  <w:marLeft w:val="0"/>
                  <w:marRight w:val="0"/>
                  <w:marTop w:val="0"/>
                  <w:marBottom w:val="0"/>
                  <w:divBdr>
                    <w:top w:val="none" w:sz="0" w:space="0" w:color="auto"/>
                    <w:left w:val="none" w:sz="0" w:space="0" w:color="auto"/>
                    <w:bottom w:val="none" w:sz="0" w:space="0" w:color="auto"/>
                    <w:right w:val="none" w:sz="0" w:space="0" w:color="auto"/>
                  </w:divBdr>
                  <w:divsChild>
                    <w:div w:id="1682778046">
                      <w:marLeft w:val="0"/>
                      <w:marRight w:val="0"/>
                      <w:marTop w:val="0"/>
                      <w:marBottom w:val="0"/>
                      <w:divBdr>
                        <w:top w:val="none" w:sz="0" w:space="0" w:color="auto"/>
                        <w:left w:val="none" w:sz="0" w:space="0" w:color="auto"/>
                        <w:bottom w:val="none" w:sz="0" w:space="0" w:color="auto"/>
                        <w:right w:val="none" w:sz="0" w:space="0" w:color="auto"/>
                      </w:divBdr>
                      <w:divsChild>
                        <w:div w:id="1505970997">
                          <w:marLeft w:val="0"/>
                          <w:marRight w:val="0"/>
                          <w:marTop w:val="0"/>
                          <w:marBottom w:val="0"/>
                          <w:divBdr>
                            <w:top w:val="none" w:sz="0" w:space="0" w:color="auto"/>
                            <w:left w:val="none" w:sz="0" w:space="0" w:color="auto"/>
                            <w:bottom w:val="none" w:sz="0" w:space="0" w:color="auto"/>
                            <w:right w:val="none" w:sz="0" w:space="0" w:color="auto"/>
                          </w:divBdr>
                          <w:divsChild>
                            <w:div w:id="2748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7683">
      <w:bodyDiv w:val="1"/>
      <w:marLeft w:val="0"/>
      <w:marRight w:val="0"/>
      <w:marTop w:val="0"/>
      <w:marBottom w:val="0"/>
      <w:divBdr>
        <w:top w:val="none" w:sz="0" w:space="0" w:color="auto"/>
        <w:left w:val="none" w:sz="0" w:space="0" w:color="auto"/>
        <w:bottom w:val="none" w:sz="0" w:space="0" w:color="auto"/>
        <w:right w:val="none" w:sz="0" w:space="0" w:color="auto"/>
      </w:divBdr>
    </w:div>
    <w:div w:id="784235218">
      <w:bodyDiv w:val="1"/>
      <w:marLeft w:val="0"/>
      <w:marRight w:val="0"/>
      <w:marTop w:val="0"/>
      <w:marBottom w:val="0"/>
      <w:divBdr>
        <w:top w:val="none" w:sz="0" w:space="0" w:color="auto"/>
        <w:left w:val="none" w:sz="0" w:space="0" w:color="auto"/>
        <w:bottom w:val="none" w:sz="0" w:space="0" w:color="auto"/>
        <w:right w:val="none" w:sz="0" w:space="0" w:color="auto"/>
      </w:divBdr>
    </w:div>
    <w:div w:id="1380283937">
      <w:bodyDiv w:val="1"/>
      <w:marLeft w:val="0"/>
      <w:marRight w:val="0"/>
      <w:marTop w:val="0"/>
      <w:marBottom w:val="0"/>
      <w:divBdr>
        <w:top w:val="none" w:sz="0" w:space="0" w:color="auto"/>
        <w:left w:val="none" w:sz="0" w:space="0" w:color="auto"/>
        <w:bottom w:val="none" w:sz="0" w:space="0" w:color="auto"/>
        <w:right w:val="none" w:sz="0" w:space="0" w:color="auto"/>
      </w:divBdr>
      <w:divsChild>
        <w:div w:id="90665317">
          <w:marLeft w:val="0"/>
          <w:marRight w:val="0"/>
          <w:marTop w:val="0"/>
          <w:marBottom w:val="0"/>
          <w:divBdr>
            <w:top w:val="none" w:sz="0" w:space="0" w:color="auto"/>
            <w:left w:val="none" w:sz="0" w:space="0" w:color="auto"/>
            <w:bottom w:val="none" w:sz="0" w:space="0" w:color="auto"/>
            <w:right w:val="none" w:sz="0" w:space="0" w:color="auto"/>
          </w:divBdr>
          <w:divsChild>
            <w:div w:id="1159035145">
              <w:marLeft w:val="0"/>
              <w:marRight w:val="0"/>
              <w:marTop w:val="0"/>
              <w:marBottom w:val="0"/>
              <w:divBdr>
                <w:top w:val="none" w:sz="0" w:space="0" w:color="auto"/>
                <w:left w:val="none" w:sz="0" w:space="0" w:color="auto"/>
                <w:bottom w:val="none" w:sz="0" w:space="0" w:color="auto"/>
                <w:right w:val="none" w:sz="0" w:space="0" w:color="auto"/>
              </w:divBdr>
              <w:divsChild>
                <w:div w:id="510532979">
                  <w:marLeft w:val="0"/>
                  <w:marRight w:val="0"/>
                  <w:marTop w:val="0"/>
                  <w:marBottom w:val="0"/>
                  <w:divBdr>
                    <w:top w:val="none" w:sz="0" w:space="0" w:color="auto"/>
                    <w:left w:val="none" w:sz="0" w:space="0" w:color="auto"/>
                    <w:bottom w:val="none" w:sz="0" w:space="0" w:color="auto"/>
                    <w:right w:val="none" w:sz="0" w:space="0" w:color="auto"/>
                  </w:divBdr>
                  <w:divsChild>
                    <w:div w:id="1347369081">
                      <w:marLeft w:val="0"/>
                      <w:marRight w:val="0"/>
                      <w:marTop w:val="0"/>
                      <w:marBottom w:val="0"/>
                      <w:divBdr>
                        <w:top w:val="none" w:sz="0" w:space="0" w:color="auto"/>
                        <w:left w:val="none" w:sz="0" w:space="0" w:color="auto"/>
                        <w:bottom w:val="none" w:sz="0" w:space="0" w:color="auto"/>
                        <w:right w:val="none" w:sz="0" w:space="0" w:color="auto"/>
                      </w:divBdr>
                      <w:divsChild>
                        <w:div w:id="714042774">
                          <w:marLeft w:val="0"/>
                          <w:marRight w:val="0"/>
                          <w:marTop w:val="0"/>
                          <w:marBottom w:val="0"/>
                          <w:divBdr>
                            <w:top w:val="none" w:sz="0" w:space="0" w:color="auto"/>
                            <w:left w:val="none" w:sz="0" w:space="0" w:color="auto"/>
                            <w:bottom w:val="none" w:sz="0" w:space="0" w:color="auto"/>
                            <w:right w:val="none" w:sz="0" w:space="0" w:color="auto"/>
                          </w:divBdr>
                          <w:divsChild>
                            <w:div w:id="861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99639">
      <w:bodyDiv w:val="1"/>
      <w:marLeft w:val="0"/>
      <w:marRight w:val="0"/>
      <w:marTop w:val="0"/>
      <w:marBottom w:val="0"/>
      <w:divBdr>
        <w:top w:val="none" w:sz="0" w:space="0" w:color="auto"/>
        <w:left w:val="none" w:sz="0" w:space="0" w:color="auto"/>
        <w:bottom w:val="none" w:sz="0" w:space="0" w:color="auto"/>
        <w:right w:val="none" w:sz="0" w:space="0" w:color="auto"/>
      </w:divBdr>
      <w:divsChild>
        <w:div w:id="544293278">
          <w:marLeft w:val="0"/>
          <w:marRight w:val="0"/>
          <w:marTop w:val="0"/>
          <w:marBottom w:val="0"/>
          <w:divBdr>
            <w:top w:val="none" w:sz="0" w:space="0" w:color="auto"/>
            <w:left w:val="none" w:sz="0" w:space="0" w:color="auto"/>
            <w:bottom w:val="none" w:sz="0" w:space="0" w:color="auto"/>
            <w:right w:val="none" w:sz="0" w:space="0" w:color="auto"/>
          </w:divBdr>
          <w:divsChild>
            <w:div w:id="2106027730">
              <w:marLeft w:val="0"/>
              <w:marRight w:val="0"/>
              <w:marTop w:val="0"/>
              <w:marBottom w:val="0"/>
              <w:divBdr>
                <w:top w:val="none" w:sz="0" w:space="0" w:color="auto"/>
                <w:left w:val="none" w:sz="0" w:space="0" w:color="auto"/>
                <w:bottom w:val="none" w:sz="0" w:space="0" w:color="auto"/>
                <w:right w:val="none" w:sz="0" w:space="0" w:color="auto"/>
              </w:divBdr>
              <w:divsChild>
                <w:div w:id="665204293">
                  <w:marLeft w:val="0"/>
                  <w:marRight w:val="0"/>
                  <w:marTop w:val="0"/>
                  <w:marBottom w:val="0"/>
                  <w:divBdr>
                    <w:top w:val="none" w:sz="0" w:space="0" w:color="auto"/>
                    <w:left w:val="none" w:sz="0" w:space="0" w:color="auto"/>
                    <w:bottom w:val="none" w:sz="0" w:space="0" w:color="auto"/>
                    <w:right w:val="none" w:sz="0" w:space="0" w:color="auto"/>
                  </w:divBdr>
                  <w:divsChild>
                    <w:div w:id="1113868888">
                      <w:marLeft w:val="0"/>
                      <w:marRight w:val="0"/>
                      <w:marTop w:val="0"/>
                      <w:marBottom w:val="0"/>
                      <w:divBdr>
                        <w:top w:val="none" w:sz="0" w:space="0" w:color="auto"/>
                        <w:left w:val="none" w:sz="0" w:space="0" w:color="auto"/>
                        <w:bottom w:val="none" w:sz="0" w:space="0" w:color="auto"/>
                        <w:right w:val="none" w:sz="0" w:space="0" w:color="auto"/>
                      </w:divBdr>
                      <w:divsChild>
                        <w:div w:id="596446080">
                          <w:marLeft w:val="0"/>
                          <w:marRight w:val="0"/>
                          <w:marTop w:val="0"/>
                          <w:marBottom w:val="0"/>
                          <w:divBdr>
                            <w:top w:val="none" w:sz="0" w:space="0" w:color="auto"/>
                            <w:left w:val="none" w:sz="0" w:space="0" w:color="auto"/>
                            <w:bottom w:val="none" w:sz="0" w:space="0" w:color="auto"/>
                            <w:right w:val="none" w:sz="0" w:space="0" w:color="auto"/>
                          </w:divBdr>
                          <w:divsChild>
                            <w:div w:id="12703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232915">
      <w:bodyDiv w:val="1"/>
      <w:marLeft w:val="0"/>
      <w:marRight w:val="0"/>
      <w:marTop w:val="0"/>
      <w:marBottom w:val="0"/>
      <w:divBdr>
        <w:top w:val="none" w:sz="0" w:space="0" w:color="auto"/>
        <w:left w:val="none" w:sz="0" w:space="0" w:color="auto"/>
        <w:bottom w:val="none" w:sz="0" w:space="0" w:color="auto"/>
        <w:right w:val="none" w:sz="0" w:space="0" w:color="auto"/>
      </w:divBdr>
      <w:divsChild>
        <w:div w:id="1110663347">
          <w:marLeft w:val="0"/>
          <w:marRight w:val="0"/>
          <w:marTop w:val="0"/>
          <w:marBottom w:val="0"/>
          <w:divBdr>
            <w:top w:val="none" w:sz="0" w:space="0" w:color="auto"/>
            <w:left w:val="none" w:sz="0" w:space="0" w:color="auto"/>
            <w:bottom w:val="none" w:sz="0" w:space="0" w:color="auto"/>
            <w:right w:val="none" w:sz="0" w:space="0" w:color="auto"/>
          </w:divBdr>
          <w:divsChild>
            <w:div w:id="1925601425">
              <w:marLeft w:val="0"/>
              <w:marRight w:val="0"/>
              <w:marTop w:val="0"/>
              <w:marBottom w:val="0"/>
              <w:divBdr>
                <w:top w:val="none" w:sz="0" w:space="0" w:color="auto"/>
                <w:left w:val="none" w:sz="0" w:space="0" w:color="auto"/>
                <w:bottom w:val="none" w:sz="0" w:space="0" w:color="auto"/>
                <w:right w:val="none" w:sz="0" w:space="0" w:color="auto"/>
              </w:divBdr>
              <w:divsChild>
                <w:div w:id="486821943">
                  <w:marLeft w:val="0"/>
                  <w:marRight w:val="0"/>
                  <w:marTop w:val="0"/>
                  <w:marBottom w:val="0"/>
                  <w:divBdr>
                    <w:top w:val="none" w:sz="0" w:space="0" w:color="auto"/>
                    <w:left w:val="none" w:sz="0" w:space="0" w:color="auto"/>
                    <w:bottom w:val="none" w:sz="0" w:space="0" w:color="auto"/>
                    <w:right w:val="none" w:sz="0" w:space="0" w:color="auto"/>
                  </w:divBdr>
                  <w:divsChild>
                    <w:div w:id="1994066191">
                      <w:marLeft w:val="0"/>
                      <w:marRight w:val="0"/>
                      <w:marTop w:val="0"/>
                      <w:marBottom w:val="0"/>
                      <w:divBdr>
                        <w:top w:val="none" w:sz="0" w:space="0" w:color="auto"/>
                        <w:left w:val="none" w:sz="0" w:space="0" w:color="auto"/>
                        <w:bottom w:val="none" w:sz="0" w:space="0" w:color="auto"/>
                        <w:right w:val="none" w:sz="0" w:space="0" w:color="auto"/>
                      </w:divBdr>
                      <w:divsChild>
                        <w:div w:id="1029263325">
                          <w:marLeft w:val="0"/>
                          <w:marRight w:val="0"/>
                          <w:marTop w:val="0"/>
                          <w:marBottom w:val="0"/>
                          <w:divBdr>
                            <w:top w:val="none" w:sz="0" w:space="0" w:color="auto"/>
                            <w:left w:val="none" w:sz="0" w:space="0" w:color="auto"/>
                            <w:bottom w:val="none" w:sz="0" w:space="0" w:color="auto"/>
                            <w:right w:val="none" w:sz="0" w:space="0" w:color="auto"/>
                          </w:divBdr>
                          <w:divsChild>
                            <w:div w:id="19539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6321">
      <w:bodyDiv w:val="1"/>
      <w:marLeft w:val="0"/>
      <w:marRight w:val="0"/>
      <w:marTop w:val="0"/>
      <w:marBottom w:val="0"/>
      <w:divBdr>
        <w:top w:val="none" w:sz="0" w:space="0" w:color="auto"/>
        <w:left w:val="none" w:sz="0" w:space="0" w:color="auto"/>
        <w:bottom w:val="none" w:sz="0" w:space="0" w:color="auto"/>
        <w:right w:val="none" w:sz="0" w:space="0" w:color="auto"/>
      </w:divBdr>
      <w:divsChild>
        <w:div w:id="1582518698">
          <w:marLeft w:val="0"/>
          <w:marRight w:val="0"/>
          <w:marTop w:val="0"/>
          <w:marBottom w:val="0"/>
          <w:divBdr>
            <w:top w:val="none" w:sz="0" w:space="0" w:color="auto"/>
            <w:left w:val="none" w:sz="0" w:space="0" w:color="auto"/>
            <w:bottom w:val="none" w:sz="0" w:space="0" w:color="auto"/>
            <w:right w:val="none" w:sz="0" w:space="0" w:color="auto"/>
          </w:divBdr>
          <w:divsChild>
            <w:div w:id="1462578128">
              <w:marLeft w:val="0"/>
              <w:marRight w:val="0"/>
              <w:marTop w:val="0"/>
              <w:marBottom w:val="0"/>
              <w:divBdr>
                <w:top w:val="none" w:sz="0" w:space="0" w:color="auto"/>
                <w:left w:val="none" w:sz="0" w:space="0" w:color="auto"/>
                <w:bottom w:val="none" w:sz="0" w:space="0" w:color="auto"/>
                <w:right w:val="none" w:sz="0" w:space="0" w:color="auto"/>
              </w:divBdr>
              <w:divsChild>
                <w:div w:id="1656564421">
                  <w:marLeft w:val="0"/>
                  <w:marRight w:val="0"/>
                  <w:marTop w:val="0"/>
                  <w:marBottom w:val="0"/>
                  <w:divBdr>
                    <w:top w:val="none" w:sz="0" w:space="0" w:color="auto"/>
                    <w:left w:val="none" w:sz="0" w:space="0" w:color="auto"/>
                    <w:bottom w:val="none" w:sz="0" w:space="0" w:color="auto"/>
                    <w:right w:val="none" w:sz="0" w:space="0" w:color="auto"/>
                  </w:divBdr>
                  <w:divsChild>
                    <w:div w:id="1275673860">
                      <w:marLeft w:val="0"/>
                      <w:marRight w:val="0"/>
                      <w:marTop w:val="0"/>
                      <w:marBottom w:val="0"/>
                      <w:divBdr>
                        <w:top w:val="none" w:sz="0" w:space="0" w:color="auto"/>
                        <w:left w:val="none" w:sz="0" w:space="0" w:color="auto"/>
                        <w:bottom w:val="none" w:sz="0" w:space="0" w:color="auto"/>
                        <w:right w:val="none" w:sz="0" w:space="0" w:color="auto"/>
                      </w:divBdr>
                      <w:divsChild>
                        <w:div w:id="829253898">
                          <w:marLeft w:val="0"/>
                          <w:marRight w:val="0"/>
                          <w:marTop w:val="0"/>
                          <w:marBottom w:val="0"/>
                          <w:divBdr>
                            <w:top w:val="none" w:sz="0" w:space="0" w:color="auto"/>
                            <w:left w:val="none" w:sz="0" w:space="0" w:color="auto"/>
                            <w:bottom w:val="none" w:sz="0" w:space="0" w:color="auto"/>
                            <w:right w:val="none" w:sz="0" w:space="0" w:color="auto"/>
                          </w:divBdr>
                          <w:divsChild>
                            <w:div w:id="919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doc=420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p.mk.gov.lv/mk/vsssanaksmes/saraksts/darbakartiba/?sede=2017-06-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79EC-911E-4F5E-BA93-C2CAA91A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7836</Words>
  <Characters>4467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Lejniece-Riekstiņa, Dina</cp:lastModifiedBy>
  <cp:revision>52</cp:revision>
  <cp:lastPrinted>2019-09-24T06:18:00Z</cp:lastPrinted>
  <dcterms:created xsi:type="dcterms:W3CDTF">2019-10-10T10:30:00Z</dcterms:created>
  <dcterms:modified xsi:type="dcterms:W3CDTF">2020-01-31T09:29:00Z</dcterms:modified>
</cp:coreProperties>
</file>