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9194B" w14:textId="77777777" w:rsidR="00F2782B" w:rsidRPr="00DE17AF" w:rsidRDefault="00BF3036">
      <w:pPr>
        <w:pStyle w:val="Body"/>
        <w:spacing w:before="120"/>
        <w:jc w:val="center"/>
        <w:rPr>
          <w:b/>
          <w:bCs/>
          <w:sz w:val="26"/>
          <w:szCs w:val="26"/>
          <w:lang w:val="lv-LV"/>
        </w:rPr>
      </w:pPr>
      <w:r w:rsidRPr="00DE17AF">
        <w:rPr>
          <w:b/>
          <w:bCs/>
          <w:sz w:val="26"/>
          <w:szCs w:val="26"/>
          <w:lang w:val="lv-LV"/>
        </w:rPr>
        <w:t>Informatīvais ziņojums</w:t>
      </w:r>
    </w:p>
    <w:p w14:paraId="2A19194C" w14:textId="2503403E" w:rsidR="00F2782B" w:rsidRPr="00DE17AF" w:rsidRDefault="00BF3036">
      <w:pPr>
        <w:pStyle w:val="Body"/>
        <w:jc w:val="center"/>
        <w:rPr>
          <w:b/>
          <w:bCs/>
          <w:sz w:val="26"/>
          <w:szCs w:val="26"/>
          <w:lang w:val="lv-LV"/>
        </w:rPr>
      </w:pPr>
      <w:r w:rsidRPr="00DE17AF">
        <w:rPr>
          <w:b/>
          <w:bCs/>
          <w:sz w:val="26"/>
          <w:szCs w:val="26"/>
          <w:lang w:val="lv-LV"/>
        </w:rPr>
        <w:t>“Par Eiropas Savienības 2020.gada 7.aprīļa augsta līmeņa videokonferenci “Eiropas pētniecības un inovāciju atbilde uz notiekošo slimību uzliesmojum</w:t>
      </w:r>
      <w:r w:rsidR="0096153C">
        <w:rPr>
          <w:b/>
          <w:bCs/>
          <w:sz w:val="26"/>
          <w:szCs w:val="26"/>
          <w:lang w:val="lv-LV"/>
        </w:rPr>
        <w:t xml:space="preserve">u, ko izraisījis jaunais </w:t>
      </w:r>
      <w:proofErr w:type="spellStart"/>
      <w:r w:rsidR="0096153C">
        <w:rPr>
          <w:b/>
          <w:bCs/>
          <w:sz w:val="26"/>
          <w:szCs w:val="26"/>
          <w:lang w:val="lv-LV"/>
        </w:rPr>
        <w:t>korona</w:t>
      </w:r>
      <w:r w:rsidRPr="00DE17AF">
        <w:rPr>
          <w:b/>
          <w:bCs/>
          <w:sz w:val="26"/>
          <w:szCs w:val="26"/>
          <w:lang w:val="lv-LV"/>
        </w:rPr>
        <w:t>vīruss</w:t>
      </w:r>
      <w:proofErr w:type="spellEnd"/>
      <w:r w:rsidRPr="00DE17AF">
        <w:rPr>
          <w:b/>
          <w:bCs/>
          <w:sz w:val="26"/>
          <w:szCs w:val="26"/>
          <w:lang w:val="lv-LV"/>
        </w:rPr>
        <w:t>” izskatāmajiem jautājumiem”</w:t>
      </w:r>
    </w:p>
    <w:p w14:paraId="2A19194D" w14:textId="77777777" w:rsidR="00F2782B" w:rsidRPr="00DE17AF" w:rsidRDefault="00F2782B">
      <w:pPr>
        <w:pStyle w:val="Body"/>
        <w:jc w:val="center"/>
        <w:rPr>
          <w:b/>
          <w:bCs/>
          <w:sz w:val="26"/>
          <w:szCs w:val="26"/>
          <w:lang w:val="lv-LV"/>
        </w:rPr>
      </w:pPr>
    </w:p>
    <w:p w14:paraId="2A19194E" w14:textId="05262FC4" w:rsidR="00F2782B" w:rsidRPr="00DE17AF" w:rsidRDefault="00BF3036">
      <w:pPr>
        <w:pStyle w:val="Body"/>
        <w:keepNext/>
        <w:ind w:firstLine="720"/>
        <w:jc w:val="both"/>
        <w:outlineLvl w:val="1"/>
        <w:rPr>
          <w:sz w:val="26"/>
          <w:szCs w:val="26"/>
          <w:lang w:val="lv-LV"/>
        </w:rPr>
      </w:pPr>
      <w:r w:rsidRPr="00DE17AF">
        <w:rPr>
          <w:sz w:val="26"/>
          <w:szCs w:val="26"/>
          <w:lang w:val="lv-LV"/>
        </w:rPr>
        <w:t>2020.gada 7.aprīl</w:t>
      </w:r>
      <w:r w:rsidR="0096153C">
        <w:rPr>
          <w:sz w:val="26"/>
          <w:szCs w:val="26"/>
          <w:lang w:val="lv-LV"/>
        </w:rPr>
        <w:t>ī notiks neformālā</w:t>
      </w:r>
      <w:r w:rsidRPr="00DE17AF">
        <w:rPr>
          <w:sz w:val="26"/>
          <w:szCs w:val="26"/>
          <w:lang w:val="lv-LV"/>
        </w:rPr>
        <w:t xml:space="preserve"> pētniecības ministru līmeņa videokonference par tēmu “Eiropas pētniecības un inovāciju atbilde uz notiekošo slimību uzliesmojum</w:t>
      </w:r>
      <w:r w:rsidR="0096153C">
        <w:rPr>
          <w:sz w:val="26"/>
          <w:szCs w:val="26"/>
          <w:lang w:val="lv-LV"/>
        </w:rPr>
        <w:t xml:space="preserve">u, ko izraisījis jaunais </w:t>
      </w:r>
      <w:proofErr w:type="spellStart"/>
      <w:r w:rsidR="0096153C">
        <w:rPr>
          <w:sz w:val="26"/>
          <w:szCs w:val="26"/>
          <w:lang w:val="lv-LV"/>
        </w:rPr>
        <w:t>korona</w:t>
      </w:r>
      <w:r w:rsidRPr="00DE17AF">
        <w:rPr>
          <w:sz w:val="26"/>
          <w:szCs w:val="26"/>
          <w:lang w:val="lv-LV"/>
        </w:rPr>
        <w:t>vīruss</w:t>
      </w:r>
      <w:proofErr w:type="spellEnd"/>
      <w:r w:rsidRPr="00DE17AF">
        <w:rPr>
          <w:sz w:val="26"/>
          <w:szCs w:val="26"/>
          <w:lang w:val="lv-LV"/>
        </w:rPr>
        <w:t>”.</w:t>
      </w:r>
    </w:p>
    <w:p w14:paraId="2A19194F" w14:textId="77777777" w:rsidR="00F2782B" w:rsidRPr="00DE17AF" w:rsidRDefault="00F2782B">
      <w:pPr>
        <w:pStyle w:val="Body"/>
        <w:jc w:val="both"/>
        <w:rPr>
          <w:sz w:val="26"/>
          <w:szCs w:val="26"/>
          <w:lang w:val="lv-LV"/>
        </w:rPr>
      </w:pPr>
    </w:p>
    <w:p w14:paraId="15EEFAAD" w14:textId="77777777" w:rsidR="0096153C" w:rsidRDefault="0096153C">
      <w:pPr>
        <w:pStyle w:val="Body"/>
        <w:shd w:val="clear" w:color="auto" w:fill="D9D9D9"/>
        <w:jc w:val="center"/>
        <w:rPr>
          <w:b/>
          <w:bCs/>
          <w:sz w:val="26"/>
          <w:szCs w:val="26"/>
          <w:lang w:val="lv-LV"/>
        </w:rPr>
      </w:pPr>
      <w:r>
        <w:rPr>
          <w:b/>
          <w:bCs/>
          <w:sz w:val="26"/>
          <w:szCs w:val="26"/>
          <w:lang w:val="lv-LV"/>
        </w:rPr>
        <w:t>P</w:t>
      </w:r>
      <w:r w:rsidR="00BF3036" w:rsidRPr="00DE17AF">
        <w:rPr>
          <w:b/>
          <w:bCs/>
          <w:sz w:val="26"/>
          <w:szCs w:val="26"/>
          <w:lang w:val="lv-LV"/>
        </w:rPr>
        <w:t xml:space="preserve">olitikas debates </w:t>
      </w:r>
    </w:p>
    <w:p w14:paraId="2A191950" w14:textId="0C137CBE" w:rsidR="00F2782B" w:rsidRPr="00DE17AF" w:rsidRDefault="00BF3036">
      <w:pPr>
        <w:pStyle w:val="Body"/>
        <w:shd w:val="clear" w:color="auto" w:fill="D9D9D9"/>
        <w:jc w:val="center"/>
        <w:rPr>
          <w:b/>
          <w:bCs/>
          <w:sz w:val="26"/>
          <w:szCs w:val="26"/>
          <w:lang w:val="lv-LV"/>
        </w:rPr>
      </w:pPr>
      <w:r w:rsidRPr="00DE17AF">
        <w:rPr>
          <w:b/>
          <w:bCs/>
          <w:sz w:val="26"/>
          <w:szCs w:val="26"/>
          <w:lang w:val="lv-LV"/>
        </w:rPr>
        <w:t>Eiropas pētniecības un inovāciju atbildi uz notiekošo slimību</w:t>
      </w:r>
    </w:p>
    <w:p w14:paraId="2A191951" w14:textId="77777777" w:rsidR="00F2782B" w:rsidRPr="00DE17AF" w:rsidRDefault="00BF3036">
      <w:pPr>
        <w:pStyle w:val="Body"/>
        <w:shd w:val="clear" w:color="auto" w:fill="D9D9D9"/>
        <w:jc w:val="center"/>
        <w:rPr>
          <w:b/>
          <w:bCs/>
          <w:sz w:val="26"/>
          <w:szCs w:val="26"/>
          <w:lang w:val="lv-LV"/>
        </w:rPr>
      </w:pPr>
      <w:r w:rsidRPr="00DE17AF">
        <w:rPr>
          <w:b/>
          <w:bCs/>
          <w:sz w:val="26"/>
          <w:szCs w:val="26"/>
          <w:lang w:val="lv-LV"/>
        </w:rPr>
        <w:t xml:space="preserve">uzliesmojumu, ko izraisījis jaunais </w:t>
      </w:r>
      <w:proofErr w:type="spellStart"/>
      <w:r w:rsidRPr="00DE17AF">
        <w:rPr>
          <w:b/>
          <w:bCs/>
          <w:sz w:val="26"/>
          <w:szCs w:val="26"/>
          <w:lang w:val="lv-LV"/>
        </w:rPr>
        <w:t>koronavīruss</w:t>
      </w:r>
      <w:proofErr w:type="spellEnd"/>
      <w:r w:rsidRPr="00DE17AF">
        <w:rPr>
          <w:b/>
          <w:bCs/>
          <w:sz w:val="26"/>
          <w:szCs w:val="26"/>
          <w:lang w:val="lv-LV"/>
        </w:rPr>
        <w:tab/>
      </w:r>
    </w:p>
    <w:p w14:paraId="2A191952" w14:textId="77777777" w:rsidR="00F2782B" w:rsidRPr="00DE17AF" w:rsidRDefault="00F2782B">
      <w:pPr>
        <w:pStyle w:val="Body"/>
        <w:jc w:val="both"/>
        <w:rPr>
          <w:sz w:val="26"/>
          <w:szCs w:val="26"/>
          <w:lang w:val="lv-LV"/>
        </w:rPr>
      </w:pPr>
    </w:p>
    <w:p w14:paraId="2A191953" w14:textId="1A8C5A8B" w:rsidR="00F2782B" w:rsidRPr="00DE17AF" w:rsidRDefault="00BF3036">
      <w:pPr>
        <w:pStyle w:val="Body"/>
        <w:ind w:firstLine="720"/>
        <w:jc w:val="both"/>
        <w:rPr>
          <w:sz w:val="26"/>
          <w:szCs w:val="26"/>
          <w:lang w:val="lv-LV"/>
        </w:rPr>
      </w:pPr>
      <w:r w:rsidRPr="00DE17AF">
        <w:rPr>
          <w:sz w:val="26"/>
          <w:szCs w:val="26"/>
          <w:lang w:val="lv-LV"/>
        </w:rPr>
        <w:t>2019. gada 31.decembrī Uhaņā ziņots par pneimonijas gadījumu kopu</w:t>
      </w:r>
      <w:r w:rsidR="00DE17AF">
        <w:rPr>
          <w:sz w:val="26"/>
          <w:szCs w:val="26"/>
          <w:lang w:val="lv-LV"/>
        </w:rPr>
        <w:t xml:space="preserve">mu </w:t>
      </w:r>
      <w:proofErr w:type="spellStart"/>
      <w:r w:rsidR="0096153C">
        <w:rPr>
          <w:sz w:val="26"/>
          <w:szCs w:val="26"/>
          <w:lang w:val="lv-LV"/>
        </w:rPr>
        <w:t>Hubei</w:t>
      </w:r>
      <w:proofErr w:type="spellEnd"/>
      <w:r w:rsidR="0096153C">
        <w:rPr>
          <w:sz w:val="26"/>
          <w:szCs w:val="26"/>
          <w:lang w:val="lv-LV"/>
        </w:rPr>
        <w:t xml:space="preserve"> provincē</w:t>
      </w:r>
      <w:r w:rsidRPr="00DE17AF">
        <w:rPr>
          <w:sz w:val="26"/>
          <w:szCs w:val="26"/>
          <w:lang w:val="lv-LV"/>
        </w:rPr>
        <w:t xml:space="preserve"> Ķīnā. Ķīnas slimību centrs 2020.gada 9.janvārī ziņoja par jaunu </w:t>
      </w:r>
      <w:proofErr w:type="spellStart"/>
      <w:r w:rsidRPr="00DE17AF">
        <w:rPr>
          <w:sz w:val="26"/>
          <w:szCs w:val="26"/>
          <w:lang w:val="lv-LV"/>
        </w:rPr>
        <w:t>koronavīrusu</w:t>
      </w:r>
      <w:proofErr w:type="spellEnd"/>
      <w:r w:rsidRPr="00DE17AF">
        <w:rPr>
          <w:sz w:val="26"/>
          <w:szCs w:val="26"/>
          <w:lang w:val="lv-LV"/>
        </w:rPr>
        <w:t xml:space="preserve"> kā šī uzliesmojuma izraisītāju. C</w:t>
      </w:r>
      <w:r w:rsidR="0096153C">
        <w:rPr>
          <w:sz w:val="26"/>
          <w:szCs w:val="26"/>
          <w:lang w:val="lv-LV"/>
        </w:rPr>
        <w:t>ovid</w:t>
      </w:r>
      <w:r w:rsidRPr="00DE17AF">
        <w:rPr>
          <w:sz w:val="26"/>
          <w:szCs w:val="26"/>
          <w:lang w:val="lv-LV"/>
        </w:rPr>
        <w:t xml:space="preserve">-19 slimība, ko izraisa jaunais </w:t>
      </w:r>
      <w:proofErr w:type="spellStart"/>
      <w:r w:rsidRPr="00DE17AF">
        <w:rPr>
          <w:sz w:val="26"/>
          <w:szCs w:val="26"/>
          <w:lang w:val="lv-LV"/>
        </w:rPr>
        <w:t>koronavīruss</w:t>
      </w:r>
      <w:proofErr w:type="spellEnd"/>
      <w:r w:rsidRPr="00DE17AF">
        <w:rPr>
          <w:sz w:val="26"/>
          <w:szCs w:val="26"/>
          <w:lang w:val="lv-LV"/>
        </w:rPr>
        <w:t xml:space="preserve">, strauji izplatās visā pasaulē, un Eiropā gadījumu skaits strauji pieaug. </w:t>
      </w:r>
    </w:p>
    <w:p w14:paraId="157A3DDF" w14:textId="77777777" w:rsidR="00F63E09" w:rsidRDefault="00BF3036">
      <w:pPr>
        <w:pStyle w:val="Body"/>
        <w:ind w:firstLine="720"/>
        <w:jc w:val="both"/>
        <w:rPr>
          <w:sz w:val="26"/>
          <w:szCs w:val="26"/>
          <w:lang w:val="lv-LV"/>
        </w:rPr>
      </w:pPr>
      <w:r w:rsidRPr="00DE17AF">
        <w:rPr>
          <w:sz w:val="26"/>
          <w:szCs w:val="26"/>
          <w:lang w:val="lv-LV"/>
        </w:rPr>
        <w:t>Šajā sakarā, lai aizsargātu mūsu pilsoņus, ir jādarbojas vienoti, saskaņoti un sinerģiski. Koordinēti pasākumi radīs nepieciešamās sinerģijas un ļaus nekavējoties reaģēt uz krīzi visā pasaulē. Eiropas Komisija (turpmāk – EK) jau ir sagatavojusi Eiropas pētniecības un inovāciju atbildi uz notiekošo slimības uzliesmojumu</w:t>
      </w:r>
      <w:r w:rsidRPr="00DE17AF">
        <w:rPr>
          <w:sz w:val="26"/>
          <w:szCs w:val="26"/>
          <w:vertAlign w:val="superscript"/>
          <w:lang w:val="lv-LV"/>
        </w:rPr>
        <w:footnoteReference w:id="2"/>
      </w:r>
      <w:r w:rsidRPr="00DE17AF">
        <w:rPr>
          <w:sz w:val="26"/>
          <w:szCs w:val="26"/>
          <w:lang w:val="lv-LV"/>
        </w:rPr>
        <w:t xml:space="preserve">, kas ietver </w:t>
      </w:r>
      <w:r w:rsidR="00DE17AF">
        <w:rPr>
          <w:sz w:val="26"/>
          <w:szCs w:val="26"/>
          <w:lang w:val="lv-LV"/>
        </w:rPr>
        <w:t xml:space="preserve">šādas </w:t>
      </w:r>
      <w:r w:rsidRPr="00DE17AF">
        <w:rPr>
          <w:sz w:val="26"/>
          <w:szCs w:val="26"/>
          <w:lang w:val="lv-LV"/>
        </w:rPr>
        <w:t xml:space="preserve">darbības: </w:t>
      </w:r>
    </w:p>
    <w:p w14:paraId="73AD68B0" w14:textId="42BC912C" w:rsidR="00F63E09" w:rsidRDefault="00BF3036" w:rsidP="00F63E09">
      <w:pPr>
        <w:pStyle w:val="Body"/>
        <w:numPr>
          <w:ilvl w:val="0"/>
          <w:numId w:val="5"/>
        </w:numPr>
        <w:jc w:val="both"/>
        <w:rPr>
          <w:sz w:val="26"/>
          <w:szCs w:val="26"/>
          <w:lang w:val="lv-LV"/>
        </w:rPr>
      </w:pPr>
      <w:r w:rsidRPr="00DE17AF">
        <w:rPr>
          <w:sz w:val="26"/>
          <w:szCs w:val="26"/>
          <w:lang w:val="lv-LV"/>
        </w:rPr>
        <w:t>vakcīnas izstrāde, ārstēšana, diagnostikas finansēšana un ar C</w:t>
      </w:r>
      <w:r w:rsidR="0096153C">
        <w:rPr>
          <w:sz w:val="26"/>
          <w:szCs w:val="26"/>
          <w:lang w:val="lv-LV"/>
        </w:rPr>
        <w:t>ovid</w:t>
      </w:r>
      <w:r w:rsidRPr="00DE17AF">
        <w:rPr>
          <w:sz w:val="26"/>
          <w:szCs w:val="26"/>
          <w:lang w:val="lv-LV"/>
        </w:rPr>
        <w:t xml:space="preserve">-19 saistīto produktu ieviešana tirgū; </w:t>
      </w:r>
    </w:p>
    <w:p w14:paraId="1D1B4C86" w14:textId="77777777" w:rsidR="00F63E09" w:rsidRDefault="00BF3036" w:rsidP="00F63E09">
      <w:pPr>
        <w:pStyle w:val="Body"/>
        <w:numPr>
          <w:ilvl w:val="0"/>
          <w:numId w:val="5"/>
        </w:numPr>
        <w:jc w:val="both"/>
        <w:rPr>
          <w:sz w:val="26"/>
          <w:szCs w:val="26"/>
          <w:lang w:val="lv-LV"/>
        </w:rPr>
      </w:pPr>
      <w:r w:rsidRPr="00DE17AF">
        <w:rPr>
          <w:sz w:val="26"/>
          <w:szCs w:val="26"/>
          <w:lang w:val="lv-LV"/>
        </w:rPr>
        <w:t xml:space="preserve">atbalsts sadarbībai un informācijas apmaiņai starptautiskā līmenī, lai nodrošinātu sinerģiju un izvairītos no darbību dublēšanās; </w:t>
      </w:r>
    </w:p>
    <w:p w14:paraId="2A191954" w14:textId="0AA5B68F" w:rsidR="00F2782B" w:rsidRPr="00DE17AF" w:rsidRDefault="00BF3036" w:rsidP="00F63E09">
      <w:pPr>
        <w:pStyle w:val="Body"/>
        <w:numPr>
          <w:ilvl w:val="0"/>
          <w:numId w:val="5"/>
        </w:numPr>
        <w:jc w:val="both"/>
        <w:rPr>
          <w:sz w:val="26"/>
          <w:szCs w:val="26"/>
          <w:lang w:val="lv-LV"/>
        </w:rPr>
      </w:pPr>
      <w:r w:rsidRPr="00DE17AF">
        <w:rPr>
          <w:sz w:val="26"/>
          <w:szCs w:val="26"/>
          <w:lang w:val="lv-LV"/>
        </w:rPr>
        <w:t xml:space="preserve">stiprināt sadarbību ar Eiropas aģentūrām (Eiropas Zāļu aģentūru, Eiropas Slimību profilakses un kontroles centru un citām). </w:t>
      </w:r>
    </w:p>
    <w:p w14:paraId="2A191955" w14:textId="77777777" w:rsidR="00F2782B" w:rsidRPr="00DE17AF" w:rsidRDefault="00BF3036">
      <w:pPr>
        <w:pStyle w:val="Body"/>
        <w:ind w:firstLine="720"/>
        <w:jc w:val="both"/>
        <w:rPr>
          <w:sz w:val="26"/>
          <w:szCs w:val="26"/>
          <w:lang w:val="lv-LV"/>
        </w:rPr>
      </w:pPr>
      <w:r w:rsidRPr="00DE17AF">
        <w:rPr>
          <w:sz w:val="26"/>
          <w:szCs w:val="26"/>
          <w:lang w:val="lv-LV"/>
        </w:rPr>
        <w:t>ES vadītāji 2020.gada 26. martā atzina, ka pētniecība un inovācija ir viena no piecām galvenajām jomām, kurā ir jāpieliek pūles un jāturpina ieguldījumi, lai palīdzētu pārvarēt krīzi. Pētniecības un inovācijas lomai ir liela nozīme, lai uzrunātu cilvēkus un komunicētu ar plašāku sabiedrību. Kā politikas veidotājiem mums jādara viss iespējamais, lai atvieglotu šo procesu un nodrošinātu, ka zinātne virza visus politiskos lēmumus un pasākumus, kas tiek prezentēti plašākai sabiedrībai.</w:t>
      </w:r>
    </w:p>
    <w:p w14:paraId="2A191956" w14:textId="77777777" w:rsidR="00F2782B" w:rsidRPr="00DE17AF" w:rsidRDefault="00BF3036">
      <w:pPr>
        <w:pStyle w:val="Body"/>
        <w:ind w:firstLine="720"/>
        <w:jc w:val="both"/>
        <w:rPr>
          <w:sz w:val="26"/>
          <w:szCs w:val="26"/>
          <w:lang w:val="lv-LV"/>
        </w:rPr>
      </w:pPr>
      <w:r w:rsidRPr="00DE17AF">
        <w:rPr>
          <w:sz w:val="26"/>
          <w:szCs w:val="26"/>
          <w:lang w:val="lv-LV"/>
        </w:rPr>
        <w:t xml:space="preserve">Viedokļu apmaiņā starp dalībvalstīm un EK, ko pēdējās nedēļās organizējuši EK dienesti, dalībvalstis aicināja elastīgāk izmantot struktūrfondus, uzsākt jaunu publisko-publisko partnerību </w:t>
      </w:r>
      <w:proofErr w:type="spellStart"/>
      <w:r w:rsidRPr="00DE17AF">
        <w:rPr>
          <w:sz w:val="26"/>
          <w:szCs w:val="26"/>
          <w:lang w:val="lv-LV"/>
        </w:rPr>
        <w:t>koronavīrusa</w:t>
      </w:r>
      <w:proofErr w:type="spellEnd"/>
      <w:r w:rsidRPr="00DE17AF">
        <w:rPr>
          <w:sz w:val="26"/>
          <w:szCs w:val="26"/>
          <w:lang w:val="lv-LV"/>
        </w:rPr>
        <w:t xml:space="preserve"> jomā, koordinētas pētniecības un inovācijas pieejas izmantošanu kopējiem izaicinājumiem, pētniecības infrastruktūras mobilizācija, nepieciešamību dalīties uzticamā informācijā un rezultātos, kā arī atvērtās zinātnes un atvērto inovāciju nozīmi. Tika uzsvērts, ka steidzami jāizstrādā efektīvas vakcīnas un zāles, kā arī nepieciešamība aizsargāt veselības aprūpes speciālistus un citus tieši iesaistītos krīzes pārvarēšanā. </w:t>
      </w:r>
    </w:p>
    <w:p w14:paraId="2A191957" w14:textId="030DB832" w:rsidR="00F2782B" w:rsidRPr="00DE17AF" w:rsidRDefault="00BF3036">
      <w:pPr>
        <w:pStyle w:val="Body"/>
        <w:ind w:firstLine="720"/>
        <w:jc w:val="both"/>
        <w:rPr>
          <w:sz w:val="26"/>
          <w:szCs w:val="26"/>
          <w:lang w:val="lv-LV"/>
        </w:rPr>
      </w:pPr>
      <w:r w:rsidRPr="00DE17AF">
        <w:rPr>
          <w:sz w:val="26"/>
          <w:szCs w:val="26"/>
          <w:lang w:val="lv-LV"/>
        </w:rPr>
        <w:t>Ir panākta plaša vienošanās, ka pētniecībai un inovācijām ir būtiska loma šajos jautājumos, tai skaitā risinot veselības, ekonomisko un sociālo krīzi. Turklāt tika norādīts, ka jāturpina īstermiņa, vidēja termiņa un ilgtermiņa pētījumi un inovāciju attīstīšana saistībā ar C</w:t>
      </w:r>
      <w:r w:rsidR="0096153C">
        <w:rPr>
          <w:sz w:val="26"/>
          <w:szCs w:val="26"/>
          <w:lang w:val="lv-LV"/>
        </w:rPr>
        <w:t>ovid</w:t>
      </w:r>
      <w:r w:rsidRPr="00DE17AF">
        <w:rPr>
          <w:sz w:val="26"/>
          <w:szCs w:val="26"/>
          <w:lang w:val="lv-LV"/>
        </w:rPr>
        <w:t xml:space="preserve">-19 un turpmākajām epidēmijām. Tika uzsvērta </w:t>
      </w:r>
      <w:r w:rsidRPr="00DE17AF">
        <w:rPr>
          <w:sz w:val="26"/>
          <w:szCs w:val="26"/>
          <w:lang w:val="lv-LV"/>
        </w:rPr>
        <w:lastRenderedPageBreak/>
        <w:t>nepieciešamība uzlabot koordināciju starp dalībvalstīm, kā arī veidot uz pierādījumiem balstītu politiku.</w:t>
      </w:r>
    </w:p>
    <w:p w14:paraId="2A191958" w14:textId="20A25173" w:rsidR="00F2782B" w:rsidRPr="00DE17AF" w:rsidRDefault="00BF3036">
      <w:pPr>
        <w:pStyle w:val="Body"/>
        <w:ind w:firstLine="720"/>
        <w:jc w:val="both"/>
        <w:rPr>
          <w:sz w:val="26"/>
          <w:szCs w:val="26"/>
          <w:lang w:val="lv-LV"/>
        </w:rPr>
      </w:pPr>
      <w:r w:rsidRPr="00DE17AF">
        <w:rPr>
          <w:sz w:val="26"/>
          <w:szCs w:val="26"/>
          <w:lang w:val="lv-LV"/>
        </w:rPr>
        <w:t>Pievienotais rīcības plāns nosaka 10 prioritātes pētniecības un inovācijas aktivitātēs, kuras varētu veikt salīdzinoši īsā laika posmā. Papildus tam, E</w:t>
      </w:r>
      <w:r w:rsidR="00F63E09">
        <w:rPr>
          <w:sz w:val="26"/>
          <w:szCs w:val="26"/>
          <w:lang w:val="lv-LV"/>
        </w:rPr>
        <w:t xml:space="preserve">iropas </w:t>
      </w:r>
      <w:r w:rsidRPr="00DE17AF">
        <w:rPr>
          <w:sz w:val="26"/>
          <w:szCs w:val="26"/>
          <w:lang w:val="lv-LV"/>
        </w:rPr>
        <w:t>S</w:t>
      </w:r>
      <w:r w:rsidR="00F63E09">
        <w:rPr>
          <w:sz w:val="26"/>
          <w:szCs w:val="26"/>
          <w:lang w:val="lv-LV"/>
        </w:rPr>
        <w:t>avienībā (turpmāk – ES)</w:t>
      </w:r>
      <w:r w:rsidRPr="00DE17AF">
        <w:rPr>
          <w:sz w:val="26"/>
          <w:szCs w:val="26"/>
          <w:lang w:val="lv-LV"/>
        </w:rPr>
        <w:t xml:space="preserve"> ir jāstiprina centieni</w:t>
      </w:r>
      <w:r w:rsidR="00F63E09">
        <w:rPr>
          <w:sz w:val="26"/>
          <w:szCs w:val="26"/>
          <w:lang w:val="lv-LV"/>
        </w:rPr>
        <w:t>, lai novērstu šīs krīzes vidējā</w:t>
      </w:r>
      <w:r w:rsidRPr="00DE17AF">
        <w:rPr>
          <w:sz w:val="26"/>
          <w:szCs w:val="26"/>
          <w:lang w:val="lv-LV"/>
        </w:rPr>
        <w:t xml:space="preserve"> termiņa un ilgtermiņa ietekmi uz mūsu sabiedrību un ekonomiku. Zinātniekiem ar atbilstošu kvalifikāciju būtu jāpiedalās visā procesā</w:t>
      </w:r>
      <w:r w:rsidR="00F63E09">
        <w:rPr>
          <w:sz w:val="26"/>
          <w:szCs w:val="26"/>
          <w:lang w:val="lv-LV"/>
        </w:rPr>
        <w:t>,</w:t>
      </w:r>
      <w:r w:rsidRPr="00DE17AF">
        <w:rPr>
          <w:sz w:val="26"/>
          <w:szCs w:val="26"/>
          <w:lang w:val="lv-LV"/>
        </w:rPr>
        <w:t xml:space="preserve"> sniedzot atbalstu lēmumu pieņemšanā. </w:t>
      </w:r>
    </w:p>
    <w:p w14:paraId="2A191959" w14:textId="64C2F800" w:rsidR="00F2782B" w:rsidRPr="00DE17AF" w:rsidRDefault="00BF3036">
      <w:pPr>
        <w:pStyle w:val="Body"/>
        <w:ind w:firstLine="720"/>
        <w:jc w:val="both"/>
        <w:rPr>
          <w:sz w:val="26"/>
          <w:szCs w:val="26"/>
          <w:lang w:val="lv-LV"/>
        </w:rPr>
      </w:pPr>
      <w:r w:rsidRPr="00DE17AF">
        <w:rPr>
          <w:sz w:val="26"/>
          <w:szCs w:val="26"/>
          <w:lang w:val="lv-LV"/>
        </w:rPr>
        <w:t>Videokonference ministru līmenī varētu būt platforma</w:t>
      </w:r>
      <w:r w:rsidR="00F63E09">
        <w:rPr>
          <w:sz w:val="26"/>
          <w:szCs w:val="26"/>
          <w:lang w:val="lv-LV"/>
        </w:rPr>
        <w:t>,</w:t>
      </w:r>
      <w:r w:rsidRPr="00DE17AF">
        <w:rPr>
          <w:sz w:val="26"/>
          <w:szCs w:val="26"/>
          <w:lang w:val="lv-LV"/>
        </w:rPr>
        <w:t xml:space="preserve"> lemjot par turpmākajām darbībām un pētniecības un inovāciju politikas pasākumiem krīzes un tās seku novēršanai īstermiņ</w:t>
      </w:r>
      <w:r w:rsidR="00F63E09">
        <w:rPr>
          <w:sz w:val="26"/>
          <w:szCs w:val="26"/>
          <w:lang w:val="lv-LV"/>
        </w:rPr>
        <w:t>ā, vidējā termiņā un ilgtermiņā</w:t>
      </w:r>
      <w:r w:rsidRPr="00DE17AF">
        <w:rPr>
          <w:sz w:val="26"/>
          <w:szCs w:val="26"/>
          <w:lang w:val="lv-LV"/>
        </w:rPr>
        <w:t xml:space="preserve"> sadarbībā ar citām ES politikām. </w:t>
      </w:r>
    </w:p>
    <w:p w14:paraId="2A19195A" w14:textId="77777777" w:rsidR="00F2782B" w:rsidRPr="00DE17AF" w:rsidRDefault="00F2782B">
      <w:pPr>
        <w:pStyle w:val="Body"/>
        <w:ind w:firstLine="720"/>
        <w:jc w:val="both"/>
        <w:rPr>
          <w:sz w:val="26"/>
          <w:szCs w:val="26"/>
          <w:lang w:val="lv-LV"/>
        </w:rPr>
      </w:pPr>
    </w:p>
    <w:p w14:paraId="2A19195B" w14:textId="77777777" w:rsidR="00F2782B" w:rsidRPr="00DE17AF" w:rsidRDefault="00BF3036">
      <w:pPr>
        <w:pStyle w:val="Body"/>
        <w:ind w:firstLine="720"/>
        <w:jc w:val="both"/>
        <w:rPr>
          <w:b/>
          <w:bCs/>
          <w:sz w:val="26"/>
          <w:szCs w:val="26"/>
          <w:u w:val="single"/>
          <w:lang w:val="lv-LV"/>
        </w:rPr>
      </w:pPr>
      <w:r w:rsidRPr="00DE17AF">
        <w:rPr>
          <w:b/>
          <w:bCs/>
          <w:sz w:val="26"/>
          <w:szCs w:val="26"/>
          <w:u w:val="single"/>
          <w:lang w:val="lv-LV"/>
        </w:rPr>
        <w:t>Diskusijas jautājumi:</w:t>
      </w:r>
    </w:p>
    <w:p w14:paraId="2A19195C" w14:textId="77777777" w:rsidR="00F2782B" w:rsidRPr="00DE17AF" w:rsidRDefault="00F2782B">
      <w:pPr>
        <w:pStyle w:val="Body"/>
        <w:ind w:firstLine="720"/>
        <w:jc w:val="both"/>
        <w:rPr>
          <w:b/>
          <w:bCs/>
          <w:sz w:val="26"/>
          <w:szCs w:val="26"/>
          <w:u w:val="single"/>
          <w:lang w:val="lv-LV"/>
        </w:rPr>
      </w:pPr>
    </w:p>
    <w:p w14:paraId="2A19195D" w14:textId="77777777" w:rsidR="00F2782B" w:rsidRPr="00DE17AF" w:rsidRDefault="00BF3036">
      <w:pPr>
        <w:pStyle w:val="Body"/>
        <w:ind w:firstLine="720"/>
        <w:jc w:val="both"/>
        <w:rPr>
          <w:sz w:val="26"/>
          <w:szCs w:val="26"/>
          <w:lang w:val="lv-LV"/>
        </w:rPr>
      </w:pPr>
      <w:r w:rsidRPr="00DE17AF">
        <w:rPr>
          <w:sz w:val="26"/>
          <w:szCs w:val="26"/>
          <w:lang w:val="lv-LV"/>
        </w:rPr>
        <w:t xml:space="preserve">Horvātijas prezidentūra neformālajā augsta līmeņa videokonferencē aicina ministrus izteikties par šādiem jautājumiem: </w:t>
      </w:r>
    </w:p>
    <w:p w14:paraId="2A19195E" w14:textId="77777777" w:rsidR="00F2782B" w:rsidRPr="00DE17AF" w:rsidRDefault="00F2782B">
      <w:pPr>
        <w:pStyle w:val="Body"/>
        <w:jc w:val="both"/>
        <w:rPr>
          <w:i/>
          <w:iCs/>
          <w:sz w:val="26"/>
          <w:szCs w:val="26"/>
          <w:lang w:val="lv-LV"/>
        </w:rPr>
      </w:pPr>
    </w:p>
    <w:p w14:paraId="2A19195F" w14:textId="77777777" w:rsidR="00F2782B" w:rsidRPr="00DE17AF" w:rsidRDefault="00BF3036">
      <w:pPr>
        <w:pStyle w:val="ListParagraph"/>
        <w:numPr>
          <w:ilvl w:val="0"/>
          <w:numId w:val="2"/>
        </w:numPr>
        <w:jc w:val="both"/>
        <w:rPr>
          <w:i/>
          <w:iCs/>
          <w:sz w:val="26"/>
          <w:szCs w:val="26"/>
          <w:lang w:val="lv-LV"/>
        </w:rPr>
      </w:pPr>
      <w:r w:rsidRPr="00DE17AF">
        <w:rPr>
          <w:i/>
          <w:iCs/>
          <w:sz w:val="26"/>
          <w:szCs w:val="26"/>
          <w:lang w:val="lv-LV"/>
        </w:rPr>
        <w:t>Vai jūs atbalstāt 10 prioritārās darbības, kas noteiktas rīcības plānā?</w:t>
      </w:r>
    </w:p>
    <w:p w14:paraId="2A191960" w14:textId="0E1B671F" w:rsidR="00F2782B" w:rsidRPr="00DE17AF" w:rsidRDefault="00BF3036">
      <w:pPr>
        <w:pStyle w:val="ListParagraph"/>
        <w:numPr>
          <w:ilvl w:val="0"/>
          <w:numId w:val="2"/>
        </w:numPr>
        <w:jc w:val="both"/>
        <w:rPr>
          <w:i/>
          <w:iCs/>
          <w:sz w:val="26"/>
          <w:szCs w:val="26"/>
          <w:lang w:val="lv-LV"/>
        </w:rPr>
      </w:pPr>
      <w:r w:rsidRPr="00DE17AF">
        <w:rPr>
          <w:i/>
          <w:iCs/>
          <w:sz w:val="26"/>
          <w:szCs w:val="26"/>
          <w:lang w:val="lv-LV"/>
        </w:rPr>
        <w:t>Kāds būtu labākais mehānisms, lai koordinētu un vadītu vispārējo īstermiņa, vidēja termiņa un ilgtermiņa pētniecības un inovāciju atbildi? Kā mēs varam nodrošināt lielāku zinātnieku lom</w:t>
      </w:r>
      <w:r w:rsidR="00DE17AF">
        <w:rPr>
          <w:i/>
          <w:iCs/>
          <w:sz w:val="26"/>
          <w:szCs w:val="26"/>
          <w:lang w:val="lv-LV"/>
        </w:rPr>
        <w:t>u</w:t>
      </w:r>
      <w:r w:rsidR="00F63E09">
        <w:rPr>
          <w:i/>
          <w:iCs/>
          <w:sz w:val="26"/>
          <w:szCs w:val="26"/>
          <w:lang w:val="lv-LV"/>
        </w:rPr>
        <w:t xml:space="preserve"> </w:t>
      </w:r>
      <w:r w:rsidRPr="00DE17AF">
        <w:rPr>
          <w:i/>
          <w:iCs/>
          <w:sz w:val="26"/>
          <w:szCs w:val="26"/>
          <w:lang w:val="lv-LV"/>
        </w:rPr>
        <w:t>mūsu lēmumu pieņemšanas procesos?</w:t>
      </w:r>
    </w:p>
    <w:p w14:paraId="2A191961" w14:textId="77777777" w:rsidR="00F2782B" w:rsidRPr="00DE17AF" w:rsidRDefault="00BF3036">
      <w:pPr>
        <w:pStyle w:val="ListParagraph"/>
        <w:numPr>
          <w:ilvl w:val="0"/>
          <w:numId w:val="2"/>
        </w:numPr>
        <w:jc w:val="both"/>
        <w:rPr>
          <w:i/>
          <w:iCs/>
          <w:sz w:val="26"/>
          <w:szCs w:val="26"/>
          <w:lang w:val="lv-LV"/>
        </w:rPr>
      </w:pPr>
      <w:r w:rsidRPr="00DE17AF">
        <w:rPr>
          <w:i/>
          <w:iCs/>
          <w:sz w:val="26"/>
          <w:szCs w:val="26"/>
          <w:lang w:val="lv-LV"/>
        </w:rPr>
        <w:t>Kā citas ES programmas un fondi, galvenokārt struktūrfondi, vislabāk būtu izmantojami, lai palielinātu ieguldījumus pētniecībā un inovācijā kā atbildei šajā krīzē?</w:t>
      </w:r>
    </w:p>
    <w:p w14:paraId="2A191962" w14:textId="77777777" w:rsidR="00F2782B" w:rsidRPr="00DE17AF" w:rsidRDefault="00F2782B">
      <w:pPr>
        <w:pStyle w:val="Body"/>
        <w:jc w:val="both"/>
        <w:rPr>
          <w:i/>
          <w:iCs/>
          <w:sz w:val="26"/>
          <w:szCs w:val="26"/>
          <w:lang w:val="lv-LV"/>
        </w:rPr>
      </w:pPr>
    </w:p>
    <w:p w14:paraId="2A191963" w14:textId="77777777" w:rsidR="00F2782B" w:rsidRPr="00DE17AF" w:rsidRDefault="00BF3036">
      <w:pPr>
        <w:pStyle w:val="Body"/>
        <w:jc w:val="both"/>
        <w:rPr>
          <w:b/>
          <w:bCs/>
          <w:sz w:val="26"/>
          <w:szCs w:val="26"/>
          <w:u w:val="single"/>
          <w:lang w:val="lv-LV"/>
        </w:rPr>
      </w:pPr>
      <w:r w:rsidRPr="00DE17AF">
        <w:rPr>
          <w:b/>
          <w:bCs/>
          <w:sz w:val="26"/>
          <w:szCs w:val="26"/>
          <w:u w:val="single"/>
          <w:lang w:val="lv-LV"/>
        </w:rPr>
        <w:t xml:space="preserve">Latvijas pozīcija </w:t>
      </w:r>
    </w:p>
    <w:p w14:paraId="2A191964" w14:textId="77777777" w:rsidR="00F2782B" w:rsidRPr="00DE17AF" w:rsidRDefault="00F2782B">
      <w:pPr>
        <w:pStyle w:val="Body"/>
        <w:jc w:val="both"/>
        <w:rPr>
          <w:b/>
          <w:bCs/>
          <w:sz w:val="26"/>
          <w:szCs w:val="26"/>
          <w:u w:val="single"/>
          <w:lang w:val="lv-LV"/>
        </w:rPr>
      </w:pPr>
    </w:p>
    <w:p w14:paraId="2A191965" w14:textId="4C4FC888" w:rsidR="00F2782B" w:rsidRPr="00DE17AF" w:rsidRDefault="00BF3036">
      <w:pPr>
        <w:pStyle w:val="ListParagraph"/>
        <w:numPr>
          <w:ilvl w:val="0"/>
          <w:numId w:val="4"/>
        </w:numPr>
        <w:jc w:val="both"/>
      </w:pPr>
      <w:r w:rsidRPr="00DE17AF">
        <w:rPr>
          <w:sz w:val="26"/>
          <w:szCs w:val="26"/>
          <w:lang w:val="lv-LV"/>
        </w:rPr>
        <w:t>Latvija konceptuāli atbalsta 10 rīcības plānā izvirzītā prioritārās darbības. Latvija šobrīd jau iesaistās 9.punkta darbības pasākumos (sadarbība ar Eiropas Bioinformātikas institūtu (</w:t>
      </w:r>
      <w:r w:rsidRPr="00DE17AF">
        <w:rPr>
          <w:i/>
          <w:iCs/>
          <w:sz w:val="26"/>
          <w:szCs w:val="26"/>
          <w:lang w:val="lv-LV"/>
        </w:rPr>
        <w:t>EMBL-EBI</w:t>
      </w:r>
      <w:r w:rsidRPr="00DE17AF">
        <w:rPr>
          <w:sz w:val="26"/>
          <w:szCs w:val="26"/>
          <w:lang w:val="lv-LV"/>
        </w:rPr>
        <w:t xml:space="preserve">) un datu nodošanu). Latvija ir arī </w:t>
      </w:r>
      <w:r w:rsidR="00DE17AF">
        <w:rPr>
          <w:sz w:val="26"/>
          <w:szCs w:val="26"/>
          <w:lang w:val="lv-LV"/>
        </w:rPr>
        <w:t>realizējusi</w:t>
      </w:r>
      <w:r w:rsidRPr="00DE17AF">
        <w:rPr>
          <w:sz w:val="26"/>
          <w:szCs w:val="26"/>
          <w:lang w:val="lv-LV"/>
        </w:rPr>
        <w:t xml:space="preserve"> veiksmīgi </w:t>
      </w:r>
      <w:proofErr w:type="spellStart"/>
      <w:r w:rsidRPr="00DE17AF">
        <w:rPr>
          <w:sz w:val="26"/>
          <w:szCs w:val="26"/>
          <w:lang w:val="lv-LV"/>
        </w:rPr>
        <w:t>hakatonu</w:t>
      </w:r>
      <w:proofErr w:type="spellEnd"/>
      <w:r w:rsidRPr="00DE17AF">
        <w:rPr>
          <w:sz w:val="26"/>
          <w:szCs w:val="26"/>
          <w:lang w:val="lv-LV"/>
        </w:rPr>
        <w:t xml:space="preserve"> </w:t>
      </w:r>
      <w:r w:rsidRPr="00DE17AF">
        <w:rPr>
          <w:i/>
          <w:iCs/>
          <w:sz w:val="26"/>
          <w:szCs w:val="26"/>
          <w:lang w:val="lv-LV"/>
        </w:rPr>
        <w:t>#</w:t>
      </w:r>
      <w:proofErr w:type="spellStart"/>
      <w:r w:rsidRPr="00DE17AF">
        <w:rPr>
          <w:i/>
          <w:iCs/>
          <w:sz w:val="26"/>
          <w:szCs w:val="26"/>
          <w:lang w:val="lv-LV"/>
        </w:rPr>
        <w:t>HackForce</w:t>
      </w:r>
      <w:proofErr w:type="spellEnd"/>
      <w:r w:rsidRPr="00DE17AF">
        <w:rPr>
          <w:sz w:val="26"/>
          <w:szCs w:val="26"/>
          <w:lang w:val="lv-LV"/>
        </w:rPr>
        <w:t xml:space="preserve"> par inovācijām C</w:t>
      </w:r>
      <w:r w:rsidR="0096153C">
        <w:rPr>
          <w:sz w:val="26"/>
          <w:szCs w:val="26"/>
          <w:lang w:val="lv-LV"/>
        </w:rPr>
        <w:t>ovid</w:t>
      </w:r>
      <w:r w:rsidRPr="00DE17AF">
        <w:rPr>
          <w:sz w:val="26"/>
          <w:szCs w:val="26"/>
          <w:lang w:val="lv-LV"/>
        </w:rPr>
        <w:t xml:space="preserve">-19 krīzes risināšanai, kura </w:t>
      </w:r>
      <w:r w:rsidR="00DE17AF">
        <w:rPr>
          <w:sz w:val="26"/>
          <w:szCs w:val="26"/>
          <w:lang w:val="lv-LV"/>
        </w:rPr>
        <w:t>uzvarētāji</w:t>
      </w:r>
      <w:r w:rsidRPr="00DE17AF">
        <w:rPr>
          <w:sz w:val="26"/>
          <w:szCs w:val="26"/>
          <w:lang w:val="lv-LV"/>
        </w:rPr>
        <w:t xml:space="preserve"> ar 3D drukā pielāgotus sejas aizsardzības vairogus. Tai pašā laikā Latvija vēlas atzīmēt, ka EK līdz šim īstenotā uzsaukumu (</w:t>
      </w:r>
      <w:proofErr w:type="spellStart"/>
      <w:r w:rsidRPr="00DE17AF">
        <w:rPr>
          <w:i/>
          <w:sz w:val="26"/>
          <w:szCs w:val="26"/>
          <w:lang w:val="lv-LV"/>
        </w:rPr>
        <w:t>call-based</w:t>
      </w:r>
      <w:proofErr w:type="spellEnd"/>
      <w:r w:rsidRPr="00DE17AF">
        <w:rPr>
          <w:sz w:val="26"/>
          <w:szCs w:val="26"/>
          <w:lang w:val="lv-LV"/>
        </w:rPr>
        <w:t>) pieeja veicina pētniecības fragmentāciju, kuras rezultātā atsevišķās dalībvalstīs netiek realizēts neviens no ES atbalstītajiem projektiem. Latvija īpaši vēlas uzsvērt, ka šajā situācijā iekļaujoša pieeja un savlaicīga dalīšanās ar rezultātiem ir īpaši svarīga, lai neviena dalībvalsts netiktu atstāta ārpus zināšanu aprites. Tādēļ plāns ir jāpapildina ar ES finansētiem koordinācijas pasākumiem un jānodrošina visu dalībvalstu attiecīgo institūciju efektīva iesaiste šajos kopējos pasākumos, operatīva un atvērta informācijas apmaiņa, pilnībā un atbilstoši atvērtās zinātnes principiem. Latvija aicinātu EK izsvērt iesp</w:t>
      </w:r>
      <w:r w:rsidR="00DE17AF">
        <w:rPr>
          <w:sz w:val="26"/>
          <w:szCs w:val="26"/>
          <w:lang w:val="lv-LV"/>
        </w:rPr>
        <w:t>ēju veidot</w:t>
      </w:r>
      <w:r w:rsidRPr="00DE17AF">
        <w:rPr>
          <w:sz w:val="26"/>
          <w:szCs w:val="26"/>
          <w:lang w:val="lv-LV"/>
        </w:rPr>
        <w:t xml:space="preserve"> ERA-NET par </w:t>
      </w:r>
      <w:proofErr w:type="spellStart"/>
      <w:r w:rsidRPr="00DE17AF">
        <w:rPr>
          <w:sz w:val="26"/>
          <w:szCs w:val="26"/>
          <w:lang w:val="lv-LV"/>
        </w:rPr>
        <w:t>koronavīrusa</w:t>
      </w:r>
      <w:proofErr w:type="spellEnd"/>
      <w:r w:rsidRPr="00DE17AF">
        <w:rPr>
          <w:sz w:val="26"/>
          <w:szCs w:val="26"/>
          <w:lang w:val="lv-LV"/>
        </w:rPr>
        <w:t xml:space="preserve"> pētniecību kā vidēja termiņa instrumentu, kura uzdevums būtu arī jaunu starpvalstu konsorciju izveide un nacionālo pasākumu sinhronizācija.</w:t>
      </w:r>
    </w:p>
    <w:p w14:paraId="2A191966" w14:textId="6B8970CE" w:rsidR="00F2782B" w:rsidRPr="00DE17AF" w:rsidRDefault="00BF3036">
      <w:pPr>
        <w:pStyle w:val="ListParagraph"/>
        <w:numPr>
          <w:ilvl w:val="0"/>
          <w:numId w:val="4"/>
        </w:numPr>
        <w:jc w:val="both"/>
        <w:rPr>
          <w:sz w:val="26"/>
          <w:szCs w:val="26"/>
          <w:lang w:val="lv-LV"/>
        </w:rPr>
      </w:pPr>
      <w:r w:rsidRPr="00DE17AF">
        <w:rPr>
          <w:sz w:val="26"/>
          <w:szCs w:val="26"/>
          <w:lang w:val="lv-LV"/>
        </w:rPr>
        <w:lastRenderedPageBreak/>
        <w:t xml:space="preserve">Īstermiņa pasākumu koordinācijai Latvija atbalsta vienas pieturas pieeju un </w:t>
      </w:r>
      <w:proofErr w:type="spellStart"/>
      <w:r w:rsidRPr="00DE17AF">
        <w:rPr>
          <w:i/>
          <w:sz w:val="26"/>
          <w:szCs w:val="26"/>
          <w:lang w:val="lv-LV"/>
        </w:rPr>
        <w:t>ad-hoc</w:t>
      </w:r>
      <w:proofErr w:type="spellEnd"/>
      <w:r w:rsidRPr="00DE17AF">
        <w:rPr>
          <w:sz w:val="26"/>
          <w:szCs w:val="26"/>
          <w:lang w:val="lv-LV"/>
        </w:rPr>
        <w:t xml:space="preserve"> augsta līmeņa pētniecības un inovāciju operatīvās darba grupas (</w:t>
      </w:r>
      <w:proofErr w:type="spellStart"/>
      <w:r w:rsidRPr="00DE17AF">
        <w:rPr>
          <w:i/>
          <w:sz w:val="26"/>
          <w:szCs w:val="26"/>
          <w:lang w:val="lv-LV"/>
        </w:rPr>
        <w:t>task-force</w:t>
      </w:r>
      <w:proofErr w:type="spellEnd"/>
      <w:r w:rsidRPr="00DE17AF">
        <w:rPr>
          <w:sz w:val="26"/>
          <w:szCs w:val="26"/>
          <w:lang w:val="lv-LV"/>
        </w:rPr>
        <w:t>) izveidi. Svarīgi, lai šīs darba grupas darbs būtu caurspīdīgs un lēmumi vai ieteikumi būtu savlaicīgi apspriesti ar dalībvalstīm, izmantojot efektīvāko informācijas kanālu. Vidējā termiņā Latvija atbalsta partnerības pieeju, tai pašā laikā uzsverot nepieciešamību piemērot tādu partnerības modeli, kas garantē efektīvu visu dalībvalstu iesaisti kopējos pētniecības un inovācijas pasākumos, jo C</w:t>
      </w:r>
      <w:r w:rsidR="0096153C">
        <w:rPr>
          <w:sz w:val="26"/>
          <w:szCs w:val="26"/>
          <w:lang w:val="lv-LV"/>
        </w:rPr>
        <w:t>ovid</w:t>
      </w:r>
      <w:r w:rsidRPr="00DE17AF">
        <w:rPr>
          <w:sz w:val="26"/>
          <w:szCs w:val="26"/>
          <w:lang w:val="lv-LV"/>
        </w:rPr>
        <w:t xml:space="preserve">-19 saslimšana ir </w:t>
      </w:r>
      <w:proofErr w:type="spellStart"/>
      <w:r w:rsidRPr="00DE17AF">
        <w:rPr>
          <w:sz w:val="26"/>
          <w:szCs w:val="26"/>
          <w:lang w:val="lv-LV"/>
        </w:rPr>
        <w:t>skārusi</w:t>
      </w:r>
      <w:proofErr w:type="spellEnd"/>
      <w:r w:rsidRPr="00DE17AF">
        <w:rPr>
          <w:sz w:val="26"/>
          <w:szCs w:val="26"/>
          <w:lang w:val="lv-LV"/>
        </w:rPr>
        <w:t xml:space="preserve"> visas dalībvalstis, un visām dalī</w:t>
      </w:r>
      <w:r w:rsidR="00DE17AF">
        <w:rPr>
          <w:sz w:val="26"/>
          <w:szCs w:val="26"/>
          <w:lang w:val="lv-LV"/>
        </w:rPr>
        <w:t>b</w:t>
      </w:r>
      <w:r w:rsidRPr="00DE17AF">
        <w:rPr>
          <w:sz w:val="26"/>
          <w:szCs w:val="26"/>
          <w:lang w:val="lv-LV"/>
        </w:rPr>
        <w:t>valstīm jārisina līdzīgas problēmas. Ilgtermiņā Latvija rosina domāt par Apvārsnis Eiropa partnerību, kas vērsta tieši uz jaunām (</w:t>
      </w:r>
      <w:proofErr w:type="spellStart"/>
      <w:r w:rsidRPr="00DE17AF">
        <w:rPr>
          <w:i/>
          <w:sz w:val="26"/>
          <w:szCs w:val="26"/>
          <w:lang w:val="lv-LV"/>
        </w:rPr>
        <w:t>emerging</w:t>
      </w:r>
      <w:proofErr w:type="spellEnd"/>
      <w:r w:rsidRPr="00DE17AF">
        <w:rPr>
          <w:sz w:val="26"/>
          <w:szCs w:val="26"/>
          <w:lang w:val="lv-LV"/>
        </w:rPr>
        <w:t xml:space="preserve">) vīrusu infekcijas slimībām, diagnostiku un terapiju, </w:t>
      </w:r>
      <w:r w:rsidRPr="00476D83">
        <w:rPr>
          <w:i/>
          <w:sz w:val="26"/>
          <w:szCs w:val="26"/>
          <w:lang w:val="lv-LV"/>
        </w:rPr>
        <w:t>post</w:t>
      </w:r>
      <w:r w:rsidRPr="00DE17AF">
        <w:rPr>
          <w:sz w:val="26"/>
          <w:szCs w:val="26"/>
          <w:lang w:val="lv-LV"/>
        </w:rPr>
        <w:t xml:space="preserve">-virālo veselības seku novēršanu, infekciju izraisīto sociālekonomisko seku pārvarēšanu. Šāda </w:t>
      </w:r>
      <w:proofErr w:type="spellStart"/>
      <w:r w:rsidRPr="00DE17AF">
        <w:rPr>
          <w:sz w:val="26"/>
          <w:szCs w:val="26"/>
          <w:lang w:val="lv-LV"/>
        </w:rPr>
        <w:t>multidisciplināra</w:t>
      </w:r>
      <w:proofErr w:type="spellEnd"/>
      <w:r w:rsidRPr="00DE17AF">
        <w:rPr>
          <w:sz w:val="26"/>
          <w:szCs w:val="26"/>
          <w:lang w:val="lv-LV"/>
        </w:rPr>
        <w:t xml:space="preserve"> partnerība jāveido ar adekvātu finansējumu, ļaujot dalībvalstīm tajā savas nacionālās aktivitātes sinhronizēt ar šādas partnerības mērķiem un integrējot nacionālās infrastruktūras </w:t>
      </w:r>
      <w:proofErr w:type="spellStart"/>
      <w:r w:rsidRPr="00DE17AF">
        <w:rPr>
          <w:sz w:val="26"/>
          <w:szCs w:val="26"/>
          <w:lang w:val="lv-LV"/>
        </w:rPr>
        <w:t>mērķsadarbību</w:t>
      </w:r>
      <w:proofErr w:type="spellEnd"/>
      <w:r w:rsidRPr="00DE17AF">
        <w:rPr>
          <w:sz w:val="26"/>
          <w:szCs w:val="26"/>
          <w:lang w:val="lv-LV"/>
        </w:rPr>
        <w:t xml:space="preserve"> Eiropas tīklā (</w:t>
      </w:r>
      <w:proofErr w:type="spellStart"/>
      <w:r w:rsidRPr="00DE17AF">
        <w:rPr>
          <w:i/>
          <w:iCs/>
          <w:sz w:val="26"/>
          <w:szCs w:val="26"/>
          <w:lang w:val="lv-LV"/>
        </w:rPr>
        <w:t>in-kind</w:t>
      </w:r>
      <w:proofErr w:type="spellEnd"/>
      <w:r w:rsidRPr="00DE17AF">
        <w:rPr>
          <w:sz w:val="26"/>
          <w:szCs w:val="26"/>
          <w:lang w:val="lv-LV"/>
        </w:rPr>
        <w:t xml:space="preserve"> ieguldījums). Īpašs </w:t>
      </w:r>
      <w:r w:rsidR="00DE17AF">
        <w:rPr>
          <w:sz w:val="26"/>
          <w:szCs w:val="26"/>
          <w:lang w:val="lv-LV"/>
        </w:rPr>
        <w:t>uzsvars</w:t>
      </w:r>
      <w:r w:rsidRPr="00DE17AF">
        <w:rPr>
          <w:sz w:val="26"/>
          <w:szCs w:val="26"/>
          <w:lang w:val="lv-LV"/>
        </w:rPr>
        <w:t xml:space="preserve"> varētu būt uz vakcīnu izpētes infrastruktūrām. Atti</w:t>
      </w:r>
      <w:r w:rsidR="00476D83">
        <w:rPr>
          <w:sz w:val="26"/>
          <w:szCs w:val="26"/>
          <w:lang w:val="lv-LV"/>
        </w:rPr>
        <w:t>ecībā uz zinātnieku ieguldījumu</w:t>
      </w:r>
      <w:r w:rsidRPr="00DE17AF">
        <w:rPr>
          <w:sz w:val="26"/>
          <w:szCs w:val="26"/>
          <w:lang w:val="lv-LV"/>
        </w:rPr>
        <w:t xml:space="preserve"> jāatbalsta arī tādi pētījumi, kas maksimāli ātri dotu atbildi par sagaidāmo slimības dinamiku: vai paredzams, ka C</w:t>
      </w:r>
      <w:r w:rsidR="0096153C">
        <w:rPr>
          <w:sz w:val="26"/>
          <w:szCs w:val="26"/>
          <w:lang w:val="lv-LV"/>
        </w:rPr>
        <w:t>ovid</w:t>
      </w:r>
      <w:r w:rsidRPr="00DE17AF">
        <w:rPr>
          <w:sz w:val="26"/>
          <w:szCs w:val="26"/>
          <w:lang w:val="lv-LV"/>
        </w:rPr>
        <w:t>-19 kļūs permanenta, sezonāla, vai tomēr paredzama slimības pilnīga atkāpšanās.</w:t>
      </w:r>
    </w:p>
    <w:p w14:paraId="2A191967" w14:textId="395DF638" w:rsidR="00F2782B" w:rsidRPr="00DE17AF" w:rsidRDefault="00BF3036">
      <w:pPr>
        <w:pStyle w:val="ListParagraph"/>
        <w:numPr>
          <w:ilvl w:val="0"/>
          <w:numId w:val="4"/>
        </w:numPr>
        <w:jc w:val="both"/>
        <w:rPr>
          <w:sz w:val="26"/>
          <w:szCs w:val="26"/>
          <w:lang w:val="lv-LV"/>
        </w:rPr>
      </w:pPr>
      <w:r w:rsidRPr="00DE17AF">
        <w:rPr>
          <w:sz w:val="26"/>
          <w:szCs w:val="26"/>
          <w:lang w:val="lv-LV"/>
        </w:rPr>
        <w:t>Latvija veic darbības nacionālā līmenī C</w:t>
      </w:r>
      <w:r w:rsidR="0096153C">
        <w:rPr>
          <w:sz w:val="26"/>
          <w:szCs w:val="26"/>
          <w:lang w:val="lv-LV"/>
        </w:rPr>
        <w:t>ovid</w:t>
      </w:r>
      <w:r w:rsidRPr="00DE17AF">
        <w:rPr>
          <w:sz w:val="26"/>
          <w:szCs w:val="26"/>
          <w:lang w:val="lv-LV"/>
        </w:rPr>
        <w:t>-19</w:t>
      </w:r>
      <w:r w:rsidR="00476D83">
        <w:rPr>
          <w:sz w:val="26"/>
          <w:szCs w:val="26"/>
          <w:lang w:val="lv-LV"/>
        </w:rPr>
        <w:t xml:space="preserve"> pētniecības</w:t>
      </w:r>
      <w:r w:rsidRPr="00DE17AF">
        <w:rPr>
          <w:sz w:val="26"/>
          <w:szCs w:val="26"/>
          <w:lang w:val="lv-LV"/>
        </w:rPr>
        <w:t xml:space="preserve"> platformas finansēšanas uzsākšanai no ES struktūrfondiem. Lai varētu maksimāli efektīvi iesaistīt citu finansējumu, būtu nepieciešama ES līmenī sinhronizēt pieeju ātrai projektu izvērtēšanai un palaišanai (</w:t>
      </w:r>
      <w:proofErr w:type="spellStart"/>
      <w:r w:rsidRPr="00DE17AF">
        <w:rPr>
          <w:i/>
          <w:iCs/>
          <w:sz w:val="26"/>
          <w:szCs w:val="26"/>
          <w:lang w:val="lv-LV"/>
        </w:rPr>
        <w:t>fast</w:t>
      </w:r>
      <w:proofErr w:type="spellEnd"/>
      <w:r w:rsidRPr="00DE17AF">
        <w:rPr>
          <w:i/>
          <w:iCs/>
          <w:sz w:val="26"/>
          <w:szCs w:val="26"/>
          <w:lang w:val="lv-LV"/>
        </w:rPr>
        <w:t xml:space="preserve"> </w:t>
      </w:r>
      <w:proofErr w:type="spellStart"/>
      <w:r w:rsidRPr="00DE17AF">
        <w:rPr>
          <w:i/>
          <w:iCs/>
          <w:sz w:val="26"/>
          <w:szCs w:val="26"/>
          <w:lang w:val="lv-LV"/>
        </w:rPr>
        <w:t>track</w:t>
      </w:r>
      <w:proofErr w:type="spellEnd"/>
      <w:r w:rsidRPr="00DE17AF">
        <w:rPr>
          <w:sz w:val="26"/>
          <w:szCs w:val="26"/>
          <w:lang w:val="lv-LV"/>
        </w:rPr>
        <w:t>) C</w:t>
      </w:r>
      <w:r w:rsidR="0096153C">
        <w:rPr>
          <w:sz w:val="26"/>
          <w:szCs w:val="26"/>
          <w:lang w:val="lv-LV"/>
        </w:rPr>
        <w:t>ovid</w:t>
      </w:r>
      <w:r w:rsidRPr="00DE17AF">
        <w:rPr>
          <w:sz w:val="26"/>
          <w:szCs w:val="26"/>
          <w:lang w:val="lv-LV"/>
        </w:rPr>
        <w:t>-19 pētījumiem. Otrkārt, būtu nepieciešama efektīva infrastruktūru tīkla izveide, iekļaujot arī par ES struktūrfondiem finansētās infrastruktūras, lai ES finansētos projektus varētu maksimāli ātri un efektīvi izvietot</w:t>
      </w:r>
      <w:r w:rsidR="00DE17AF">
        <w:rPr>
          <w:sz w:val="26"/>
          <w:szCs w:val="26"/>
          <w:lang w:val="lv-LV"/>
        </w:rPr>
        <w:t xml:space="preserve"> un </w:t>
      </w:r>
      <w:r w:rsidRPr="00DE17AF">
        <w:rPr>
          <w:sz w:val="26"/>
          <w:szCs w:val="26"/>
          <w:lang w:val="lv-LV"/>
        </w:rPr>
        <w:t>ieviest uz šādām infrastruktūrām. Latvija īpaši vēlas uzsvērt infrastruktūras platformas nepieciešamību vakcīnu izstrādei, un konkrēti vīrusam līdzīgo daļiņu (</w:t>
      </w:r>
      <w:proofErr w:type="spellStart"/>
      <w:r w:rsidRPr="00DE17AF">
        <w:rPr>
          <w:i/>
          <w:iCs/>
          <w:sz w:val="26"/>
          <w:szCs w:val="26"/>
          <w:lang w:val="lv-LV"/>
        </w:rPr>
        <w:t>Virus</w:t>
      </w:r>
      <w:proofErr w:type="spellEnd"/>
      <w:r w:rsidRPr="00DE17AF">
        <w:rPr>
          <w:i/>
          <w:iCs/>
          <w:sz w:val="26"/>
          <w:szCs w:val="26"/>
          <w:lang w:val="lv-LV"/>
        </w:rPr>
        <w:t xml:space="preserve"> </w:t>
      </w:r>
      <w:proofErr w:type="spellStart"/>
      <w:r w:rsidRPr="00DE17AF">
        <w:rPr>
          <w:i/>
          <w:iCs/>
          <w:sz w:val="26"/>
          <w:szCs w:val="26"/>
          <w:lang w:val="lv-LV"/>
        </w:rPr>
        <w:t>Like</w:t>
      </w:r>
      <w:proofErr w:type="spellEnd"/>
      <w:r w:rsidRPr="00DE17AF">
        <w:rPr>
          <w:i/>
          <w:iCs/>
          <w:sz w:val="26"/>
          <w:szCs w:val="26"/>
          <w:lang w:val="lv-LV"/>
        </w:rPr>
        <w:t xml:space="preserve"> </w:t>
      </w:r>
      <w:proofErr w:type="spellStart"/>
      <w:r w:rsidRPr="00DE17AF">
        <w:rPr>
          <w:i/>
          <w:iCs/>
          <w:sz w:val="26"/>
          <w:szCs w:val="26"/>
          <w:lang w:val="lv-LV"/>
        </w:rPr>
        <w:t>Particles</w:t>
      </w:r>
      <w:bookmarkStart w:id="0" w:name="_GoBack"/>
      <w:bookmarkEnd w:id="0"/>
      <w:proofErr w:type="spellEnd"/>
      <w:r w:rsidRPr="00DE17AF">
        <w:rPr>
          <w:sz w:val="26"/>
          <w:szCs w:val="26"/>
          <w:lang w:val="lv-LV"/>
        </w:rPr>
        <w:t xml:space="preserve"> jeb </w:t>
      </w:r>
      <w:r w:rsidRPr="00DE17AF">
        <w:rPr>
          <w:i/>
          <w:iCs/>
          <w:sz w:val="26"/>
          <w:szCs w:val="26"/>
          <w:lang w:val="lv-LV"/>
        </w:rPr>
        <w:t>VLP</w:t>
      </w:r>
      <w:r w:rsidRPr="00DE17AF">
        <w:rPr>
          <w:sz w:val="26"/>
          <w:szCs w:val="26"/>
          <w:lang w:val="lv-LV"/>
        </w:rPr>
        <w:t>) pieejā balstīto vakcīnu izstrādei, kur nepieciešama Eiropas mēroga tīkla izveide, lai valstis, kā Latvija, kam šādas platformas ir, varētu efektīvi iekļauties pētījumos.</w:t>
      </w:r>
    </w:p>
    <w:p w14:paraId="2A191968" w14:textId="77777777" w:rsidR="00F2782B" w:rsidRPr="00DE17AF" w:rsidRDefault="00F2782B">
      <w:pPr>
        <w:pStyle w:val="Body"/>
        <w:jc w:val="both"/>
        <w:rPr>
          <w:sz w:val="26"/>
          <w:szCs w:val="26"/>
          <w:lang w:val="lv-LV"/>
        </w:rPr>
      </w:pPr>
    </w:p>
    <w:p w14:paraId="2A191969" w14:textId="77777777" w:rsidR="00F2782B" w:rsidRPr="00DE17AF" w:rsidRDefault="00BF3036">
      <w:pPr>
        <w:pStyle w:val="Body"/>
        <w:ind w:left="2835" w:hanging="2835"/>
        <w:jc w:val="both"/>
        <w:rPr>
          <w:sz w:val="26"/>
          <w:szCs w:val="26"/>
          <w:lang w:val="lv-LV"/>
        </w:rPr>
      </w:pPr>
      <w:r w:rsidRPr="00DE17AF">
        <w:rPr>
          <w:sz w:val="26"/>
          <w:szCs w:val="26"/>
          <w:lang w:val="lv-LV"/>
        </w:rPr>
        <w:tab/>
      </w:r>
    </w:p>
    <w:p w14:paraId="2A19196A" w14:textId="77777777" w:rsidR="00F2782B" w:rsidRPr="00DE17AF" w:rsidRDefault="00BF3036">
      <w:pPr>
        <w:pStyle w:val="Body"/>
        <w:jc w:val="both"/>
        <w:rPr>
          <w:sz w:val="26"/>
          <w:szCs w:val="26"/>
          <w:lang w:val="lv-LV"/>
        </w:rPr>
      </w:pPr>
      <w:r w:rsidRPr="00DE17AF">
        <w:rPr>
          <w:sz w:val="26"/>
          <w:szCs w:val="26"/>
          <w:lang w:val="lv-LV"/>
        </w:rPr>
        <w:t>Izglītības un zinātnes ministre</w:t>
      </w:r>
      <w:r w:rsidRPr="00DE17AF">
        <w:rPr>
          <w:sz w:val="26"/>
          <w:szCs w:val="26"/>
          <w:lang w:val="lv-LV"/>
        </w:rPr>
        <w:tab/>
        <w:t xml:space="preserve">                      </w:t>
      </w:r>
      <w:r w:rsidRPr="00DE17AF">
        <w:rPr>
          <w:sz w:val="26"/>
          <w:szCs w:val="26"/>
          <w:lang w:val="lv-LV"/>
        </w:rPr>
        <w:tab/>
      </w:r>
      <w:r w:rsidRPr="00DE17AF">
        <w:rPr>
          <w:sz w:val="26"/>
          <w:szCs w:val="26"/>
          <w:lang w:val="lv-LV"/>
        </w:rPr>
        <w:tab/>
      </w:r>
      <w:r w:rsidRPr="00DE17AF">
        <w:rPr>
          <w:sz w:val="26"/>
          <w:szCs w:val="26"/>
          <w:lang w:val="lv-LV"/>
        </w:rPr>
        <w:tab/>
        <w:t>Ilga Šuplinska</w:t>
      </w:r>
    </w:p>
    <w:p w14:paraId="2A19196B" w14:textId="77777777" w:rsidR="00F2782B" w:rsidRPr="00DE17AF" w:rsidRDefault="00F2782B">
      <w:pPr>
        <w:pStyle w:val="Body"/>
        <w:jc w:val="both"/>
        <w:rPr>
          <w:sz w:val="26"/>
          <w:szCs w:val="26"/>
          <w:lang w:val="lv-LV"/>
        </w:rPr>
      </w:pPr>
    </w:p>
    <w:p w14:paraId="2A19196C" w14:textId="77777777" w:rsidR="00F2782B" w:rsidRPr="00DE17AF" w:rsidRDefault="00BF3036">
      <w:pPr>
        <w:pStyle w:val="Body"/>
        <w:rPr>
          <w:sz w:val="26"/>
          <w:szCs w:val="26"/>
          <w:lang w:val="lv-LV"/>
        </w:rPr>
      </w:pPr>
      <w:r w:rsidRPr="00DE17AF">
        <w:rPr>
          <w:sz w:val="26"/>
          <w:szCs w:val="26"/>
          <w:lang w:val="lv-LV"/>
        </w:rPr>
        <w:t xml:space="preserve">Vīza: </w:t>
      </w:r>
      <w:r w:rsidRPr="00DE17AF">
        <w:rPr>
          <w:sz w:val="26"/>
          <w:szCs w:val="26"/>
          <w:lang w:val="lv-LV"/>
        </w:rPr>
        <w:tab/>
      </w:r>
    </w:p>
    <w:p w14:paraId="2A19196D" w14:textId="77777777" w:rsidR="00F2782B" w:rsidRPr="00DE17AF" w:rsidRDefault="00F2782B">
      <w:pPr>
        <w:pStyle w:val="Body"/>
        <w:rPr>
          <w:sz w:val="26"/>
          <w:szCs w:val="26"/>
          <w:lang w:val="lv-LV"/>
        </w:rPr>
      </w:pPr>
    </w:p>
    <w:p w14:paraId="2A19196E" w14:textId="77777777" w:rsidR="00F2782B" w:rsidRPr="00DE17AF" w:rsidRDefault="00BF3036">
      <w:pPr>
        <w:pStyle w:val="Body"/>
        <w:jc w:val="both"/>
        <w:rPr>
          <w:sz w:val="26"/>
          <w:szCs w:val="26"/>
          <w:lang w:val="lv-LV"/>
        </w:rPr>
      </w:pPr>
      <w:r w:rsidRPr="00DE17AF">
        <w:rPr>
          <w:sz w:val="26"/>
          <w:szCs w:val="26"/>
          <w:lang w:val="lv-LV"/>
        </w:rPr>
        <w:t>Valsts sekretāre</w:t>
      </w:r>
      <w:r w:rsidRPr="00DE17AF">
        <w:rPr>
          <w:sz w:val="26"/>
          <w:szCs w:val="26"/>
          <w:lang w:val="lv-LV"/>
        </w:rPr>
        <w:tab/>
      </w:r>
      <w:r w:rsidRPr="00DE17AF">
        <w:rPr>
          <w:sz w:val="26"/>
          <w:szCs w:val="26"/>
          <w:lang w:val="lv-LV"/>
        </w:rPr>
        <w:tab/>
      </w:r>
      <w:r w:rsidRPr="00DE17AF">
        <w:rPr>
          <w:sz w:val="26"/>
          <w:szCs w:val="26"/>
          <w:lang w:val="lv-LV"/>
        </w:rPr>
        <w:tab/>
      </w:r>
      <w:r w:rsidRPr="00DE17AF">
        <w:rPr>
          <w:sz w:val="26"/>
          <w:szCs w:val="26"/>
          <w:lang w:val="lv-LV"/>
        </w:rPr>
        <w:tab/>
      </w:r>
      <w:r w:rsidRPr="00DE17AF">
        <w:rPr>
          <w:sz w:val="26"/>
          <w:szCs w:val="26"/>
          <w:lang w:val="lv-LV"/>
        </w:rPr>
        <w:tab/>
      </w:r>
      <w:r w:rsidRPr="00DE17AF">
        <w:rPr>
          <w:sz w:val="26"/>
          <w:szCs w:val="26"/>
          <w:lang w:val="lv-LV"/>
        </w:rPr>
        <w:tab/>
      </w:r>
      <w:r w:rsidRPr="00DE17AF">
        <w:rPr>
          <w:sz w:val="26"/>
          <w:szCs w:val="26"/>
          <w:lang w:val="lv-LV"/>
        </w:rPr>
        <w:tab/>
        <w:t>Līga Lejiņa</w:t>
      </w:r>
      <w:r w:rsidRPr="00DE17AF">
        <w:rPr>
          <w:sz w:val="26"/>
          <w:szCs w:val="26"/>
          <w:lang w:val="lv-LV"/>
        </w:rPr>
        <w:tab/>
      </w:r>
    </w:p>
    <w:p w14:paraId="2A19196F" w14:textId="77777777" w:rsidR="00F2782B" w:rsidRPr="00DE17AF" w:rsidRDefault="00F2782B">
      <w:pPr>
        <w:pStyle w:val="Body"/>
        <w:rPr>
          <w:sz w:val="26"/>
          <w:szCs w:val="26"/>
          <w:lang w:val="lv-LV"/>
        </w:rPr>
      </w:pPr>
    </w:p>
    <w:p w14:paraId="2A191970" w14:textId="77777777" w:rsidR="00F2782B" w:rsidRPr="00DE17AF" w:rsidRDefault="00BF3036">
      <w:pPr>
        <w:pStyle w:val="Body"/>
        <w:rPr>
          <w:sz w:val="22"/>
          <w:szCs w:val="22"/>
          <w:lang w:val="lv-LV"/>
        </w:rPr>
      </w:pPr>
      <w:proofErr w:type="spellStart"/>
      <w:r w:rsidRPr="00DE17AF">
        <w:rPr>
          <w:sz w:val="22"/>
          <w:szCs w:val="22"/>
          <w:lang w:val="lv-LV"/>
        </w:rPr>
        <w:t>K.Karolis</w:t>
      </w:r>
      <w:proofErr w:type="spellEnd"/>
      <w:r w:rsidRPr="00DE17AF">
        <w:rPr>
          <w:sz w:val="22"/>
          <w:szCs w:val="22"/>
          <w:lang w:val="lv-LV"/>
        </w:rPr>
        <w:t xml:space="preserve"> 67047996 </w:t>
      </w:r>
    </w:p>
    <w:p w14:paraId="2A191971" w14:textId="77777777" w:rsidR="00F2782B" w:rsidRPr="00DE17AF" w:rsidRDefault="00BF3036">
      <w:pPr>
        <w:pStyle w:val="Body"/>
        <w:rPr>
          <w:lang w:val="lv-LV"/>
        </w:rPr>
      </w:pPr>
      <w:r w:rsidRPr="00DE17AF">
        <w:rPr>
          <w:sz w:val="22"/>
          <w:szCs w:val="22"/>
          <w:lang w:val="lv-LV"/>
        </w:rPr>
        <w:t>kaspars.karolis@izm.gov.lv</w:t>
      </w:r>
    </w:p>
    <w:sectPr w:rsidR="00F2782B" w:rsidRPr="00DE17AF">
      <w:headerReference w:type="default" r:id="rId7"/>
      <w:footerReference w:type="default" r:id="rId8"/>
      <w:headerReference w:type="first" r:id="rId9"/>
      <w:footerReference w:type="first" r:id="rId10"/>
      <w:pgSz w:w="11900" w:h="16840"/>
      <w:pgMar w:top="1134" w:right="1134" w:bottom="851" w:left="1701" w:header="454" w:footer="3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91975" w14:textId="77777777" w:rsidR="00BF3036" w:rsidRDefault="00BF3036">
      <w:r>
        <w:separator/>
      </w:r>
    </w:p>
  </w:endnote>
  <w:endnote w:type="continuationSeparator" w:id="0">
    <w:p w14:paraId="2A191976" w14:textId="77777777" w:rsidR="00BF3036" w:rsidRDefault="00BF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1978" w14:textId="77777777" w:rsidR="00F2782B" w:rsidRDefault="00BF3036">
    <w:pPr>
      <w:pStyle w:val="Footer"/>
      <w:jc w:val="both"/>
    </w:pPr>
    <w:r>
      <w:t xml:space="preserve">IZMZin_020420_nefkonk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197A" w14:textId="77777777" w:rsidR="00F2782B" w:rsidRDefault="00BF3036">
    <w:pPr>
      <w:pStyle w:val="Footer"/>
      <w:jc w:val="both"/>
    </w:pPr>
    <w:r>
      <w:t xml:space="preserve">IZMZin_020420_nefkonk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91972" w14:textId="77777777" w:rsidR="00BF3036" w:rsidRDefault="00BF3036">
      <w:r>
        <w:separator/>
      </w:r>
    </w:p>
  </w:footnote>
  <w:footnote w:type="continuationSeparator" w:id="0">
    <w:p w14:paraId="2A191973" w14:textId="77777777" w:rsidR="00BF3036" w:rsidRDefault="00BF3036">
      <w:r>
        <w:continuationSeparator/>
      </w:r>
    </w:p>
  </w:footnote>
  <w:footnote w:type="continuationNotice" w:id="1">
    <w:p w14:paraId="2A191974" w14:textId="77777777" w:rsidR="00BF3036" w:rsidRDefault="00BF3036"/>
  </w:footnote>
  <w:footnote w:id="2">
    <w:p w14:paraId="2A19197B" w14:textId="77777777" w:rsidR="00F2782B" w:rsidRDefault="00BF3036">
      <w:pPr>
        <w:pStyle w:val="FootnoteText"/>
      </w:pPr>
      <w:r>
        <w:rPr>
          <w:sz w:val="26"/>
          <w:szCs w:val="26"/>
          <w:vertAlign w:val="superscript"/>
        </w:rPr>
        <w:footnoteRef/>
      </w:r>
      <w:r>
        <w:rPr>
          <w:rFonts w:eastAsia="Arial Unicode MS" w:cs="Arial Unicode MS"/>
        </w:rPr>
        <w:t xml:space="preserve"> https://ec.europa.eu/info/live-work-travel-eu/health/coronavirus-response/european-commissionsaction-coronavirus_en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1977" w14:textId="77777777" w:rsidR="00F2782B" w:rsidRDefault="00BF3036">
    <w:pPr>
      <w:pStyle w:val="Header"/>
      <w:jc w:val="center"/>
    </w:pPr>
    <w:r>
      <w:fldChar w:fldCharType="begin"/>
    </w:r>
    <w:r>
      <w:instrText xml:space="preserve"> PAGE </w:instrText>
    </w:r>
    <w:r>
      <w:fldChar w:fldCharType="separate"/>
    </w:r>
    <w:r w:rsidR="00476D83">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1979" w14:textId="77777777" w:rsidR="00F2782B" w:rsidRDefault="00F2782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934BF"/>
    <w:multiLevelType w:val="hybridMultilevel"/>
    <w:tmpl w:val="841242A6"/>
    <w:styleLink w:val="ImportedStyle1"/>
    <w:lvl w:ilvl="0" w:tplc="591E292C">
      <w:start w:val="1"/>
      <w:numFmt w:val="decimal"/>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576C21A">
      <w:start w:val="1"/>
      <w:numFmt w:val="lowerLetter"/>
      <w:lvlText w:val="%2."/>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DAE4148">
      <w:start w:val="1"/>
      <w:numFmt w:val="lowerRoman"/>
      <w:lvlText w:val="%3."/>
      <w:lvlJc w:val="left"/>
      <w:pPr>
        <w:ind w:left="2520" w:hanging="310"/>
      </w:pPr>
      <w:rPr>
        <w:rFonts w:hAnsi="Arial Unicode MS"/>
        <w:i/>
        <w:iCs/>
        <w:caps w:val="0"/>
        <w:smallCaps w:val="0"/>
        <w:strike w:val="0"/>
        <w:dstrike w:val="0"/>
        <w:outline w:val="0"/>
        <w:emboss w:val="0"/>
        <w:imprint w:val="0"/>
        <w:spacing w:val="0"/>
        <w:w w:val="100"/>
        <w:kern w:val="0"/>
        <w:position w:val="0"/>
        <w:highlight w:val="none"/>
        <w:vertAlign w:val="baseline"/>
      </w:rPr>
    </w:lvl>
    <w:lvl w:ilvl="3" w:tplc="BF1C313C">
      <w:start w:val="1"/>
      <w:numFmt w:val="decimal"/>
      <w:lvlText w:val="%4."/>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0BC8250">
      <w:start w:val="1"/>
      <w:numFmt w:val="lowerLetter"/>
      <w:lvlText w:val="%5."/>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B0214FE">
      <w:start w:val="1"/>
      <w:numFmt w:val="lowerRoman"/>
      <w:lvlText w:val="%6."/>
      <w:lvlJc w:val="left"/>
      <w:pPr>
        <w:ind w:left="4680" w:hanging="310"/>
      </w:pPr>
      <w:rPr>
        <w:rFonts w:hAnsi="Arial Unicode MS"/>
        <w:i/>
        <w:iCs/>
        <w:caps w:val="0"/>
        <w:smallCaps w:val="0"/>
        <w:strike w:val="0"/>
        <w:dstrike w:val="0"/>
        <w:outline w:val="0"/>
        <w:emboss w:val="0"/>
        <w:imprint w:val="0"/>
        <w:spacing w:val="0"/>
        <w:w w:val="100"/>
        <w:kern w:val="0"/>
        <w:position w:val="0"/>
        <w:highlight w:val="none"/>
        <w:vertAlign w:val="baseline"/>
      </w:rPr>
    </w:lvl>
    <w:lvl w:ilvl="6" w:tplc="9100494A">
      <w:start w:val="1"/>
      <w:numFmt w:val="decimal"/>
      <w:lvlText w:val="%7."/>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BCA2958">
      <w:start w:val="1"/>
      <w:numFmt w:val="lowerLetter"/>
      <w:lvlText w:val="%8."/>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7CE8168">
      <w:start w:val="1"/>
      <w:numFmt w:val="lowerRoman"/>
      <w:lvlText w:val="%9."/>
      <w:lvlJc w:val="left"/>
      <w:pPr>
        <w:ind w:left="6840" w:hanging="31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nsid w:val="4B7B66CC"/>
    <w:multiLevelType w:val="hybridMultilevel"/>
    <w:tmpl w:val="841242A6"/>
    <w:numStyleLink w:val="ImportedStyle1"/>
  </w:abstractNum>
  <w:abstractNum w:abstractNumId="2">
    <w:nsid w:val="4D993F00"/>
    <w:multiLevelType w:val="hybridMultilevel"/>
    <w:tmpl w:val="41A6F95C"/>
    <w:styleLink w:val="ImportedStyle2"/>
    <w:lvl w:ilvl="0" w:tplc="C9345D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D242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AA29A0">
      <w:start w:val="1"/>
      <w:numFmt w:val="lowerRoman"/>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63E49F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055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DEC1BE">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7241C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4E10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22B69E">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7191E70"/>
    <w:multiLevelType w:val="hybridMultilevel"/>
    <w:tmpl w:val="B2782C94"/>
    <w:lvl w:ilvl="0" w:tplc="DEA0242A">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F5268CA"/>
    <w:multiLevelType w:val="hybridMultilevel"/>
    <w:tmpl w:val="41A6F95C"/>
    <w:numStyleLink w:val="ImportedStyle2"/>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NDOxNDcyMDEwMDdS0lEKTi0uzszPAykwqgUAcZ98viwAAAA="/>
  </w:docVars>
  <w:rsids>
    <w:rsidRoot w:val="00F2782B"/>
    <w:rsid w:val="00476D83"/>
    <w:rsid w:val="0096153C"/>
    <w:rsid w:val="00BF3036"/>
    <w:rsid w:val="00DE17AF"/>
    <w:rsid w:val="00F2782B"/>
    <w:rsid w:val="00F6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194B"/>
  <w15:docId w15:val="{C448DEFF-6419-4305-999C-74897D8A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rPr>
  </w:style>
  <w:style w:type="paragraph" w:styleId="Footer">
    <w:name w:val="footer"/>
    <w:pPr>
      <w:tabs>
        <w:tab w:val="center" w:pos="4153"/>
        <w:tab w:val="right" w:pos="8306"/>
      </w:tabs>
    </w:pPr>
    <w:rPr>
      <w:rFonts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u w:color="000000"/>
    </w:rPr>
  </w:style>
  <w:style w:type="paragraph" w:styleId="FootnoteText">
    <w:name w:val="footnote text"/>
    <w:rPr>
      <w:rFonts w:eastAsia="Times New Roman"/>
      <w:color w:val="000000"/>
      <w:u w:color="000000"/>
    </w:rPr>
  </w:style>
  <w:style w:type="paragraph" w:styleId="ListParagraph">
    <w:name w:val="List Paragraph"/>
    <w:pPr>
      <w:spacing w:after="200" w:line="276" w:lineRule="auto"/>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5198</Words>
  <Characters>2963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 Karolis</dc:creator>
  <cp:lastModifiedBy>Dmitrijs Stepanovs</cp:lastModifiedBy>
  <cp:revision>4</cp:revision>
  <dcterms:created xsi:type="dcterms:W3CDTF">2020-04-03T09:45:00Z</dcterms:created>
  <dcterms:modified xsi:type="dcterms:W3CDTF">2020-04-03T14:45:00Z</dcterms:modified>
</cp:coreProperties>
</file>