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B0D009" w14:textId="673CDF39" w:rsidR="001F42BA" w:rsidRPr="00582087" w:rsidRDefault="001F42BA" w:rsidP="001F42BA">
      <w:pPr>
        <w:jc w:val="right"/>
        <w:rPr>
          <w:lang w:eastAsia="lv-LV"/>
        </w:rPr>
      </w:pPr>
      <w:r w:rsidRPr="00582087">
        <w:rPr>
          <w:lang w:eastAsia="lv-LV"/>
        </w:rPr>
        <w:t>Ministru kabineta</w:t>
      </w:r>
    </w:p>
    <w:p w14:paraId="76D5350B" w14:textId="25642197" w:rsidR="000935ED" w:rsidRPr="00582087" w:rsidRDefault="003D5A01" w:rsidP="000935ED">
      <w:pPr>
        <w:jc w:val="right"/>
      </w:pPr>
      <w:r w:rsidRPr="00582087">
        <w:t>2020</w:t>
      </w:r>
      <w:r w:rsidR="000935ED" w:rsidRPr="00582087">
        <w:t xml:space="preserve">. gada </w:t>
      </w:r>
      <w:r w:rsidRPr="00582087">
        <w:t>_____</w:t>
      </w:r>
    </w:p>
    <w:p w14:paraId="6C60EF10" w14:textId="2BEB6C4D" w:rsidR="000935ED" w:rsidRPr="00582087" w:rsidRDefault="001040EC" w:rsidP="000935ED">
      <w:pPr>
        <w:jc w:val="right"/>
      </w:pPr>
      <w:r>
        <w:t xml:space="preserve"> </w:t>
      </w:r>
      <w:r w:rsidR="000935ED" w:rsidRPr="00582087">
        <w:t>rīkojum</w:t>
      </w:r>
      <w:r w:rsidR="003914C3" w:rsidRPr="00582087">
        <w:t>s</w:t>
      </w:r>
      <w:r w:rsidR="000935ED" w:rsidRPr="00582087">
        <w:t xml:space="preserve"> Nr. </w:t>
      </w:r>
      <w:r w:rsidR="003D5A01" w:rsidRPr="00582087">
        <w:t>___</w:t>
      </w:r>
      <w:r>
        <w:t xml:space="preserve"> </w:t>
      </w:r>
    </w:p>
    <w:p w14:paraId="6FB1AB72" w14:textId="59FDE2C9" w:rsidR="009F4AE5" w:rsidRPr="00582087" w:rsidRDefault="009F4AE5"/>
    <w:p w14:paraId="7BF2321A" w14:textId="77777777" w:rsidR="000935ED" w:rsidRDefault="000935ED"/>
    <w:tbl>
      <w:tblPr>
        <w:tblW w:w="9234" w:type="dxa"/>
        <w:tblBorders>
          <w:top w:val="nil"/>
          <w:left w:val="nil"/>
          <w:bottom w:val="nil"/>
          <w:right w:val="nil"/>
        </w:tblBorders>
        <w:tblLayout w:type="fixed"/>
        <w:tblLook w:val="0000" w:firstRow="0" w:lastRow="0" w:firstColumn="0" w:lastColumn="0" w:noHBand="0" w:noVBand="0"/>
      </w:tblPr>
      <w:tblGrid>
        <w:gridCol w:w="9234"/>
      </w:tblGrid>
      <w:tr w:rsidR="006C247B" w:rsidRPr="00790AF3" w14:paraId="668580BA" w14:textId="77777777" w:rsidTr="000935ED">
        <w:trPr>
          <w:trHeight w:val="444"/>
        </w:trPr>
        <w:tc>
          <w:tcPr>
            <w:tcW w:w="9234" w:type="dxa"/>
          </w:tcPr>
          <w:p w14:paraId="114BCFCC" w14:textId="77777777" w:rsidR="006C247B" w:rsidRPr="00790AF3" w:rsidRDefault="006C247B" w:rsidP="000935ED">
            <w:pPr>
              <w:autoSpaceDE w:val="0"/>
              <w:autoSpaceDN w:val="0"/>
              <w:adjustRightInd w:val="0"/>
              <w:contextualSpacing/>
              <w:jc w:val="both"/>
              <w:rPr>
                <w:rFonts w:eastAsia="Calibri"/>
                <w:b/>
                <w:bCs/>
              </w:rPr>
            </w:pPr>
            <w:r>
              <w:rPr>
                <w:b/>
                <w:bCs/>
              </w:rPr>
              <w:t>PROGRAMMAS KONCEPCIJAS PROJEKTS</w:t>
            </w:r>
          </w:p>
          <w:p w14:paraId="246F8D1E" w14:textId="77777777" w:rsidR="006C247B" w:rsidRPr="00790AF3" w:rsidRDefault="006C247B" w:rsidP="000935ED">
            <w:pPr>
              <w:autoSpaceDE w:val="0"/>
              <w:autoSpaceDN w:val="0"/>
              <w:adjustRightInd w:val="0"/>
              <w:contextualSpacing/>
              <w:jc w:val="both"/>
              <w:rPr>
                <w:rFonts w:eastAsia="Calibri"/>
              </w:rPr>
            </w:pPr>
            <w:r>
              <w:t>EEZ/Norvēģijas finanšu instruments 2014.–2021. gadam</w:t>
            </w:r>
          </w:p>
        </w:tc>
      </w:tr>
      <w:tr w:rsidR="006C247B" w:rsidRPr="00790AF3" w14:paraId="15DF9E17" w14:textId="77777777" w:rsidTr="000935ED">
        <w:trPr>
          <w:trHeight w:val="147"/>
        </w:trPr>
        <w:tc>
          <w:tcPr>
            <w:tcW w:w="9234" w:type="dxa"/>
          </w:tcPr>
          <w:p w14:paraId="2AA84EB1" w14:textId="77777777" w:rsidR="006C247B" w:rsidRPr="00790AF3" w:rsidRDefault="006C247B" w:rsidP="000935ED">
            <w:pPr>
              <w:autoSpaceDE w:val="0"/>
              <w:autoSpaceDN w:val="0"/>
              <w:adjustRightInd w:val="0"/>
              <w:contextualSpacing/>
              <w:jc w:val="both"/>
              <w:rPr>
                <w:rFonts w:eastAsia="Calibri"/>
              </w:rPr>
            </w:pPr>
            <w:r>
              <w:rPr>
                <w:b/>
                <w:bCs/>
              </w:rPr>
              <w:t xml:space="preserve">Dokumenta datums: </w:t>
            </w:r>
            <w:r>
              <w:t>20.11.2018.</w:t>
            </w:r>
          </w:p>
        </w:tc>
      </w:tr>
      <w:tr w:rsidR="006C247B" w:rsidRPr="00790AF3" w14:paraId="7E845C3C" w14:textId="77777777" w:rsidTr="000935ED">
        <w:trPr>
          <w:trHeight w:val="147"/>
        </w:trPr>
        <w:tc>
          <w:tcPr>
            <w:tcW w:w="9234" w:type="dxa"/>
          </w:tcPr>
          <w:p w14:paraId="3EC09E44" w14:textId="77777777" w:rsidR="006C247B" w:rsidRPr="00790AF3" w:rsidRDefault="006C247B" w:rsidP="000935ED">
            <w:pPr>
              <w:autoSpaceDE w:val="0"/>
              <w:autoSpaceDN w:val="0"/>
              <w:adjustRightInd w:val="0"/>
              <w:contextualSpacing/>
              <w:jc w:val="both"/>
              <w:rPr>
                <w:rFonts w:eastAsia="Calibri"/>
              </w:rPr>
            </w:pPr>
            <w:r>
              <w:rPr>
                <w:b/>
                <w:bCs/>
              </w:rPr>
              <w:t xml:space="preserve">Versijas numurs: </w:t>
            </w:r>
            <w:r>
              <w:t xml:space="preserve">6 </w:t>
            </w:r>
            <w:r>
              <w:rPr>
                <w:b/>
                <w:bCs/>
              </w:rPr>
              <w:t xml:space="preserve">/ Atjaunināts: </w:t>
            </w:r>
            <w:r>
              <w:t xml:space="preserve">7.12.2018. </w:t>
            </w:r>
          </w:p>
        </w:tc>
      </w:tr>
    </w:tbl>
    <w:p w14:paraId="3313CE43" w14:textId="77777777" w:rsidR="00043C12" w:rsidRPr="00790AF3" w:rsidRDefault="00043C12" w:rsidP="00043C12">
      <w:pPr>
        <w:keepNext/>
        <w:keepLines/>
        <w:contextualSpacing/>
        <w:jc w:val="both"/>
        <w:outlineLvl w:val="0"/>
        <w:rPr>
          <w:b/>
          <w:bCs/>
          <w:caps/>
        </w:rPr>
      </w:pPr>
      <w:r>
        <w:rPr>
          <w:b/>
          <w:bCs/>
          <w:caps/>
        </w:rPr>
        <w:t>1. Pamatinformācija</w:t>
      </w:r>
    </w:p>
    <w:tbl>
      <w:tblPr>
        <w:tblStyle w:val="TableGrid2"/>
        <w:tblpPr w:leftFromText="180" w:rightFromText="180" w:vertAnchor="text" w:tblpY="1"/>
        <w:tblOverlap w:val="never"/>
        <w:tblW w:w="8359" w:type="dxa"/>
        <w:tblLayout w:type="fixed"/>
        <w:tblLook w:val="04A0" w:firstRow="1" w:lastRow="0" w:firstColumn="1" w:lastColumn="0" w:noHBand="0" w:noVBand="1"/>
      </w:tblPr>
      <w:tblGrid>
        <w:gridCol w:w="1980"/>
        <w:gridCol w:w="3557"/>
        <w:gridCol w:w="2822"/>
      </w:tblGrid>
      <w:tr w:rsidR="00043C12" w:rsidRPr="00790AF3" w14:paraId="19E33CBA" w14:textId="77777777" w:rsidTr="007C692E">
        <w:tc>
          <w:tcPr>
            <w:tcW w:w="1980" w:type="dxa"/>
            <w:vAlign w:val="center"/>
          </w:tcPr>
          <w:p w14:paraId="19DC9C36" w14:textId="77777777" w:rsidR="00043C12" w:rsidRPr="00790AF3" w:rsidRDefault="00043C12" w:rsidP="007C692E">
            <w:pPr>
              <w:contextualSpacing/>
              <w:rPr>
                <w:rFonts w:ascii="Times New Roman" w:hAnsi="Times New Roman"/>
                <w:b/>
              </w:rPr>
            </w:pPr>
            <w:r>
              <w:rPr>
                <w:rFonts w:ascii="Times New Roman" w:hAnsi="Times New Roman"/>
                <w:b/>
              </w:rPr>
              <w:t>Programmas nosaukums:</w:t>
            </w:r>
          </w:p>
        </w:tc>
        <w:tc>
          <w:tcPr>
            <w:tcW w:w="6379" w:type="dxa"/>
            <w:gridSpan w:val="2"/>
            <w:vAlign w:val="center"/>
          </w:tcPr>
          <w:p w14:paraId="3F617C1D" w14:textId="77777777" w:rsidR="00043C12" w:rsidRPr="00790AF3" w:rsidRDefault="00043C12" w:rsidP="007C692E">
            <w:pPr>
              <w:contextualSpacing/>
              <w:jc w:val="both"/>
              <w:rPr>
                <w:rFonts w:ascii="Times New Roman" w:hAnsi="Times New Roman"/>
              </w:rPr>
            </w:pPr>
            <w:r>
              <w:rPr>
                <w:rFonts w:ascii="Times New Roman" w:hAnsi="Times New Roman"/>
              </w:rPr>
              <w:t>Pētniecība un izglītība</w:t>
            </w:r>
          </w:p>
        </w:tc>
      </w:tr>
      <w:tr w:rsidR="00043C12" w:rsidRPr="00790AF3" w14:paraId="1B2058F5" w14:textId="77777777" w:rsidTr="007C692E">
        <w:tc>
          <w:tcPr>
            <w:tcW w:w="1980" w:type="dxa"/>
            <w:vAlign w:val="center"/>
          </w:tcPr>
          <w:p w14:paraId="3D9D7D64" w14:textId="77777777" w:rsidR="00043C12" w:rsidRPr="00790AF3" w:rsidRDefault="00043C12" w:rsidP="007C692E">
            <w:pPr>
              <w:contextualSpacing/>
              <w:rPr>
                <w:rFonts w:ascii="Times New Roman" w:hAnsi="Times New Roman"/>
                <w:b/>
              </w:rPr>
            </w:pPr>
            <w:r>
              <w:rPr>
                <w:rFonts w:ascii="Times New Roman" w:hAnsi="Times New Roman"/>
                <w:b/>
              </w:rPr>
              <w:t>Programmas jomas:</w:t>
            </w:r>
          </w:p>
        </w:tc>
        <w:tc>
          <w:tcPr>
            <w:tcW w:w="6379" w:type="dxa"/>
            <w:gridSpan w:val="2"/>
            <w:vAlign w:val="center"/>
          </w:tcPr>
          <w:p w14:paraId="5DE04CA7" w14:textId="77777777" w:rsidR="00043C12" w:rsidRPr="00790AF3" w:rsidRDefault="00043C12" w:rsidP="007C692E">
            <w:pPr>
              <w:contextualSpacing/>
              <w:jc w:val="both"/>
              <w:rPr>
                <w:rFonts w:ascii="Times New Roman" w:hAnsi="Times New Roman"/>
              </w:rPr>
            </w:pPr>
            <w:r>
              <w:rPr>
                <w:rFonts w:ascii="Times New Roman" w:hAnsi="Times New Roman"/>
              </w:rPr>
              <w:t>Pētniecība</w:t>
            </w:r>
          </w:p>
          <w:p w14:paraId="00E98F05" w14:textId="77777777" w:rsidR="00043C12" w:rsidRPr="00790AF3" w:rsidRDefault="00043C12" w:rsidP="007C692E">
            <w:pPr>
              <w:contextualSpacing/>
              <w:jc w:val="both"/>
              <w:rPr>
                <w:rFonts w:ascii="Times New Roman" w:hAnsi="Times New Roman"/>
              </w:rPr>
            </w:pPr>
            <w:r>
              <w:rPr>
                <w:rFonts w:ascii="Times New Roman" w:hAnsi="Times New Roman"/>
              </w:rPr>
              <w:t>Izglītība, stipendijas, stažēšanās un jauniešu iesaiste uzņēmējdarbībā</w:t>
            </w:r>
          </w:p>
        </w:tc>
      </w:tr>
      <w:tr w:rsidR="00043C12" w:rsidRPr="00790AF3" w14:paraId="795CD29C" w14:textId="77777777" w:rsidTr="007C692E">
        <w:tc>
          <w:tcPr>
            <w:tcW w:w="1980" w:type="dxa"/>
            <w:vMerge w:val="restart"/>
            <w:vAlign w:val="center"/>
          </w:tcPr>
          <w:p w14:paraId="430173F0" w14:textId="77777777" w:rsidR="00043C12" w:rsidRPr="00790AF3" w:rsidRDefault="00043C12" w:rsidP="007C692E">
            <w:pPr>
              <w:contextualSpacing/>
              <w:rPr>
                <w:rFonts w:ascii="Times New Roman" w:hAnsi="Times New Roman"/>
                <w:b/>
              </w:rPr>
            </w:pPr>
            <w:r>
              <w:rPr>
                <w:rFonts w:ascii="Times New Roman" w:hAnsi="Times New Roman"/>
                <w:b/>
              </w:rPr>
              <w:t>Atbalsta jomas:</w:t>
            </w:r>
          </w:p>
        </w:tc>
        <w:tc>
          <w:tcPr>
            <w:tcW w:w="6379" w:type="dxa"/>
            <w:gridSpan w:val="2"/>
            <w:vAlign w:val="center"/>
          </w:tcPr>
          <w:p w14:paraId="29C9A7BA" w14:textId="77777777" w:rsidR="00043C12" w:rsidRPr="00790AF3" w:rsidRDefault="00043C12" w:rsidP="007C692E">
            <w:pPr>
              <w:contextualSpacing/>
              <w:jc w:val="both"/>
              <w:rPr>
                <w:rFonts w:ascii="Times New Roman" w:hAnsi="Times New Roman"/>
              </w:rPr>
            </w:pPr>
            <w:r>
              <w:rPr>
                <w:rFonts w:ascii="Times New Roman" w:hAnsi="Times New Roman"/>
              </w:rPr>
              <w:t>PJ2</w:t>
            </w:r>
          </w:p>
          <w:p w14:paraId="38344B29" w14:textId="77777777" w:rsidR="00043C12" w:rsidRPr="00790AF3" w:rsidRDefault="00043C12" w:rsidP="007C692E">
            <w:pPr>
              <w:numPr>
                <w:ilvl w:val="0"/>
                <w:numId w:val="5"/>
              </w:numPr>
              <w:contextualSpacing/>
              <w:jc w:val="both"/>
              <w:rPr>
                <w:rFonts w:ascii="Times New Roman" w:hAnsi="Times New Roman"/>
              </w:rPr>
            </w:pPr>
            <w:proofErr w:type="spellStart"/>
            <w:r>
              <w:rPr>
                <w:rFonts w:ascii="Times New Roman" w:hAnsi="Times New Roman"/>
              </w:rPr>
              <w:t>Donorvalstu</w:t>
            </w:r>
            <w:proofErr w:type="spellEnd"/>
            <w:r>
              <w:rPr>
                <w:rFonts w:ascii="Times New Roman" w:hAnsi="Times New Roman"/>
              </w:rPr>
              <w:t xml:space="preserve"> un saņēmējvalstu sadarbība pētniecības jomā</w:t>
            </w:r>
          </w:p>
          <w:p w14:paraId="49342D66" w14:textId="77777777" w:rsidR="00043C12" w:rsidRPr="00790AF3" w:rsidRDefault="00043C12" w:rsidP="007C692E">
            <w:pPr>
              <w:numPr>
                <w:ilvl w:val="0"/>
                <w:numId w:val="5"/>
              </w:numPr>
              <w:contextualSpacing/>
              <w:jc w:val="both"/>
              <w:rPr>
                <w:rFonts w:ascii="Times New Roman" w:hAnsi="Times New Roman"/>
              </w:rPr>
            </w:pPr>
            <w:r>
              <w:rPr>
                <w:rFonts w:ascii="Times New Roman" w:hAnsi="Times New Roman"/>
              </w:rPr>
              <w:t>Pētniecība Eiropas Ekonomikas zonas (EEZ) un Norvēģijas piešķīrumu prioritārajos sektoros un/vai programmu jomās vai citās saskaņotās jomās</w:t>
            </w:r>
          </w:p>
          <w:p w14:paraId="71BE8329" w14:textId="77777777" w:rsidR="00043C12" w:rsidRPr="00790AF3" w:rsidRDefault="00043C12" w:rsidP="007C692E">
            <w:pPr>
              <w:numPr>
                <w:ilvl w:val="0"/>
                <w:numId w:val="5"/>
              </w:numPr>
              <w:contextualSpacing/>
              <w:jc w:val="both"/>
              <w:rPr>
                <w:rFonts w:ascii="Times New Roman" w:hAnsi="Times New Roman"/>
              </w:rPr>
            </w:pPr>
            <w:r>
              <w:rPr>
                <w:rFonts w:ascii="Times New Roman" w:hAnsi="Times New Roman"/>
              </w:rPr>
              <w:t>Pētniecības rezultātu pielietošana</w:t>
            </w:r>
          </w:p>
          <w:p w14:paraId="34BAA552" w14:textId="7F65FE94" w:rsidR="00043C12" w:rsidRPr="00790AF3" w:rsidRDefault="00043C12" w:rsidP="007367F2">
            <w:pPr>
              <w:numPr>
                <w:ilvl w:val="0"/>
                <w:numId w:val="5"/>
              </w:numPr>
              <w:contextualSpacing/>
              <w:jc w:val="both"/>
              <w:rPr>
                <w:rFonts w:ascii="Times New Roman" w:hAnsi="Times New Roman"/>
              </w:rPr>
            </w:pPr>
            <w:r>
              <w:rPr>
                <w:rFonts w:ascii="Times New Roman" w:hAnsi="Times New Roman"/>
              </w:rPr>
              <w:t>Kapacitātes palielināšana pētniecībā, tai skaitā atbalsts sievie</w:t>
            </w:r>
            <w:r w:rsidR="007367F2">
              <w:rPr>
                <w:rFonts w:ascii="Times New Roman" w:hAnsi="Times New Roman"/>
              </w:rPr>
              <w:t>šu</w:t>
            </w:r>
            <w:r>
              <w:rPr>
                <w:rFonts w:ascii="Times New Roman" w:hAnsi="Times New Roman"/>
              </w:rPr>
              <w:t xml:space="preserve"> pētnie</w:t>
            </w:r>
            <w:r w:rsidR="007367F2">
              <w:rPr>
                <w:rFonts w:ascii="Times New Roman" w:hAnsi="Times New Roman"/>
              </w:rPr>
              <w:t>ču</w:t>
            </w:r>
            <w:r>
              <w:rPr>
                <w:rFonts w:ascii="Times New Roman" w:hAnsi="Times New Roman"/>
              </w:rPr>
              <w:t xml:space="preserve"> un </w:t>
            </w:r>
            <w:r w:rsidR="00834900">
              <w:rPr>
                <w:rFonts w:ascii="Times New Roman" w:hAnsi="Times New Roman"/>
              </w:rPr>
              <w:t xml:space="preserve">pētnieku </w:t>
            </w:r>
            <w:r>
              <w:rPr>
                <w:rFonts w:ascii="Times New Roman" w:hAnsi="Times New Roman"/>
              </w:rPr>
              <w:t>agrīn</w:t>
            </w:r>
            <w:r w:rsidR="007367F2">
              <w:rPr>
                <w:rFonts w:ascii="Times New Roman" w:hAnsi="Times New Roman"/>
              </w:rPr>
              <w:t>a</w:t>
            </w:r>
            <w:r>
              <w:rPr>
                <w:rFonts w:ascii="Times New Roman" w:hAnsi="Times New Roman"/>
              </w:rPr>
              <w:t xml:space="preserve"> profesionālās darbības posmā</w:t>
            </w:r>
            <w:r w:rsidR="007367F2">
              <w:rPr>
                <w:rFonts w:ascii="Times New Roman" w:hAnsi="Times New Roman"/>
              </w:rPr>
              <w:t xml:space="preserve"> karjerām</w:t>
            </w:r>
          </w:p>
          <w:p w14:paraId="77650424" w14:textId="06E481C2" w:rsidR="00043C12" w:rsidRPr="00790AF3" w:rsidRDefault="00043C12" w:rsidP="00360C7F">
            <w:pPr>
              <w:numPr>
                <w:ilvl w:val="0"/>
                <w:numId w:val="5"/>
              </w:numPr>
              <w:contextualSpacing/>
              <w:jc w:val="both"/>
              <w:rPr>
                <w:rFonts w:ascii="Times New Roman" w:hAnsi="Times New Roman"/>
              </w:rPr>
            </w:pPr>
            <w:r>
              <w:rPr>
                <w:rFonts w:ascii="Times New Roman" w:hAnsi="Times New Roman"/>
              </w:rPr>
              <w:t xml:space="preserve">Saņēmējvalstu dalība un sadarbība Eiropas </w:t>
            </w:r>
            <w:r w:rsidR="00360C7F">
              <w:rPr>
                <w:rFonts w:ascii="Times New Roman" w:hAnsi="Times New Roman"/>
              </w:rPr>
              <w:t>P</w:t>
            </w:r>
            <w:r>
              <w:rPr>
                <w:rFonts w:ascii="Times New Roman" w:hAnsi="Times New Roman"/>
              </w:rPr>
              <w:t>ētniecības telpā (EPT)</w:t>
            </w:r>
          </w:p>
        </w:tc>
      </w:tr>
      <w:tr w:rsidR="00043C12" w:rsidRPr="00790AF3" w14:paraId="1C437244" w14:textId="77777777" w:rsidTr="007C692E">
        <w:tc>
          <w:tcPr>
            <w:tcW w:w="1980" w:type="dxa"/>
            <w:vMerge/>
            <w:vAlign w:val="center"/>
          </w:tcPr>
          <w:p w14:paraId="79089C7C" w14:textId="77777777" w:rsidR="00043C12" w:rsidRPr="00E56240" w:rsidRDefault="00043C12" w:rsidP="007C692E">
            <w:pPr>
              <w:contextualSpacing/>
              <w:rPr>
                <w:rFonts w:ascii="Times New Roman" w:hAnsi="Times New Roman"/>
                <w:b/>
                <w:lang w:eastAsia="en-GB"/>
              </w:rPr>
            </w:pPr>
          </w:p>
        </w:tc>
        <w:tc>
          <w:tcPr>
            <w:tcW w:w="6379" w:type="dxa"/>
            <w:gridSpan w:val="2"/>
            <w:vAlign w:val="center"/>
          </w:tcPr>
          <w:p w14:paraId="5A683DF3" w14:textId="77777777" w:rsidR="00043C12" w:rsidRPr="00790AF3" w:rsidRDefault="00043C12" w:rsidP="007C692E">
            <w:pPr>
              <w:contextualSpacing/>
              <w:jc w:val="both"/>
              <w:rPr>
                <w:rFonts w:ascii="Times New Roman" w:hAnsi="Times New Roman"/>
              </w:rPr>
            </w:pPr>
            <w:r>
              <w:rPr>
                <w:rFonts w:ascii="Times New Roman" w:hAnsi="Times New Roman"/>
              </w:rPr>
              <w:t>PJ3</w:t>
            </w:r>
          </w:p>
          <w:p w14:paraId="6C1D8BAF" w14:textId="77777777" w:rsidR="00043C12" w:rsidRPr="00790AF3" w:rsidRDefault="00043C12" w:rsidP="007C692E">
            <w:pPr>
              <w:pStyle w:val="ListParagraph"/>
              <w:numPr>
                <w:ilvl w:val="0"/>
                <w:numId w:val="7"/>
              </w:numPr>
              <w:spacing w:after="0"/>
              <w:ind w:left="714" w:hanging="357"/>
              <w:jc w:val="both"/>
              <w:rPr>
                <w:rFonts w:ascii="Times New Roman" w:hAnsi="Times New Roman"/>
                <w:sz w:val="24"/>
                <w:szCs w:val="24"/>
              </w:rPr>
            </w:pPr>
            <w:proofErr w:type="spellStart"/>
            <w:r>
              <w:rPr>
                <w:rFonts w:ascii="Times New Roman" w:hAnsi="Times New Roman"/>
                <w:sz w:val="24"/>
                <w:szCs w:val="24"/>
              </w:rPr>
              <w:t>Donorvalstu</w:t>
            </w:r>
            <w:proofErr w:type="spellEnd"/>
            <w:r>
              <w:rPr>
                <w:rFonts w:ascii="Times New Roman" w:hAnsi="Times New Roman"/>
                <w:sz w:val="24"/>
                <w:szCs w:val="24"/>
              </w:rPr>
              <w:t xml:space="preserve"> un saņēmējvalstu institucionālā sadarbība visos izglītības līmeņos</w:t>
            </w:r>
          </w:p>
          <w:p w14:paraId="4484B4CE" w14:textId="77777777" w:rsidR="00043C12" w:rsidRPr="00790AF3" w:rsidRDefault="00043C12" w:rsidP="007C692E">
            <w:pPr>
              <w:pStyle w:val="ListParagraph"/>
              <w:numPr>
                <w:ilvl w:val="0"/>
                <w:numId w:val="7"/>
              </w:numPr>
              <w:spacing w:after="0"/>
              <w:ind w:left="714" w:hanging="357"/>
              <w:jc w:val="both"/>
              <w:rPr>
                <w:rFonts w:ascii="Times New Roman" w:hAnsi="Times New Roman"/>
                <w:sz w:val="24"/>
                <w:szCs w:val="24"/>
              </w:rPr>
            </w:pPr>
            <w:r>
              <w:rPr>
                <w:rFonts w:ascii="Times New Roman" w:hAnsi="Times New Roman"/>
                <w:sz w:val="24"/>
                <w:szCs w:val="24"/>
              </w:rPr>
              <w:t>Izglītības un apmācības kvalitātes un atbilstības uzlabošana saņēmējvalstīs visos izglītības līmeņos</w:t>
            </w:r>
          </w:p>
          <w:p w14:paraId="321922F8" w14:textId="77777777" w:rsidR="00043C12" w:rsidRPr="00790AF3" w:rsidRDefault="00043C12" w:rsidP="007C692E">
            <w:pPr>
              <w:pStyle w:val="ListParagraph"/>
              <w:numPr>
                <w:ilvl w:val="0"/>
                <w:numId w:val="7"/>
              </w:numPr>
              <w:spacing w:after="0"/>
              <w:ind w:left="714" w:hanging="357"/>
              <w:jc w:val="both"/>
              <w:rPr>
                <w:rFonts w:ascii="Times New Roman" w:hAnsi="Times New Roman"/>
                <w:sz w:val="24"/>
                <w:szCs w:val="24"/>
              </w:rPr>
            </w:pPr>
            <w:r>
              <w:rPr>
                <w:rFonts w:ascii="Times New Roman" w:hAnsi="Times New Roman"/>
                <w:sz w:val="24"/>
                <w:szCs w:val="24"/>
              </w:rPr>
              <w:t>Sadarbība un partnerība starp izglītību, pētniecību un darba dzīvi</w:t>
            </w:r>
          </w:p>
          <w:p w14:paraId="095F5FA9" w14:textId="77777777" w:rsidR="00043C12" w:rsidRPr="00790AF3" w:rsidRDefault="00043C12" w:rsidP="007C692E">
            <w:pPr>
              <w:pStyle w:val="ListParagraph"/>
              <w:numPr>
                <w:ilvl w:val="0"/>
                <w:numId w:val="7"/>
              </w:numPr>
              <w:spacing w:after="0"/>
              <w:ind w:left="714" w:hanging="357"/>
              <w:jc w:val="both"/>
              <w:rPr>
                <w:rFonts w:ascii="Times New Roman" w:hAnsi="Times New Roman"/>
                <w:sz w:val="24"/>
                <w:szCs w:val="24"/>
              </w:rPr>
            </w:pPr>
            <w:r>
              <w:rPr>
                <w:rFonts w:ascii="Times New Roman" w:hAnsi="Times New Roman"/>
                <w:sz w:val="24"/>
                <w:szCs w:val="24"/>
              </w:rPr>
              <w:t>Mācību prakse, stažēšanās un darba prakse</w:t>
            </w:r>
          </w:p>
          <w:p w14:paraId="2AE58886" w14:textId="77777777" w:rsidR="00043C12" w:rsidRPr="00790AF3" w:rsidRDefault="00043C12" w:rsidP="007C692E">
            <w:pPr>
              <w:pStyle w:val="ListParagraph"/>
              <w:numPr>
                <w:ilvl w:val="0"/>
                <w:numId w:val="7"/>
              </w:numPr>
              <w:spacing w:after="0"/>
              <w:ind w:left="714" w:hanging="357"/>
              <w:jc w:val="both"/>
              <w:rPr>
                <w:rFonts w:ascii="Times New Roman" w:hAnsi="Times New Roman"/>
                <w:sz w:val="24"/>
                <w:szCs w:val="24"/>
              </w:rPr>
            </w:pPr>
            <w:r>
              <w:rPr>
                <w:rFonts w:ascii="Times New Roman" w:hAnsi="Times New Roman"/>
                <w:sz w:val="24"/>
                <w:szCs w:val="24"/>
              </w:rPr>
              <w:t>Jauniešu iesaiste uzņēmējdarbībā</w:t>
            </w:r>
          </w:p>
          <w:p w14:paraId="42B34403" w14:textId="75C54EA4" w:rsidR="00043C12" w:rsidRPr="00790AF3" w:rsidRDefault="00CA1459" w:rsidP="007C692E">
            <w:pPr>
              <w:pStyle w:val="ListParagraph"/>
              <w:numPr>
                <w:ilvl w:val="0"/>
                <w:numId w:val="7"/>
              </w:numPr>
              <w:spacing w:after="0"/>
              <w:ind w:left="714" w:hanging="357"/>
              <w:jc w:val="both"/>
              <w:rPr>
                <w:rFonts w:ascii="Times New Roman" w:hAnsi="Times New Roman"/>
                <w:sz w:val="24"/>
                <w:szCs w:val="24"/>
              </w:rPr>
            </w:pPr>
            <w:r>
              <w:rPr>
                <w:rFonts w:ascii="Times New Roman" w:hAnsi="Times New Roman"/>
                <w:sz w:val="24"/>
                <w:szCs w:val="24"/>
              </w:rPr>
              <w:t>Uzlabot p</w:t>
            </w:r>
            <w:r w:rsidR="00043C12">
              <w:rPr>
                <w:rFonts w:ascii="Times New Roman" w:hAnsi="Times New Roman"/>
                <w:sz w:val="24"/>
                <w:szCs w:val="24"/>
              </w:rPr>
              <w:t>ieaugušo līdzdalīb</w:t>
            </w:r>
            <w:r>
              <w:rPr>
                <w:rFonts w:ascii="Times New Roman" w:hAnsi="Times New Roman"/>
                <w:sz w:val="24"/>
                <w:szCs w:val="24"/>
              </w:rPr>
              <w:t>u</w:t>
            </w:r>
            <w:r w:rsidR="00043C12">
              <w:rPr>
                <w:rFonts w:ascii="Times New Roman" w:hAnsi="Times New Roman"/>
                <w:sz w:val="24"/>
                <w:szCs w:val="24"/>
              </w:rPr>
              <w:t xml:space="preserve">  mūžizglītībā</w:t>
            </w:r>
          </w:p>
          <w:p w14:paraId="7244FDEE" w14:textId="2D66E044" w:rsidR="00043C12" w:rsidRPr="00790AF3" w:rsidRDefault="00C73965" w:rsidP="007C692E">
            <w:pPr>
              <w:pStyle w:val="ListParagraph"/>
              <w:numPr>
                <w:ilvl w:val="0"/>
                <w:numId w:val="7"/>
              </w:numPr>
              <w:spacing w:after="0"/>
              <w:ind w:left="714" w:hanging="357"/>
              <w:jc w:val="both"/>
              <w:rPr>
                <w:rFonts w:ascii="Times New Roman" w:hAnsi="Times New Roman"/>
                <w:sz w:val="24"/>
                <w:szCs w:val="24"/>
              </w:rPr>
            </w:pPr>
            <w:r>
              <w:rPr>
                <w:rFonts w:ascii="Times New Roman" w:hAnsi="Times New Roman"/>
                <w:sz w:val="24"/>
                <w:szCs w:val="24"/>
              </w:rPr>
              <w:t xml:space="preserve">Skolotāju </w:t>
            </w:r>
            <w:r w:rsidR="00043C12">
              <w:rPr>
                <w:rFonts w:ascii="Times New Roman" w:hAnsi="Times New Roman"/>
                <w:sz w:val="24"/>
                <w:szCs w:val="24"/>
              </w:rPr>
              <w:t>profesionālā pilnveide</w:t>
            </w:r>
          </w:p>
          <w:p w14:paraId="5BCE814E" w14:textId="77777777" w:rsidR="00043C12" w:rsidRPr="00790AF3" w:rsidRDefault="00043C12" w:rsidP="007C692E">
            <w:pPr>
              <w:numPr>
                <w:ilvl w:val="0"/>
                <w:numId w:val="6"/>
              </w:numPr>
              <w:ind w:left="714" w:hanging="357"/>
              <w:contextualSpacing/>
              <w:jc w:val="both"/>
              <w:rPr>
                <w:rFonts w:ascii="Times New Roman" w:hAnsi="Times New Roman"/>
              </w:rPr>
            </w:pPr>
            <w:r>
              <w:rPr>
                <w:rFonts w:ascii="Times New Roman" w:hAnsi="Times New Roman"/>
              </w:rPr>
              <w:t xml:space="preserve">Augstākās izglītības iestāžu studentu mācību mobilitāte un personāla mobilitāte starp </w:t>
            </w:r>
            <w:proofErr w:type="spellStart"/>
            <w:r>
              <w:rPr>
                <w:rFonts w:ascii="Times New Roman" w:hAnsi="Times New Roman"/>
              </w:rPr>
              <w:t>donorvalstīm</w:t>
            </w:r>
            <w:proofErr w:type="spellEnd"/>
            <w:r>
              <w:rPr>
                <w:rFonts w:ascii="Times New Roman" w:hAnsi="Times New Roman"/>
              </w:rPr>
              <w:t xml:space="preserve"> un saņēmējvalstīm</w:t>
            </w:r>
          </w:p>
        </w:tc>
      </w:tr>
      <w:tr w:rsidR="00043C12" w:rsidRPr="00790AF3" w14:paraId="28DE7FCB" w14:textId="77777777" w:rsidTr="007C692E">
        <w:tc>
          <w:tcPr>
            <w:tcW w:w="1980" w:type="dxa"/>
            <w:vAlign w:val="center"/>
          </w:tcPr>
          <w:p w14:paraId="628367E1" w14:textId="7E6F0928" w:rsidR="00043C12" w:rsidRPr="00790AF3" w:rsidRDefault="00043C12" w:rsidP="002C127A">
            <w:pPr>
              <w:contextualSpacing/>
              <w:rPr>
                <w:rFonts w:ascii="Times New Roman" w:hAnsi="Times New Roman"/>
                <w:b/>
              </w:rPr>
            </w:pPr>
            <w:r>
              <w:rPr>
                <w:rFonts w:ascii="Times New Roman" w:hAnsi="Times New Roman"/>
                <w:b/>
              </w:rPr>
              <w:t xml:space="preserve">Īpašas intereses </w:t>
            </w:r>
            <w:r w:rsidR="002C127A">
              <w:rPr>
                <w:rFonts w:ascii="Times New Roman" w:hAnsi="Times New Roman"/>
                <w:b/>
              </w:rPr>
              <w:t xml:space="preserve"> saprašanās memorandā, kas noslēgts starp </w:t>
            </w:r>
            <w:r>
              <w:rPr>
                <w:rFonts w:ascii="Times New Roman" w:hAnsi="Times New Roman"/>
                <w:b/>
              </w:rPr>
              <w:t xml:space="preserve">Latvijas </w:t>
            </w:r>
            <w:r w:rsidR="002C127A">
              <w:rPr>
                <w:rFonts w:ascii="Times New Roman" w:hAnsi="Times New Roman"/>
                <w:b/>
              </w:rPr>
              <w:t xml:space="preserve">Republiku </w:t>
            </w:r>
            <w:r>
              <w:rPr>
                <w:rFonts w:ascii="Times New Roman" w:hAnsi="Times New Roman"/>
                <w:b/>
              </w:rPr>
              <w:t>un Island</w:t>
            </w:r>
            <w:r w:rsidR="002C127A">
              <w:rPr>
                <w:rFonts w:ascii="Times New Roman" w:hAnsi="Times New Roman"/>
                <w:b/>
              </w:rPr>
              <w:t>i</w:t>
            </w:r>
            <w:r>
              <w:rPr>
                <w:rFonts w:ascii="Times New Roman" w:hAnsi="Times New Roman"/>
                <w:b/>
              </w:rPr>
              <w:t xml:space="preserve">, Lihtenšteinas </w:t>
            </w:r>
            <w:r w:rsidR="002C127A">
              <w:rPr>
                <w:rFonts w:ascii="Times New Roman" w:hAnsi="Times New Roman"/>
                <w:b/>
              </w:rPr>
              <w:t xml:space="preserve">Firstisti </w:t>
            </w:r>
            <w:r>
              <w:rPr>
                <w:rFonts w:ascii="Times New Roman" w:hAnsi="Times New Roman"/>
                <w:b/>
              </w:rPr>
              <w:t xml:space="preserve">un </w:t>
            </w:r>
            <w:r>
              <w:rPr>
                <w:rFonts w:ascii="Times New Roman" w:hAnsi="Times New Roman"/>
                <w:b/>
              </w:rPr>
              <w:lastRenderedPageBreak/>
              <w:t>Norvēģijas Karalist</w:t>
            </w:r>
            <w:r w:rsidR="002C127A">
              <w:rPr>
                <w:rFonts w:ascii="Times New Roman" w:hAnsi="Times New Roman"/>
                <w:b/>
              </w:rPr>
              <w:t>i</w:t>
            </w:r>
            <w:r>
              <w:rPr>
                <w:rFonts w:ascii="Times New Roman" w:hAnsi="Times New Roman"/>
                <w:b/>
              </w:rPr>
              <w:t>:</w:t>
            </w:r>
          </w:p>
        </w:tc>
        <w:tc>
          <w:tcPr>
            <w:tcW w:w="6379" w:type="dxa"/>
            <w:gridSpan w:val="2"/>
            <w:vAlign w:val="center"/>
          </w:tcPr>
          <w:p w14:paraId="66350006" w14:textId="77777777" w:rsidR="00043C12" w:rsidRPr="00790AF3" w:rsidRDefault="00043C12" w:rsidP="007C692E">
            <w:pPr>
              <w:contextualSpacing/>
              <w:jc w:val="both"/>
              <w:rPr>
                <w:rFonts w:ascii="Times New Roman" w:hAnsi="Times New Roman"/>
              </w:rPr>
            </w:pPr>
            <w:r>
              <w:rPr>
                <w:rFonts w:ascii="Times New Roman" w:hAnsi="Times New Roman"/>
              </w:rPr>
              <w:lastRenderedPageBreak/>
              <w:t>EEZ saprašanās memorands:</w:t>
            </w:r>
          </w:p>
          <w:p w14:paraId="1A4EC57E" w14:textId="6E4F47FA" w:rsidR="00043C12" w:rsidRPr="00790AF3" w:rsidRDefault="004C020B" w:rsidP="007C692E">
            <w:pPr>
              <w:numPr>
                <w:ilvl w:val="0"/>
                <w:numId w:val="5"/>
              </w:numPr>
              <w:contextualSpacing/>
              <w:jc w:val="both"/>
              <w:rPr>
                <w:rFonts w:ascii="Times New Roman" w:hAnsi="Times New Roman"/>
              </w:rPr>
            </w:pPr>
            <w:r>
              <w:rPr>
                <w:rFonts w:ascii="Times New Roman" w:hAnsi="Times New Roman"/>
              </w:rPr>
              <w:t>Kopējais p</w:t>
            </w:r>
            <w:r w:rsidR="00043C12">
              <w:rPr>
                <w:rFonts w:ascii="Times New Roman" w:hAnsi="Times New Roman"/>
              </w:rPr>
              <w:t>rogrammas piešķīrums tiks paredzēts Baltijas pētniecības programmai</w:t>
            </w:r>
            <w:r>
              <w:rPr>
                <w:rFonts w:ascii="Times New Roman" w:hAnsi="Times New Roman"/>
              </w:rPr>
              <w:t>, kas vērsta uz reģionāla</w:t>
            </w:r>
            <w:r w:rsidR="00043C12">
              <w:rPr>
                <w:rFonts w:ascii="Times New Roman" w:hAnsi="Times New Roman"/>
              </w:rPr>
              <w:t xml:space="preserve"> pētniecības centr</w:t>
            </w:r>
            <w:r>
              <w:rPr>
                <w:rFonts w:ascii="Times New Roman" w:hAnsi="Times New Roman"/>
              </w:rPr>
              <w:t>a</w:t>
            </w:r>
            <w:r w:rsidR="00043C12">
              <w:rPr>
                <w:rFonts w:ascii="Times New Roman" w:hAnsi="Times New Roman"/>
              </w:rPr>
              <w:t xml:space="preserve"> </w:t>
            </w:r>
            <w:r>
              <w:rPr>
                <w:rFonts w:ascii="Times New Roman" w:hAnsi="Times New Roman"/>
              </w:rPr>
              <w:t xml:space="preserve">izveidi </w:t>
            </w:r>
            <w:r w:rsidR="00043C12">
              <w:rPr>
                <w:rFonts w:ascii="Times New Roman" w:hAnsi="Times New Roman"/>
              </w:rPr>
              <w:t>Baltijas reģionā</w:t>
            </w:r>
          </w:p>
          <w:p w14:paraId="5AFB280C" w14:textId="13BCF447" w:rsidR="00043C12" w:rsidRPr="00790AF3" w:rsidRDefault="00043C12" w:rsidP="007C692E">
            <w:pPr>
              <w:numPr>
                <w:ilvl w:val="0"/>
                <w:numId w:val="5"/>
              </w:numPr>
              <w:contextualSpacing/>
              <w:jc w:val="both"/>
              <w:rPr>
                <w:rFonts w:ascii="Times New Roman" w:hAnsi="Times New Roman"/>
              </w:rPr>
            </w:pPr>
            <w:r>
              <w:rPr>
                <w:rFonts w:ascii="Times New Roman" w:hAnsi="Times New Roman"/>
              </w:rPr>
              <w:t xml:space="preserve">Aptuveni 7 000 000 € no programmas finansējuma </w:t>
            </w:r>
            <w:r w:rsidR="00165AC9">
              <w:rPr>
                <w:rFonts w:ascii="Times New Roman" w:hAnsi="Times New Roman"/>
              </w:rPr>
              <w:t xml:space="preserve">ir </w:t>
            </w:r>
            <w:r>
              <w:rPr>
                <w:rFonts w:ascii="Times New Roman" w:hAnsi="Times New Roman"/>
              </w:rPr>
              <w:t>piešķirti programmas jomai "Pētniecība"</w:t>
            </w:r>
          </w:p>
          <w:p w14:paraId="703C33D1" w14:textId="73F2E3A2" w:rsidR="00043C12" w:rsidRPr="00790AF3" w:rsidRDefault="00043C12" w:rsidP="007C692E">
            <w:pPr>
              <w:numPr>
                <w:ilvl w:val="0"/>
                <w:numId w:val="5"/>
              </w:numPr>
              <w:contextualSpacing/>
              <w:jc w:val="both"/>
              <w:rPr>
                <w:rFonts w:ascii="Times New Roman" w:hAnsi="Times New Roman"/>
              </w:rPr>
            </w:pPr>
            <w:r>
              <w:rPr>
                <w:rFonts w:ascii="Times New Roman" w:hAnsi="Times New Roman"/>
              </w:rPr>
              <w:lastRenderedPageBreak/>
              <w:t xml:space="preserve">Aptuveni 1 500 000 € no programmas finansējuma </w:t>
            </w:r>
            <w:r w:rsidR="00165AC9">
              <w:rPr>
                <w:rFonts w:ascii="Times New Roman" w:hAnsi="Times New Roman"/>
              </w:rPr>
              <w:t xml:space="preserve">ir </w:t>
            </w:r>
            <w:r>
              <w:rPr>
                <w:rFonts w:ascii="Times New Roman" w:hAnsi="Times New Roman"/>
              </w:rPr>
              <w:t>piešķirti programmas jomai "Izglītība, stipendijas, stažēšanās un jauniešu iesaiste uzņēmējdarbībā"</w:t>
            </w:r>
          </w:p>
          <w:p w14:paraId="509CC280" w14:textId="77777777" w:rsidR="00043C12" w:rsidRPr="00E56240" w:rsidRDefault="00043C12" w:rsidP="007C692E">
            <w:pPr>
              <w:contextualSpacing/>
              <w:jc w:val="both"/>
              <w:rPr>
                <w:rFonts w:ascii="Times New Roman" w:hAnsi="Times New Roman"/>
                <w:lang w:eastAsia="en-GB"/>
              </w:rPr>
            </w:pPr>
          </w:p>
        </w:tc>
      </w:tr>
      <w:tr w:rsidR="00043C12" w:rsidRPr="00790AF3" w14:paraId="1778A796" w14:textId="77777777" w:rsidTr="007C692E">
        <w:tc>
          <w:tcPr>
            <w:tcW w:w="1980" w:type="dxa"/>
            <w:vAlign w:val="center"/>
          </w:tcPr>
          <w:p w14:paraId="7AD959AC" w14:textId="24F2AEF4" w:rsidR="00043C12" w:rsidRPr="00790AF3" w:rsidRDefault="00043C12" w:rsidP="002C127A">
            <w:pPr>
              <w:contextualSpacing/>
              <w:rPr>
                <w:rFonts w:ascii="Times New Roman" w:hAnsi="Times New Roman"/>
                <w:b/>
              </w:rPr>
            </w:pPr>
            <w:r>
              <w:rPr>
                <w:rFonts w:ascii="Times New Roman" w:hAnsi="Times New Roman"/>
                <w:b/>
              </w:rPr>
              <w:lastRenderedPageBreak/>
              <w:t xml:space="preserve">Īpašas intereses </w:t>
            </w:r>
            <w:r w:rsidR="002C127A">
              <w:t xml:space="preserve"> </w:t>
            </w:r>
            <w:r w:rsidR="002C127A" w:rsidRPr="002C127A">
              <w:rPr>
                <w:rFonts w:ascii="Times New Roman" w:hAnsi="Times New Roman"/>
                <w:b/>
              </w:rPr>
              <w:t>saprašanās memorandā</w:t>
            </w:r>
            <w:r w:rsidR="002C127A">
              <w:rPr>
                <w:rFonts w:ascii="Times New Roman" w:hAnsi="Times New Roman"/>
                <w:b/>
              </w:rPr>
              <w:t>, kas noslēgts starp</w:t>
            </w:r>
            <w:r w:rsidR="002C127A" w:rsidRPr="002C127A">
              <w:rPr>
                <w:rFonts w:ascii="Times New Roman" w:hAnsi="Times New Roman"/>
                <w:b/>
              </w:rPr>
              <w:t xml:space="preserve"> </w:t>
            </w:r>
            <w:r>
              <w:rPr>
                <w:rFonts w:ascii="Times New Roman" w:hAnsi="Times New Roman"/>
                <w:b/>
              </w:rPr>
              <w:t xml:space="preserve">Latvijas </w:t>
            </w:r>
            <w:r w:rsidR="002C127A">
              <w:rPr>
                <w:rFonts w:ascii="Times New Roman" w:hAnsi="Times New Roman"/>
                <w:b/>
              </w:rPr>
              <w:t xml:space="preserve">Republiku </w:t>
            </w:r>
            <w:r>
              <w:rPr>
                <w:rFonts w:ascii="Times New Roman" w:hAnsi="Times New Roman"/>
                <w:b/>
              </w:rPr>
              <w:t>un Norvēģijas Karalist</w:t>
            </w:r>
            <w:r w:rsidR="002C127A">
              <w:rPr>
                <w:rFonts w:ascii="Times New Roman" w:hAnsi="Times New Roman"/>
                <w:b/>
              </w:rPr>
              <w:t xml:space="preserve">i </w:t>
            </w:r>
            <w:r>
              <w:rPr>
                <w:rFonts w:ascii="Times New Roman" w:hAnsi="Times New Roman"/>
                <w:b/>
              </w:rPr>
              <w:t>:</w:t>
            </w:r>
          </w:p>
        </w:tc>
        <w:tc>
          <w:tcPr>
            <w:tcW w:w="6379" w:type="dxa"/>
            <w:gridSpan w:val="2"/>
            <w:vAlign w:val="center"/>
          </w:tcPr>
          <w:p w14:paraId="7F520DE5" w14:textId="77777777" w:rsidR="00043C12" w:rsidRPr="00790AF3" w:rsidRDefault="00043C12" w:rsidP="007C692E">
            <w:pPr>
              <w:contextualSpacing/>
              <w:jc w:val="both"/>
              <w:rPr>
                <w:rFonts w:ascii="Times New Roman" w:hAnsi="Times New Roman"/>
              </w:rPr>
            </w:pPr>
            <w:r>
              <w:rPr>
                <w:rFonts w:ascii="Times New Roman" w:hAnsi="Times New Roman"/>
              </w:rPr>
              <w:t xml:space="preserve">Norvēģijas saprašanās memorands: </w:t>
            </w:r>
          </w:p>
          <w:p w14:paraId="09EC187C" w14:textId="0D2E9E63" w:rsidR="00043C12" w:rsidRPr="00790AF3" w:rsidRDefault="00043C12" w:rsidP="007C692E">
            <w:pPr>
              <w:numPr>
                <w:ilvl w:val="0"/>
                <w:numId w:val="5"/>
              </w:numPr>
              <w:contextualSpacing/>
              <w:jc w:val="both"/>
              <w:rPr>
                <w:rFonts w:ascii="Times New Roman" w:hAnsi="Times New Roman"/>
              </w:rPr>
            </w:pPr>
            <w:r>
              <w:rPr>
                <w:rFonts w:ascii="Times New Roman" w:hAnsi="Times New Roman"/>
              </w:rPr>
              <w:t>Ne vairāk kā 6 000 000 € no programmas finansējuma tiks piešķirti dažādos Latvijas reģionos esošiem inovācij</w:t>
            </w:r>
            <w:r w:rsidR="00361BDA">
              <w:rPr>
                <w:rFonts w:ascii="Times New Roman" w:hAnsi="Times New Roman"/>
              </w:rPr>
              <w:t>as</w:t>
            </w:r>
            <w:r>
              <w:rPr>
                <w:rFonts w:ascii="Times New Roman" w:hAnsi="Times New Roman"/>
              </w:rPr>
              <w:t xml:space="preserve"> centriem. </w:t>
            </w:r>
          </w:p>
          <w:p w14:paraId="4173FE20" w14:textId="507EE3FA" w:rsidR="00043C12" w:rsidRPr="00790AF3" w:rsidRDefault="00043C12" w:rsidP="007C692E">
            <w:pPr>
              <w:numPr>
                <w:ilvl w:val="0"/>
                <w:numId w:val="5"/>
              </w:numPr>
              <w:contextualSpacing/>
              <w:jc w:val="both"/>
              <w:rPr>
                <w:rFonts w:ascii="Times New Roman" w:hAnsi="Times New Roman"/>
              </w:rPr>
            </w:pPr>
            <w:r>
              <w:rPr>
                <w:rFonts w:ascii="Times New Roman" w:hAnsi="Times New Roman"/>
              </w:rPr>
              <w:t xml:space="preserve">Katra centra atrašanās vietu, piešķīrumu un aktivitātes noteiks programmas koncepcijas izstrādes posmā. Centru uzdevums būs attīstīt jaunas izglītības un mācību programmas pasniedzējiem, studentiem un skolēniem zinātnē, tehnoloģijās, inženierzinātnēs un matemātikā un veicināt sadarbību un partnerību starp </w:t>
            </w:r>
            <w:r w:rsidR="00204F69">
              <w:rPr>
                <w:rFonts w:ascii="Times New Roman" w:hAnsi="Times New Roman"/>
              </w:rPr>
              <w:t xml:space="preserve">institūcijām </w:t>
            </w:r>
            <w:r>
              <w:rPr>
                <w:rFonts w:ascii="Times New Roman" w:hAnsi="Times New Roman"/>
              </w:rPr>
              <w:t>izglītības, pētniecības un darba dzīves jomā.</w:t>
            </w:r>
          </w:p>
          <w:p w14:paraId="19E8EA7E" w14:textId="0D1262A7" w:rsidR="00043C12" w:rsidRPr="00790AF3" w:rsidRDefault="00043C12" w:rsidP="00A210D6">
            <w:pPr>
              <w:numPr>
                <w:ilvl w:val="0"/>
                <w:numId w:val="5"/>
              </w:numPr>
              <w:contextualSpacing/>
              <w:jc w:val="both"/>
              <w:rPr>
                <w:rFonts w:ascii="Times New Roman" w:hAnsi="Times New Roman"/>
              </w:rPr>
            </w:pPr>
            <w:r>
              <w:rPr>
                <w:rFonts w:ascii="Times New Roman" w:hAnsi="Times New Roman"/>
              </w:rPr>
              <w:t>Izdevumi infrastruktūrai ("stingrie" pasākumi) šīs programmas ietvaros nav attiecināmi. Attiecinām</w:t>
            </w:r>
            <w:r w:rsidR="00A210D6">
              <w:rPr>
                <w:rFonts w:ascii="Times New Roman" w:hAnsi="Times New Roman"/>
              </w:rPr>
              <w:t>ā</w:t>
            </w:r>
            <w:r>
              <w:rPr>
                <w:rFonts w:ascii="Times New Roman" w:hAnsi="Times New Roman"/>
              </w:rPr>
              <w:t xml:space="preserve">s </w:t>
            </w:r>
            <w:r w:rsidR="00A210D6">
              <w:rPr>
                <w:rFonts w:ascii="Times New Roman" w:hAnsi="Times New Roman"/>
              </w:rPr>
              <w:t xml:space="preserve">izmaksas ietver ekspozīcijas telpu </w:t>
            </w:r>
            <w:r>
              <w:rPr>
                <w:rFonts w:ascii="Times New Roman" w:hAnsi="Times New Roman"/>
              </w:rPr>
              <w:t xml:space="preserve"> pārvietojam</w:t>
            </w:r>
            <w:r w:rsidR="00A210D6">
              <w:rPr>
                <w:rFonts w:ascii="Times New Roman" w:hAnsi="Times New Roman"/>
              </w:rPr>
              <w:t>o</w:t>
            </w:r>
            <w:r>
              <w:rPr>
                <w:rFonts w:ascii="Times New Roman" w:hAnsi="Times New Roman"/>
              </w:rPr>
              <w:t xml:space="preserve"> </w:t>
            </w:r>
            <w:r w:rsidR="00A210D6">
              <w:rPr>
                <w:rFonts w:ascii="Times New Roman" w:hAnsi="Times New Roman"/>
              </w:rPr>
              <w:t xml:space="preserve">iekārtu </w:t>
            </w:r>
            <w:r>
              <w:rPr>
                <w:rFonts w:ascii="Times New Roman" w:hAnsi="Times New Roman"/>
              </w:rPr>
              <w:t xml:space="preserve"> izmaksas, kas </w:t>
            </w:r>
            <w:r w:rsidR="00A210D6">
              <w:rPr>
                <w:rFonts w:ascii="Times New Roman" w:hAnsi="Times New Roman"/>
              </w:rPr>
              <w:t>sniedz atbalstu</w:t>
            </w:r>
            <w:r>
              <w:rPr>
                <w:rFonts w:ascii="Times New Roman" w:hAnsi="Times New Roman"/>
              </w:rPr>
              <w:t xml:space="preserve"> aktivitātēm centros. No programmas kopējiem attiecināmajiem izdevumiem maksimālais pieejamais finansējuma apjoms, kas novirzāms šādam aprīkojumam, tiks norādīts programmas koncepcijā.</w:t>
            </w:r>
          </w:p>
        </w:tc>
      </w:tr>
      <w:tr w:rsidR="00043C12" w:rsidRPr="00790AF3" w14:paraId="7B99F063" w14:textId="77777777" w:rsidTr="007C692E">
        <w:trPr>
          <w:trHeight w:val="270"/>
        </w:trPr>
        <w:tc>
          <w:tcPr>
            <w:tcW w:w="1980" w:type="dxa"/>
            <w:vMerge w:val="restart"/>
            <w:vAlign w:val="center"/>
          </w:tcPr>
          <w:p w14:paraId="0AC1E7BB" w14:textId="77777777" w:rsidR="00043C12" w:rsidRPr="00790AF3" w:rsidRDefault="00043C12" w:rsidP="007C692E">
            <w:pPr>
              <w:contextualSpacing/>
              <w:rPr>
                <w:rFonts w:ascii="Times New Roman" w:hAnsi="Times New Roman"/>
                <w:b/>
              </w:rPr>
            </w:pPr>
            <w:r>
              <w:rPr>
                <w:rFonts w:ascii="Times New Roman" w:hAnsi="Times New Roman"/>
                <w:b/>
                <w:bCs/>
              </w:rPr>
              <w:t>Programmas piešķīrums:</w:t>
            </w:r>
          </w:p>
        </w:tc>
        <w:tc>
          <w:tcPr>
            <w:tcW w:w="3557" w:type="dxa"/>
            <w:vAlign w:val="center"/>
          </w:tcPr>
          <w:p w14:paraId="4BE3BA4A" w14:textId="77777777" w:rsidR="00043C12" w:rsidRPr="00790AF3" w:rsidRDefault="00043C12" w:rsidP="007C692E">
            <w:pPr>
              <w:contextualSpacing/>
              <w:jc w:val="both"/>
              <w:rPr>
                <w:rFonts w:ascii="Times New Roman" w:hAnsi="Times New Roman"/>
              </w:rPr>
            </w:pPr>
            <w:r>
              <w:rPr>
                <w:rFonts w:ascii="Times New Roman" w:hAnsi="Times New Roman"/>
              </w:rPr>
              <w:t>Kopā</w:t>
            </w:r>
          </w:p>
        </w:tc>
        <w:tc>
          <w:tcPr>
            <w:tcW w:w="2822" w:type="dxa"/>
            <w:vAlign w:val="center"/>
          </w:tcPr>
          <w:p w14:paraId="7A6E7C0D" w14:textId="77777777" w:rsidR="00043C12" w:rsidRPr="00790AF3" w:rsidRDefault="00043C12" w:rsidP="007C692E">
            <w:pPr>
              <w:contextualSpacing/>
              <w:jc w:val="both"/>
              <w:rPr>
                <w:rFonts w:ascii="Times New Roman" w:hAnsi="Times New Roman"/>
                <w:bCs/>
              </w:rPr>
            </w:pPr>
            <w:r>
              <w:rPr>
                <w:rFonts w:ascii="Times New Roman" w:hAnsi="Times New Roman"/>
                <w:bCs/>
              </w:rPr>
              <w:t>14 500 000 €</w:t>
            </w:r>
          </w:p>
        </w:tc>
      </w:tr>
      <w:tr w:rsidR="00043C12" w:rsidRPr="00790AF3" w14:paraId="766E4DB1" w14:textId="77777777" w:rsidTr="007C692E">
        <w:trPr>
          <w:trHeight w:val="270"/>
        </w:trPr>
        <w:tc>
          <w:tcPr>
            <w:tcW w:w="1980" w:type="dxa"/>
            <w:vMerge/>
            <w:vAlign w:val="center"/>
          </w:tcPr>
          <w:p w14:paraId="5BA7F4EF" w14:textId="77777777" w:rsidR="00043C12" w:rsidRPr="00790AF3" w:rsidRDefault="00043C12" w:rsidP="007C692E">
            <w:pPr>
              <w:contextualSpacing/>
              <w:rPr>
                <w:rFonts w:ascii="Times New Roman" w:hAnsi="Times New Roman"/>
                <w:b/>
                <w:bCs/>
                <w:lang w:val="en-GB" w:eastAsia="en-GB"/>
              </w:rPr>
            </w:pPr>
          </w:p>
        </w:tc>
        <w:tc>
          <w:tcPr>
            <w:tcW w:w="3557" w:type="dxa"/>
            <w:vAlign w:val="center"/>
          </w:tcPr>
          <w:p w14:paraId="556C4F1D" w14:textId="77777777" w:rsidR="00043C12" w:rsidRPr="00790AF3" w:rsidRDefault="00043C12" w:rsidP="007C692E">
            <w:pPr>
              <w:contextualSpacing/>
              <w:jc w:val="both"/>
              <w:rPr>
                <w:rFonts w:ascii="Times New Roman" w:hAnsi="Times New Roman"/>
              </w:rPr>
            </w:pPr>
            <w:r>
              <w:rPr>
                <w:rFonts w:ascii="Times New Roman" w:hAnsi="Times New Roman"/>
              </w:rPr>
              <w:t>EEZ piešķīrumi</w:t>
            </w:r>
          </w:p>
        </w:tc>
        <w:tc>
          <w:tcPr>
            <w:tcW w:w="2822" w:type="dxa"/>
            <w:vAlign w:val="center"/>
          </w:tcPr>
          <w:p w14:paraId="3723E0A8" w14:textId="77777777" w:rsidR="00043C12" w:rsidRPr="00790AF3" w:rsidRDefault="00043C12" w:rsidP="007C692E">
            <w:pPr>
              <w:contextualSpacing/>
              <w:jc w:val="both"/>
              <w:rPr>
                <w:rFonts w:ascii="Times New Roman" w:hAnsi="Times New Roman"/>
                <w:bCs/>
              </w:rPr>
            </w:pPr>
            <w:r>
              <w:rPr>
                <w:rFonts w:ascii="Times New Roman" w:hAnsi="Times New Roman"/>
                <w:bCs/>
              </w:rPr>
              <w:t>8 500 000 €</w:t>
            </w:r>
          </w:p>
        </w:tc>
      </w:tr>
      <w:tr w:rsidR="00043C12" w:rsidRPr="00790AF3" w14:paraId="18AC370F" w14:textId="77777777" w:rsidTr="007C692E">
        <w:trPr>
          <w:trHeight w:val="270"/>
        </w:trPr>
        <w:tc>
          <w:tcPr>
            <w:tcW w:w="1980" w:type="dxa"/>
            <w:vMerge/>
            <w:vAlign w:val="center"/>
          </w:tcPr>
          <w:p w14:paraId="00A77624" w14:textId="77777777" w:rsidR="00043C12" w:rsidRPr="00790AF3" w:rsidRDefault="00043C12" w:rsidP="007C692E">
            <w:pPr>
              <w:contextualSpacing/>
              <w:rPr>
                <w:rFonts w:ascii="Times New Roman" w:hAnsi="Times New Roman"/>
                <w:b/>
                <w:bCs/>
                <w:lang w:val="en-GB" w:eastAsia="en-GB"/>
              </w:rPr>
            </w:pPr>
          </w:p>
        </w:tc>
        <w:tc>
          <w:tcPr>
            <w:tcW w:w="3557" w:type="dxa"/>
            <w:vAlign w:val="center"/>
          </w:tcPr>
          <w:p w14:paraId="336BF9DA" w14:textId="77777777" w:rsidR="00043C12" w:rsidRPr="00790AF3" w:rsidRDefault="00043C12" w:rsidP="007C692E">
            <w:pPr>
              <w:contextualSpacing/>
              <w:jc w:val="both"/>
              <w:rPr>
                <w:rFonts w:ascii="Times New Roman" w:hAnsi="Times New Roman"/>
              </w:rPr>
            </w:pPr>
            <w:r>
              <w:rPr>
                <w:rFonts w:ascii="Times New Roman" w:hAnsi="Times New Roman"/>
              </w:rPr>
              <w:t>Norvēģijas piešķīrumi</w:t>
            </w:r>
          </w:p>
        </w:tc>
        <w:tc>
          <w:tcPr>
            <w:tcW w:w="2822" w:type="dxa"/>
            <w:vAlign w:val="center"/>
          </w:tcPr>
          <w:p w14:paraId="505CF191" w14:textId="77777777" w:rsidR="00043C12" w:rsidRPr="00790AF3" w:rsidRDefault="00043C12" w:rsidP="007C692E">
            <w:pPr>
              <w:contextualSpacing/>
              <w:jc w:val="both"/>
              <w:rPr>
                <w:rFonts w:ascii="Times New Roman" w:hAnsi="Times New Roman"/>
                <w:bCs/>
              </w:rPr>
            </w:pPr>
            <w:r>
              <w:rPr>
                <w:rFonts w:ascii="Times New Roman" w:hAnsi="Times New Roman"/>
              </w:rPr>
              <w:t>6 000 000 €</w:t>
            </w:r>
          </w:p>
        </w:tc>
      </w:tr>
      <w:tr w:rsidR="00043C12" w:rsidRPr="00790AF3" w14:paraId="46DC4A6B" w14:textId="77777777" w:rsidTr="007C692E">
        <w:tc>
          <w:tcPr>
            <w:tcW w:w="1980" w:type="dxa"/>
            <w:tcBorders>
              <w:bottom w:val="single" w:sz="4" w:space="0" w:color="auto"/>
            </w:tcBorders>
            <w:vAlign w:val="center"/>
          </w:tcPr>
          <w:p w14:paraId="21C9017C" w14:textId="77777777" w:rsidR="00043C12" w:rsidRPr="00790AF3" w:rsidRDefault="00043C12" w:rsidP="007C692E">
            <w:pPr>
              <w:contextualSpacing/>
              <w:rPr>
                <w:rFonts w:ascii="Times New Roman" w:hAnsi="Times New Roman"/>
                <w:b/>
              </w:rPr>
            </w:pPr>
            <w:r>
              <w:rPr>
                <w:rFonts w:ascii="Times New Roman" w:hAnsi="Times New Roman"/>
                <w:b/>
              </w:rPr>
              <w:t xml:space="preserve">Programmas </w:t>
            </w:r>
            <w:proofErr w:type="spellStart"/>
            <w:r>
              <w:rPr>
                <w:rFonts w:ascii="Times New Roman" w:hAnsi="Times New Roman"/>
                <w:b/>
              </w:rPr>
              <w:t>apsaimniekotājs</w:t>
            </w:r>
            <w:proofErr w:type="spellEnd"/>
            <w:r>
              <w:rPr>
                <w:rFonts w:ascii="Times New Roman" w:hAnsi="Times New Roman"/>
                <w:b/>
              </w:rPr>
              <w:t>:</w:t>
            </w:r>
          </w:p>
        </w:tc>
        <w:tc>
          <w:tcPr>
            <w:tcW w:w="6379" w:type="dxa"/>
            <w:gridSpan w:val="2"/>
            <w:tcBorders>
              <w:bottom w:val="single" w:sz="4" w:space="0" w:color="auto"/>
            </w:tcBorders>
            <w:vAlign w:val="center"/>
          </w:tcPr>
          <w:p w14:paraId="374AAD04" w14:textId="77777777" w:rsidR="00043C12" w:rsidRPr="00790AF3" w:rsidRDefault="00043C12" w:rsidP="007C692E">
            <w:pPr>
              <w:contextualSpacing/>
              <w:jc w:val="both"/>
              <w:rPr>
                <w:rFonts w:ascii="Times New Roman" w:hAnsi="Times New Roman"/>
              </w:rPr>
            </w:pPr>
            <w:r>
              <w:rPr>
                <w:rFonts w:ascii="Times New Roman" w:hAnsi="Times New Roman"/>
              </w:rPr>
              <w:t xml:space="preserve">Latvijas Republikas Izglītības un zinātnes ministrija </w:t>
            </w:r>
          </w:p>
        </w:tc>
      </w:tr>
      <w:tr w:rsidR="00043C12" w:rsidRPr="00790AF3" w14:paraId="67727BFE" w14:textId="77777777" w:rsidTr="007C692E">
        <w:trPr>
          <w:trHeight w:val="323"/>
        </w:trPr>
        <w:tc>
          <w:tcPr>
            <w:tcW w:w="1980" w:type="dxa"/>
            <w:vMerge w:val="restart"/>
            <w:tcBorders>
              <w:top w:val="single" w:sz="4" w:space="0" w:color="auto"/>
              <w:left w:val="single" w:sz="4" w:space="0" w:color="auto"/>
              <w:bottom w:val="single" w:sz="4" w:space="0" w:color="auto"/>
              <w:right w:val="single" w:sz="4" w:space="0" w:color="auto"/>
            </w:tcBorders>
            <w:vAlign w:val="center"/>
          </w:tcPr>
          <w:p w14:paraId="0C1FCE28" w14:textId="77777777" w:rsidR="00043C12" w:rsidRPr="00790AF3" w:rsidRDefault="00043C12" w:rsidP="007C692E">
            <w:pPr>
              <w:contextualSpacing/>
              <w:rPr>
                <w:rFonts w:ascii="Times New Roman" w:hAnsi="Times New Roman"/>
                <w:b/>
              </w:rPr>
            </w:pPr>
            <w:r>
              <w:rPr>
                <w:rFonts w:ascii="Times New Roman" w:hAnsi="Times New Roman"/>
                <w:b/>
              </w:rPr>
              <w:t>Donoru programmas partneri:</w:t>
            </w:r>
          </w:p>
        </w:tc>
        <w:tc>
          <w:tcPr>
            <w:tcW w:w="6379" w:type="dxa"/>
            <w:gridSpan w:val="2"/>
            <w:tcBorders>
              <w:top w:val="single" w:sz="4" w:space="0" w:color="auto"/>
              <w:left w:val="single" w:sz="4" w:space="0" w:color="auto"/>
              <w:bottom w:val="single" w:sz="4" w:space="0" w:color="auto"/>
              <w:right w:val="single" w:sz="4" w:space="0" w:color="auto"/>
            </w:tcBorders>
            <w:vAlign w:val="center"/>
          </w:tcPr>
          <w:p w14:paraId="3B347B7F" w14:textId="77777777" w:rsidR="00043C12" w:rsidRPr="00790AF3" w:rsidRDefault="00043C12" w:rsidP="007C692E">
            <w:pPr>
              <w:contextualSpacing/>
              <w:jc w:val="both"/>
              <w:rPr>
                <w:rFonts w:ascii="Times New Roman" w:hAnsi="Times New Roman"/>
              </w:rPr>
            </w:pPr>
            <w:r>
              <w:rPr>
                <w:rFonts w:ascii="Times New Roman" w:hAnsi="Times New Roman"/>
              </w:rPr>
              <w:t xml:space="preserve">Norvēģijas Pētniecības padome </w:t>
            </w:r>
            <w:r w:rsidRPr="00A82947">
              <w:rPr>
                <w:rFonts w:ascii="Times New Roman" w:hAnsi="Times New Roman"/>
              </w:rPr>
              <w:t>(RCN)</w:t>
            </w:r>
          </w:p>
        </w:tc>
      </w:tr>
      <w:tr w:rsidR="00043C12" w:rsidRPr="00790AF3" w14:paraId="0D375F36" w14:textId="77777777" w:rsidTr="007C692E">
        <w:trPr>
          <w:trHeight w:val="315"/>
        </w:trPr>
        <w:tc>
          <w:tcPr>
            <w:tcW w:w="1980" w:type="dxa"/>
            <w:vMerge/>
            <w:tcBorders>
              <w:top w:val="single" w:sz="4" w:space="0" w:color="auto"/>
              <w:left w:val="single" w:sz="4" w:space="0" w:color="auto"/>
              <w:bottom w:val="single" w:sz="4" w:space="0" w:color="auto"/>
              <w:right w:val="single" w:sz="4" w:space="0" w:color="auto"/>
            </w:tcBorders>
            <w:vAlign w:val="center"/>
          </w:tcPr>
          <w:p w14:paraId="2E0BBCB4" w14:textId="77777777" w:rsidR="00043C12" w:rsidRPr="00790AF3" w:rsidRDefault="00043C12" w:rsidP="007C692E">
            <w:pPr>
              <w:contextualSpacing/>
              <w:rPr>
                <w:rFonts w:ascii="Times New Roman" w:hAnsi="Times New Roman"/>
                <w:b/>
                <w:lang w:val="en-GB" w:eastAsia="en-GB"/>
              </w:rPr>
            </w:pPr>
          </w:p>
        </w:tc>
        <w:tc>
          <w:tcPr>
            <w:tcW w:w="6379" w:type="dxa"/>
            <w:gridSpan w:val="2"/>
            <w:tcBorders>
              <w:top w:val="single" w:sz="4" w:space="0" w:color="auto"/>
              <w:left w:val="single" w:sz="4" w:space="0" w:color="auto"/>
              <w:bottom w:val="single" w:sz="4" w:space="0" w:color="auto"/>
              <w:right w:val="single" w:sz="4" w:space="0" w:color="auto"/>
            </w:tcBorders>
            <w:vAlign w:val="center"/>
          </w:tcPr>
          <w:tbl>
            <w:tblPr>
              <w:tblW w:w="0" w:type="auto"/>
              <w:tblCellSpacing w:w="0" w:type="dxa"/>
              <w:tblLayout w:type="fixed"/>
              <w:tblCellMar>
                <w:left w:w="0" w:type="dxa"/>
                <w:right w:w="0" w:type="dxa"/>
              </w:tblCellMar>
              <w:tblLook w:val="04A0" w:firstRow="1" w:lastRow="0" w:firstColumn="1" w:lastColumn="0" w:noHBand="0" w:noVBand="1"/>
            </w:tblPr>
            <w:tblGrid>
              <w:gridCol w:w="9302"/>
              <w:gridCol w:w="20"/>
            </w:tblGrid>
            <w:tr w:rsidR="00043C12" w:rsidRPr="00790AF3" w14:paraId="18F696B9" w14:textId="77777777" w:rsidTr="007C692E">
              <w:trPr>
                <w:trHeight w:val="405"/>
                <w:tblCellSpacing w:w="0" w:type="dxa"/>
              </w:trPr>
              <w:tc>
                <w:tcPr>
                  <w:tcW w:w="9302" w:type="dxa"/>
                  <w:noWrap/>
                  <w:hideMark/>
                </w:tcPr>
                <w:p w14:paraId="135321C8" w14:textId="77777777" w:rsidR="00043C12" w:rsidRPr="00790AF3" w:rsidRDefault="00043C12" w:rsidP="00F11185">
                  <w:pPr>
                    <w:framePr w:hSpace="180" w:wrap="around" w:vAnchor="text" w:hAnchor="text" w:y="1"/>
                    <w:suppressOverlap/>
                    <w:jc w:val="both"/>
                  </w:pPr>
                  <w:r>
                    <w:t xml:space="preserve">Norvēģijas Starptautiskās sadarbības un kvalitātes </w:t>
                  </w:r>
                </w:p>
                <w:p w14:paraId="7743A7B5" w14:textId="77777777" w:rsidR="00043C12" w:rsidRPr="00790AF3" w:rsidRDefault="00043C12" w:rsidP="00F11185">
                  <w:pPr>
                    <w:framePr w:hSpace="180" w:wrap="around" w:vAnchor="text" w:hAnchor="text" w:y="1"/>
                    <w:suppressOverlap/>
                    <w:jc w:val="both"/>
                  </w:pPr>
                  <w:r>
                    <w:t xml:space="preserve">uzlabošanas aģentūra augstākās izglītības jomā </w:t>
                  </w:r>
                  <w:r w:rsidRPr="00A82947">
                    <w:t>(</w:t>
                  </w:r>
                  <w:proofErr w:type="spellStart"/>
                  <w:r w:rsidRPr="00A82947">
                    <w:t>Diku</w:t>
                  </w:r>
                  <w:proofErr w:type="spellEnd"/>
                  <w:r w:rsidRPr="00A82947">
                    <w:t>)</w:t>
                  </w:r>
                </w:p>
              </w:tc>
              <w:tc>
                <w:tcPr>
                  <w:tcW w:w="6" w:type="dxa"/>
                  <w:vAlign w:val="center"/>
                  <w:hideMark/>
                </w:tcPr>
                <w:p w14:paraId="7985B17A" w14:textId="77777777" w:rsidR="00043C12" w:rsidRPr="00790AF3" w:rsidRDefault="00043C12" w:rsidP="00F11185">
                  <w:pPr>
                    <w:framePr w:hSpace="180" w:wrap="around" w:vAnchor="text" w:hAnchor="text" w:y="1"/>
                    <w:suppressOverlap/>
                    <w:jc w:val="both"/>
                    <w:rPr>
                      <w:lang w:eastAsia="nb-NO"/>
                    </w:rPr>
                  </w:pPr>
                </w:p>
              </w:tc>
            </w:tr>
          </w:tbl>
          <w:p w14:paraId="4701055B" w14:textId="77777777" w:rsidR="00043C12" w:rsidRPr="00790AF3" w:rsidRDefault="00043C12" w:rsidP="007C692E">
            <w:pPr>
              <w:contextualSpacing/>
              <w:jc w:val="both"/>
              <w:rPr>
                <w:rFonts w:ascii="Times New Roman" w:hAnsi="Times New Roman"/>
                <w:lang w:val="en-GB" w:eastAsia="en-GB"/>
              </w:rPr>
            </w:pPr>
          </w:p>
        </w:tc>
      </w:tr>
      <w:tr w:rsidR="00043C12" w:rsidRPr="00790AF3" w14:paraId="438BCFEE" w14:textId="77777777" w:rsidTr="007C692E">
        <w:trPr>
          <w:trHeight w:val="315"/>
        </w:trPr>
        <w:tc>
          <w:tcPr>
            <w:tcW w:w="1980" w:type="dxa"/>
            <w:vMerge/>
            <w:tcBorders>
              <w:top w:val="single" w:sz="4" w:space="0" w:color="auto"/>
              <w:left w:val="single" w:sz="4" w:space="0" w:color="auto"/>
              <w:bottom w:val="single" w:sz="4" w:space="0" w:color="auto"/>
              <w:right w:val="single" w:sz="4" w:space="0" w:color="auto"/>
            </w:tcBorders>
            <w:vAlign w:val="center"/>
          </w:tcPr>
          <w:p w14:paraId="204C445B" w14:textId="77777777" w:rsidR="00043C12" w:rsidRPr="00790AF3" w:rsidRDefault="00043C12" w:rsidP="007C692E">
            <w:pPr>
              <w:contextualSpacing/>
              <w:rPr>
                <w:rFonts w:ascii="Times New Roman" w:hAnsi="Times New Roman"/>
                <w:b/>
                <w:lang w:val="en-GB" w:eastAsia="en-GB"/>
              </w:rPr>
            </w:pPr>
          </w:p>
        </w:tc>
        <w:tc>
          <w:tcPr>
            <w:tcW w:w="6379" w:type="dxa"/>
            <w:gridSpan w:val="2"/>
            <w:tcBorders>
              <w:top w:val="single" w:sz="4" w:space="0" w:color="auto"/>
              <w:left w:val="single" w:sz="4" w:space="0" w:color="auto"/>
              <w:bottom w:val="single" w:sz="4" w:space="0" w:color="auto"/>
              <w:right w:val="single" w:sz="4" w:space="0" w:color="auto"/>
            </w:tcBorders>
            <w:vAlign w:val="center"/>
          </w:tcPr>
          <w:p w14:paraId="28E71134" w14:textId="77777777" w:rsidR="00043C12" w:rsidRPr="00790AF3" w:rsidRDefault="00043C12" w:rsidP="007C692E">
            <w:pPr>
              <w:contextualSpacing/>
              <w:jc w:val="both"/>
              <w:rPr>
                <w:rFonts w:ascii="Times New Roman" w:hAnsi="Times New Roman"/>
              </w:rPr>
            </w:pPr>
            <w:r>
              <w:rPr>
                <w:rFonts w:ascii="Times New Roman" w:hAnsi="Times New Roman"/>
              </w:rPr>
              <w:t xml:space="preserve">Lihtenšteinas Nacionālā aģentūra starptautiskās izglītības jautājumos </w:t>
            </w:r>
            <w:r w:rsidRPr="00A82947">
              <w:rPr>
                <w:rFonts w:ascii="Times New Roman" w:hAnsi="Times New Roman"/>
              </w:rPr>
              <w:t>(AIBA)</w:t>
            </w:r>
          </w:p>
        </w:tc>
      </w:tr>
    </w:tbl>
    <w:p w14:paraId="65B4C7B5" w14:textId="77777777" w:rsidR="00043C12" w:rsidRPr="00790AF3" w:rsidRDefault="00043C12" w:rsidP="00043C12">
      <w:pPr>
        <w:contextualSpacing/>
        <w:rPr>
          <w:b/>
          <w:lang w:val="en-GB"/>
        </w:rPr>
      </w:pPr>
    </w:p>
    <w:p w14:paraId="635E5A52" w14:textId="77777777" w:rsidR="00043C12" w:rsidRPr="00790AF3" w:rsidRDefault="00043C12" w:rsidP="00043C12">
      <w:pPr>
        <w:rPr>
          <w:b/>
        </w:rPr>
      </w:pPr>
      <w:r>
        <w:br w:type="page"/>
      </w:r>
      <w:bookmarkStart w:id="0" w:name="_GoBack"/>
      <w:bookmarkEnd w:id="0"/>
    </w:p>
    <w:p w14:paraId="35BBE763" w14:textId="77777777" w:rsidR="00043C12" w:rsidRPr="00790AF3" w:rsidRDefault="00043C12" w:rsidP="00043C12">
      <w:pPr>
        <w:contextualSpacing/>
        <w:rPr>
          <w:b/>
          <w:lang w:val="en-GB"/>
        </w:rPr>
      </w:pPr>
    </w:p>
    <w:p w14:paraId="04A89484" w14:textId="77777777" w:rsidR="00043C12" w:rsidRPr="00790AF3" w:rsidRDefault="00043C12" w:rsidP="00043C12">
      <w:pPr>
        <w:pStyle w:val="Heading1"/>
        <w:numPr>
          <w:ilvl w:val="0"/>
          <w:numId w:val="0"/>
        </w:numPr>
        <w:spacing w:before="0"/>
        <w:ind w:left="432" w:hanging="432"/>
        <w:contextualSpacing/>
        <w:jc w:val="both"/>
        <w:rPr>
          <w:rFonts w:ascii="Times New Roman" w:hAnsi="Times New Roman"/>
          <w:color w:val="auto"/>
          <w:sz w:val="24"/>
          <w:szCs w:val="24"/>
        </w:rPr>
      </w:pPr>
      <w:r>
        <w:rPr>
          <w:rFonts w:ascii="Times New Roman" w:hAnsi="Times New Roman"/>
          <w:color w:val="auto"/>
          <w:sz w:val="24"/>
          <w:szCs w:val="24"/>
        </w:rPr>
        <w:t>2. Programmas apraksts un pamatojums</w:t>
      </w:r>
    </w:p>
    <w:p w14:paraId="52562D5F" w14:textId="77777777" w:rsidR="00043C12" w:rsidRPr="00790AF3" w:rsidRDefault="00043C12" w:rsidP="00043C12">
      <w:pPr>
        <w:contextualSpacing/>
        <w:jc w:val="both"/>
        <w:rPr>
          <w:b/>
        </w:rPr>
      </w:pPr>
      <w:r>
        <w:rPr>
          <w:b/>
        </w:rPr>
        <w:t xml:space="preserve">Apraksts  </w:t>
      </w:r>
    </w:p>
    <w:p w14:paraId="4F176FCD" w14:textId="05AA5B6D" w:rsidR="00043C12" w:rsidRDefault="00043C12" w:rsidP="00043C12">
      <w:pPr>
        <w:pStyle w:val="BodyText"/>
        <w:spacing w:after="0"/>
        <w:contextualSpacing/>
        <w:jc w:val="both"/>
        <w:rPr>
          <w:rFonts w:ascii="Times New Roman" w:eastAsiaTheme="minorEastAsia" w:hAnsi="Times New Roman"/>
          <w:sz w:val="24"/>
          <w:szCs w:val="24"/>
        </w:rPr>
      </w:pPr>
      <w:r>
        <w:rPr>
          <w:rFonts w:ascii="Times New Roman" w:hAnsi="Times New Roman"/>
          <w:sz w:val="24"/>
          <w:szCs w:val="24"/>
        </w:rPr>
        <w:t>Latvijas pētniecības programma sastāv no trim galvenajām komponentēm: (1) Baltijas pētniecības programma (PJ 2 pētniecība), (2) stipendiju komponente, kas īstenojama kopā ar pētniecības aktivitātēm un (3) atbalsts četriem Latvijas inovācij</w:t>
      </w:r>
      <w:r w:rsidR="00B255E2">
        <w:rPr>
          <w:rFonts w:ascii="Times New Roman" w:hAnsi="Times New Roman"/>
          <w:sz w:val="24"/>
          <w:szCs w:val="24"/>
        </w:rPr>
        <w:t>as</w:t>
      </w:r>
      <w:r>
        <w:rPr>
          <w:rFonts w:ascii="Times New Roman" w:hAnsi="Times New Roman"/>
          <w:sz w:val="24"/>
          <w:szCs w:val="24"/>
        </w:rPr>
        <w:t xml:space="preserve"> centriem, lai veicinātu reģionālo zināšanu attīstību STEM (zinātne, tehnoloģijas, inženierzinātnes un matemātika)</w:t>
      </w:r>
      <w:r w:rsidR="00B255E2">
        <w:rPr>
          <w:rFonts w:ascii="Times New Roman" w:hAnsi="Times New Roman"/>
          <w:sz w:val="24"/>
          <w:szCs w:val="24"/>
        </w:rPr>
        <w:t xml:space="preserve"> jomās</w:t>
      </w:r>
      <w:r>
        <w:rPr>
          <w:rFonts w:ascii="Times New Roman" w:hAnsi="Times New Roman"/>
          <w:sz w:val="24"/>
          <w:szCs w:val="24"/>
        </w:rPr>
        <w:t xml:space="preserve">. </w:t>
      </w:r>
    </w:p>
    <w:p w14:paraId="5128E097" w14:textId="77777777" w:rsidR="00043C12" w:rsidRDefault="00043C12" w:rsidP="00043C12">
      <w:pPr>
        <w:pStyle w:val="BodyText"/>
        <w:spacing w:after="0"/>
        <w:contextualSpacing/>
        <w:jc w:val="both"/>
        <w:rPr>
          <w:rFonts w:ascii="Times New Roman" w:eastAsiaTheme="minorEastAsia" w:hAnsi="Times New Roman"/>
          <w:sz w:val="24"/>
          <w:szCs w:val="24"/>
        </w:rPr>
      </w:pPr>
    </w:p>
    <w:p w14:paraId="283CE7E2" w14:textId="114A56A8" w:rsidR="00043C12" w:rsidRPr="00790AF3" w:rsidRDefault="00043C12" w:rsidP="00043C12">
      <w:pPr>
        <w:pStyle w:val="BodyText"/>
        <w:spacing w:after="0"/>
        <w:contextualSpacing/>
        <w:jc w:val="both"/>
        <w:rPr>
          <w:rFonts w:ascii="Times New Roman" w:hAnsi="Times New Roman"/>
          <w:sz w:val="24"/>
          <w:szCs w:val="24"/>
        </w:rPr>
      </w:pPr>
      <w:r>
        <w:rPr>
          <w:rFonts w:ascii="Times New Roman" w:hAnsi="Times New Roman"/>
          <w:sz w:val="24"/>
          <w:szCs w:val="24"/>
        </w:rPr>
        <w:t xml:space="preserve">Pirmkārt, </w:t>
      </w:r>
      <w:r>
        <w:rPr>
          <w:rFonts w:ascii="Times New Roman" w:hAnsi="Times New Roman"/>
          <w:b/>
          <w:sz w:val="24"/>
          <w:szCs w:val="24"/>
        </w:rPr>
        <w:t>Baltijas pētniecības programma</w:t>
      </w:r>
      <w:r>
        <w:rPr>
          <w:rFonts w:ascii="Times New Roman" w:hAnsi="Times New Roman"/>
          <w:sz w:val="24"/>
          <w:szCs w:val="24"/>
        </w:rPr>
        <w:t xml:space="preserve"> ar finansiālo ieguldījumu pētniecības un augstākās izglītības jomā</w:t>
      </w:r>
      <w:r w:rsidR="0044153C">
        <w:rPr>
          <w:rFonts w:ascii="Times New Roman" w:hAnsi="Times New Roman"/>
          <w:sz w:val="24"/>
          <w:szCs w:val="24"/>
        </w:rPr>
        <w:t>s</w:t>
      </w:r>
      <w:r>
        <w:rPr>
          <w:rFonts w:ascii="Times New Roman" w:hAnsi="Times New Roman"/>
          <w:sz w:val="24"/>
          <w:szCs w:val="24"/>
        </w:rPr>
        <w:t xml:space="preserve"> </w:t>
      </w:r>
      <w:r w:rsidR="00BC3DC5">
        <w:rPr>
          <w:rFonts w:ascii="Times New Roman" w:hAnsi="Times New Roman"/>
          <w:sz w:val="24"/>
          <w:szCs w:val="24"/>
        </w:rPr>
        <w:t xml:space="preserve">veicinās </w:t>
      </w:r>
      <w:r>
        <w:rPr>
          <w:rFonts w:ascii="Times New Roman" w:hAnsi="Times New Roman"/>
          <w:sz w:val="24"/>
          <w:szCs w:val="24"/>
        </w:rPr>
        <w:t>ekonomisk</w:t>
      </w:r>
      <w:r w:rsidR="00BC3DC5">
        <w:rPr>
          <w:rFonts w:ascii="Times New Roman" w:hAnsi="Times New Roman"/>
          <w:sz w:val="24"/>
          <w:szCs w:val="24"/>
        </w:rPr>
        <w:t>o</w:t>
      </w:r>
      <w:r>
        <w:rPr>
          <w:rFonts w:ascii="Times New Roman" w:hAnsi="Times New Roman"/>
          <w:sz w:val="24"/>
          <w:szCs w:val="24"/>
        </w:rPr>
        <w:t xml:space="preserve"> un sociāl</w:t>
      </w:r>
      <w:r w:rsidR="00BC3DC5">
        <w:rPr>
          <w:rFonts w:ascii="Times New Roman" w:hAnsi="Times New Roman"/>
          <w:sz w:val="24"/>
          <w:szCs w:val="24"/>
        </w:rPr>
        <w:t>o</w:t>
      </w:r>
      <w:r>
        <w:rPr>
          <w:rFonts w:ascii="Times New Roman" w:hAnsi="Times New Roman"/>
          <w:sz w:val="24"/>
          <w:szCs w:val="24"/>
        </w:rPr>
        <w:t xml:space="preserve"> atšķirīb</w:t>
      </w:r>
      <w:r w:rsidR="00BC3DC5">
        <w:rPr>
          <w:rFonts w:ascii="Times New Roman" w:hAnsi="Times New Roman"/>
          <w:sz w:val="24"/>
          <w:szCs w:val="24"/>
        </w:rPr>
        <w:t>u mazināšanu</w:t>
      </w:r>
      <w:r>
        <w:rPr>
          <w:rFonts w:ascii="Times New Roman" w:hAnsi="Times New Roman"/>
          <w:sz w:val="24"/>
          <w:szCs w:val="24"/>
        </w:rPr>
        <w:t xml:space="preserve"> EEZ un stiprinā</w:t>
      </w:r>
      <w:r w:rsidR="00BC3DC5">
        <w:rPr>
          <w:rFonts w:ascii="Times New Roman" w:hAnsi="Times New Roman"/>
          <w:sz w:val="24"/>
          <w:szCs w:val="24"/>
        </w:rPr>
        <w:t>s</w:t>
      </w:r>
      <w:r>
        <w:rPr>
          <w:rFonts w:ascii="Times New Roman" w:hAnsi="Times New Roman"/>
          <w:sz w:val="24"/>
          <w:szCs w:val="24"/>
        </w:rPr>
        <w:t xml:space="preserve"> divpusējās attiecības starp </w:t>
      </w:r>
      <w:proofErr w:type="spellStart"/>
      <w:r>
        <w:rPr>
          <w:rFonts w:ascii="Times New Roman" w:hAnsi="Times New Roman"/>
          <w:sz w:val="24"/>
          <w:szCs w:val="24"/>
        </w:rPr>
        <w:t>donorvalstīm</w:t>
      </w:r>
      <w:proofErr w:type="spellEnd"/>
      <w:r>
        <w:rPr>
          <w:rFonts w:ascii="Times New Roman" w:hAnsi="Times New Roman"/>
          <w:sz w:val="24"/>
          <w:szCs w:val="24"/>
        </w:rPr>
        <w:t xml:space="preserve"> un Igauniju, Latviju un Lietuvu. </w:t>
      </w:r>
    </w:p>
    <w:p w14:paraId="43989993" w14:textId="39D266CD" w:rsidR="00043C12" w:rsidRPr="00790AF3" w:rsidRDefault="00043C12" w:rsidP="00043C12">
      <w:pPr>
        <w:pStyle w:val="BodyText"/>
        <w:spacing w:after="0"/>
        <w:contextualSpacing/>
        <w:jc w:val="both"/>
        <w:rPr>
          <w:rFonts w:ascii="Times New Roman" w:hAnsi="Times New Roman"/>
          <w:sz w:val="24"/>
          <w:szCs w:val="24"/>
        </w:rPr>
      </w:pPr>
      <w:r>
        <w:rPr>
          <w:rFonts w:ascii="Times New Roman" w:hAnsi="Times New Roman"/>
          <w:sz w:val="24"/>
          <w:szCs w:val="24"/>
        </w:rPr>
        <w:t>Igaunija, Latvija un Lietuva ir vienojušās izveidot Baltijas pētniecības programmu, lai risinātu kopīgas sabiedrības problēmas un kopīg</w:t>
      </w:r>
      <w:r w:rsidR="00DD2BA3">
        <w:rPr>
          <w:rFonts w:ascii="Times New Roman" w:hAnsi="Times New Roman"/>
          <w:sz w:val="24"/>
          <w:szCs w:val="24"/>
        </w:rPr>
        <w:t>u</w:t>
      </w:r>
      <w:r>
        <w:rPr>
          <w:rFonts w:ascii="Times New Roman" w:hAnsi="Times New Roman"/>
          <w:sz w:val="24"/>
          <w:szCs w:val="24"/>
        </w:rPr>
        <w:t xml:space="preserve"> pētniecības </w:t>
      </w:r>
      <w:r w:rsidR="00DD2BA3">
        <w:rPr>
          <w:rFonts w:ascii="Times New Roman" w:hAnsi="Times New Roman"/>
          <w:sz w:val="24"/>
          <w:szCs w:val="24"/>
        </w:rPr>
        <w:t xml:space="preserve"> izaicinājumus</w:t>
      </w:r>
      <w:r>
        <w:rPr>
          <w:rFonts w:ascii="Times New Roman" w:hAnsi="Times New Roman"/>
          <w:sz w:val="24"/>
          <w:szCs w:val="24"/>
        </w:rPr>
        <w:t xml:space="preserve">. </w:t>
      </w:r>
    </w:p>
    <w:p w14:paraId="50487963" w14:textId="5853CF8C" w:rsidR="00043C12" w:rsidRPr="00790AF3" w:rsidRDefault="00DD2BA3" w:rsidP="00043C12">
      <w:pPr>
        <w:pStyle w:val="BodyText"/>
        <w:spacing w:after="0"/>
        <w:contextualSpacing/>
        <w:jc w:val="both"/>
        <w:rPr>
          <w:rFonts w:ascii="Times New Roman" w:hAnsi="Times New Roman"/>
          <w:sz w:val="24"/>
          <w:szCs w:val="24"/>
        </w:rPr>
      </w:pPr>
      <w:r>
        <w:rPr>
          <w:rFonts w:ascii="Times New Roman" w:hAnsi="Times New Roman"/>
          <w:sz w:val="24"/>
          <w:szCs w:val="24"/>
        </w:rPr>
        <w:t xml:space="preserve">Pamatojoties </w:t>
      </w:r>
      <w:r w:rsidR="00043C12">
        <w:rPr>
          <w:rFonts w:ascii="Times New Roman" w:hAnsi="Times New Roman"/>
          <w:sz w:val="24"/>
          <w:szCs w:val="24"/>
        </w:rPr>
        <w:t>uz stratēģisku redzējumu par kopīg</w:t>
      </w:r>
      <w:r w:rsidR="00A52A6F">
        <w:rPr>
          <w:rFonts w:ascii="Times New Roman" w:hAnsi="Times New Roman"/>
          <w:sz w:val="24"/>
          <w:szCs w:val="24"/>
        </w:rPr>
        <w:t>ie</w:t>
      </w:r>
      <w:r w:rsidR="00043C12">
        <w:rPr>
          <w:rFonts w:ascii="Times New Roman" w:hAnsi="Times New Roman"/>
          <w:sz w:val="24"/>
          <w:szCs w:val="24"/>
        </w:rPr>
        <w:t xml:space="preserve">m pētniecības </w:t>
      </w:r>
      <w:r w:rsidR="00A52A6F">
        <w:rPr>
          <w:rFonts w:ascii="Times New Roman" w:hAnsi="Times New Roman"/>
          <w:sz w:val="24"/>
          <w:szCs w:val="24"/>
        </w:rPr>
        <w:t xml:space="preserve">izaicinājumiem </w:t>
      </w:r>
      <w:r w:rsidR="00043C12">
        <w:rPr>
          <w:rFonts w:ascii="Times New Roman" w:hAnsi="Times New Roman"/>
          <w:sz w:val="24"/>
          <w:szCs w:val="24"/>
        </w:rPr>
        <w:t xml:space="preserve">Igaunijā, Latvijā un Lietuvā, Baltijas pētniecības programma piedāvās plašas un ilgtspējīgas sadarbības iespējas starp pētniekiem un pētniecības iestādēm Baltijas valstīs, </w:t>
      </w:r>
      <w:proofErr w:type="spellStart"/>
      <w:r w:rsidR="00043C12">
        <w:rPr>
          <w:rFonts w:ascii="Times New Roman" w:hAnsi="Times New Roman"/>
          <w:sz w:val="24"/>
          <w:szCs w:val="24"/>
        </w:rPr>
        <w:t>donorvalstīs</w:t>
      </w:r>
      <w:proofErr w:type="spellEnd"/>
      <w:r w:rsidR="00043C12">
        <w:rPr>
          <w:rFonts w:ascii="Times New Roman" w:hAnsi="Times New Roman"/>
          <w:sz w:val="24"/>
          <w:szCs w:val="24"/>
        </w:rPr>
        <w:t xml:space="preserve"> un trešās valstīs. Baltijas pētniecības programmas stratēģisko redzējumu un pamatnostādnes nodrošinās apvienotā Baltijas pētniecības programmas komiteja. </w:t>
      </w:r>
    </w:p>
    <w:p w14:paraId="0765B4C4" w14:textId="29616EFB" w:rsidR="00043C12" w:rsidRPr="00790AF3" w:rsidRDefault="00043C12" w:rsidP="00043C12">
      <w:pPr>
        <w:pStyle w:val="BodyText"/>
        <w:spacing w:after="0"/>
        <w:contextualSpacing/>
        <w:jc w:val="both"/>
        <w:rPr>
          <w:rFonts w:ascii="Times New Roman" w:hAnsi="Times New Roman"/>
          <w:sz w:val="24"/>
          <w:szCs w:val="24"/>
        </w:rPr>
      </w:pPr>
      <w:r>
        <w:rPr>
          <w:rFonts w:ascii="Times New Roman" w:hAnsi="Times New Roman"/>
          <w:sz w:val="24"/>
          <w:szCs w:val="24"/>
        </w:rPr>
        <w:t xml:space="preserve">Baltijas pētniecības programma būs liels solis uz priekšu Baltijas sadarbības nostiprināšanā pētniecībā un veicinās reģionālo sadarbību starp trim Baltijas valstīm.  </w:t>
      </w:r>
      <w:r w:rsidR="00F61D1B">
        <w:rPr>
          <w:rFonts w:ascii="Times New Roman" w:hAnsi="Times New Roman"/>
          <w:sz w:val="24"/>
          <w:szCs w:val="24"/>
        </w:rPr>
        <w:t>P</w:t>
      </w:r>
      <w:r>
        <w:rPr>
          <w:rFonts w:ascii="Times New Roman" w:hAnsi="Times New Roman"/>
          <w:sz w:val="24"/>
          <w:szCs w:val="24"/>
        </w:rPr>
        <w:t xml:space="preserve">rogramma uzlabos Baltijas valstu pozīciju Baltijas jūras reģionā, Baltijas un Ziemeļvalstu pētniecības telpā, kā arī Eiropas un starptautiskā līmenī. </w:t>
      </w:r>
    </w:p>
    <w:p w14:paraId="63D488F6" w14:textId="28FAA90D" w:rsidR="00043C12" w:rsidRPr="00790AF3" w:rsidRDefault="00043C12" w:rsidP="00043C12">
      <w:pPr>
        <w:pStyle w:val="BodyText"/>
        <w:spacing w:after="0"/>
        <w:contextualSpacing/>
        <w:jc w:val="both"/>
        <w:rPr>
          <w:rFonts w:ascii="Times New Roman" w:hAnsi="Times New Roman"/>
          <w:sz w:val="24"/>
          <w:szCs w:val="24"/>
        </w:rPr>
      </w:pPr>
      <w:r>
        <w:rPr>
          <w:rFonts w:ascii="Times New Roman" w:hAnsi="Times New Roman"/>
          <w:sz w:val="24"/>
          <w:szCs w:val="24"/>
        </w:rPr>
        <w:t xml:space="preserve">Programma veicinās un attīstīs ilgtermiņa sadarbību un stiprinās daudzpusējās attiecības ar </w:t>
      </w:r>
      <w:proofErr w:type="spellStart"/>
      <w:r>
        <w:rPr>
          <w:rFonts w:ascii="Times New Roman" w:hAnsi="Times New Roman"/>
          <w:sz w:val="24"/>
          <w:szCs w:val="24"/>
        </w:rPr>
        <w:t>donorvalstīm</w:t>
      </w:r>
      <w:proofErr w:type="spellEnd"/>
      <w:r>
        <w:rPr>
          <w:rFonts w:ascii="Times New Roman" w:hAnsi="Times New Roman"/>
          <w:sz w:val="24"/>
          <w:szCs w:val="24"/>
        </w:rPr>
        <w:t xml:space="preserve"> politiskā līmenī un Eiropas līmenī kopīgu interešu jomās. Triju pētniecības finansēšanas aģentūru sadarbība programmas īstenošanā </w:t>
      </w:r>
      <w:r w:rsidR="00D03B8B">
        <w:rPr>
          <w:rFonts w:ascii="Times New Roman" w:hAnsi="Times New Roman"/>
          <w:sz w:val="24"/>
          <w:szCs w:val="24"/>
        </w:rPr>
        <w:t xml:space="preserve">veicinās integrāciju starp </w:t>
      </w:r>
      <w:r>
        <w:rPr>
          <w:rFonts w:ascii="Times New Roman" w:hAnsi="Times New Roman"/>
          <w:sz w:val="24"/>
          <w:szCs w:val="24"/>
        </w:rPr>
        <w:t>tri</w:t>
      </w:r>
      <w:r w:rsidR="00D03B8B">
        <w:rPr>
          <w:rFonts w:ascii="Times New Roman" w:hAnsi="Times New Roman"/>
          <w:sz w:val="24"/>
          <w:szCs w:val="24"/>
        </w:rPr>
        <w:t>m</w:t>
      </w:r>
      <w:r>
        <w:rPr>
          <w:rFonts w:ascii="Times New Roman" w:hAnsi="Times New Roman"/>
          <w:sz w:val="24"/>
          <w:szCs w:val="24"/>
        </w:rPr>
        <w:t xml:space="preserve"> valst</w:t>
      </w:r>
      <w:r w:rsidR="00D03B8B">
        <w:rPr>
          <w:rFonts w:ascii="Times New Roman" w:hAnsi="Times New Roman"/>
          <w:sz w:val="24"/>
          <w:szCs w:val="24"/>
        </w:rPr>
        <w:t>īm</w:t>
      </w:r>
      <w:r>
        <w:rPr>
          <w:rFonts w:ascii="Times New Roman" w:hAnsi="Times New Roman"/>
          <w:sz w:val="24"/>
          <w:szCs w:val="24"/>
        </w:rPr>
        <w:t xml:space="preserve"> pētniecības finansēšanā un </w:t>
      </w:r>
      <w:r w:rsidR="00250A0E">
        <w:rPr>
          <w:rFonts w:ascii="Times New Roman" w:hAnsi="Times New Roman"/>
          <w:sz w:val="24"/>
          <w:szCs w:val="24"/>
        </w:rPr>
        <w:t xml:space="preserve">pētniecības </w:t>
      </w:r>
      <w:r>
        <w:rPr>
          <w:rFonts w:ascii="Times New Roman" w:hAnsi="Times New Roman"/>
          <w:sz w:val="24"/>
          <w:szCs w:val="24"/>
        </w:rPr>
        <w:t>vadībā un sagatavos pamatu turpmākai sadarbībai Baltijas pētniecības finansēšanā.</w:t>
      </w:r>
    </w:p>
    <w:p w14:paraId="6B972353" w14:textId="33341FCE" w:rsidR="00043C12" w:rsidRPr="00790AF3" w:rsidRDefault="00043C12" w:rsidP="00043C12">
      <w:pPr>
        <w:shd w:val="clear" w:color="auto" w:fill="FFFFFF"/>
        <w:spacing w:line="270" w:lineRule="atLeast"/>
        <w:contextualSpacing/>
        <w:jc w:val="both"/>
      </w:pPr>
      <w:r>
        <w:t xml:space="preserve">Otrkārt, </w:t>
      </w:r>
      <w:r>
        <w:rPr>
          <w:b/>
        </w:rPr>
        <w:t>stipendiju komponente</w:t>
      </w:r>
      <w:r>
        <w:t xml:space="preserve"> nodrošinās finansējumu mobilitātes projektiem starp Latvijas un </w:t>
      </w:r>
      <w:proofErr w:type="spellStart"/>
      <w:r>
        <w:t>donorvalstu</w:t>
      </w:r>
      <w:proofErr w:type="spellEnd"/>
      <w:r>
        <w:t xml:space="preserve"> augstākās izglītības un pētniecības iestādēm. Finansējums būs pieejams studentiem, kā arī akadēmiskajam un neakadēmiskajam (administratīvajam un tehniskajam) personālam.</w:t>
      </w:r>
      <w:r>
        <w:rPr>
          <w:b/>
        </w:rPr>
        <w:t xml:space="preserve"> </w:t>
      </w:r>
    </w:p>
    <w:p w14:paraId="20331ED1" w14:textId="03009772" w:rsidR="00043C12" w:rsidRPr="00790AF3" w:rsidRDefault="00043C12" w:rsidP="00043C12">
      <w:pPr>
        <w:shd w:val="clear" w:color="auto" w:fill="FFFFFF"/>
        <w:spacing w:line="270" w:lineRule="atLeast"/>
        <w:contextualSpacing/>
        <w:jc w:val="both"/>
      </w:pPr>
      <w:r>
        <w:t>Tiks veicināta sinerģija starp Baltijas pētniecības programmu un stipendiju aktivitāt</w:t>
      </w:r>
      <w:r w:rsidR="000D197E">
        <w:t>ēm</w:t>
      </w:r>
      <w:r>
        <w:t>, lai palielinātu pētniecības projektu ietekmi. Projektu pieteicēji Baltijas pētniecības programmas ietvaros tiek aicināti apvienot pētniecības un stipendiju aktivitātes un iesaistīt doktorant</w:t>
      </w:r>
      <w:r w:rsidR="008E0863">
        <w:t>ūras studentus</w:t>
      </w:r>
      <w:r>
        <w:t xml:space="preserve"> un zinātņu doktorus, maģistra un bakalaura studentus kopīgos pētniecības projektos. Projektu pieteikumi ar skaidriem mācību rezultātiem un sinerģiju ar pētniecības projektiem, kas jau saņēmuši piešķīrumu, tiks apstiprināti prioritārā kārtībā. Mobilitātes projekti sekmēs augstākās izglītības un pētniecības iestāžu akadēmiskā un neakadēmiskā (administratīvā un tehniskā) personāla kompetenci un izcilību un </w:t>
      </w:r>
      <w:r w:rsidR="00F22C96">
        <w:t>veicinās</w:t>
      </w:r>
      <w:r>
        <w:t xml:space="preserve"> ilglaicīg</w:t>
      </w:r>
      <w:r w:rsidR="00F22C96">
        <w:t>u</w:t>
      </w:r>
      <w:r>
        <w:t xml:space="preserve"> profesionāl</w:t>
      </w:r>
      <w:r w:rsidR="00F22C96">
        <w:t>u</w:t>
      </w:r>
      <w:r>
        <w:t xml:space="preserve"> attiecīb</w:t>
      </w:r>
      <w:r w:rsidR="00F22C96">
        <w:t>u veidošanos</w:t>
      </w:r>
      <w:r>
        <w:t>.</w:t>
      </w:r>
    </w:p>
    <w:p w14:paraId="6431EE8C" w14:textId="630D9D44" w:rsidR="00043C12" w:rsidRPr="00790AF3" w:rsidRDefault="00043C12" w:rsidP="00043C12">
      <w:pPr>
        <w:pStyle w:val="BodyText"/>
        <w:spacing w:after="0"/>
        <w:contextualSpacing/>
        <w:jc w:val="both"/>
        <w:rPr>
          <w:rFonts w:ascii="Times New Roman" w:hAnsi="Times New Roman"/>
          <w:sz w:val="24"/>
          <w:szCs w:val="24"/>
          <w:highlight w:val="yellow"/>
        </w:rPr>
      </w:pPr>
      <w:r>
        <w:rPr>
          <w:rFonts w:ascii="Times New Roman" w:hAnsi="Times New Roman"/>
          <w:sz w:val="24"/>
          <w:szCs w:val="24"/>
        </w:rPr>
        <w:t xml:space="preserve">Treškārt, </w:t>
      </w:r>
      <w:r>
        <w:rPr>
          <w:rFonts w:ascii="Times New Roman" w:hAnsi="Times New Roman"/>
          <w:b/>
          <w:sz w:val="24"/>
          <w:szCs w:val="24"/>
        </w:rPr>
        <w:t>inovācij</w:t>
      </w:r>
      <w:r w:rsidR="00AC5E75">
        <w:rPr>
          <w:rFonts w:ascii="Times New Roman" w:hAnsi="Times New Roman"/>
          <w:b/>
          <w:sz w:val="24"/>
          <w:szCs w:val="24"/>
        </w:rPr>
        <w:t>as</w:t>
      </w:r>
      <w:r>
        <w:rPr>
          <w:rFonts w:ascii="Times New Roman" w:hAnsi="Times New Roman"/>
          <w:b/>
          <w:sz w:val="24"/>
          <w:szCs w:val="24"/>
        </w:rPr>
        <w:t xml:space="preserve"> centra</w:t>
      </w:r>
      <w:r w:rsidRPr="00790AF3">
        <w:rPr>
          <w:rStyle w:val="FootnoteReference"/>
          <w:rFonts w:ascii="Times New Roman" w:hAnsi="Times New Roman"/>
          <w:sz w:val="24"/>
          <w:szCs w:val="24"/>
        </w:rPr>
        <w:footnoteReference w:id="2"/>
      </w:r>
      <w:r>
        <w:rPr>
          <w:rFonts w:ascii="Times New Roman" w:hAnsi="Times New Roman"/>
          <w:sz w:val="24"/>
          <w:szCs w:val="24"/>
        </w:rPr>
        <w:t xml:space="preserve"> komponentes mērķis ir uzlabot zināšanu attīstību</w:t>
      </w:r>
      <w:r w:rsidR="007C692E" w:rsidRPr="007C692E">
        <w:rPr>
          <w:rFonts w:ascii="Times New Roman" w:hAnsi="Times New Roman"/>
          <w:sz w:val="24"/>
          <w:szCs w:val="24"/>
        </w:rPr>
        <w:t xml:space="preserve"> </w:t>
      </w:r>
      <w:r w:rsidR="007C692E">
        <w:rPr>
          <w:rFonts w:ascii="Times New Roman" w:hAnsi="Times New Roman"/>
          <w:sz w:val="24"/>
          <w:szCs w:val="24"/>
        </w:rPr>
        <w:t>STEM jomās</w:t>
      </w:r>
      <w:r>
        <w:rPr>
          <w:rFonts w:ascii="Times New Roman" w:hAnsi="Times New Roman"/>
          <w:sz w:val="24"/>
          <w:szCs w:val="24"/>
        </w:rPr>
        <w:t xml:space="preserve">, kā arī veicināt karjeras attīstību, izstrādājot jaunas izglītības un mācību programmas </w:t>
      </w:r>
      <w:r w:rsidR="007C692E">
        <w:rPr>
          <w:rFonts w:ascii="Times New Roman" w:hAnsi="Times New Roman"/>
          <w:sz w:val="24"/>
          <w:szCs w:val="24"/>
        </w:rPr>
        <w:t>skolotājiem</w:t>
      </w:r>
      <w:r>
        <w:rPr>
          <w:rFonts w:ascii="Times New Roman" w:hAnsi="Times New Roman"/>
          <w:sz w:val="24"/>
          <w:szCs w:val="24"/>
        </w:rPr>
        <w:t>, studentiem un skolēniem STEM jomā</w:t>
      </w:r>
      <w:r w:rsidR="007C692E">
        <w:rPr>
          <w:rFonts w:ascii="Times New Roman" w:hAnsi="Times New Roman"/>
          <w:sz w:val="24"/>
          <w:szCs w:val="24"/>
        </w:rPr>
        <w:t>s</w:t>
      </w:r>
      <w:r>
        <w:rPr>
          <w:rFonts w:ascii="Times New Roman" w:hAnsi="Times New Roman"/>
          <w:sz w:val="24"/>
          <w:szCs w:val="24"/>
        </w:rPr>
        <w:t xml:space="preserve">. Turklāt tas veicinās sadarbību un partnerību starp izglītības un pētniecības iestādēm un darba dzīvi Latvijas </w:t>
      </w:r>
      <w:r>
        <w:rPr>
          <w:rFonts w:ascii="Times New Roman" w:hAnsi="Times New Roman"/>
          <w:sz w:val="24"/>
          <w:szCs w:val="24"/>
        </w:rPr>
        <w:lastRenderedPageBreak/>
        <w:t>reģionos ar stingru uzsvaru uz divpusējām attiecībām starp Norvēģiju un Latviju.</w:t>
      </w:r>
      <w:r>
        <w:t xml:space="preserve"> </w:t>
      </w:r>
      <w:r>
        <w:rPr>
          <w:rFonts w:ascii="Times New Roman" w:hAnsi="Times New Roman"/>
          <w:sz w:val="24"/>
          <w:szCs w:val="24"/>
        </w:rPr>
        <w:t xml:space="preserve">Programma ir sadalīta četros atsevišķos iepriekš noteiktos projektos. </w:t>
      </w:r>
    </w:p>
    <w:p w14:paraId="6A995AA8" w14:textId="77777777" w:rsidR="00043C12" w:rsidRPr="00790AF3" w:rsidRDefault="00043C12" w:rsidP="00043C12">
      <w:pPr>
        <w:pStyle w:val="BodyText"/>
        <w:spacing w:after="0"/>
        <w:contextualSpacing/>
        <w:jc w:val="both"/>
        <w:rPr>
          <w:rFonts w:ascii="Times New Roman" w:hAnsi="Times New Roman"/>
          <w:b/>
          <w:sz w:val="24"/>
          <w:szCs w:val="24"/>
        </w:rPr>
      </w:pPr>
    </w:p>
    <w:p w14:paraId="1837CB28" w14:textId="77777777" w:rsidR="00043C12" w:rsidRPr="00790AF3" w:rsidRDefault="00043C12" w:rsidP="00043C12">
      <w:pPr>
        <w:pStyle w:val="BodyText"/>
        <w:spacing w:after="0"/>
        <w:contextualSpacing/>
        <w:jc w:val="both"/>
        <w:rPr>
          <w:rFonts w:ascii="Times New Roman" w:hAnsi="Times New Roman"/>
          <w:b/>
          <w:sz w:val="24"/>
          <w:szCs w:val="24"/>
        </w:rPr>
      </w:pPr>
      <w:r>
        <w:rPr>
          <w:rFonts w:ascii="Times New Roman" w:hAnsi="Times New Roman"/>
          <w:b/>
          <w:sz w:val="24"/>
          <w:szCs w:val="24"/>
        </w:rPr>
        <w:t>Izaicinājumi</w:t>
      </w:r>
    </w:p>
    <w:p w14:paraId="2F797521" w14:textId="77777777" w:rsidR="00043C12" w:rsidRPr="00790AF3" w:rsidRDefault="00043C12" w:rsidP="00043C12">
      <w:pPr>
        <w:pStyle w:val="BodyText"/>
        <w:spacing w:after="0"/>
        <w:contextualSpacing/>
        <w:jc w:val="both"/>
        <w:rPr>
          <w:rFonts w:ascii="Times New Roman" w:hAnsi="Times New Roman"/>
          <w:sz w:val="24"/>
          <w:szCs w:val="24"/>
        </w:rPr>
      </w:pPr>
      <w:r>
        <w:rPr>
          <w:rFonts w:ascii="Times New Roman" w:hAnsi="Times New Roman"/>
          <w:sz w:val="24"/>
          <w:szCs w:val="24"/>
        </w:rPr>
        <w:t xml:space="preserve">Nacionālajām programmām, kas tiek izstrādātas un īstenotas valsts līmenī, bieži vien trūkst vajadzīgā plašuma un dziļuma, lai būtiski ietekmētu sabiedrības problēmas. Turklāt ne vienmēr ir viegli piešķirt valsts finansējumu kopīgām Baltijas </w:t>
      </w:r>
      <w:r>
        <w:rPr>
          <w:rFonts w:ascii="Times New Roman" w:hAnsi="Times New Roman"/>
          <w:b/>
          <w:sz w:val="24"/>
          <w:szCs w:val="24"/>
        </w:rPr>
        <w:t>pētniecības</w:t>
      </w:r>
      <w:r>
        <w:rPr>
          <w:rFonts w:ascii="Times New Roman" w:hAnsi="Times New Roman"/>
          <w:sz w:val="24"/>
          <w:szCs w:val="24"/>
        </w:rPr>
        <w:t xml:space="preserve"> iniciatīvām, kā arī izmantot ES struktūrfondus pētniecības aktivitāšu finansēšanai noteiktās jomās. </w:t>
      </w:r>
    </w:p>
    <w:p w14:paraId="618F4449" w14:textId="5669EC94" w:rsidR="00043C12" w:rsidRPr="00790AF3" w:rsidRDefault="00043C12" w:rsidP="00043C12">
      <w:pPr>
        <w:pStyle w:val="BodyText"/>
        <w:spacing w:after="0"/>
        <w:contextualSpacing/>
        <w:jc w:val="both"/>
        <w:rPr>
          <w:rFonts w:ascii="Times New Roman" w:hAnsi="Times New Roman"/>
          <w:sz w:val="24"/>
          <w:szCs w:val="24"/>
        </w:rPr>
      </w:pPr>
      <w:r>
        <w:rPr>
          <w:rFonts w:ascii="Times New Roman" w:hAnsi="Times New Roman"/>
          <w:sz w:val="24"/>
          <w:szCs w:val="24"/>
        </w:rPr>
        <w:t>Ņemot vērā līdzīgas problēmas Baltijas valstu pētniecības un inovācij</w:t>
      </w:r>
      <w:r w:rsidR="00AB55A4">
        <w:rPr>
          <w:rFonts w:ascii="Times New Roman" w:hAnsi="Times New Roman"/>
          <w:sz w:val="24"/>
          <w:szCs w:val="24"/>
        </w:rPr>
        <w:t>as</w:t>
      </w:r>
      <w:r>
        <w:rPr>
          <w:rFonts w:ascii="Times New Roman" w:hAnsi="Times New Roman"/>
          <w:sz w:val="24"/>
          <w:szCs w:val="24"/>
        </w:rPr>
        <w:t xml:space="preserve"> sistēmās, tās jau ir izveidojušas dažus koordinētas sadarbības elementus pēt</w:t>
      </w:r>
      <w:r w:rsidR="003B6613">
        <w:rPr>
          <w:rFonts w:ascii="Times New Roman" w:hAnsi="Times New Roman"/>
          <w:sz w:val="24"/>
          <w:szCs w:val="24"/>
        </w:rPr>
        <w:t>niecībā</w:t>
      </w:r>
      <w:r>
        <w:rPr>
          <w:rFonts w:ascii="Times New Roman" w:hAnsi="Times New Roman"/>
          <w:sz w:val="24"/>
          <w:szCs w:val="24"/>
        </w:rPr>
        <w:t xml:space="preserve"> ar ierobežotu finansējumu. Apvienojot triju valstu prioritātes un resursus no EEZ/Norvēģijas piešķīrumiem kopīgā pētniecības programmā, tiks nodrošināta kritiskā masa, kas nepieciešama, lai sasniegtu ievērojamus panākumus. </w:t>
      </w:r>
    </w:p>
    <w:p w14:paraId="503B816E" w14:textId="55108BE5" w:rsidR="00043C12" w:rsidRPr="00790AF3" w:rsidRDefault="00043C12" w:rsidP="00043C12">
      <w:pPr>
        <w:pStyle w:val="BodyText"/>
        <w:spacing w:after="0"/>
        <w:contextualSpacing/>
        <w:jc w:val="both"/>
        <w:rPr>
          <w:rFonts w:ascii="Times New Roman" w:hAnsi="Times New Roman"/>
          <w:b/>
          <w:i/>
          <w:sz w:val="24"/>
          <w:szCs w:val="24"/>
        </w:rPr>
      </w:pPr>
      <w:r>
        <w:rPr>
          <w:rFonts w:ascii="Times New Roman" w:hAnsi="Times New Roman"/>
          <w:sz w:val="24"/>
          <w:szCs w:val="24"/>
        </w:rPr>
        <w:t>Kop</w:t>
      </w:r>
      <w:r w:rsidR="00BF3963">
        <w:rPr>
          <w:rFonts w:ascii="Times New Roman" w:hAnsi="Times New Roman"/>
          <w:sz w:val="24"/>
          <w:szCs w:val="24"/>
        </w:rPr>
        <w:t>ējos</w:t>
      </w:r>
      <w:r>
        <w:rPr>
          <w:rFonts w:ascii="Times New Roman" w:hAnsi="Times New Roman"/>
          <w:sz w:val="24"/>
          <w:szCs w:val="24"/>
        </w:rPr>
        <w:t xml:space="preserve"> Baltijas valstu izaicinājum</w:t>
      </w:r>
      <w:r w:rsidR="00BF3963">
        <w:rPr>
          <w:rFonts w:ascii="Times New Roman" w:hAnsi="Times New Roman"/>
          <w:sz w:val="24"/>
          <w:szCs w:val="24"/>
        </w:rPr>
        <w:t>us</w:t>
      </w:r>
      <w:r>
        <w:rPr>
          <w:rFonts w:ascii="Times New Roman" w:hAnsi="Times New Roman"/>
          <w:sz w:val="24"/>
          <w:szCs w:val="24"/>
        </w:rPr>
        <w:t xml:space="preserve"> </w:t>
      </w:r>
      <w:r w:rsidR="00BF3963">
        <w:rPr>
          <w:rFonts w:ascii="Times New Roman" w:hAnsi="Times New Roman"/>
          <w:sz w:val="24"/>
          <w:szCs w:val="24"/>
        </w:rPr>
        <w:t>pētniecības jomā raksturo</w:t>
      </w:r>
      <w:r>
        <w:rPr>
          <w:rFonts w:ascii="Times New Roman" w:hAnsi="Times New Roman"/>
          <w:sz w:val="24"/>
          <w:szCs w:val="24"/>
        </w:rPr>
        <w:t xml:space="preserve"> </w:t>
      </w:r>
      <w:r w:rsidR="002756BF">
        <w:rPr>
          <w:rFonts w:ascii="Times New Roman" w:hAnsi="Times New Roman"/>
          <w:sz w:val="24"/>
          <w:szCs w:val="24"/>
        </w:rPr>
        <w:t xml:space="preserve">zemas </w:t>
      </w:r>
      <w:r>
        <w:rPr>
          <w:rFonts w:ascii="Times New Roman" w:hAnsi="Times New Roman"/>
          <w:sz w:val="24"/>
          <w:szCs w:val="24"/>
        </w:rPr>
        <w:t>privāt</w:t>
      </w:r>
      <w:r w:rsidR="002756BF">
        <w:rPr>
          <w:rFonts w:ascii="Times New Roman" w:hAnsi="Times New Roman"/>
          <w:sz w:val="24"/>
          <w:szCs w:val="24"/>
        </w:rPr>
        <w:t>ā</w:t>
      </w:r>
      <w:r>
        <w:rPr>
          <w:rFonts w:ascii="Times New Roman" w:hAnsi="Times New Roman"/>
          <w:sz w:val="24"/>
          <w:szCs w:val="24"/>
        </w:rPr>
        <w:t xml:space="preserve"> un valsts finansējum</w:t>
      </w:r>
      <w:r w:rsidR="002756BF">
        <w:rPr>
          <w:rFonts w:ascii="Times New Roman" w:hAnsi="Times New Roman"/>
          <w:sz w:val="24"/>
          <w:szCs w:val="24"/>
        </w:rPr>
        <w:t>a</w:t>
      </w:r>
      <w:r>
        <w:rPr>
          <w:rFonts w:ascii="Times New Roman" w:hAnsi="Times New Roman"/>
          <w:sz w:val="24"/>
          <w:szCs w:val="24"/>
        </w:rPr>
        <w:t xml:space="preserve"> </w:t>
      </w:r>
      <w:r w:rsidR="002756BF">
        <w:rPr>
          <w:rFonts w:ascii="Times New Roman" w:hAnsi="Times New Roman"/>
          <w:sz w:val="24"/>
          <w:szCs w:val="24"/>
        </w:rPr>
        <w:t xml:space="preserve">investīcijas </w:t>
      </w:r>
      <w:r>
        <w:rPr>
          <w:rFonts w:ascii="Times New Roman" w:hAnsi="Times New Roman"/>
          <w:sz w:val="24"/>
          <w:szCs w:val="24"/>
        </w:rPr>
        <w:t xml:space="preserve">pētniecībā, attīstībā un inovācijās </w:t>
      </w:r>
      <w:r w:rsidRPr="00733B6B">
        <w:rPr>
          <w:rFonts w:ascii="Times New Roman" w:hAnsi="Times New Roman"/>
          <w:sz w:val="24"/>
          <w:szCs w:val="24"/>
        </w:rPr>
        <w:t>(RDI)</w:t>
      </w:r>
      <w:r>
        <w:rPr>
          <w:rFonts w:ascii="Times New Roman" w:hAnsi="Times New Roman"/>
          <w:sz w:val="24"/>
          <w:szCs w:val="24"/>
        </w:rPr>
        <w:t xml:space="preserve">; maza peļņa no valsts ieguldījumiem RDI jomā; zema pētniecības organizāciju starptautiskā </w:t>
      </w:r>
      <w:r w:rsidR="00567212">
        <w:rPr>
          <w:rFonts w:ascii="Times New Roman" w:hAnsi="Times New Roman"/>
          <w:sz w:val="24"/>
          <w:szCs w:val="24"/>
        </w:rPr>
        <w:t>ie</w:t>
      </w:r>
      <w:r>
        <w:rPr>
          <w:rFonts w:ascii="Times New Roman" w:hAnsi="Times New Roman"/>
          <w:sz w:val="24"/>
          <w:szCs w:val="24"/>
        </w:rPr>
        <w:t xml:space="preserve">darbība; neefektīva pieejamā finansējuma izlietošana; nepietiekama sadarbība starp uzņēmumiem un akadēmisko vidi; fragmentārs valsts finansējums pētniecībai un sarežģīti projektu vērtēšanas noteikumi; ierobežota līdzdalība programmā "Apvārsnis 2020"; Baltijas valstu sadarbībai pētniecībā atvēlēto līdzekļu trūkums. </w:t>
      </w:r>
    </w:p>
    <w:p w14:paraId="15E13BCB" w14:textId="402633B6" w:rsidR="00043C12" w:rsidRPr="00790AF3" w:rsidRDefault="00043C12" w:rsidP="00043C12">
      <w:pPr>
        <w:pStyle w:val="BodyText"/>
        <w:spacing w:after="0"/>
        <w:contextualSpacing/>
        <w:jc w:val="both"/>
        <w:rPr>
          <w:rFonts w:ascii="Times New Roman" w:hAnsi="Times New Roman"/>
          <w:sz w:val="24"/>
          <w:szCs w:val="24"/>
        </w:rPr>
      </w:pPr>
      <w:r>
        <w:rPr>
          <w:rFonts w:ascii="Times New Roman" w:hAnsi="Times New Roman"/>
          <w:sz w:val="24"/>
          <w:szCs w:val="24"/>
        </w:rPr>
        <w:t xml:space="preserve">Mūsdienu pētniecība pēc savas dabas ir starptautiska, kas nozīmē, ka arī </w:t>
      </w:r>
      <w:r>
        <w:rPr>
          <w:rFonts w:ascii="Times New Roman" w:hAnsi="Times New Roman"/>
          <w:b/>
          <w:sz w:val="24"/>
          <w:szCs w:val="24"/>
        </w:rPr>
        <w:t>augstākajai izglītībai</w:t>
      </w:r>
      <w:r>
        <w:rPr>
          <w:rFonts w:ascii="Times New Roman" w:hAnsi="Times New Roman"/>
          <w:sz w:val="24"/>
          <w:szCs w:val="24"/>
        </w:rPr>
        <w:t xml:space="preserve"> kā pētniecības pamatam ir jābūt starptautiskai. Augstākā izglītība bez starptautiskās sadarbības un starptautiskajiem kontaktiem nav konkurētspējīga un atpaliek kvalitātes ziņā. Nacionālo un starptautisko mobilitātes shēmu novērtējums liecina, ka ir svarīgi veicināt</w:t>
      </w:r>
      <w:r w:rsidR="00DE12A7">
        <w:rPr>
          <w:rFonts w:ascii="Times New Roman" w:hAnsi="Times New Roman"/>
          <w:sz w:val="24"/>
          <w:szCs w:val="24"/>
        </w:rPr>
        <w:t xml:space="preserve"> instit</w:t>
      </w:r>
      <w:r w:rsidR="00384858">
        <w:rPr>
          <w:rFonts w:ascii="Times New Roman" w:hAnsi="Times New Roman"/>
          <w:sz w:val="24"/>
          <w:szCs w:val="24"/>
        </w:rPr>
        <w:t>u</w:t>
      </w:r>
      <w:r w:rsidR="00DE12A7">
        <w:rPr>
          <w:rFonts w:ascii="Times New Roman" w:hAnsi="Times New Roman"/>
          <w:sz w:val="24"/>
          <w:szCs w:val="24"/>
        </w:rPr>
        <w:t>cionālo sadarbību starp</w:t>
      </w:r>
      <w:r>
        <w:rPr>
          <w:rFonts w:ascii="Times New Roman" w:hAnsi="Times New Roman"/>
          <w:sz w:val="24"/>
          <w:szCs w:val="24"/>
        </w:rPr>
        <w:t xml:space="preserve"> augstākās izglītības </w:t>
      </w:r>
      <w:r w:rsidR="00DE12A7">
        <w:rPr>
          <w:rFonts w:ascii="Times New Roman" w:hAnsi="Times New Roman"/>
          <w:sz w:val="24"/>
          <w:szCs w:val="24"/>
        </w:rPr>
        <w:t>iestādēm</w:t>
      </w:r>
      <w:r>
        <w:rPr>
          <w:rFonts w:ascii="Times New Roman" w:hAnsi="Times New Roman"/>
          <w:sz w:val="24"/>
          <w:szCs w:val="24"/>
        </w:rPr>
        <w:t xml:space="preserve">, iesaistīt augstākās izglītības iestādes sadarbības projektos, akadēmiskā personāla un ekspertu apmaiņā, </w:t>
      </w:r>
      <w:r w:rsidR="00384858">
        <w:rPr>
          <w:rFonts w:ascii="Times New Roman" w:hAnsi="Times New Roman"/>
          <w:sz w:val="24"/>
          <w:szCs w:val="24"/>
        </w:rPr>
        <w:t xml:space="preserve">un </w:t>
      </w:r>
      <w:r>
        <w:rPr>
          <w:rFonts w:ascii="Times New Roman" w:hAnsi="Times New Roman"/>
          <w:sz w:val="24"/>
          <w:szCs w:val="24"/>
        </w:rPr>
        <w:t>palielināt vispārējo informētību par sadarbības iespējām utt. Internacionalizācijas aktivitātes var potenciāli sekmēt mācīšanas kvalitāt</w:t>
      </w:r>
      <w:r w:rsidR="00384858">
        <w:rPr>
          <w:rFonts w:ascii="Times New Roman" w:hAnsi="Times New Roman"/>
          <w:sz w:val="24"/>
          <w:szCs w:val="24"/>
        </w:rPr>
        <w:t>es uzlabošanu</w:t>
      </w:r>
      <w:r>
        <w:rPr>
          <w:rFonts w:ascii="Times New Roman" w:hAnsi="Times New Roman"/>
          <w:sz w:val="24"/>
          <w:szCs w:val="24"/>
        </w:rPr>
        <w:t xml:space="preserve"> augstākās izglītības iestādēs,</w:t>
      </w:r>
      <w:r w:rsidR="00795EA5">
        <w:rPr>
          <w:rFonts w:ascii="Times New Roman" w:hAnsi="Times New Roman"/>
          <w:sz w:val="24"/>
          <w:szCs w:val="24"/>
        </w:rPr>
        <w:t xml:space="preserve"> tas ir</w:t>
      </w:r>
      <w:r>
        <w:rPr>
          <w:rFonts w:ascii="Times New Roman" w:hAnsi="Times New Roman"/>
          <w:sz w:val="24"/>
          <w:szCs w:val="24"/>
        </w:rPr>
        <w:t xml:space="preserve">, apmainoties ar labo praksi un zināšanām par mācību programmu izstrādi, </w:t>
      </w:r>
      <w:r w:rsidR="0000745E">
        <w:rPr>
          <w:rFonts w:ascii="Times New Roman" w:hAnsi="Times New Roman"/>
          <w:sz w:val="24"/>
          <w:szCs w:val="24"/>
        </w:rPr>
        <w:t xml:space="preserve">inovatīvām </w:t>
      </w:r>
      <w:r>
        <w:rPr>
          <w:rFonts w:ascii="Times New Roman" w:hAnsi="Times New Roman"/>
          <w:sz w:val="24"/>
          <w:szCs w:val="24"/>
        </w:rPr>
        <w:t xml:space="preserve"> mācīšanas un mācīšanās metodēm un </w:t>
      </w:r>
      <w:r w:rsidR="001C1BC6">
        <w:rPr>
          <w:rFonts w:ascii="Times New Roman" w:hAnsi="Times New Roman"/>
          <w:sz w:val="24"/>
          <w:szCs w:val="24"/>
        </w:rPr>
        <w:t>pieejām</w:t>
      </w:r>
      <w:r>
        <w:rPr>
          <w:rFonts w:ascii="Times New Roman" w:hAnsi="Times New Roman"/>
          <w:sz w:val="24"/>
          <w:szCs w:val="24"/>
        </w:rPr>
        <w:t>, digitālo tehnoloģiju efektīv</w:t>
      </w:r>
      <w:r w:rsidR="001C1BC6">
        <w:rPr>
          <w:rFonts w:ascii="Times New Roman" w:hAnsi="Times New Roman"/>
          <w:sz w:val="24"/>
          <w:szCs w:val="24"/>
        </w:rPr>
        <w:t>ai</w:t>
      </w:r>
      <w:r>
        <w:rPr>
          <w:rFonts w:ascii="Times New Roman" w:hAnsi="Times New Roman"/>
          <w:sz w:val="24"/>
          <w:szCs w:val="24"/>
        </w:rPr>
        <w:t xml:space="preserve"> izmantošan</w:t>
      </w:r>
      <w:r w:rsidR="001C1BC6">
        <w:rPr>
          <w:rFonts w:ascii="Times New Roman" w:hAnsi="Times New Roman"/>
          <w:sz w:val="24"/>
          <w:szCs w:val="24"/>
        </w:rPr>
        <w:t>ai</w:t>
      </w:r>
      <w:r>
        <w:rPr>
          <w:rFonts w:ascii="Times New Roman" w:hAnsi="Times New Roman"/>
          <w:sz w:val="24"/>
          <w:szCs w:val="24"/>
        </w:rPr>
        <w:t xml:space="preserve"> utt. Jaunu pārrobežu partnerību </w:t>
      </w:r>
      <w:r w:rsidR="00913138">
        <w:rPr>
          <w:rFonts w:ascii="Times New Roman" w:hAnsi="Times New Roman"/>
          <w:sz w:val="24"/>
          <w:szCs w:val="24"/>
        </w:rPr>
        <w:t>izveide veicina</w:t>
      </w:r>
      <w:r>
        <w:rPr>
          <w:rFonts w:ascii="Times New Roman" w:hAnsi="Times New Roman"/>
          <w:sz w:val="24"/>
          <w:szCs w:val="24"/>
        </w:rPr>
        <w:t xml:space="preserve"> augstākās izglītības iestāžu konkurētspēju un atbalsta akadēmiskā personāla profesionālo </w:t>
      </w:r>
      <w:r w:rsidR="00913138">
        <w:rPr>
          <w:rFonts w:ascii="Times New Roman" w:hAnsi="Times New Roman"/>
          <w:sz w:val="24"/>
          <w:szCs w:val="24"/>
        </w:rPr>
        <w:t>attīstību</w:t>
      </w:r>
      <w:r>
        <w:rPr>
          <w:rFonts w:ascii="Times New Roman" w:hAnsi="Times New Roman"/>
          <w:sz w:val="24"/>
          <w:szCs w:val="24"/>
        </w:rPr>
        <w:t xml:space="preserve">.  </w:t>
      </w:r>
    </w:p>
    <w:p w14:paraId="7CBFA49F" w14:textId="4D68148C" w:rsidR="00043C12" w:rsidRPr="00790AF3" w:rsidRDefault="00043C12" w:rsidP="00043C12">
      <w:pPr>
        <w:jc w:val="both"/>
      </w:pPr>
      <w:r>
        <w:t xml:space="preserve">Latvijā ir vairākas shēmas studentu mobilitātes atbalstam (tai skaitā </w:t>
      </w:r>
      <w:proofErr w:type="spellStart"/>
      <w:r>
        <w:t>Erasmus</w:t>
      </w:r>
      <w:proofErr w:type="spellEnd"/>
      <w:r>
        <w:t xml:space="preserve">+ programma, </w:t>
      </w:r>
      <w:proofErr w:type="spellStart"/>
      <w:r>
        <w:t>Nordplus</w:t>
      </w:r>
      <w:proofErr w:type="spellEnd"/>
      <w:r>
        <w:t xml:space="preserve"> programma un valsts </w:t>
      </w:r>
      <w:r w:rsidR="00C661BC">
        <w:t>programmas</w:t>
      </w:r>
      <w:r>
        <w:t xml:space="preserve">, ko līdzfinansē </w:t>
      </w:r>
      <w:r>
        <w:rPr>
          <w:shd w:val="clear" w:color="auto" w:fill="FFFFFF"/>
        </w:rPr>
        <w:t>Eiropas struktūrfondi un investīciju fondi</w:t>
      </w:r>
      <w:r>
        <w:t xml:space="preserve">), </w:t>
      </w:r>
      <w:r w:rsidR="00767128">
        <w:t xml:space="preserve">bet </w:t>
      </w:r>
      <w:r>
        <w:t xml:space="preserve">trūkst mērķtiecīgu shēmu, kas sadarbībā ar </w:t>
      </w:r>
      <w:proofErr w:type="spellStart"/>
      <w:r>
        <w:t>donorvalstīm</w:t>
      </w:r>
      <w:proofErr w:type="spellEnd"/>
      <w:r>
        <w:t xml:space="preserve"> vēlamajā mērogā stiprinātu studentu, akadēmiskā un neakadēmiskā personāla pētniecības izcilību, zināšanas un kompetenci. Šī programma sniegs dalībniekiem unikālu iespēju paplašināt sadarbību starp akadēmisko, neakadēmisko personālu un studentiem. Turklāt stipendiju programma </w:t>
      </w:r>
      <w:r w:rsidR="009A75F9">
        <w:t xml:space="preserve">nodrošinātu </w:t>
      </w:r>
      <w:r>
        <w:t>sinerģiju ar Baltijas pētniecības programmu, sekmējot augstākas kvalitātes rezultātus programmā.</w:t>
      </w:r>
    </w:p>
    <w:p w14:paraId="5F1B6BB5" w14:textId="5CC99E2C" w:rsidR="00043C12" w:rsidRPr="00790AF3" w:rsidRDefault="00FD50CB" w:rsidP="00043C12">
      <w:pPr>
        <w:pStyle w:val="BodyText"/>
        <w:spacing w:after="0"/>
        <w:contextualSpacing/>
        <w:jc w:val="both"/>
        <w:rPr>
          <w:rFonts w:ascii="Times New Roman" w:hAnsi="Times New Roman"/>
          <w:sz w:val="24"/>
          <w:szCs w:val="24"/>
        </w:rPr>
      </w:pPr>
      <w:r>
        <w:rPr>
          <w:rFonts w:ascii="Times New Roman" w:hAnsi="Times New Roman"/>
          <w:sz w:val="24"/>
          <w:szCs w:val="24"/>
        </w:rPr>
        <w:t>Papildus, l</w:t>
      </w:r>
      <w:r w:rsidR="00043C12">
        <w:rPr>
          <w:rFonts w:ascii="Times New Roman" w:hAnsi="Times New Roman"/>
          <w:sz w:val="24"/>
          <w:szCs w:val="24"/>
        </w:rPr>
        <w:t xml:space="preserve">ai nodrošinātu skolēnu un studentu interesi pētniecībā ir nepieciešama kompleksa pieeja. </w:t>
      </w:r>
      <w:r w:rsidR="00043C12" w:rsidRPr="00DD67B0">
        <w:rPr>
          <w:rFonts w:ascii="Times New Roman" w:hAnsi="Times New Roman"/>
          <w:sz w:val="24"/>
          <w:szCs w:val="24"/>
        </w:rPr>
        <w:t xml:space="preserve">Visā ES </w:t>
      </w:r>
      <w:r w:rsidR="00DD67B0" w:rsidRPr="00DD67B0">
        <w:rPr>
          <w:rFonts w:ascii="Times New Roman" w:hAnsi="Times New Roman"/>
          <w:sz w:val="24"/>
          <w:szCs w:val="24"/>
        </w:rPr>
        <w:t xml:space="preserve">ir liels izaicinājums </w:t>
      </w:r>
      <w:r w:rsidR="00043C12" w:rsidRPr="00DD67B0">
        <w:rPr>
          <w:rFonts w:ascii="Times New Roman" w:hAnsi="Times New Roman"/>
          <w:sz w:val="24"/>
          <w:szCs w:val="24"/>
        </w:rPr>
        <w:t xml:space="preserve">mudināt studentus izvēlēties </w:t>
      </w:r>
      <w:r w:rsidR="00043C12" w:rsidRPr="00DD67B0">
        <w:rPr>
          <w:rFonts w:ascii="Times New Roman" w:hAnsi="Times New Roman"/>
          <w:b/>
          <w:sz w:val="24"/>
          <w:szCs w:val="24"/>
        </w:rPr>
        <w:t>STEM karjeru</w:t>
      </w:r>
      <w:r w:rsidR="00043C12" w:rsidRPr="00DD67B0">
        <w:rPr>
          <w:rFonts w:ascii="Times New Roman" w:hAnsi="Times New Roman"/>
          <w:sz w:val="24"/>
          <w:szCs w:val="24"/>
        </w:rPr>
        <w:t xml:space="preserve">. </w:t>
      </w:r>
      <w:r w:rsidR="00BA66B3">
        <w:rPr>
          <w:rFonts w:ascii="Times New Roman" w:hAnsi="Times New Roman"/>
          <w:sz w:val="24"/>
          <w:szCs w:val="24"/>
        </w:rPr>
        <w:t>Galvenā problēma</w:t>
      </w:r>
      <w:r w:rsidR="00043C12">
        <w:rPr>
          <w:rFonts w:ascii="Times New Roman" w:hAnsi="Times New Roman"/>
          <w:sz w:val="24"/>
          <w:szCs w:val="24"/>
        </w:rPr>
        <w:t xml:space="preserve"> ir motivācijas trūkums un kopējais STEM tēls sabiedrībā. Pašreizējā Latvijas pētniecības un inovāciju sistēma ietver plašu instrumentu un atbalsta klāstu studentiem, zinātniekiem, universitātēm, </w:t>
      </w:r>
      <w:proofErr w:type="spellStart"/>
      <w:r w:rsidR="00043C12">
        <w:rPr>
          <w:rFonts w:ascii="Times New Roman" w:hAnsi="Times New Roman"/>
          <w:sz w:val="24"/>
          <w:szCs w:val="24"/>
        </w:rPr>
        <w:t>jaunizveidotajiem</w:t>
      </w:r>
      <w:proofErr w:type="spellEnd"/>
      <w:r w:rsidR="00043C12">
        <w:rPr>
          <w:rFonts w:ascii="Times New Roman" w:hAnsi="Times New Roman"/>
          <w:sz w:val="24"/>
          <w:szCs w:val="24"/>
        </w:rPr>
        <w:t xml:space="preserve"> uzņēmumiem, </w:t>
      </w:r>
      <w:r w:rsidR="00043C12">
        <w:rPr>
          <w:rFonts w:ascii="Times New Roman" w:hAnsi="Times New Roman"/>
          <w:sz w:val="24"/>
          <w:szCs w:val="24"/>
        </w:rPr>
        <w:lastRenderedPageBreak/>
        <w:t>eksportētājiem, tomēr sabiedrībā joprojām trūkst inženieru un zinātnieku. ESAO dati</w:t>
      </w:r>
      <w:r w:rsidR="00043C12" w:rsidRPr="00790AF3">
        <w:rPr>
          <w:rStyle w:val="FootnoteReference"/>
          <w:rFonts w:ascii="Times New Roman" w:hAnsi="Times New Roman"/>
          <w:sz w:val="24"/>
          <w:szCs w:val="24"/>
        </w:rPr>
        <w:footnoteReference w:id="3"/>
      </w:r>
      <w:r w:rsidR="00043C12">
        <w:rPr>
          <w:rFonts w:ascii="Times New Roman" w:hAnsi="Times New Roman"/>
          <w:sz w:val="24"/>
          <w:szCs w:val="24"/>
        </w:rPr>
        <w:t xml:space="preserve"> skaidri norāda, ka Latvijā studentiem ir zemāka interese par STEM karjeru nekā vidēji ESAO valstīs. Turklāt saskaņā ar Izglītības un zinātnes ministrijas datiem aizvien mazāks </w:t>
      </w:r>
      <w:r w:rsidR="00520D07">
        <w:rPr>
          <w:rFonts w:ascii="Times New Roman" w:hAnsi="Times New Roman"/>
          <w:sz w:val="24"/>
          <w:szCs w:val="24"/>
        </w:rPr>
        <w:t xml:space="preserve">skolēnu </w:t>
      </w:r>
      <w:r w:rsidR="00043C12">
        <w:rPr>
          <w:rFonts w:ascii="Times New Roman" w:hAnsi="Times New Roman"/>
          <w:sz w:val="24"/>
          <w:szCs w:val="24"/>
        </w:rPr>
        <w:t>skaits kārto centralizētos eksāmenus ķīmijā, fizikā un bioloģijā. Bez tam augstākās izglītības iestāžu absolventu īpatsvars matemātikas, zinātņu un tehnoloģiju jomā (13 %) ir viens no zemākajiem Eiropā. Ņemot vērā to, ka studentu motivācija izvēlēties STEM karjeru sakņojas sociālajās struktūrās ārpus skolu sistēmas, inovāciju centra komponente ir koncentrēta uz rīku un vides veidošanu skolēniem, studentiem un pasniedzējiem, lai  popularizētu STEM karjeru.</w:t>
      </w:r>
    </w:p>
    <w:p w14:paraId="39FFFA03" w14:textId="77777777" w:rsidR="00043C12" w:rsidRPr="00790AF3" w:rsidRDefault="00043C12" w:rsidP="00043C12">
      <w:pPr>
        <w:pStyle w:val="BodyText"/>
        <w:spacing w:after="0"/>
        <w:contextualSpacing/>
        <w:jc w:val="both"/>
        <w:rPr>
          <w:rFonts w:ascii="Times New Roman" w:hAnsi="Times New Roman"/>
          <w:sz w:val="24"/>
          <w:szCs w:val="24"/>
        </w:rPr>
      </w:pPr>
      <w:r>
        <w:rPr>
          <w:rFonts w:ascii="Times New Roman" w:hAnsi="Times New Roman"/>
          <w:sz w:val="24"/>
          <w:szCs w:val="24"/>
        </w:rPr>
        <w:t xml:space="preserve">Lai risinātu </w:t>
      </w:r>
      <w:r>
        <w:rPr>
          <w:rFonts w:ascii="Times New Roman" w:hAnsi="Times New Roman"/>
          <w:b/>
          <w:sz w:val="24"/>
          <w:szCs w:val="24"/>
        </w:rPr>
        <w:t>RDI un izglītības nozares</w:t>
      </w:r>
      <w:r>
        <w:rPr>
          <w:rFonts w:ascii="Times New Roman" w:hAnsi="Times New Roman"/>
          <w:sz w:val="24"/>
          <w:szCs w:val="24"/>
        </w:rPr>
        <w:t xml:space="preserve"> problēmas, Latvija ir īstenojusi valsts stratēģijas. Galvenie Latvijas stratēģiskās plānošanas dokumenti:</w:t>
      </w:r>
    </w:p>
    <w:p w14:paraId="2C271736" w14:textId="3DC5E7DC" w:rsidR="00043C12" w:rsidRPr="00790AF3" w:rsidRDefault="00043C12" w:rsidP="00043C12">
      <w:pPr>
        <w:pStyle w:val="BodyText"/>
        <w:numPr>
          <w:ilvl w:val="0"/>
          <w:numId w:val="8"/>
        </w:numPr>
        <w:spacing w:after="0"/>
        <w:ind w:left="284" w:hanging="284"/>
        <w:contextualSpacing/>
        <w:jc w:val="both"/>
        <w:rPr>
          <w:rFonts w:ascii="Times New Roman" w:hAnsi="Times New Roman"/>
          <w:sz w:val="24"/>
          <w:szCs w:val="24"/>
        </w:rPr>
      </w:pPr>
      <w:r w:rsidRPr="00C83322">
        <w:rPr>
          <w:rFonts w:ascii="Times New Roman" w:hAnsi="Times New Roman"/>
          <w:i/>
          <w:sz w:val="24"/>
          <w:szCs w:val="24"/>
        </w:rPr>
        <w:t>Latvijas ilgtspējīgas attīstības stratēģija līdz 2030. gadam</w:t>
      </w:r>
      <w:r w:rsidRPr="001332AE">
        <w:rPr>
          <w:rFonts w:ascii="Times New Roman" w:hAnsi="Times New Roman"/>
          <w:sz w:val="24"/>
          <w:szCs w:val="24"/>
        </w:rPr>
        <w:t xml:space="preserve"> un </w:t>
      </w:r>
      <w:r w:rsidRPr="001332AE">
        <w:rPr>
          <w:rFonts w:ascii="Times New Roman" w:hAnsi="Times New Roman"/>
          <w:i/>
          <w:sz w:val="24"/>
          <w:szCs w:val="24"/>
        </w:rPr>
        <w:t>Latvijas Nacionālais attīstības plāns 2014.–2020. gadam</w:t>
      </w:r>
      <w:r w:rsidRPr="00C83322">
        <w:rPr>
          <w:rFonts w:ascii="Times New Roman" w:hAnsi="Times New Roman"/>
          <w:sz w:val="24"/>
          <w:szCs w:val="24"/>
        </w:rPr>
        <w:t xml:space="preserve"> ir hierarhiski augstākie valsts ilgtermiņa un vidēja termiņa attīstības plānošanas dokumenti. </w:t>
      </w:r>
      <w:r w:rsidR="007A4AE0" w:rsidRPr="0007078C">
        <w:rPr>
          <w:rFonts w:ascii="Times New Roman" w:hAnsi="Times New Roman"/>
          <w:sz w:val="24"/>
          <w:szCs w:val="24"/>
        </w:rPr>
        <w:t xml:space="preserve">Apvienojumā ar </w:t>
      </w:r>
      <w:r w:rsidRPr="00C83322">
        <w:rPr>
          <w:rFonts w:ascii="Times New Roman" w:hAnsi="Times New Roman"/>
          <w:sz w:val="24"/>
          <w:szCs w:val="24"/>
        </w:rPr>
        <w:t xml:space="preserve"> </w:t>
      </w:r>
      <w:r w:rsidRPr="00C83322">
        <w:rPr>
          <w:rFonts w:ascii="Times New Roman" w:hAnsi="Times New Roman"/>
          <w:i/>
          <w:sz w:val="24"/>
          <w:szCs w:val="24"/>
        </w:rPr>
        <w:t>Latvijas Nacionālajā reformu programmā stratēģijas "ES 2020" īstenošanai</w:t>
      </w:r>
      <w:r w:rsidRPr="00C83322">
        <w:rPr>
          <w:rFonts w:ascii="Times New Roman" w:hAnsi="Times New Roman"/>
          <w:sz w:val="24"/>
          <w:szCs w:val="24"/>
        </w:rPr>
        <w:t xml:space="preserve"> tiek secināts par izglītības paradigmas maiņas nepieciešamību,</w:t>
      </w:r>
      <w:r>
        <w:rPr>
          <w:rFonts w:ascii="Times New Roman" w:hAnsi="Times New Roman"/>
          <w:sz w:val="24"/>
          <w:szCs w:val="24"/>
        </w:rPr>
        <w:t xml:space="preserve"> ieskaitot pasākumus, kas veicina mūžizglītības principu īstenošanu, strukturālās izmaiņas profesionālajā izglītībā, augstākās izglītības modernizāciju, zinātniskās darbības potenciāla attīstību, mūsdienīgu mācīšanas metožu ieviešanu.</w:t>
      </w:r>
    </w:p>
    <w:p w14:paraId="72B24F73" w14:textId="245B5631" w:rsidR="00043C12" w:rsidRPr="00571BDB" w:rsidRDefault="00043C12" w:rsidP="00043C12">
      <w:pPr>
        <w:pStyle w:val="BodyText"/>
        <w:numPr>
          <w:ilvl w:val="0"/>
          <w:numId w:val="8"/>
        </w:numPr>
        <w:spacing w:after="0"/>
        <w:ind w:left="284" w:hanging="284"/>
        <w:contextualSpacing/>
        <w:jc w:val="both"/>
        <w:rPr>
          <w:rFonts w:ascii="Times New Roman" w:hAnsi="Times New Roman"/>
          <w:sz w:val="24"/>
          <w:szCs w:val="24"/>
        </w:rPr>
      </w:pPr>
      <w:r w:rsidRPr="007E622E">
        <w:rPr>
          <w:rFonts w:ascii="Times New Roman" w:hAnsi="Times New Roman"/>
          <w:sz w:val="24"/>
          <w:szCs w:val="24"/>
        </w:rPr>
        <w:t xml:space="preserve">Saskaņā ar </w:t>
      </w:r>
      <w:r w:rsidRPr="007E622E">
        <w:rPr>
          <w:rFonts w:ascii="Times New Roman" w:hAnsi="Times New Roman"/>
          <w:i/>
          <w:sz w:val="24"/>
          <w:szCs w:val="24"/>
        </w:rPr>
        <w:t>Zinātnes, tehnoloģijas attīstības un inovācijas pamatnostādnēm 2014.–2020. gadam</w:t>
      </w:r>
      <w:r w:rsidRPr="007E622E">
        <w:rPr>
          <w:rFonts w:ascii="Times New Roman" w:hAnsi="Times New Roman"/>
          <w:sz w:val="24"/>
          <w:szCs w:val="24"/>
        </w:rPr>
        <w:t xml:space="preserve"> zinātnes, tehnoloģiju un inovācij</w:t>
      </w:r>
      <w:r w:rsidR="007E622E" w:rsidRPr="007E622E">
        <w:rPr>
          <w:rFonts w:ascii="Times New Roman" w:hAnsi="Times New Roman"/>
          <w:sz w:val="24"/>
          <w:szCs w:val="24"/>
        </w:rPr>
        <w:t>as</w:t>
      </w:r>
      <w:r w:rsidRPr="007E622E">
        <w:rPr>
          <w:rFonts w:ascii="Times New Roman" w:hAnsi="Times New Roman"/>
          <w:sz w:val="24"/>
          <w:szCs w:val="24"/>
        </w:rPr>
        <w:t xml:space="preserve"> politikas galvenais mērķis ir Latvijas zināšanu bāzes attīstība. Šī mērķa sasniegšanai tiks attīstīts </w:t>
      </w:r>
      <w:proofErr w:type="spellStart"/>
      <w:r w:rsidRPr="007E622E">
        <w:rPr>
          <w:rFonts w:ascii="Times New Roman" w:hAnsi="Times New Roman"/>
          <w:sz w:val="24"/>
          <w:szCs w:val="24"/>
        </w:rPr>
        <w:t>cilvēkkapitāls</w:t>
      </w:r>
      <w:proofErr w:type="spellEnd"/>
      <w:r w:rsidRPr="007E622E">
        <w:rPr>
          <w:rFonts w:ascii="Times New Roman" w:hAnsi="Times New Roman"/>
          <w:sz w:val="24"/>
          <w:szCs w:val="24"/>
        </w:rPr>
        <w:t xml:space="preserve"> zinātnes, tehnoloģiju un inovācij</w:t>
      </w:r>
      <w:r w:rsidR="002539EF">
        <w:rPr>
          <w:rFonts w:ascii="Times New Roman" w:hAnsi="Times New Roman"/>
          <w:sz w:val="24"/>
          <w:szCs w:val="24"/>
        </w:rPr>
        <w:t>as</w:t>
      </w:r>
      <w:r w:rsidRPr="007E622E">
        <w:rPr>
          <w:rFonts w:ascii="Times New Roman" w:hAnsi="Times New Roman"/>
          <w:sz w:val="24"/>
          <w:szCs w:val="24"/>
        </w:rPr>
        <w:t xml:space="preserve"> jomā, tiks veicināta Latvijas zinātnes starptautiskā konkurētspēja, tiks modernizēta un integrēta pētniecības un izglītības nozare, tiks izveidota efektīvāka zināšanu nodošanas vide un stiprināta uzņēmumu spēja izmantot jaunas zināšanas un inovācijas, ti</w:t>
      </w:r>
      <w:r w:rsidRPr="00571BDB">
        <w:rPr>
          <w:rFonts w:ascii="Times New Roman" w:hAnsi="Times New Roman"/>
          <w:sz w:val="24"/>
          <w:szCs w:val="24"/>
        </w:rPr>
        <w:t>ks optimizēta zinātnes, tehnoloģiju un inovācij</w:t>
      </w:r>
      <w:r w:rsidR="00512B69">
        <w:rPr>
          <w:rFonts w:ascii="Times New Roman" w:hAnsi="Times New Roman"/>
          <w:sz w:val="24"/>
          <w:szCs w:val="24"/>
        </w:rPr>
        <w:t>as</w:t>
      </w:r>
      <w:r w:rsidRPr="00571BDB">
        <w:rPr>
          <w:rFonts w:ascii="Times New Roman" w:hAnsi="Times New Roman"/>
          <w:sz w:val="24"/>
          <w:szCs w:val="24"/>
        </w:rPr>
        <w:t xml:space="preserve"> </w:t>
      </w:r>
      <w:r w:rsidR="00512B69">
        <w:rPr>
          <w:rFonts w:ascii="Times New Roman" w:hAnsi="Times New Roman"/>
          <w:sz w:val="24"/>
          <w:szCs w:val="24"/>
        </w:rPr>
        <w:t xml:space="preserve">jomu </w:t>
      </w:r>
      <w:r w:rsidRPr="00571BDB">
        <w:rPr>
          <w:rFonts w:ascii="Times New Roman" w:hAnsi="Times New Roman"/>
          <w:sz w:val="24"/>
          <w:szCs w:val="24"/>
        </w:rPr>
        <w:t>pārvaldība, kā arī tiks izveidots pieprasījums pēc zinātnes un inovācijām.</w:t>
      </w:r>
    </w:p>
    <w:p w14:paraId="3D9EF101" w14:textId="5F064FCB" w:rsidR="00043C12" w:rsidRPr="00790AF3" w:rsidRDefault="00043C12" w:rsidP="00043C12">
      <w:pPr>
        <w:pStyle w:val="BodyText"/>
        <w:numPr>
          <w:ilvl w:val="0"/>
          <w:numId w:val="8"/>
        </w:numPr>
        <w:spacing w:after="0"/>
        <w:ind w:left="284" w:hanging="284"/>
        <w:contextualSpacing/>
        <w:jc w:val="both"/>
        <w:rPr>
          <w:rFonts w:ascii="Times New Roman" w:hAnsi="Times New Roman"/>
          <w:sz w:val="24"/>
          <w:szCs w:val="24"/>
        </w:rPr>
      </w:pPr>
      <w:r>
        <w:rPr>
          <w:rFonts w:ascii="Times New Roman" w:hAnsi="Times New Roman"/>
          <w:i/>
          <w:sz w:val="24"/>
          <w:szCs w:val="24"/>
        </w:rPr>
        <w:t>Viedās specializācijas stratēģija</w:t>
      </w:r>
      <w:r>
        <w:rPr>
          <w:rFonts w:ascii="Times New Roman" w:hAnsi="Times New Roman"/>
          <w:sz w:val="24"/>
          <w:szCs w:val="24"/>
        </w:rPr>
        <w:t xml:space="preserve"> paredz, ka Latvijas ekonomikas transformācija notiks, veicot ieguldījumus trīs stratēģiski svarīgos virzienos, nosakot septiņas prioritātes, tai skaitā produktīvu inovācij</w:t>
      </w:r>
      <w:r w:rsidR="00A64A56">
        <w:rPr>
          <w:rFonts w:ascii="Times New Roman" w:hAnsi="Times New Roman"/>
          <w:sz w:val="24"/>
          <w:szCs w:val="24"/>
        </w:rPr>
        <w:t>as</w:t>
      </w:r>
      <w:r>
        <w:rPr>
          <w:rFonts w:ascii="Times New Roman" w:hAnsi="Times New Roman"/>
          <w:sz w:val="24"/>
          <w:szCs w:val="24"/>
        </w:rPr>
        <w:t xml:space="preserve"> sistēmu, mūsdienīgas informācijas un komunikāciju tehnoloģijas (IKT), mūsdienīgu izglītību, zināšanu bāzi un </w:t>
      </w:r>
      <w:proofErr w:type="spellStart"/>
      <w:r>
        <w:rPr>
          <w:rFonts w:ascii="Times New Roman" w:hAnsi="Times New Roman"/>
          <w:sz w:val="24"/>
          <w:szCs w:val="24"/>
        </w:rPr>
        <w:t>policentrisku</w:t>
      </w:r>
      <w:proofErr w:type="spellEnd"/>
      <w:r>
        <w:rPr>
          <w:rFonts w:ascii="Times New Roman" w:hAnsi="Times New Roman"/>
          <w:sz w:val="24"/>
          <w:szCs w:val="24"/>
        </w:rPr>
        <w:t xml:space="preserve"> attīstību. Viena no prioritātēm ir moderna izglītības sistēma, kas atbilst nākotnes darba tirgus pieprasījumam, un tā veicinās ekonomikas transformāciju.</w:t>
      </w:r>
    </w:p>
    <w:p w14:paraId="15908184" w14:textId="6A11F7EE" w:rsidR="00043C12" w:rsidRPr="00790AF3" w:rsidRDefault="00043C12" w:rsidP="00043C12">
      <w:pPr>
        <w:pStyle w:val="BodyText"/>
        <w:numPr>
          <w:ilvl w:val="0"/>
          <w:numId w:val="8"/>
        </w:numPr>
        <w:spacing w:after="0"/>
        <w:ind w:left="284" w:hanging="284"/>
        <w:contextualSpacing/>
        <w:jc w:val="both"/>
        <w:rPr>
          <w:rFonts w:ascii="Times New Roman" w:hAnsi="Times New Roman"/>
          <w:sz w:val="24"/>
          <w:szCs w:val="24"/>
        </w:rPr>
      </w:pPr>
      <w:r>
        <w:rPr>
          <w:rFonts w:ascii="Times New Roman" w:hAnsi="Times New Roman"/>
          <w:i/>
          <w:sz w:val="24"/>
          <w:szCs w:val="24"/>
        </w:rPr>
        <w:t>Izglītības attīstības pamatnostādnes 2014.–2020. gadam</w:t>
      </w:r>
      <w:r>
        <w:rPr>
          <w:rFonts w:ascii="Times New Roman" w:hAnsi="Times New Roman"/>
          <w:sz w:val="24"/>
          <w:szCs w:val="24"/>
        </w:rPr>
        <w:t xml:space="preserve"> nosaka izglītības sistēmas attīstības mērķus un </w:t>
      </w:r>
      <w:proofErr w:type="spellStart"/>
      <w:r>
        <w:rPr>
          <w:rFonts w:ascii="Times New Roman" w:hAnsi="Times New Roman"/>
          <w:sz w:val="24"/>
          <w:szCs w:val="24"/>
        </w:rPr>
        <w:t>apakšmērķus</w:t>
      </w:r>
      <w:proofErr w:type="spellEnd"/>
      <w:r>
        <w:rPr>
          <w:rFonts w:ascii="Times New Roman" w:hAnsi="Times New Roman"/>
          <w:sz w:val="24"/>
          <w:szCs w:val="24"/>
        </w:rPr>
        <w:t xml:space="preserve">, kā arī īstenošanas virzienus un atbilstošus darbības rādītājus un rezultātus. Pamatnostādnēs ir noteikti trīs izglītības sistēmas </w:t>
      </w:r>
      <w:proofErr w:type="spellStart"/>
      <w:r>
        <w:rPr>
          <w:rFonts w:ascii="Times New Roman" w:hAnsi="Times New Roman"/>
          <w:sz w:val="24"/>
          <w:szCs w:val="24"/>
        </w:rPr>
        <w:t>apakšmērķi</w:t>
      </w:r>
      <w:proofErr w:type="spellEnd"/>
      <w:r>
        <w:rPr>
          <w:rFonts w:ascii="Times New Roman" w:hAnsi="Times New Roman"/>
          <w:sz w:val="24"/>
          <w:szCs w:val="24"/>
        </w:rPr>
        <w:t>, tostarp paaugstināt izglītības vides kvalitāti, veicināt indivīda profesionālo un sociālo prasmju attīstību, pamatojoties uz tādām vērtībām kā mūžizglītība un konkurētspēja darba vidē, kā arī uzlabot resursu pārvaldības efektivitāti, attīstot institucionālo izcilību. Pamatnostādnēs stingri uzsvērta izglītības attīstība STEM jomā</w:t>
      </w:r>
      <w:r w:rsidR="001A409B">
        <w:rPr>
          <w:rFonts w:ascii="Times New Roman" w:hAnsi="Times New Roman"/>
          <w:sz w:val="24"/>
          <w:szCs w:val="24"/>
        </w:rPr>
        <w:t>s</w:t>
      </w:r>
      <w:r>
        <w:rPr>
          <w:rFonts w:ascii="Times New Roman" w:hAnsi="Times New Roman"/>
          <w:sz w:val="24"/>
          <w:szCs w:val="24"/>
        </w:rPr>
        <w:t xml:space="preserve">. </w:t>
      </w:r>
    </w:p>
    <w:p w14:paraId="63C569BC" w14:textId="77777777" w:rsidR="00043C12" w:rsidRPr="00790AF3" w:rsidRDefault="00043C12" w:rsidP="00043C12">
      <w:pPr>
        <w:pStyle w:val="BodyText"/>
        <w:spacing w:after="0"/>
        <w:contextualSpacing/>
        <w:jc w:val="both"/>
        <w:rPr>
          <w:rFonts w:ascii="Times New Roman" w:hAnsi="Times New Roman"/>
          <w:sz w:val="24"/>
          <w:szCs w:val="24"/>
        </w:rPr>
      </w:pPr>
    </w:p>
    <w:p w14:paraId="277647C3" w14:textId="77777777" w:rsidR="00043C12" w:rsidRPr="00790AF3" w:rsidRDefault="00043C12" w:rsidP="00043C12">
      <w:pPr>
        <w:pStyle w:val="BodyText"/>
        <w:spacing w:after="0"/>
        <w:contextualSpacing/>
        <w:jc w:val="both"/>
        <w:rPr>
          <w:rFonts w:ascii="Times New Roman" w:hAnsi="Times New Roman"/>
          <w:b/>
          <w:sz w:val="24"/>
          <w:szCs w:val="24"/>
        </w:rPr>
      </w:pPr>
      <w:r>
        <w:rPr>
          <w:rFonts w:ascii="Times New Roman" w:hAnsi="Times New Roman"/>
          <w:b/>
          <w:sz w:val="24"/>
          <w:szCs w:val="24"/>
        </w:rPr>
        <w:t xml:space="preserve">Pamatojums </w:t>
      </w:r>
    </w:p>
    <w:p w14:paraId="7FABBDFB" w14:textId="6400ACBE" w:rsidR="00043C12" w:rsidRPr="00790AF3" w:rsidRDefault="00043C12" w:rsidP="00043C12">
      <w:pPr>
        <w:pStyle w:val="BodyText"/>
        <w:spacing w:after="0"/>
        <w:contextualSpacing/>
        <w:jc w:val="both"/>
        <w:rPr>
          <w:rFonts w:ascii="Times New Roman" w:hAnsi="Times New Roman"/>
          <w:sz w:val="24"/>
          <w:szCs w:val="24"/>
        </w:rPr>
      </w:pPr>
      <w:r>
        <w:rPr>
          <w:rFonts w:ascii="Times New Roman" w:hAnsi="Times New Roman"/>
          <w:sz w:val="24"/>
          <w:szCs w:val="24"/>
        </w:rPr>
        <w:t xml:space="preserve">Ņemot vērā līdzīgas problēmas Baltijas valstu </w:t>
      </w:r>
      <w:r>
        <w:rPr>
          <w:rFonts w:ascii="Times New Roman" w:hAnsi="Times New Roman"/>
          <w:b/>
          <w:sz w:val="24"/>
          <w:szCs w:val="24"/>
        </w:rPr>
        <w:t>pētniecības un inovācij</w:t>
      </w:r>
      <w:r w:rsidR="005C4C33">
        <w:rPr>
          <w:rFonts w:ascii="Times New Roman" w:hAnsi="Times New Roman"/>
          <w:b/>
          <w:sz w:val="24"/>
          <w:szCs w:val="24"/>
        </w:rPr>
        <w:t>as</w:t>
      </w:r>
      <w:r>
        <w:rPr>
          <w:rFonts w:ascii="Times New Roman" w:hAnsi="Times New Roman"/>
          <w:b/>
          <w:sz w:val="24"/>
          <w:szCs w:val="24"/>
        </w:rPr>
        <w:t xml:space="preserve"> sistēmās</w:t>
      </w:r>
      <w:r>
        <w:rPr>
          <w:rFonts w:ascii="Times New Roman" w:hAnsi="Times New Roman"/>
          <w:sz w:val="24"/>
          <w:szCs w:val="24"/>
        </w:rPr>
        <w:t xml:space="preserve">, tās jau ir izveidojušas dažus koordinētas sadarbības elementus pētniecībā. Labs piemērs ir </w:t>
      </w:r>
      <w:r>
        <w:rPr>
          <w:rFonts w:ascii="Times New Roman" w:hAnsi="Times New Roman"/>
          <w:sz w:val="24"/>
          <w:szCs w:val="24"/>
        </w:rPr>
        <w:lastRenderedPageBreak/>
        <w:t>"</w:t>
      </w:r>
      <w:proofErr w:type="spellStart"/>
      <w:r>
        <w:rPr>
          <w:rFonts w:ascii="Times New Roman" w:hAnsi="Times New Roman"/>
          <w:sz w:val="24"/>
          <w:szCs w:val="24"/>
        </w:rPr>
        <w:t>Baltic</w:t>
      </w:r>
      <w:proofErr w:type="spellEnd"/>
      <w:r>
        <w:rPr>
          <w:rFonts w:ascii="Times New Roman" w:hAnsi="Times New Roman"/>
          <w:sz w:val="24"/>
          <w:szCs w:val="24"/>
        </w:rPr>
        <w:t xml:space="preserve"> </w:t>
      </w:r>
      <w:proofErr w:type="spellStart"/>
      <w:r>
        <w:rPr>
          <w:rFonts w:ascii="Times New Roman" w:hAnsi="Times New Roman"/>
          <w:sz w:val="24"/>
          <w:szCs w:val="24"/>
        </w:rPr>
        <w:t>Bonus</w:t>
      </w:r>
      <w:proofErr w:type="spellEnd"/>
      <w:r>
        <w:rPr>
          <w:rFonts w:ascii="Times New Roman" w:hAnsi="Times New Roman"/>
          <w:sz w:val="24"/>
          <w:szCs w:val="24"/>
        </w:rPr>
        <w:t xml:space="preserve">" programma.  Šīs programmas mērķis bija atbalstīt starptautisko sadarbību pētniecībā un inovācijās, jo īpaši atbalstot Baltijas valstu pētnieku sadarbību. Citas stratēģiskās iniciatīvas, kuru mērķis ir veicināt sadarbību pētniecības un izglītības jomā Baltijas līmenī, ir </w:t>
      </w:r>
      <w:proofErr w:type="spellStart"/>
      <w:r>
        <w:rPr>
          <w:rFonts w:ascii="Times New Roman" w:hAnsi="Times New Roman"/>
          <w:sz w:val="24"/>
          <w:szCs w:val="24"/>
        </w:rPr>
        <w:t>Interreg</w:t>
      </w:r>
      <w:proofErr w:type="spellEnd"/>
      <w:r>
        <w:rPr>
          <w:rFonts w:ascii="Times New Roman" w:hAnsi="Times New Roman"/>
          <w:sz w:val="24"/>
          <w:szCs w:val="24"/>
        </w:rPr>
        <w:t xml:space="preserve"> projekts "</w:t>
      </w:r>
      <w:proofErr w:type="spellStart"/>
      <w:r>
        <w:rPr>
          <w:rFonts w:ascii="Times New Roman" w:hAnsi="Times New Roman"/>
          <w:sz w:val="24"/>
          <w:szCs w:val="24"/>
        </w:rPr>
        <w:t>Baltic</w:t>
      </w:r>
      <w:proofErr w:type="spellEnd"/>
      <w:r>
        <w:rPr>
          <w:rFonts w:ascii="Times New Roman" w:hAnsi="Times New Roman"/>
          <w:sz w:val="24"/>
          <w:szCs w:val="24"/>
        </w:rPr>
        <w:t xml:space="preserve"> </w:t>
      </w:r>
      <w:proofErr w:type="spellStart"/>
      <w:r>
        <w:rPr>
          <w:rFonts w:ascii="Times New Roman" w:hAnsi="Times New Roman"/>
          <w:sz w:val="24"/>
          <w:szCs w:val="24"/>
        </w:rPr>
        <w:t>Science</w:t>
      </w:r>
      <w:proofErr w:type="spellEnd"/>
      <w:r>
        <w:rPr>
          <w:rFonts w:ascii="Times New Roman" w:hAnsi="Times New Roman"/>
          <w:sz w:val="24"/>
          <w:szCs w:val="24"/>
        </w:rPr>
        <w:t xml:space="preserve"> </w:t>
      </w:r>
      <w:proofErr w:type="spellStart"/>
      <w:r>
        <w:rPr>
          <w:rFonts w:ascii="Times New Roman" w:hAnsi="Times New Roman"/>
          <w:sz w:val="24"/>
          <w:szCs w:val="24"/>
        </w:rPr>
        <w:t>Network</w:t>
      </w:r>
      <w:proofErr w:type="spellEnd"/>
      <w:r>
        <w:rPr>
          <w:rFonts w:ascii="Times New Roman" w:hAnsi="Times New Roman"/>
          <w:sz w:val="24"/>
          <w:szCs w:val="24"/>
        </w:rPr>
        <w:t xml:space="preserve">"  un </w:t>
      </w:r>
      <w:proofErr w:type="spellStart"/>
      <w:r>
        <w:rPr>
          <w:rFonts w:ascii="Times New Roman" w:hAnsi="Times New Roman"/>
          <w:sz w:val="24"/>
          <w:szCs w:val="24"/>
        </w:rPr>
        <w:t>NordForsk</w:t>
      </w:r>
      <w:proofErr w:type="spellEnd"/>
      <w:r>
        <w:rPr>
          <w:rFonts w:ascii="Times New Roman" w:hAnsi="Times New Roman"/>
          <w:sz w:val="24"/>
          <w:szCs w:val="24"/>
        </w:rPr>
        <w:t xml:space="preserve"> projekts, kuru finansē Ziemeļu Ministru padome. Tomēr, lai pilnībā izmantotu Baltijas reģiona potenciālu šajā jomā, ir nepieciešama stratēģiskāka pieeja. </w:t>
      </w:r>
      <w:r w:rsidR="00231CD7">
        <w:rPr>
          <w:rFonts w:ascii="Times New Roman" w:hAnsi="Times New Roman"/>
          <w:sz w:val="24"/>
          <w:szCs w:val="24"/>
        </w:rPr>
        <w:t>Š</w:t>
      </w:r>
      <w:r>
        <w:rPr>
          <w:rFonts w:ascii="Times New Roman" w:hAnsi="Times New Roman"/>
          <w:sz w:val="24"/>
          <w:szCs w:val="24"/>
        </w:rPr>
        <w:t xml:space="preserve">eit var palīdzēt EEA un Norvēģijas piešķīrums.        </w:t>
      </w:r>
    </w:p>
    <w:p w14:paraId="7AA44496" w14:textId="08EFED70" w:rsidR="00043C12" w:rsidRPr="00790AF3" w:rsidRDefault="00043C12" w:rsidP="00043C12">
      <w:pPr>
        <w:pStyle w:val="BodyText"/>
        <w:spacing w:after="0"/>
        <w:contextualSpacing/>
        <w:jc w:val="both"/>
        <w:rPr>
          <w:rFonts w:ascii="Times New Roman" w:hAnsi="Times New Roman"/>
          <w:sz w:val="24"/>
          <w:szCs w:val="24"/>
        </w:rPr>
      </w:pPr>
      <w:r>
        <w:rPr>
          <w:rFonts w:ascii="Times New Roman" w:hAnsi="Times New Roman"/>
          <w:sz w:val="24"/>
          <w:szCs w:val="24"/>
        </w:rPr>
        <w:t xml:space="preserve">Nacionālajām programmām, kas tiek izstrādātas un īstenotas valsts līmenī, bieži vien trūkst vajadzīgā plašuma un dziļuma, lai būtiski ietekmētu galvenās sabiedrības problēmas. Apvienojot Baltijas un </w:t>
      </w:r>
      <w:proofErr w:type="spellStart"/>
      <w:r>
        <w:rPr>
          <w:rFonts w:ascii="Times New Roman" w:hAnsi="Times New Roman"/>
          <w:sz w:val="24"/>
          <w:szCs w:val="24"/>
        </w:rPr>
        <w:t>donorvalstu</w:t>
      </w:r>
      <w:proofErr w:type="spellEnd"/>
      <w:r>
        <w:rPr>
          <w:rFonts w:ascii="Times New Roman" w:hAnsi="Times New Roman"/>
          <w:sz w:val="24"/>
          <w:szCs w:val="24"/>
        </w:rPr>
        <w:t xml:space="preserve"> prioritātes, resursus un zināšanas kopīgā pētniecības programmā, varētu nodrošināt kritisko masu, kas nepieciešama, lai sasniegtu </w:t>
      </w:r>
      <w:r w:rsidR="00505DFE">
        <w:rPr>
          <w:rFonts w:ascii="Times New Roman" w:hAnsi="Times New Roman"/>
          <w:sz w:val="24"/>
          <w:szCs w:val="24"/>
        </w:rPr>
        <w:t>augstas ie</w:t>
      </w:r>
      <w:r w:rsidR="008A4B1C">
        <w:rPr>
          <w:rFonts w:ascii="Times New Roman" w:hAnsi="Times New Roman"/>
          <w:sz w:val="24"/>
          <w:szCs w:val="24"/>
        </w:rPr>
        <w:t>te</w:t>
      </w:r>
      <w:r w:rsidR="00505DFE">
        <w:rPr>
          <w:rFonts w:ascii="Times New Roman" w:hAnsi="Times New Roman"/>
          <w:sz w:val="24"/>
          <w:szCs w:val="24"/>
        </w:rPr>
        <w:t xml:space="preserve">kmes </w:t>
      </w:r>
      <w:r>
        <w:rPr>
          <w:rFonts w:ascii="Times New Roman" w:hAnsi="Times New Roman"/>
          <w:sz w:val="24"/>
          <w:szCs w:val="24"/>
        </w:rPr>
        <w:t xml:space="preserve">rezultātus. Baltijas pētniecības programma varētu palīdzēt novērst plaisu starp valsts finansējumu un ES struktūrfondiem un vienlaikus izveidot spēcīgu reģionālo pētniecības centru, kas apvienotu pētniekus no Baltijas un </w:t>
      </w:r>
      <w:proofErr w:type="spellStart"/>
      <w:r>
        <w:rPr>
          <w:rFonts w:ascii="Times New Roman" w:hAnsi="Times New Roman"/>
          <w:sz w:val="24"/>
          <w:szCs w:val="24"/>
        </w:rPr>
        <w:t>donorvalstīm</w:t>
      </w:r>
      <w:proofErr w:type="spellEnd"/>
      <w:r>
        <w:rPr>
          <w:rFonts w:ascii="Times New Roman" w:hAnsi="Times New Roman"/>
          <w:sz w:val="24"/>
          <w:szCs w:val="24"/>
        </w:rPr>
        <w:t xml:space="preserve">. </w:t>
      </w:r>
    </w:p>
    <w:p w14:paraId="0AE818D2" w14:textId="77749130" w:rsidR="00043C12" w:rsidRPr="00790AF3" w:rsidRDefault="00043C12" w:rsidP="00043C12">
      <w:pPr>
        <w:pStyle w:val="BodyText"/>
        <w:spacing w:after="0"/>
        <w:contextualSpacing/>
        <w:jc w:val="both"/>
        <w:rPr>
          <w:rFonts w:ascii="Times New Roman" w:hAnsi="Times New Roman"/>
          <w:sz w:val="24"/>
          <w:szCs w:val="24"/>
        </w:rPr>
      </w:pPr>
      <w:r>
        <w:rPr>
          <w:rFonts w:ascii="Times New Roman" w:hAnsi="Times New Roman"/>
          <w:sz w:val="24"/>
          <w:szCs w:val="24"/>
        </w:rPr>
        <w:t xml:space="preserve">Baltijas pētniecības programma sniegs virkni ieguvumu salīdzinājumā ar paralēlām divpusējām pētniecības un izglītības programmām starp </w:t>
      </w:r>
      <w:proofErr w:type="spellStart"/>
      <w:r>
        <w:rPr>
          <w:rFonts w:ascii="Times New Roman" w:hAnsi="Times New Roman"/>
          <w:sz w:val="24"/>
          <w:szCs w:val="24"/>
        </w:rPr>
        <w:t>donorvalstīm</w:t>
      </w:r>
      <w:proofErr w:type="spellEnd"/>
      <w:r>
        <w:rPr>
          <w:rFonts w:ascii="Times New Roman" w:hAnsi="Times New Roman"/>
          <w:sz w:val="24"/>
          <w:szCs w:val="24"/>
        </w:rPr>
        <w:t xml:space="preserve"> un katru</w:t>
      </w:r>
      <w:r w:rsidR="00DE7D5B">
        <w:rPr>
          <w:rFonts w:ascii="Times New Roman" w:hAnsi="Times New Roman"/>
          <w:sz w:val="24"/>
          <w:szCs w:val="24"/>
        </w:rPr>
        <w:t xml:space="preserve"> no</w:t>
      </w:r>
      <w:r>
        <w:rPr>
          <w:rFonts w:ascii="Times New Roman" w:hAnsi="Times New Roman"/>
          <w:sz w:val="24"/>
          <w:szCs w:val="24"/>
        </w:rPr>
        <w:t xml:space="preserve"> Baltijas valst</w:t>
      </w:r>
      <w:r w:rsidR="00DE7D5B">
        <w:rPr>
          <w:rFonts w:ascii="Times New Roman" w:hAnsi="Times New Roman"/>
          <w:sz w:val="24"/>
          <w:szCs w:val="24"/>
        </w:rPr>
        <w:t>īm</w:t>
      </w:r>
      <w:r>
        <w:rPr>
          <w:rFonts w:ascii="Times New Roman" w:hAnsi="Times New Roman"/>
          <w:sz w:val="24"/>
          <w:szCs w:val="24"/>
        </w:rPr>
        <w:t xml:space="preserve">. </w:t>
      </w:r>
    </w:p>
    <w:p w14:paraId="050CDA2E" w14:textId="7AD13A8B" w:rsidR="00043C12" w:rsidRPr="00790AF3" w:rsidRDefault="00043C12" w:rsidP="00043C12">
      <w:pPr>
        <w:pStyle w:val="BodyText"/>
        <w:spacing w:after="0"/>
        <w:contextualSpacing/>
        <w:jc w:val="both"/>
        <w:rPr>
          <w:rFonts w:ascii="Times New Roman" w:hAnsi="Times New Roman"/>
          <w:sz w:val="24"/>
          <w:szCs w:val="24"/>
        </w:rPr>
      </w:pPr>
      <w:r>
        <w:rPr>
          <w:rFonts w:ascii="Times New Roman" w:hAnsi="Times New Roman"/>
          <w:sz w:val="24"/>
          <w:szCs w:val="24"/>
        </w:rPr>
        <w:t>Programma nodrošinās kritisko masu pētniecībā, mēroga ziņā, jomās, kurās Baltijas valstīm</w:t>
      </w:r>
      <w:r w:rsidR="00D914E3">
        <w:rPr>
          <w:rFonts w:ascii="Times New Roman" w:hAnsi="Times New Roman"/>
          <w:sz w:val="24"/>
          <w:szCs w:val="24"/>
        </w:rPr>
        <w:t xml:space="preserve"> atsevišķi</w:t>
      </w:r>
      <w:r>
        <w:rPr>
          <w:rFonts w:ascii="Times New Roman" w:hAnsi="Times New Roman"/>
          <w:sz w:val="24"/>
          <w:szCs w:val="24"/>
        </w:rPr>
        <w:t xml:space="preserve"> nav pietiekamu resursu. Pētījumu veikšana Baltijas pētniecības programmas ietvaros palielinās kompetenci un </w:t>
      </w:r>
      <w:r w:rsidR="006536B6">
        <w:rPr>
          <w:rFonts w:ascii="Times New Roman" w:hAnsi="Times New Roman"/>
          <w:sz w:val="24"/>
          <w:szCs w:val="24"/>
        </w:rPr>
        <w:t xml:space="preserve">sasniegt </w:t>
      </w:r>
      <w:r>
        <w:rPr>
          <w:rFonts w:ascii="Times New Roman" w:hAnsi="Times New Roman"/>
          <w:sz w:val="24"/>
          <w:szCs w:val="24"/>
        </w:rPr>
        <w:t xml:space="preserve">izcilību pētniecībā. Turklāt programma sniegs Baltijas Pievienoto Vērtību (kopīga </w:t>
      </w:r>
      <w:r w:rsidR="004A63B2">
        <w:rPr>
          <w:rFonts w:ascii="Times New Roman" w:hAnsi="Times New Roman"/>
          <w:sz w:val="24"/>
          <w:szCs w:val="24"/>
        </w:rPr>
        <w:t>definīcija</w:t>
      </w:r>
      <w:r>
        <w:rPr>
          <w:rFonts w:ascii="Times New Roman" w:hAnsi="Times New Roman"/>
          <w:sz w:val="24"/>
          <w:szCs w:val="24"/>
        </w:rPr>
        <w:t>), izveidos platformu sadarbībai</w:t>
      </w:r>
      <w:r w:rsidRPr="002B41B8">
        <w:rPr>
          <w:rFonts w:ascii="Times New Roman" w:hAnsi="Times New Roman"/>
          <w:sz w:val="24"/>
          <w:szCs w:val="24"/>
        </w:rPr>
        <w:t xml:space="preserve"> </w:t>
      </w:r>
      <w:r>
        <w:rPr>
          <w:rFonts w:ascii="Times New Roman" w:hAnsi="Times New Roman"/>
          <w:sz w:val="24"/>
          <w:szCs w:val="24"/>
        </w:rPr>
        <w:t xml:space="preserve">pētniecībā, kuras pamatā būs izcilība, un palīdzēs attīstīt pētnieku tīklus (Baltijas </w:t>
      </w:r>
      <w:proofErr w:type="spellStart"/>
      <w:r>
        <w:rPr>
          <w:rFonts w:ascii="Times New Roman" w:hAnsi="Times New Roman"/>
          <w:sz w:val="24"/>
          <w:szCs w:val="24"/>
        </w:rPr>
        <w:t>cilvēkkapitālu</w:t>
      </w:r>
      <w:proofErr w:type="spellEnd"/>
      <w:r>
        <w:rPr>
          <w:rFonts w:ascii="Times New Roman" w:hAnsi="Times New Roman"/>
          <w:sz w:val="24"/>
          <w:szCs w:val="24"/>
        </w:rPr>
        <w:t xml:space="preserve"> RDI jomā). Programma uzlabos Baltijas internacionalizāciju RDI jomā un izveidos izcilu pētnieku konsorciju ar potenciālu turpmākai sadarbībai citās pētniecības programmās, kā, piemēram, "Apvārsnis 2020".</w:t>
      </w:r>
    </w:p>
    <w:p w14:paraId="591AB86D" w14:textId="1191A867" w:rsidR="00043C12" w:rsidRPr="00790AF3" w:rsidRDefault="00043C12" w:rsidP="00043C12">
      <w:pPr>
        <w:pStyle w:val="BodyText"/>
        <w:spacing w:after="0"/>
        <w:contextualSpacing/>
        <w:jc w:val="both"/>
        <w:rPr>
          <w:rFonts w:ascii="Times New Roman" w:hAnsi="Times New Roman"/>
          <w:sz w:val="24"/>
          <w:szCs w:val="24"/>
        </w:rPr>
      </w:pPr>
      <w:r>
        <w:rPr>
          <w:rFonts w:ascii="Times New Roman" w:hAnsi="Times New Roman"/>
          <w:sz w:val="24"/>
          <w:szCs w:val="24"/>
        </w:rPr>
        <w:t xml:space="preserve">Turklāt programma, kuras pamatā ir kopīga pētniecības atbilde uz kopīgām sabiedrības problēmām, palielinās pētniecības un attīstības sociālekonomisko ietekmi un atbalstīs ekonomiskās struktūras izmaiņas (viedā specializācija). Programmai būs atklāta pieeja, kuras pamatā būs sabiedrības problēmas un Baltijas pievienotā vērtība. Tā nebūs tematiski ierobežota, </w:t>
      </w:r>
      <w:r w:rsidR="00670DA5">
        <w:rPr>
          <w:rFonts w:ascii="Times New Roman" w:hAnsi="Times New Roman"/>
          <w:sz w:val="24"/>
          <w:szCs w:val="24"/>
        </w:rPr>
        <w:t xml:space="preserve">bet </w:t>
      </w:r>
      <w:r>
        <w:rPr>
          <w:rFonts w:ascii="Times New Roman" w:hAnsi="Times New Roman"/>
          <w:sz w:val="24"/>
          <w:szCs w:val="24"/>
        </w:rPr>
        <w:t xml:space="preserve">apvienotās programmas komitejas stratēģiskā darba rezultātā tiks izceltas kopīgo interešu tematiskās jomas. Programma tiks kopīgi plānota un īstenota saskaņā ar EEZ/Norvēģijas piešķīrumu Pētniecības programmu vadlīnijām un Izglītības programmu vadlīnijām. Kopīgie pētniecības projekti nodrošinās jauno pētnieku iesaistīšanos un piekļuvi Baltijas un Eiropas pētniecības infrastruktūrai. Tiks nodrošināts uzsvars uz </w:t>
      </w:r>
      <w:r w:rsidR="008D4B13">
        <w:rPr>
          <w:rFonts w:ascii="Times New Roman" w:hAnsi="Times New Roman"/>
          <w:sz w:val="24"/>
          <w:szCs w:val="24"/>
        </w:rPr>
        <w:t xml:space="preserve">integrāciju </w:t>
      </w:r>
      <w:r>
        <w:rPr>
          <w:rFonts w:ascii="Times New Roman" w:hAnsi="Times New Roman"/>
          <w:sz w:val="24"/>
          <w:szCs w:val="24"/>
        </w:rPr>
        <w:t>Eiropas pētniecības telp</w:t>
      </w:r>
      <w:r w:rsidR="008D4B13">
        <w:rPr>
          <w:rFonts w:ascii="Times New Roman" w:hAnsi="Times New Roman"/>
          <w:sz w:val="24"/>
          <w:szCs w:val="24"/>
        </w:rPr>
        <w:t>ā</w:t>
      </w:r>
      <w:r>
        <w:rPr>
          <w:rFonts w:ascii="Times New Roman" w:hAnsi="Times New Roman"/>
          <w:sz w:val="24"/>
          <w:szCs w:val="24"/>
        </w:rPr>
        <w:t xml:space="preserve"> un atvērto zinātni, kā arī pilnveidota pētniecības programmu vadība. Tāpat Baltijas valstis izpētīs iespēju izmantot kopīgu IT rīku pieteikumiem un projektu vadībai.</w:t>
      </w:r>
    </w:p>
    <w:p w14:paraId="712223C2" w14:textId="12396CF1" w:rsidR="00043C12" w:rsidRPr="00790AF3" w:rsidRDefault="00043C12" w:rsidP="00043C12">
      <w:pPr>
        <w:pStyle w:val="BodyText"/>
        <w:spacing w:after="0"/>
        <w:contextualSpacing/>
        <w:jc w:val="both"/>
        <w:rPr>
          <w:rFonts w:ascii="Times New Roman" w:hAnsi="Times New Roman"/>
          <w:sz w:val="24"/>
          <w:szCs w:val="24"/>
        </w:rPr>
      </w:pPr>
      <w:r>
        <w:rPr>
          <w:rFonts w:ascii="Times New Roman" w:hAnsi="Times New Roman"/>
          <w:sz w:val="24"/>
          <w:szCs w:val="24"/>
        </w:rPr>
        <w:t xml:space="preserve">Bez tam programma nodrošinās lielākus projektu piešķīrumus (salīdzinājumā ar Latvijas un Norvēģijas pētniecības programmu 2009.–2014. gadam), kas radīs labākus apstākļus augstas kvalitātes pētniecībai un inovācijām; projekta partneri būs daļa no lielākas un starptautiskākas vides; </w:t>
      </w:r>
      <w:proofErr w:type="spellStart"/>
      <w:r>
        <w:rPr>
          <w:rFonts w:ascii="Times New Roman" w:hAnsi="Times New Roman"/>
          <w:sz w:val="24"/>
          <w:szCs w:val="24"/>
        </w:rPr>
        <w:t>donorvalsts</w:t>
      </w:r>
      <w:proofErr w:type="spellEnd"/>
      <w:r>
        <w:rPr>
          <w:rFonts w:ascii="Times New Roman" w:hAnsi="Times New Roman"/>
          <w:sz w:val="24"/>
          <w:szCs w:val="24"/>
        </w:rPr>
        <w:t xml:space="preserve"> partneriem ar augstāku izmaksu līmeni</w:t>
      </w:r>
      <w:r w:rsidR="001D55EC">
        <w:rPr>
          <w:rFonts w:ascii="Times New Roman" w:hAnsi="Times New Roman"/>
          <w:sz w:val="24"/>
          <w:szCs w:val="24"/>
        </w:rPr>
        <w:t>,</w:t>
      </w:r>
      <w:r>
        <w:rPr>
          <w:rFonts w:ascii="Times New Roman" w:hAnsi="Times New Roman"/>
          <w:sz w:val="24"/>
          <w:szCs w:val="24"/>
        </w:rPr>
        <w:t xml:space="preserve"> projekti ar lielākiem piešķīrumiem nozīmē iespēju aktīvāk piedalīties pētniecības sadarbībā; </w:t>
      </w:r>
      <w:r w:rsidR="002816AD" w:rsidRPr="002816AD">
        <w:rPr>
          <w:rFonts w:ascii="Times New Roman" w:hAnsi="Times New Roman"/>
          <w:sz w:val="24"/>
          <w:szCs w:val="24"/>
        </w:rPr>
        <w:t>sadarbība veicinās integrāciju starp Baltijas valstīm gan attiecībā uz pētniecības politiku, gan uz pētniecības pārvaldību</w:t>
      </w:r>
      <w:r w:rsidR="002816AD">
        <w:rPr>
          <w:rFonts w:ascii="Times New Roman" w:hAnsi="Times New Roman"/>
          <w:sz w:val="24"/>
          <w:szCs w:val="24"/>
        </w:rPr>
        <w:t xml:space="preserve">. </w:t>
      </w:r>
    </w:p>
    <w:p w14:paraId="45C2B479" w14:textId="1BF63FBA" w:rsidR="00043C12" w:rsidRPr="00790AF3" w:rsidRDefault="00043C12" w:rsidP="00043C12">
      <w:pPr>
        <w:pStyle w:val="BodyText"/>
        <w:spacing w:after="0"/>
        <w:contextualSpacing/>
        <w:jc w:val="both"/>
        <w:rPr>
          <w:rFonts w:ascii="Times New Roman" w:hAnsi="Times New Roman"/>
          <w:sz w:val="24"/>
          <w:szCs w:val="24"/>
        </w:rPr>
      </w:pPr>
      <w:r>
        <w:rPr>
          <w:rFonts w:ascii="Times New Roman" w:hAnsi="Times New Roman"/>
          <w:sz w:val="24"/>
          <w:szCs w:val="24"/>
        </w:rPr>
        <w:t xml:space="preserve">Programma var arī palīdzēt veicināt lielāku reģionālo sadarbību starp Baltijas valstīm, kas stiprinās to starptautisko pozīciju, kā arī sniegs Baltijas valstu pētniekiem iespēju strādāt starptautiskā līmenī kā daļa no izveidotajiem tīkliem. Šī programma spers lielu soli Baltijas sadarbības pilnveidošanā kopumā un atvieglos politiku saskaņošanu. Visbeidzot, tā arī turpinās reģionā jau pastāvošās iniciatīvas, piemēram, Ziemeļvalstu </w:t>
      </w:r>
      <w:r>
        <w:rPr>
          <w:rFonts w:ascii="Times New Roman" w:hAnsi="Times New Roman"/>
          <w:sz w:val="24"/>
          <w:szCs w:val="24"/>
        </w:rPr>
        <w:lastRenderedPageBreak/>
        <w:t xml:space="preserve">sadarbību, Baltijas jūras reģiona iniciatīvas un citus Eiropas un starptautiskos sadarbības līdzekļus, un būs aktuāla to kontekstā. Turklāt cieša triju pētniecības programmas </w:t>
      </w:r>
      <w:proofErr w:type="spellStart"/>
      <w:r>
        <w:rPr>
          <w:rFonts w:ascii="Times New Roman" w:hAnsi="Times New Roman"/>
          <w:sz w:val="24"/>
          <w:szCs w:val="24"/>
        </w:rPr>
        <w:t>apsaimniekotāju</w:t>
      </w:r>
      <w:proofErr w:type="spellEnd"/>
      <w:r>
        <w:rPr>
          <w:rFonts w:ascii="Times New Roman" w:hAnsi="Times New Roman"/>
          <w:sz w:val="24"/>
          <w:szCs w:val="24"/>
        </w:rPr>
        <w:t xml:space="preserve"> sadarbība kopīgā programmas īstenošanā (tai skaitā konkursu plānošanā, pārskatu, novērtējumu gatavošanā, konferenču organizēšanā, rezultātu izplatīšanā) </w:t>
      </w:r>
      <w:r w:rsidR="00482E71" w:rsidRPr="002816AD">
        <w:rPr>
          <w:rFonts w:ascii="Times New Roman" w:hAnsi="Times New Roman"/>
          <w:sz w:val="24"/>
          <w:szCs w:val="24"/>
        </w:rPr>
        <w:t>veicinās</w:t>
      </w:r>
      <w:r w:rsidR="002816AD" w:rsidRPr="009F6889">
        <w:rPr>
          <w:rFonts w:ascii="Times New Roman" w:hAnsi="Times New Roman"/>
          <w:sz w:val="24"/>
          <w:szCs w:val="24"/>
        </w:rPr>
        <w:t xml:space="preserve"> integrāciju starp trim valstīm pētniecības pārvaldīb</w:t>
      </w:r>
      <w:r w:rsidR="002816AD">
        <w:rPr>
          <w:rFonts w:ascii="Times New Roman" w:hAnsi="Times New Roman"/>
          <w:sz w:val="24"/>
          <w:szCs w:val="24"/>
        </w:rPr>
        <w:t>ā</w:t>
      </w:r>
      <w:r w:rsidR="00482E71">
        <w:rPr>
          <w:rFonts w:ascii="Times New Roman" w:hAnsi="Times New Roman"/>
          <w:sz w:val="24"/>
          <w:szCs w:val="24"/>
        </w:rPr>
        <w:t xml:space="preserve"> </w:t>
      </w:r>
      <w:r>
        <w:rPr>
          <w:rFonts w:ascii="Times New Roman" w:hAnsi="Times New Roman"/>
          <w:sz w:val="24"/>
          <w:szCs w:val="24"/>
        </w:rPr>
        <w:t xml:space="preserve">un sagatavos pamatu turpmākai sadarbībai Baltijas pētniecības finansēšanā. </w:t>
      </w:r>
    </w:p>
    <w:p w14:paraId="59926E7B" w14:textId="42194947" w:rsidR="00043C12" w:rsidRPr="00790AF3" w:rsidRDefault="003F0FB0" w:rsidP="00043C12">
      <w:pPr>
        <w:pStyle w:val="BodyText"/>
        <w:spacing w:after="0"/>
        <w:contextualSpacing/>
        <w:jc w:val="both"/>
        <w:rPr>
          <w:rFonts w:ascii="Times New Roman" w:hAnsi="Times New Roman"/>
          <w:sz w:val="24"/>
          <w:szCs w:val="24"/>
        </w:rPr>
      </w:pPr>
      <w:r>
        <w:rPr>
          <w:rFonts w:ascii="Times New Roman" w:hAnsi="Times New Roman"/>
          <w:sz w:val="24"/>
          <w:szCs w:val="24"/>
        </w:rPr>
        <w:t xml:space="preserve">Tikmēr </w:t>
      </w:r>
      <w:r w:rsidR="00043C12">
        <w:rPr>
          <w:rFonts w:ascii="Times New Roman" w:hAnsi="Times New Roman"/>
          <w:sz w:val="24"/>
          <w:szCs w:val="24"/>
        </w:rPr>
        <w:t xml:space="preserve">stipendiju programma atbalstīs Latvijas </w:t>
      </w:r>
      <w:r w:rsidR="00043C12">
        <w:rPr>
          <w:rFonts w:ascii="Times New Roman" w:hAnsi="Times New Roman"/>
          <w:b/>
          <w:sz w:val="24"/>
          <w:szCs w:val="24"/>
        </w:rPr>
        <w:t>augstākās izglītības</w:t>
      </w:r>
      <w:r w:rsidR="00043C12">
        <w:rPr>
          <w:rFonts w:ascii="Times New Roman" w:hAnsi="Times New Roman"/>
          <w:sz w:val="24"/>
          <w:szCs w:val="24"/>
        </w:rPr>
        <w:t xml:space="preserve"> un pētniecības internacionalizāciju, sekmējot </w:t>
      </w:r>
      <w:proofErr w:type="spellStart"/>
      <w:r w:rsidR="00043C12">
        <w:rPr>
          <w:rFonts w:ascii="Times New Roman" w:hAnsi="Times New Roman"/>
          <w:sz w:val="24"/>
          <w:szCs w:val="24"/>
        </w:rPr>
        <w:t>paraugprakses</w:t>
      </w:r>
      <w:proofErr w:type="spellEnd"/>
      <w:r w:rsidR="00043C12">
        <w:rPr>
          <w:rFonts w:ascii="Times New Roman" w:hAnsi="Times New Roman"/>
          <w:sz w:val="24"/>
          <w:szCs w:val="24"/>
        </w:rPr>
        <w:t xml:space="preserve"> un </w:t>
      </w:r>
      <w:r w:rsidR="002816AD">
        <w:rPr>
          <w:rFonts w:ascii="Times New Roman" w:hAnsi="Times New Roman"/>
          <w:sz w:val="24"/>
          <w:szCs w:val="24"/>
        </w:rPr>
        <w:t xml:space="preserve">inovatīvu </w:t>
      </w:r>
      <w:r w:rsidR="00043C12">
        <w:rPr>
          <w:rFonts w:ascii="Times New Roman" w:hAnsi="Times New Roman"/>
          <w:sz w:val="24"/>
          <w:szCs w:val="24"/>
        </w:rPr>
        <w:t>pieeju apmaiņu un sadarbības tīklu izveidi ar mērķi uzlabot augstākās izglītības un pētniecības kvalitāti un atbilstību. Turklāt, tā kā šī stipendiju programma tiek izstrādāta ciešā sinerģijā ar Baltijas pētniecības programmu, tā arī veicinā</w:t>
      </w:r>
      <w:r w:rsidR="00042485">
        <w:rPr>
          <w:rFonts w:ascii="Times New Roman" w:hAnsi="Times New Roman"/>
          <w:sz w:val="24"/>
          <w:szCs w:val="24"/>
        </w:rPr>
        <w:t>t</w:t>
      </w:r>
      <w:r w:rsidR="007318E6">
        <w:rPr>
          <w:rFonts w:ascii="Times New Roman" w:hAnsi="Times New Roman"/>
          <w:sz w:val="24"/>
          <w:szCs w:val="24"/>
        </w:rPr>
        <w:t>u</w:t>
      </w:r>
      <w:r w:rsidR="00043C12">
        <w:rPr>
          <w:rFonts w:ascii="Times New Roman" w:hAnsi="Times New Roman"/>
          <w:sz w:val="24"/>
          <w:szCs w:val="24"/>
        </w:rPr>
        <w:t xml:space="preserve"> uz pētniecību balstītas augstākās izglītības attīstību. </w:t>
      </w:r>
    </w:p>
    <w:p w14:paraId="61A54D6E" w14:textId="73747EFF" w:rsidR="00043C12" w:rsidRPr="00790AF3" w:rsidRDefault="00043C12" w:rsidP="00043C12">
      <w:pPr>
        <w:pStyle w:val="BodyText"/>
        <w:spacing w:after="0"/>
        <w:contextualSpacing/>
        <w:jc w:val="both"/>
        <w:rPr>
          <w:rFonts w:ascii="Times New Roman" w:hAnsi="Times New Roman"/>
          <w:sz w:val="24"/>
          <w:szCs w:val="24"/>
        </w:rPr>
      </w:pPr>
      <w:r>
        <w:rPr>
          <w:rFonts w:ascii="Times New Roman" w:hAnsi="Times New Roman"/>
          <w:sz w:val="24"/>
          <w:szCs w:val="24"/>
        </w:rPr>
        <w:t>Internacionalizācijas aktivitātes sekmē</w:t>
      </w:r>
      <w:r w:rsidR="00E90AB0">
        <w:rPr>
          <w:rFonts w:ascii="Times New Roman" w:hAnsi="Times New Roman"/>
          <w:sz w:val="24"/>
          <w:szCs w:val="24"/>
        </w:rPr>
        <w:t>tu</w:t>
      </w:r>
      <w:r>
        <w:rPr>
          <w:rFonts w:ascii="Times New Roman" w:hAnsi="Times New Roman"/>
          <w:sz w:val="24"/>
          <w:szCs w:val="24"/>
        </w:rPr>
        <w:t xml:space="preserve"> augstākās izglītības kvalitātes uzlabošanu, piemēram, </w:t>
      </w:r>
      <w:r w:rsidR="00E90AB0">
        <w:rPr>
          <w:rFonts w:ascii="Times New Roman" w:hAnsi="Times New Roman"/>
          <w:sz w:val="24"/>
          <w:szCs w:val="24"/>
        </w:rPr>
        <w:t xml:space="preserve">t.i., </w:t>
      </w:r>
      <w:r>
        <w:rPr>
          <w:rFonts w:ascii="Times New Roman" w:hAnsi="Times New Roman"/>
          <w:sz w:val="24"/>
          <w:szCs w:val="24"/>
        </w:rPr>
        <w:t xml:space="preserve">apmainoties ar labo praksi un zināšanām par mācību programmu izstrādi, jaunām mācīšanas un mācīšanās metodēm un </w:t>
      </w:r>
      <w:r w:rsidR="00E90AB0">
        <w:rPr>
          <w:rFonts w:ascii="Times New Roman" w:hAnsi="Times New Roman"/>
          <w:sz w:val="24"/>
          <w:szCs w:val="24"/>
        </w:rPr>
        <w:t>pieejām</w:t>
      </w:r>
      <w:r>
        <w:rPr>
          <w:rFonts w:ascii="Times New Roman" w:hAnsi="Times New Roman"/>
          <w:sz w:val="24"/>
          <w:szCs w:val="24"/>
        </w:rPr>
        <w:t xml:space="preserve">, digitālo tehnoloģiju efektīvu izmantošanu utt. Jaunu pārrobežu partnerattiecību veidošana palielina augstākās izglītības iestāžu konkurētspēju un atbalsta akadēmiskā un neakadēmiskā personāla profesionālo </w:t>
      </w:r>
      <w:r w:rsidR="00E90AB0">
        <w:rPr>
          <w:rFonts w:ascii="Times New Roman" w:hAnsi="Times New Roman"/>
          <w:sz w:val="24"/>
          <w:szCs w:val="24"/>
        </w:rPr>
        <w:t>attīstību</w:t>
      </w:r>
      <w:r>
        <w:rPr>
          <w:rFonts w:ascii="Times New Roman" w:hAnsi="Times New Roman"/>
          <w:sz w:val="24"/>
          <w:szCs w:val="24"/>
        </w:rPr>
        <w:t xml:space="preserve">.  </w:t>
      </w:r>
    </w:p>
    <w:p w14:paraId="1D98729E" w14:textId="5738F38C" w:rsidR="00043C12" w:rsidRPr="00790AF3" w:rsidRDefault="00043C12" w:rsidP="00043C12">
      <w:pPr>
        <w:pStyle w:val="BodyText"/>
        <w:spacing w:after="0"/>
        <w:contextualSpacing/>
        <w:jc w:val="both"/>
        <w:rPr>
          <w:rFonts w:ascii="Times New Roman" w:hAnsi="Times New Roman"/>
          <w:sz w:val="24"/>
          <w:szCs w:val="24"/>
        </w:rPr>
      </w:pPr>
      <w:r>
        <w:rPr>
          <w:rFonts w:ascii="Times New Roman" w:hAnsi="Times New Roman"/>
          <w:sz w:val="24"/>
          <w:szCs w:val="24"/>
        </w:rPr>
        <w:t>Inovācij</w:t>
      </w:r>
      <w:r w:rsidR="0061054D">
        <w:rPr>
          <w:rFonts w:ascii="Times New Roman" w:hAnsi="Times New Roman"/>
          <w:sz w:val="24"/>
          <w:szCs w:val="24"/>
        </w:rPr>
        <w:t>as</w:t>
      </w:r>
      <w:r>
        <w:rPr>
          <w:rFonts w:ascii="Times New Roman" w:hAnsi="Times New Roman"/>
          <w:sz w:val="24"/>
          <w:szCs w:val="24"/>
        </w:rPr>
        <w:t xml:space="preserve"> centru attīstība reģionos būtiski uzlabos STEM zinātības pieejamību, tādējādi mainot vispārējo attieksmi sabiedrībā un jo īpaši skolās pret STEM karjeru, un parādīs mūžizglītību kā pamatvērtību ikvienam.</w:t>
      </w:r>
    </w:p>
    <w:p w14:paraId="7C71E253" w14:textId="11A041BC" w:rsidR="00043C12" w:rsidRDefault="00043C12" w:rsidP="00043C12">
      <w:pPr>
        <w:contextualSpacing/>
        <w:jc w:val="both"/>
      </w:pPr>
      <w:r>
        <w:t xml:space="preserve">Ir skaidra nepieciešamība motivēt </w:t>
      </w:r>
      <w:r w:rsidR="002816AD">
        <w:t xml:space="preserve">jauniešus </w:t>
      </w:r>
      <w:r>
        <w:t xml:space="preserve">izvēlēties STEM studijas un izstrādāt jaunas izglītības un mācību programmas, kas popularizētu STEM </w:t>
      </w:r>
      <w:r w:rsidR="0061054D">
        <w:t xml:space="preserve">karjeras un </w:t>
      </w:r>
      <w:r>
        <w:t xml:space="preserve">studiju pozitīvu tēlu. </w:t>
      </w:r>
      <w:r>
        <w:rPr>
          <w:b/>
        </w:rPr>
        <w:t>Inovācij</w:t>
      </w:r>
      <w:r w:rsidR="0061054D">
        <w:rPr>
          <w:b/>
        </w:rPr>
        <w:t>as</w:t>
      </w:r>
      <w:r>
        <w:rPr>
          <w:b/>
        </w:rPr>
        <w:t xml:space="preserve"> centri</w:t>
      </w:r>
      <w:r>
        <w:t xml:space="preserve"> kopā ar izglītības iestādēm ir svarīgi palīgi praktisku prasmju un iemaņu attīstības nodrošināšanā STEM jomā. Šādā veidā inovācij</w:t>
      </w:r>
      <w:r w:rsidR="00A41EA9">
        <w:t>as</w:t>
      </w:r>
      <w:r>
        <w:t xml:space="preserve"> centri rada mūsdienīgas programmas</w:t>
      </w:r>
      <w:r w:rsidR="00A41EA9">
        <w:t xml:space="preserve"> skolotājiem</w:t>
      </w:r>
      <w:r>
        <w:t xml:space="preserve"> un iespējas izveidot </w:t>
      </w:r>
      <w:r w:rsidR="00A41EA9">
        <w:t xml:space="preserve">jaunas </w:t>
      </w:r>
      <w:r>
        <w:t>mācīšanās tehnoloģijas STEM jomā.</w:t>
      </w:r>
    </w:p>
    <w:p w14:paraId="38047C92" w14:textId="544CC639" w:rsidR="00043C12" w:rsidRPr="003B460B" w:rsidRDefault="00043C12" w:rsidP="00043C12">
      <w:pPr>
        <w:contextualSpacing/>
        <w:jc w:val="both"/>
        <w:rPr>
          <w:shd w:val="clear" w:color="auto" w:fill="FBFCFC"/>
        </w:rPr>
      </w:pPr>
      <w:r>
        <w:t xml:space="preserve">Ņemot vērā, ka pašvaldības Latvijā ir atbildīgas par vispārējās izglītības, pirmsskolas, pamatskolas, vidējās un neformālās izglītības un </w:t>
      </w:r>
      <w:proofErr w:type="spellStart"/>
      <w:r>
        <w:t>ārpusstundu</w:t>
      </w:r>
      <w:proofErr w:type="spellEnd"/>
      <w:r>
        <w:t xml:space="preserve"> nodarbību nodrošināšanu, kā arī līdzatbildīgas par reģionālo attīstību, pašvaldībām ir svarīga loma inovācij</w:t>
      </w:r>
      <w:r w:rsidR="009B7190">
        <w:t>as</w:t>
      </w:r>
      <w:r>
        <w:t xml:space="preserve"> centru attīstībā. Esošo resursu kapacitātes attīstīšana, radot interaktīv</w:t>
      </w:r>
      <w:r w:rsidR="009B7190">
        <w:t>a</w:t>
      </w:r>
      <w:r>
        <w:t xml:space="preserve">s </w:t>
      </w:r>
      <w:r w:rsidR="009B7190">
        <w:t xml:space="preserve">STEM </w:t>
      </w:r>
      <w:r>
        <w:t>demonstrējumu</w:t>
      </w:r>
      <w:r w:rsidRPr="002B41B8">
        <w:t xml:space="preserve"> </w:t>
      </w:r>
      <w:r w:rsidR="009B7190">
        <w:t>vienības</w:t>
      </w:r>
      <w:r>
        <w:t xml:space="preserve">, interaktīvas praktiskās darbnīcas, </w:t>
      </w:r>
      <w:proofErr w:type="spellStart"/>
      <w:r>
        <w:t>koprades</w:t>
      </w:r>
      <w:proofErr w:type="spellEnd"/>
      <w:r>
        <w:t xml:space="preserve"> telpas (</w:t>
      </w:r>
      <w:proofErr w:type="spellStart"/>
      <w:r>
        <w:rPr>
          <w:i/>
        </w:rPr>
        <w:t>makerspaces</w:t>
      </w:r>
      <w:proofErr w:type="spellEnd"/>
      <w:r>
        <w:t xml:space="preserve">), ko atbalsta pašvaldības, </w:t>
      </w:r>
      <w:r w:rsidRPr="00117CA1">
        <w:t>ražošanas,</w:t>
      </w:r>
      <w:r>
        <w:t xml:space="preserve"> augstākās izglītības iestādes un citi attiecīgie partneri, ir lielisks veids, kā sniegt pietiekamu atbalstu dažādās tehnoloģijās balstītu inovāciju radīšanai STEM jomā nākotnē. Nākotnes ekonomiskā izaugsme un sociālais progress lielā mērā balstās uz inovācijām. Papildus tehniskām zināšanām </w:t>
      </w:r>
      <w:proofErr w:type="spellStart"/>
      <w:r>
        <w:rPr>
          <w:i/>
        </w:rPr>
        <w:t>know-what</w:t>
      </w:r>
      <w:proofErr w:type="spellEnd"/>
      <w:r>
        <w:t xml:space="preserve"> un </w:t>
      </w:r>
      <w:proofErr w:type="spellStart"/>
      <w:r>
        <w:rPr>
          <w:i/>
        </w:rPr>
        <w:t>know-how</w:t>
      </w:r>
      <w:proofErr w:type="spellEnd"/>
      <w:r>
        <w:t xml:space="preserve"> galvenās prasmes inovāciju jomā ir, piemēram, kritiskā domāšana, radošums, problēmu risināšanas prasme, globālās sadarbības un komunikācijas prasme. Izglītības izaicinājums ir vienlaicīgi attīstīt šīs dažādās prasmes. Viens no veidiem, kā radīt ekosistēmu, kurā var izmantot teorētiskās zināšanas un attīstīt vispārīgās prasmes, ir praktisko darbnīcu koncepcija, kā, piemēram, </w:t>
      </w:r>
      <w:proofErr w:type="spellStart"/>
      <w:r>
        <w:t>koprades</w:t>
      </w:r>
      <w:proofErr w:type="spellEnd"/>
      <w:r>
        <w:t xml:space="preserve"> telpas (</w:t>
      </w:r>
      <w:proofErr w:type="spellStart"/>
      <w:r>
        <w:rPr>
          <w:i/>
        </w:rPr>
        <w:t>makerspaces</w:t>
      </w:r>
      <w:proofErr w:type="spellEnd"/>
      <w:r>
        <w:t xml:space="preserve">), </w:t>
      </w:r>
      <w:r w:rsidRPr="00131A4C">
        <w:t xml:space="preserve">informāciju tehnoloģiju </w:t>
      </w:r>
      <w:proofErr w:type="spellStart"/>
      <w:r w:rsidRPr="00131A4C">
        <w:t>koprades</w:t>
      </w:r>
      <w:proofErr w:type="spellEnd"/>
      <w:r w:rsidRPr="00131A4C">
        <w:t xml:space="preserve"> telpas </w:t>
      </w:r>
      <w:r>
        <w:t>(</w:t>
      </w:r>
      <w:proofErr w:type="spellStart"/>
      <w:r>
        <w:rPr>
          <w:i/>
        </w:rPr>
        <w:t>hackerspaces</w:t>
      </w:r>
      <w:proofErr w:type="spellEnd"/>
      <w:r>
        <w:t xml:space="preserve">), </w:t>
      </w:r>
      <w:proofErr w:type="spellStart"/>
      <w:r>
        <w:rPr>
          <w:i/>
        </w:rPr>
        <w:t>TechShop</w:t>
      </w:r>
      <w:proofErr w:type="spellEnd"/>
      <w:r>
        <w:t xml:space="preserve"> un </w:t>
      </w:r>
      <w:proofErr w:type="spellStart"/>
      <w:r>
        <w:rPr>
          <w:i/>
        </w:rPr>
        <w:t>FabLab</w:t>
      </w:r>
      <w:proofErr w:type="spellEnd"/>
      <w:r>
        <w:t xml:space="preserve"> darbnīcas</w:t>
      </w:r>
      <w:r w:rsidRPr="00790AF3">
        <w:rPr>
          <w:rStyle w:val="FootnoteReference"/>
        </w:rPr>
        <w:footnoteReference w:id="4"/>
      </w:r>
      <w:r>
        <w:t xml:space="preserve">. Tādējādi </w:t>
      </w:r>
      <w:proofErr w:type="spellStart"/>
      <w:r>
        <w:t>radīt</w:t>
      </w:r>
      <w:r w:rsidR="00E34E62">
        <w:t>ot</w:t>
      </w:r>
      <w:proofErr w:type="spellEnd"/>
      <w:r>
        <w:t xml:space="preserve"> vid</w:t>
      </w:r>
      <w:r w:rsidR="00E34E62">
        <w:t>i</w:t>
      </w:r>
      <w:r>
        <w:t>, kas ietver</w:t>
      </w:r>
      <w:r w:rsidR="00E34E62">
        <w:t xml:space="preserve">, </w:t>
      </w:r>
      <w:r w:rsidR="00E34E62" w:rsidRPr="00E34E62">
        <w:t>piemēram</w:t>
      </w:r>
      <w:r w:rsidR="00E34E62">
        <w:t xml:space="preserve">, </w:t>
      </w:r>
      <w:r>
        <w:t>jaunus vai uzlabotus izglītības tehnoloģijas rīkus, mācību metodes, mācību programmas un veidus, kā studentiem mācīties un strādāt kopā.</w:t>
      </w:r>
    </w:p>
    <w:p w14:paraId="1F2BAE9B" w14:textId="1AD7848F" w:rsidR="00043C12" w:rsidRDefault="00043C12" w:rsidP="00043C12">
      <w:pPr>
        <w:pStyle w:val="BodyText"/>
        <w:contextualSpacing/>
        <w:jc w:val="both"/>
        <w:rPr>
          <w:rFonts w:ascii="Times New Roman" w:hAnsi="Times New Roman"/>
          <w:sz w:val="24"/>
          <w:szCs w:val="24"/>
        </w:rPr>
      </w:pPr>
      <w:r>
        <w:rPr>
          <w:rFonts w:ascii="Times New Roman" w:hAnsi="Times New Roman"/>
          <w:sz w:val="24"/>
          <w:szCs w:val="24"/>
        </w:rPr>
        <w:lastRenderedPageBreak/>
        <w:t xml:space="preserve">Četras Latvijas pašvaldības jau ir izveidojušas mācību </w:t>
      </w:r>
      <w:r w:rsidRPr="00770D59">
        <w:rPr>
          <w:rFonts w:ascii="Times New Roman" w:hAnsi="Times New Roman"/>
          <w:sz w:val="24"/>
          <w:szCs w:val="24"/>
        </w:rPr>
        <w:t>vidi</w:t>
      </w:r>
      <w:r>
        <w:rPr>
          <w:rFonts w:ascii="Times New Roman" w:hAnsi="Times New Roman"/>
          <w:sz w:val="24"/>
          <w:szCs w:val="24"/>
        </w:rPr>
        <w:t xml:space="preserve"> (tā saucamos ZINOO</w:t>
      </w:r>
      <w:r>
        <w:rPr>
          <w:rStyle w:val="FootnoteReference"/>
          <w:rFonts w:ascii="Times New Roman" w:hAnsi="Times New Roman"/>
          <w:sz w:val="24"/>
          <w:szCs w:val="24"/>
        </w:rPr>
        <w:footnoteReference w:id="5"/>
      </w:r>
      <w:r>
        <w:rPr>
          <w:rFonts w:ascii="Times New Roman" w:hAnsi="Times New Roman"/>
          <w:sz w:val="24"/>
          <w:szCs w:val="24"/>
        </w:rPr>
        <w:t xml:space="preserve"> centrus un </w:t>
      </w:r>
      <w:proofErr w:type="spellStart"/>
      <w:r>
        <w:rPr>
          <w:rFonts w:ascii="Times New Roman" w:hAnsi="Times New Roman"/>
          <w:sz w:val="24"/>
          <w:szCs w:val="24"/>
        </w:rPr>
        <w:t>Democentru</w:t>
      </w:r>
      <w:proofErr w:type="spellEnd"/>
      <w:r>
        <w:rPr>
          <w:rFonts w:ascii="Times New Roman" w:hAnsi="Times New Roman"/>
          <w:sz w:val="24"/>
          <w:szCs w:val="24"/>
        </w:rPr>
        <w:t xml:space="preserve"> Ventspilī), no kurām var tālāk attīstīt inovācij</w:t>
      </w:r>
      <w:r w:rsidR="00376E3B">
        <w:rPr>
          <w:rFonts w:ascii="Times New Roman" w:hAnsi="Times New Roman"/>
          <w:sz w:val="24"/>
          <w:szCs w:val="24"/>
        </w:rPr>
        <w:t>as</w:t>
      </w:r>
      <w:r>
        <w:rPr>
          <w:rFonts w:ascii="Times New Roman" w:hAnsi="Times New Roman"/>
          <w:sz w:val="24"/>
          <w:szCs w:val="24"/>
        </w:rPr>
        <w:t xml:space="preserve"> centrus. Tās ir </w:t>
      </w:r>
      <w:proofErr w:type="spellStart"/>
      <w:r>
        <w:rPr>
          <w:rFonts w:ascii="Times New Roman" w:hAnsi="Times New Roman"/>
          <w:sz w:val="24"/>
          <w:szCs w:val="24"/>
        </w:rPr>
        <w:t>Cēsu</w:t>
      </w:r>
      <w:proofErr w:type="spellEnd"/>
      <w:r>
        <w:rPr>
          <w:rFonts w:ascii="Times New Roman" w:hAnsi="Times New Roman"/>
          <w:sz w:val="24"/>
          <w:szCs w:val="24"/>
        </w:rPr>
        <w:t xml:space="preserve">, Daugavpils, Liepājas un Ventspils pašvaldības. Visas četras ir ieguldījušas ievērojamus resursus tikšanās vietu izveidē, kuras var parādīt zinātni pievilcīgā un iedvesmojošā </w:t>
      </w:r>
      <w:r w:rsidR="00C55AC3">
        <w:rPr>
          <w:rFonts w:ascii="Times New Roman" w:hAnsi="Times New Roman"/>
          <w:sz w:val="24"/>
          <w:szCs w:val="24"/>
        </w:rPr>
        <w:t>veidā</w:t>
      </w:r>
      <w:r>
        <w:rPr>
          <w:rFonts w:ascii="Times New Roman" w:hAnsi="Times New Roman"/>
          <w:sz w:val="24"/>
          <w:szCs w:val="24"/>
        </w:rPr>
        <w:t xml:space="preserve">, piedāvājot jauniešiem no visām sociālajām grupām iespēju uzdot jautājumus, apspriest un izpētīt zinātnes jomu. </w:t>
      </w:r>
      <w:r w:rsidR="00603695">
        <w:rPr>
          <w:rFonts w:ascii="Times New Roman" w:hAnsi="Times New Roman"/>
          <w:sz w:val="24"/>
          <w:szCs w:val="24"/>
        </w:rPr>
        <w:t xml:space="preserve">Tomēr </w:t>
      </w:r>
      <w:r>
        <w:rPr>
          <w:rFonts w:ascii="Times New Roman" w:hAnsi="Times New Roman"/>
          <w:sz w:val="24"/>
          <w:szCs w:val="24"/>
        </w:rPr>
        <w:t>Ar EEZ un Norvēģijas piešķīrumu palīdzību š</w:t>
      </w:r>
      <w:r w:rsidR="00162B2F">
        <w:rPr>
          <w:rFonts w:ascii="Times New Roman" w:hAnsi="Times New Roman"/>
          <w:sz w:val="24"/>
          <w:szCs w:val="24"/>
        </w:rPr>
        <w:t>īs</w:t>
      </w:r>
      <w:r>
        <w:rPr>
          <w:rFonts w:ascii="Times New Roman" w:hAnsi="Times New Roman"/>
          <w:sz w:val="24"/>
          <w:szCs w:val="24"/>
        </w:rPr>
        <w:t xml:space="preserve"> </w:t>
      </w:r>
      <w:r w:rsidR="00162B2F">
        <w:rPr>
          <w:rFonts w:ascii="Times New Roman" w:hAnsi="Times New Roman"/>
          <w:sz w:val="24"/>
          <w:szCs w:val="24"/>
        </w:rPr>
        <w:t>telpas</w:t>
      </w:r>
      <w:r>
        <w:rPr>
          <w:rFonts w:ascii="Times New Roman" w:hAnsi="Times New Roman"/>
          <w:sz w:val="24"/>
          <w:szCs w:val="24"/>
        </w:rPr>
        <w:t xml:space="preserve"> varētu attīstīt inovācij</w:t>
      </w:r>
      <w:r w:rsidR="003E0276">
        <w:rPr>
          <w:rFonts w:ascii="Times New Roman" w:hAnsi="Times New Roman"/>
          <w:sz w:val="24"/>
          <w:szCs w:val="24"/>
        </w:rPr>
        <w:t>as</w:t>
      </w:r>
      <w:r>
        <w:rPr>
          <w:rFonts w:ascii="Times New Roman" w:hAnsi="Times New Roman"/>
          <w:sz w:val="24"/>
          <w:szCs w:val="24"/>
        </w:rPr>
        <w:t xml:space="preserve"> centros, kas varētu nodrošināt stratēģiskāku mācīšanās veidu. Svarīgi, ka pašvaldības koncentrējas uz četrām atšķirīgām specifiskām tēmām, kas ir savstarpēji papildinošas un </w:t>
      </w:r>
      <w:r w:rsidR="00BE35FD">
        <w:rPr>
          <w:rFonts w:ascii="Times New Roman" w:hAnsi="Times New Roman"/>
          <w:sz w:val="24"/>
          <w:szCs w:val="24"/>
        </w:rPr>
        <w:t xml:space="preserve">novērš </w:t>
      </w:r>
      <w:r>
        <w:rPr>
          <w:rFonts w:ascii="Times New Roman" w:hAnsi="Times New Roman"/>
          <w:sz w:val="24"/>
          <w:szCs w:val="24"/>
        </w:rPr>
        <w:t xml:space="preserve">finansējuma dublēšanos. </w:t>
      </w:r>
      <w:r>
        <w:rPr>
          <w:rFonts w:ascii="Times New Roman" w:hAnsi="Times New Roman"/>
          <w:b/>
          <w:sz w:val="24"/>
          <w:szCs w:val="24"/>
        </w:rPr>
        <w:t>Cēsis</w:t>
      </w:r>
      <w:r>
        <w:rPr>
          <w:rFonts w:ascii="Times New Roman" w:hAnsi="Times New Roman"/>
          <w:sz w:val="24"/>
          <w:szCs w:val="24"/>
        </w:rPr>
        <w:t xml:space="preserve"> ir pazīstamas ar īpašu interesi par kosmosu un kosmosa tehnoloģijām, un 2012. gadā šeit palai</w:t>
      </w:r>
      <w:r w:rsidR="0020678B">
        <w:rPr>
          <w:rFonts w:ascii="Times New Roman" w:hAnsi="Times New Roman"/>
          <w:sz w:val="24"/>
          <w:szCs w:val="24"/>
        </w:rPr>
        <w:t>d</w:t>
      </w:r>
      <w:r>
        <w:rPr>
          <w:rFonts w:ascii="Times New Roman" w:hAnsi="Times New Roman"/>
          <w:sz w:val="24"/>
          <w:szCs w:val="24"/>
        </w:rPr>
        <w:t>a pirm</w:t>
      </w:r>
      <w:r w:rsidR="0020678B">
        <w:rPr>
          <w:rFonts w:ascii="Times New Roman" w:hAnsi="Times New Roman"/>
          <w:sz w:val="24"/>
          <w:szCs w:val="24"/>
        </w:rPr>
        <w:t>o</w:t>
      </w:r>
      <w:r>
        <w:rPr>
          <w:rFonts w:ascii="Times New Roman" w:hAnsi="Times New Roman"/>
          <w:sz w:val="24"/>
          <w:szCs w:val="24"/>
        </w:rPr>
        <w:t xml:space="preserve"> Latvijas kosmosa zond</w:t>
      </w:r>
      <w:r w:rsidR="0020678B">
        <w:rPr>
          <w:rFonts w:ascii="Times New Roman" w:hAnsi="Times New Roman"/>
          <w:sz w:val="24"/>
          <w:szCs w:val="24"/>
        </w:rPr>
        <w:t>i</w:t>
      </w:r>
      <w:r>
        <w:rPr>
          <w:rFonts w:ascii="Times New Roman" w:hAnsi="Times New Roman"/>
          <w:sz w:val="24"/>
          <w:szCs w:val="24"/>
        </w:rPr>
        <w:t xml:space="preserve">, 2015. gadā organizēta kosmosa izstāde, kā arī uzsākta Latvijas pirmās kosmosa raķetes izstrāde. Turklāt no 2013. gada </w:t>
      </w:r>
      <w:r w:rsidR="001E3D36">
        <w:rPr>
          <w:rFonts w:ascii="Times New Roman" w:hAnsi="Times New Roman"/>
          <w:sz w:val="24"/>
          <w:szCs w:val="24"/>
        </w:rPr>
        <w:t>tiek rīkoti</w:t>
      </w:r>
      <w:r>
        <w:rPr>
          <w:rFonts w:ascii="Times New Roman" w:hAnsi="Times New Roman"/>
          <w:sz w:val="24"/>
          <w:szCs w:val="24"/>
        </w:rPr>
        <w:t xml:space="preserve"> ikgadēji </w:t>
      </w:r>
      <w:r w:rsidR="001E3D36">
        <w:rPr>
          <w:rFonts w:ascii="Times New Roman" w:hAnsi="Times New Roman"/>
          <w:sz w:val="24"/>
          <w:szCs w:val="24"/>
        </w:rPr>
        <w:t xml:space="preserve">ar kosmosu saistīti </w:t>
      </w:r>
      <w:r>
        <w:rPr>
          <w:rFonts w:ascii="Times New Roman" w:hAnsi="Times New Roman"/>
          <w:sz w:val="24"/>
          <w:szCs w:val="24"/>
        </w:rPr>
        <w:t>festivāli. Tādējādi inovācij</w:t>
      </w:r>
      <w:r w:rsidR="0063573A">
        <w:rPr>
          <w:rFonts w:ascii="Times New Roman" w:hAnsi="Times New Roman"/>
          <w:sz w:val="24"/>
          <w:szCs w:val="24"/>
        </w:rPr>
        <w:t>as</w:t>
      </w:r>
      <w:r>
        <w:rPr>
          <w:rFonts w:ascii="Times New Roman" w:hAnsi="Times New Roman"/>
          <w:sz w:val="24"/>
          <w:szCs w:val="24"/>
        </w:rPr>
        <w:t xml:space="preserve"> centrs koncentrēsies uz STEM apguvi caur kosmosa tēmām. </w:t>
      </w:r>
      <w:r>
        <w:rPr>
          <w:rFonts w:ascii="Times New Roman" w:hAnsi="Times New Roman"/>
          <w:b/>
          <w:sz w:val="24"/>
          <w:szCs w:val="24"/>
        </w:rPr>
        <w:t>Daugavpils</w:t>
      </w:r>
      <w:r>
        <w:rPr>
          <w:rFonts w:ascii="Times New Roman" w:hAnsi="Times New Roman"/>
          <w:sz w:val="24"/>
          <w:szCs w:val="24"/>
        </w:rPr>
        <w:t xml:space="preserve">, valsts otrā lielākā pilsēta, kas atrodas Austrumos, koncentrējas uz STEM uzņēmējdarbības pusi, īpašu uzmanību pievēršot tam, kā jaunieši var attīstīt karjeru šajā nozarē. </w:t>
      </w:r>
      <w:r>
        <w:rPr>
          <w:rFonts w:ascii="Times New Roman" w:hAnsi="Times New Roman"/>
          <w:b/>
          <w:sz w:val="24"/>
          <w:szCs w:val="24"/>
        </w:rPr>
        <w:t>Liepājas</w:t>
      </w:r>
      <w:r>
        <w:rPr>
          <w:rFonts w:ascii="Times New Roman" w:hAnsi="Times New Roman"/>
          <w:sz w:val="24"/>
          <w:szCs w:val="24"/>
        </w:rPr>
        <w:t xml:space="preserve"> ekosistēmai, kurā ietilpst Baltijas jūra, Liepājas ezers un Tosmares ezers – vietas ar dabas rezervāta statusu, – ir nozīmīga loma retu un aizsargājamo sugu aizsardzībā. Tādējādi inovācij</w:t>
      </w:r>
      <w:r w:rsidR="000C1CB4">
        <w:rPr>
          <w:rFonts w:ascii="Times New Roman" w:hAnsi="Times New Roman"/>
          <w:sz w:val="24"/>
          <w:szCs w:val="24"/>
        </w:rPr>
        <w:t>as</w:t>
      </w:r>
      <w:r>
        <w:rPr>
          <w:rFonts w:ascii="Times New Roman" w:hAnsi="Times New Roman"/>
          <w:sz w:val="24"/>
          <w:szCs w:val="24"/>
        </w:rPr>
        <w:t xml:space="preserve"> centra tematiskais mērķis ir vides zinātne</w:t>
      </w:r>
      <w:r w:rsidR="000C1CB4">
        <w:rPr>
          <w:rFonts w:ascii="Times New Roman" w:hAnsi="Times New Roman"/>
          <w:sz w:val="24"/>
          <w:szCs w:val="24"/>
        </w:rPr>
        <w:t>s</w:t>
      </w:r>
      <w:r>
        <w:rPr>
          <w:rFonts w:ascii="Times New Roman" w:hAnsi="Times New Roman"/>
          <w:sz w:val="24"/>
          <w:szCs w:val="24"/>
        </w:rPr>
        <w:t xml:space="preserve">. Visbeidzot, Latvijas ostas pilsētas </w:t>
      </w:r>
      <w:r>
        <w:rPr>
          <w:rFonts w:ascii="Times New Roman" w:hAnsi="Times New Roman"/>
          <w:b/>
          <w:sz w:val="24"/>
          <w:szCs w:val="24"/>
        </w:rPr>
        <w:t>Ventspils</w:t>
      </w:r>
      <w:r>
        <w:rPr>
          <w:rFonts w:ascii="Times New Roman" w:hAnsi="Times New Roman"/>
          <w:sz w:val="24"/>
          <w:szCs w:val="24"/>
        </w:rPr>
        <w:t xml:space="preserve"> inovācij</w:t>
      </w:r>
      <w:r w:rsidR="00CD0167">
        <w:rPr>
          <w:rFonts w:ascii="Times New Roman" w:hAnsi="Times New Roman"/>
          <w:sz w:val="24"/>
          <w:szCs w:val="24"/>
        </w:rPr>
        <w:t>as</w:t>
      </w:r>
      <w:r>
        <w:rPr>
          <w:rFonts w:ascii="Times New Roman" w:hAnsi="Times New Roman"/>
          <w:sz w:val="24"/>
          <w:szCs w:val="24"/>
        </w:rPr>
        <w:t xml:space="preserve"> centrs koncentrē savu uzmanību dabaszinātnē un IKT. </w:t>
      </w:r>
      <w:r w:rsidRPr="001B7F43">
        <w:rPr>
          <w:rFonts w:ascii="Times New Roman" w:hAnsi="Times New Roman"/>
          <w:sz w:val="24"/>
          <w:szCs w:val="24"/>
        </w:rPr>
        <w:t xml:space="preserve">Mērķis ir kļūt par Eiropas </w:t>
      </w:r>
      <w:r w:rsidR="00A61F6C" w:rsidRPr="001B7F43">
        <w:rPr>
          <w:rFonts w:ascii="Times New Roman" w:hAnsi="Times New Roman"/>
          <w:sz w:val="24"/>
          <w:szCs w:val="24"/>
        </w:rPr>
        <w:t xml:space="preserve">vienu no </w:t>
      </w:r>
      <w:r w:rsidRPr="001B7F43">
        <w:rPr>
          <w:rFonts w:ascii="Times New Roman" w:hAnsi="Times New Roman"/>
          <w:sz w:val="24"/>
          <w:szCs w:val="24"/>
        </w:rPr>
        <w:t>labāk</w:t>
      </w:r>
      <w:r w:rsidR="00352A79" w:rsidRPr="001B7F43">
        <w:rPr>
          <w:rFonts w:ascii="Times New Roman" w:hAnsi="Times New Roman"/>
          <w:sz w:val="24"/>
          <w:szCs w:val="24"/>
        </w:rPr>
        <w:t>aji</w:t>
      </w:r>
      <w:r w:rsidR="00A61F6C" w:rsidRPr="001B7F43">
        <w:rPr>
          <w:rFonts w:ascii="Times New Roman" w:hAnsi="Times New Roman"/>
          <w:sz w:val="24"/>
          <w:szCs w:val="24"/>
        </w:rPr>
        <w:t>em</w:t>
      </w:r>
      <w:r w:rsidRPr="001B7F43">
        <w:rPr>
          <w:rFonts w:ascii="Times New Roman" w:hAnsi="Times New Roman"/>
          <w:sz w:val="24"/>
          <w:szCs w:val="24"/>
        </w:rPr>
        <w:t xml:space="preserve"> viedo tehnoloģiju centr</w:t>
      </w:r>
      <w:r w:rsidR="00352A79" w:rsidRPr="001B7F43">
        <w:rPr>
          <w:rFonts w:ascii="Times New Roman" w:hAnsi="Times New Roman"/>
          <w:sz w:val="24"/>
          <w:szCs w:val="24"/>
        </w:rPr>
        <w:t>iem</w:t>
      </w:r>
      <w:r w:rsidRPr="001B7F43">
        <w:rPr>
          <w:rFonts w:ascii="Times New Roman" w:hAnsi="Times New Roman"/>
          <w:sz w:val="24"/>
          <w:szCs w:val="24"/>
        </w:rPr>
        <w:t xml:space="preserve"> un </w:t>
      </w:r>
      <w:r w:rsidR="00352A79" w:rsidRPr="001B7F43">
        <w:rPr>
          <w:rFonts w:ascii="Times New Roman" w:hAnsi="Times New Roman"/>
          <w:sz w:val="24"/>
          <w:szCs w:val="24"/>
        </w:rPr>
        <w:t>panākt</w:t>
      </w:r>
      <w:r w:rsidRPr="001B7F43">
        <w:rPr>
          <w:rFonts w:ascii="Times New Roman" w:hAnsi="Times New Roman"/>
          <w:sz w:val="24"/>
          <w:szCs w:val="24"/>
        </w:rPr>
        <w:t xml:space="preserve"> 10 % IKT daļu no iekšzemes kopprodukta. Šīs četras pašvaldības atrodas dažādās Latvijas</w:t>
      </w:r>
      <w:r>
        <w:rPr>
          <w:rFonts w:ascii="Times New Roman" w:hAnsi="Times New Roman"/>
          <w:sz w:val="24"/>
          <w:szCs w:val="24"/>
        </w:rPr>
        <w:t xml:space="preserve"> daļās, tā nodrošinot reģionālo un nacionālo piekļuvi inovācij</w:t>
      </w:r>
      <w:r w:rsidR="004352D5">
        <w:rPr>
          <w:rFonts w:ascii="Times New Roman" w:hAnsi="Times New Roman"/>
          <w:sz w:val="24"/>
          <w:szCs w:val="24"/>
        </w:rPr>
        <w:t>as</w:t>
      </w:r>
      <w:r>
        <w:rPr>
          <w:rFonts w:ascii="Times New Roman" w:hAnsi="Times New Roman"/>
          <w:sz w:val="24"/>
          <w:szCs w:val="24"/>
        </w:rPr>
        <w:t xml:space="preserve"> centriem, arī attālākajiem reģioniem. Turklāt tām ir arī cilvēku kritiskā masa, kuri tiks aicināti izmantot inovācij</w:t>
      </w:r>
      <w:r w:rsidR="008F158A">
        <w:rPr>
          <w:rFonts w:ascii="Times New Roman" w:hAnsi="Times New Roman"/>
          <w:sz w:val="24"/>
          <w:szCs w:val="24"/>
        </w:rPr>
        <w:t>as</w:t>
      </w:r>
      <w:r>
        <w:rPr>
          <w:rFonts w:ascii="Times New Roman" w:hAnsi="Times New Roman"/>
          <w:sz w:val="24"/>
          <w:szCs w:val="24"/>
        </w:rPr>
        <w:t xml:space="preserve"> centrus. Pašvaldību stratēģiskajos plānos ir paredzēti ievērojami ieguldījumi, lai tālāk attīstītu inovācij</w:t>
      </w:r>
      <w:r w:rsidR="00462672">
        <w:rPr>
          <w:rFonts w:ascii="Times New Roman" w:hAnsi="Times New Roman"/>
          <w:sz w:val="24"/>
          <w:szCs w:val="24"/>
        </w:rPr>
        <w:t>as</w:t>
      </w:r>
      <w:r>
        <w:rPr>
          <w:rFonts w:ascii="Times New Roman" w:hAnsi="Times New Roman"/>
          <w:sz w:val="24"/>
          <w:szCs w:val="24"/>
        </w:rPr>
        <w:t xml:space="preserve"> centrus par nozīmīgiem spēlētājiem un nodrošinātu to ilgtspējību pēc EEZ un Norvēģijas piešķīrumu finansējuma. Bez tam pašvaldības </w:t>
      </w:r>
      <w:r w:rsidR="00406B0F">
        <w:rPr>
          <w:rFonts w:ascii="Times New Roman" w:hAnsi="Times New Roman"/>
          <w:sz w:val="24"/>
          <w:szCs w:val="24"/>
        </w:rPr>
        <w:t xml:space="preserve">sadarbojas </w:t>
      </w:r>
      <w:r>
        <w:rPr>
          <w:rFonts w:ascii="Times New Roman" w:hAnsi="Times New Roman"/>
          <w:sz w:val="24"/>
          <w:szCs w:val="24"/>
        </w:rPr>
        <w:t>arī ar spēcīgām augstākās izglītības iestādēm savos reģionos, un šo sadarbību var tālāk attīstīt inovācij</w:t>
      </w:r>
      <w:r w:rsidR="00AD3557">
        <w:rPr>
          <w:rFonts w:ascii="Times New Roman" w:hAnsi="Times New Roman"/>
          <w:sz w:val="24"/>
          <w:szCs w:val="24"/>
        </w:rPr>
        <w:t>as</w:t>
      </w:r>
      <w:r>
        <w:rPr>
          <w:rFonts w:ascii="Times New Roman" w:hAnsi="Times New Roman"/>
          <w:sz w:val="24"/>
          <w:szCs w:val="24"/>
        </w:rPr>
        <w:t xml:space="preserve"> centru kontekstā. Ventspils ir izveidojusi stingru sadarbību ar Ventspils Augstskolu (specializācija: IKT, radioastronomija, inženierzinātnes), Cēsis strādā ar Rīgas Tehniskās universitātes </w:t>
      </w:r>
      <w:proofErr w:type="spellStart"/>
      <w:r>
        <w:rPr>
          <w:rFonts w:ascii="Times New Roman" w:hAnsi="Times New Roman"/>
          <w:sz w:val="24"/>
          <w:szCs w:val="24"/>
        </w:rPr>
        <w:t>Cēsu</w:t>
      </w:r>
      <w:proofErr w:type="spellEnd"/>
      <w:r>
        <w:rPr>
          <w:rFonts w:ascii="Times New Roman" w:hAnsi="Times New Roman"/>
          <w:sz w:val="24"/>
          <w:szCs w:val="24"/>
        </w:rPr>
        <w:t xml:space="preserve"> filiāli (specializācija: IKT, elektrotehnika un enerģētika), Liepāja strādā ar Liepājas Universitāti (specializācija: jauno mediju māksla, izglītības zinātne), </w:t>
      </w:r>
      <w:r w:rsidR="003277F1">
        <w:rPr>
          <w:rFonts w:ascii="Times New Roman" w:hAnsi="Times New Roman"/>
          <w:sz w:val="24"/>
          <w:szCs w:val="24"/>
        </w:rPr>
        <w:t xml:space="preserve">un </w:t>
      </w:r>
      <w:r>
        <w:rPr>
          <w:rFonts w:ascii="Times New Roman" w:hAnsi="Times New Roman"/>
          <w:sz w:val="24"/>
          <w:szCs w:val="24"/>
        </w:rPr>
        <w:t>Daugavpils strādā ar Daugavpils Universitāti (specializācija: dabaszinātnes, izglītības zinātne). Inovācijas centru efektīvākai un ilgtspējīgākai attīstībai tiek veidota spēcīga partnerība ar Norvēģijas inovācij</w:t>
      </w:r>
      <w:r w:rsidR="005E59A2">
        <w:rPr>
          <w:rFonts w:ascii="Times New Roman" w:hAnsi="Times New Roman"/>
          <w:sz w:val="24"/>
          <w:szCs w:val="24"/>
        </w:rPr>
        <w:t>as</w:t>
      </w:r>
      <w:r>
        <w:rPr>
          <w:rFonts w:ascii="Times New Roman" w:hAnsi="Times New Roman"/>
          <w:sz w:val="24"/>
          <w:szCs w:val="24"/>
        </w:rPr>
        <w:t xml:space="preserve"> centriem, kuri organizē </w:t>
      </w:r>
      <w:proofErr w:type="spellStart"/>
      <w:r>
        <w:rPr>
          <w:rFonts w:ascii="Times New Roman" w:hAnsi="Times New Roman"/>
          <w:sz w:val="24"/>
          <w:szCs w:val="24"/>
        </w:rPr>
        <w:t>koprades</w:t>
      </w:r>
      <w:proofErr w:type="spellEnd"/>
      <w:r>
        <w:rPr>
          <w:rFonts w:ascii="Times New Roman" w:hAnsi="Times New Roman"/>
          <w:sz w:val="24"/>
          <w:szCs w:val="24"/>
        </w:rPr>
        <w:t xml:space="preserve"> vietas . Tas sekmēs sinerģiju, veicinot sadarbību starp </w:t>
      </w:r>
      <w:r w:rsidR="000731CF">
        <w:rPr>
          <w:rFonts w:ascii="Times New Roman" w:hAnsi="Times New Roman"/>
          <w:sz w:val="24"/>
          <w:szCs w:val="24"/>
        </w:rPr>
        <w:t xml:space="preserve">institūcijām </w:t>
      </w:r>
      <w:r>
        <w:rPr>
          <w:rFonts w:ascii="Times New Roman" w:hAnsi="Times New Roman"/>
          <w:sz w:val="24"/>
          <w:szCs w:val="24"/>
        </w:rPr>
        <w:t xml:space="preserve">izglītības, pētniecības un darba dzīves jomā. Šādas partnerības veicinās divpusēju sadarbību, daloties pieredzē un </w:t>
      </w:r>
      <w:r w:rsidR="00D153B5">
        <w:rPr>
          <w:rFonts w:ascii="Times New Roman" w:hAnsi="Times New Roman"/>
          <w:sz w:val="24"/>
          <w:szCs w:val="24"/>
        </w:rPr>
        <w:t xml:space="preserve">labajā </w:t>
      </w:r>
      <w:r w:rsidR="009F77F7">
        <w:rPr>
          <w:rFonts w:ascii="Times New Roman" w:hAnsi="Times New Roman"/>
          <w:sz w:val="24"/>
          <w:szCs w:val="24"/>
        </w:rPr>
        <w:t xml:space="preserve"> </w:t>
      </w:r>
      <w:r>
        <w:rPr>
          <w:rFonts w:ascii="Times New Roman" w:hAnsi="Times New Roman"/>
          <w:sz w:val="24"/>
          <w:szCs w:val="24"/>
        </w:rPr>
        <w:t>praksē, kopīgi attīstot inovācij</w:t>
      </w:r>
      <w:r w:rsidR="00DC0C21">
        <w:rPr>
          <w:rFonts w:ascii="Times New Roman" w:hAnsi="Times New Roman"/>
          <w:sz w:val="24"/>
          <w:szCs w:val="24"/>
        </w:rPr>
        <w:t>as</w:t>
      </w:r>
      <w:r>
        <w:rPr>
          <w:rFonts w:ascii="Times New Roman" w:hAnsi="Times New Roman"/>
          <w:sz w:val="24"/>
          <w:szCs w:val="24"/>
        </w:rPr>
        <w:t xml:space="preserve"> centru saturu, kā arī īstenojot kopīgas divpusējas aktivitātes (programmas, darbnīcas utt.). </w:t>
      </w:r>
    </w:p>
    <w:p w14:paraId="69D6214F" w14:textId="77777777" w:rsidR="00043C12" w:rsidRDefault="00043C12" w:rsidP="00043C12">
      <w:pPr>
        <w:pStyle w:val="BodyText"/>
        <w:contextualSpacing/>
        <w:jc w:val="both"/>
        <w:rPr>
          <w:rFonts w:ascii="Times New Roman" w:hAnsi="Times New Roman"/>
          <w:sz w:val="24"/>
          <w:szCs w:val="24"/>
        </w:rPr>
      </w:pPr>
    </w:p>
    <w:p w14:paraId="56C8CBF5" w14:textId="77777777" w:rsidR="00043C12" w:rsidRPr="00790AF3" w:rsidRDefault="00043C12" w:rsidP="00043C12">
      <w:pPr>
        <w:pStyle w:val="BodyText"/>
        <w:spacing w:after="0"/>
        <w:contextualSpacing/>
        <w:jc w:val="both"/>
        <w:rPr>
          <w:rFonts w:ascii="Times New Roman" w:hAnsi="Times New Roman"/>
          <w:b/>
          <w:sz w:val="24"/>
          <w:szCs w:val="24"/>
        </w:rPr>
      </w:pPr>
      <w:r>
        <w:rPr>
          <w:rFonts w:ascii="Times New Roman" w:hAnsi="Times New Roman"/>
          <w:b/>
          <w:sz w:val="24"/>
          <w:szCs w:val="24"/>
        </w:rPr>
        <w:t xml:space="preserve">3. Programmas struktūra </w:t>
      </w:r>
    </w:p>
    <w:p w14:paraId="7045644C" w14:textId="59052F20" w:rsidR="00043C12" w:rsidRPr="00790AF3" w:rsidRDefault="00043C12" w:rsidP="00043C12">
      <w:pPr>
        <w:contextualSpacing/>
        <w:jc w:val="both"/>
      </w:pPr>
      <w:r>
        <w:t>Programma finansēs kopīgus pētniecības projektus, mobilitātes projektus augstākās izglītības jomā, kā arī atbalstu inovācij</w:t>
      </w:r>
      <w:r w:rsidR="00094227">
        <w:t>as</w:t>
      </w:r>
      <w:r>
        <w:t xml:space="preserve"> centriem četros Latvijas reģionos.</w:t>
      </w:r>
    </w:p>
    <w:p w14:paraId="31259FD6" w14:textId="594EB8F4" w:rsidR="00043C12" w:rsidRPr="00790AF3" w:rsidRDefault="00D15DCF" w:rsidP="00043C12">
      <w:pPr>
        <w:contextualSpacing/>
        <w:jc w:val="both"/>
      </w:pPr>
      <w:r>
        <w:t>B</w:t>
      </w:r>
      <w:r w:rsidR="008D52EF">
        <w:t>ūs</w:t>
      </w:r>
      <w:r>
        <w:t xml:space="preserve"> </w:t>
      </w:r>
      <w:r w:rsidR="00043C12">
        <w:t>viens atklātais konkurss pētniecībai un viens atklātais konkurss stipendijām. Turklāt būs četri iepriekš noteiktie projekti inovācij</w:t>
      </w:r>
      <w:r>
        <w:t>as</w:t>
      </w:r>
      <w:r w:rsidR="00043C12">
        <w:t xml:space="preserve"> centriem.</w:t>
      </w:r>
    </w:p>
    <w:p w14:paraId="0B71A1B2" w14:textId="77777777" w:rsidR="00043C12" w:rsidRPr="00E56240" w:rsidRDefault="00043C12" w:rsidP="00043C12">
      <w:pPr>
        <w:contextualSpacing/>
        <w:jc w:val="both"/>
      </w:pPr>
    </w:p>
    <w:p w14:paraId="2154F20C" w14:textId="77777777" w:rsidR="00043C12" w:rsidRPr="00790AF3" w:rsidRDefault="00043C12" w:rsidP="00043C12">
      <w:pPr>
        <w:contextualSpacing/>
        <w:jc w:val="both"/>
        <w:rPr>
          <w:b/>
        </w:rPr>
      </w:pPr>
      <w:r>
        <w:rPr>
          <w:b/>
        </w:rPr>
        <w:t>Baltijas pētniecības programma</w:t>
      </w:r>
    </w:p>
    <w:p w14:paraId="52D67BAB" w14:textId="3C1A4447" w:rsidR="00043C12" w:rsidRPr="00790AF3" w:rsidRDefault="00043C12" w:rsidP="00043C12">
      <w:pPr>
        <w:contextualSpacing/>
        <w:jc w:val="both"/>
      </w:pPr>
      <w:r>
        <w:lastRenderedPageBreak/>
        <w:t xml:space="preserve">Programma finansēs kopīgus pētniecības projektus fundamentālajiem un lietišķajiem pētījumiem. Programmas komiteja sniegs konsultācijas par tematisko jomu sarakstu katra atklātā konkursa ietvaros. Tiks </w:t>
      </w:r>
      <w:r w:rsidR="004F2547">
        <w:t xml:space="preserve">veicināta </w:t>
      </w:r>
      <w:r>
        <w:t xml:space="preserve">spēcīga sinerģija ar </w:t>
      </w:r>
      <w:proofErr w:type="spellStart"/>
      <w:r>
        <w:t>NordForsk</w:t>
      </w:r>
      <w:proofErr w:type="spellEnd"/>
      <w:r>
        <w:t xml:space="preserve"> un citām Baltijas un Ziemeļvalstu programmām/platformām (piemēram, "</w:t>
      </w:r>
      <w:proofErr w:type="spellStart"/>
      <w:r>
        <w:t>Baltic</w:t>
      </w:r>
      <w:proofErr w:type="spellEnd"/>
      <w:r>
        <w:t xml:space="preserve"> </w:t>
      </w:r>
      <w:proofErr w:type="spellStart"/>
      <w:r>
        <w:t>Science</w:t>
      </w:r>
      <w:proofErr w:type="spellEnd"/>
      <w:r>
        <w:t xml:space="preserve"> </w:t>
      </w:r>
      <w:proofErr w:type="spellStart"/>
      <w:r>
        <w:t>Network</w:t>
      </w:r>
      <w:proofErr w:type="spellEnd"/>
      <w:r>
        <w:t>"/</w:t>
      </w:r>
      <w:proofErr w:type="spellStart"/>
      <w:r>
        <w:t>Interreg</w:t>
      </w:r>
      <w:proofErr w:type="spellEnd"/>
      <w:r>
        <w:t xml:space="preserve">), tai skaitā izskatot, vai programma var finansēt ar </w:t>
      </w:r>
      <w:proofErr w:type="spellStart"/>
      <w:r>
        <w:t>NordForsk</w:t>
      </w:r>
      <w:proofErr w:type="spellEnd"/>
      <w:r>
        <w:t xml:space="preserve"> saistītās aktivitātes, kā arī atklāto konkursu saskaņošana un popularizēšana. Programmas komiteja konsultēs par šiem jautājumiem. </w:t>
      </w:r>
    </w:p>
    <w:p w14:paraId="095329A3" w14:textId="09AE9AA9" w:rsidR="00043C12" w:rsidRPr="00790AF3" w:rsidRDefault="00043C12" w:rsidP="00043C12">
      <w:pPr>
        <w:jc w:val="both"/>
      </w:pPr>
      <w:r>
        <w:t xml:space="preserve">Katrā Baltijas valstī notiks viens atsevišķs atklātais pētniecības konkurss (kopumā būs trīs atklātie konkursi). Igaunija izsludināja atklāto konkursu 2018. gadā, Latvija un Lietuva </w:t>
      </w:r>
      <w:r w:rsidR="00D274A8">
        <w:t xml:space="preserve">tos </w:t>
      </w:r>
      <w:r>
        <w:t xml:space="preserve">sludinās </w:t>
      </w:r>
      <w:r w:rsidR="00D274A8">
        <w:t xml:space="preserve">secīgi </w:t>
      </w:r>
      <w:r>
        <w:t>2019./2020. gadā. Katrai Baltijas valstij iedalītais  finansējums</w:t>
      </w:r>
      <w:r w:rsidR="0034355D">
        <w:t xml:space="preserve"> </w:t>
      </w:r>
      <w:r>
        <w:t xml:space="preserve">tiks iekļauts katrā no attiecīgajiem atklātajiem konkursiem. Projekta budžets attieksies uz visiem partneriem. Pretendenti, kuriem ir tiesības piedalīties programmā, ir Latvijā reģistrētās pētniecības organizācijas, kā noteikts ES Nostādnēs par valsts atbalstu pētniecībai, izstrādei un inovācijai (2014/C 198/01). </w:t>
      </w:r>
      <w:r w:rsidR="002369FD">
        <w:t>Kopīg</w:t>
      </w:r>
      <w:r w:rsidR="00187510">
        <w:t>os</w:t>
      </w:r>
      <w:r w:rsidR="002369FD" w:rsidRPr="002369FD">
        <w:t xml:space="preserve"> </w:t>
      </w:r>
      <w:r w:rsidR="002369FD">
        <w:t>p</w:t>
      </w:r>
      <w:r w:rsidR="002369FD" w:rsidRPr="002369FD">
        <w:t>ētniecības projektos var finansēt</w:t>
      </w:r>
      <w:r w:rsidR="002369FD">
        <w:t xml:space="preserve"> d</w:t>
      </w:r>
      <w:r>
        <w:t>oktorantūras student</w:t>
      </w:r>
      <w:r w:rsidR="00187510">
        <w:t>us</w:t>
      </w:r>
      <w:r>
        <w:t>, doktorant</w:t>
      </w:r>
      <w:r w:rsidR="00187510">
        <w:t>us</w:t>
      </w:r>
      <w:r>
        <w:t xml:space="preserve"> un </w:t>
      </w:r>
      <w:proofErr w:type="spellStart"/>
      <w:r>
        <w:rPr>
          <w:bCs/>
          <w:shd w:val="clear" w:color="auto" w:fill="FFFFFF"/>
        </w:rPr>
        <w:t>pēcdoktorantūras</w:t>
      </w:r>
      <w:proofErr w:type="spellEnd"/>
      <w:r>
        <w:rPr>
          <w:bCs/>
          <w:shd w:val="clear" w:color="auto" w:fill="FFFFFF"/>
        </w:rPr>
        <w:t xml:space="preserve"> pētniek</w:t>
      </w:r>
      <w:r w:rsidR="00187510">
        <w:rPr>
          <w:bCs/>
          <w:shd w:val="clear" w:color="auto" w:fill="FFFFFF"/>
        </w:rPr>
        <w:t>us</w:t>
      </w:r>
      <w:r>
        <w:t xml:space="preserve">.   </w:t>
      </w:r>
    </w:p>
    <w:p w14:paraId="567115E0" w14:textId="77777777" w:rsidR="00043C12" w:rsidRPr="00790AF3" w:rsidRDefault="00043C12" w:rsidP="00043C12">
      <w:pPr>
        <w:contextualSpacing/>
        <w:jc w:val="both"/>
      </w:pPr>
      <w:r>
        <w:t xml:space="preserve">Partneri, kam ir tiesības piedalīties programmā, ir: </w:t>
      </w:r>
    </w:p>
    <w:p w14:paraId="4B610D0A" w14:textId="77777777" w:rsidR="00043C12" w:rsidRPr="00790AF3" w:rsidRDefault="00043C12" w:rsidP="00043C12">
      <w:pPr>
        <w:contextualSpacing/>
        <w:jc w:val="both"/>
      </w:pPr>
      <w:r>
        <w:t>- Igaunijā, Latvijā, Lietuvā, Norvēģijā, Islandē vai Lihtenšteinā reģistrētās pētniecības organizācijas, kā noteikts ES Nostādnēs par valsts atbalstu pētniecībai, izstrādei un inovācijai (2014/C 198/01);</w:t>
      </w:r>
    </w:p>
    <w:p w14:paraId="653E0A3A" w14:textId="77777777" w:rsidR="00043C12" w:rsidRPr="00790AF3" w:rsidRDefault="00043C12" w:rsidP="00043C12">
      <w:pPr>
        <w:contextualSpacing/>
        <w:jc w:val="both"/>
      </w:pPr>
      <w:r>
        <w:t>- trešajās valstīs reģistrētās pētniecības organizācijas, kuru galvenais mērķis ir patstāvīgi veikt fundamentālos pētījumus, rūpnieciskos pētījumus vai eksperimentālo izstrādni vai plaši izplatīt šādu aktivitāšu rezultātus mācīšanas, publicēšanas vai zināšanu nodošanas veidā, ir partneri, kam ir tiesības piedalīties programmā, bet kas nevar saņemt finansējumu no projekta piešķīruma.</w:t>
      </w:r>
    </w:p>
    <w:p w14:paraId="181B4BDC" w14:textId="09132D21" w:rsidR="00043C12" w:rsidRPr="00790AF3" w:rsidRDefault="00043C12" w:rsidP="00043C12">
      <w:pPr>
        <w:contextualSpacing/>
        <w:jc w:val="both"/>
      </w:pPr>
      <w:r>
        <w:rPr>
          <w:b/>
        </w:rPr>
        <w:t>Latvijas atklātā konkursa ietvaros</w:t>
      </w:r>
      <w:r>
        <w:t xml:space="preserve"> projektus var iesniegt tikai Latvijas pētniecības organizācijas. Projekta iesniedzējs </w:t>
      </w:r>
      <w:proofErr w:type="spellStart"/>
      <w:r>
        <w:t>piesak</w:t>
      </w:r>
      <w:r w:rsidR="00AA50D1">
        <w:t>a</w:t>
      </w:r>
      <w:r>
        <w:t>s</w:t>
      </w:r>
      <w:proofErr w:type="spellEnd"/>
      <w:r>
        <w:t xml:space="preserve"> </w:t>
      </w:r>
      <w:r w:rsidR="00495F44">
        <w:t>projektu</w:t>
      </w:r>
      <w:r>
        <w:t xml:space="preserve">, kuru veido partneri no vienas vai divām citām Baltijas valstīm un </w:t>
      </w:r>
      <w:proofErr w:type="spellStart"/>
      <w:r>
        <w:t>donorvalstīm</w:t>
      </w:r>
      <w:proofErr w:type="spellEnd"/>
      <w:r>
        <w:t xml:space="preserve">. Projekta partneri no </w:t>
      </w:r>
      <w:proofErr w:type="spellStart"/>
      <w:r>
        <w:t>donorvalstīm</w:t>
      </w:r>
      <w:proofErr w:type="spellEnd"/>
      <w:r>
        <w:t xml:space="preserve"> ir obligāts kritērijs visiem projektiem. Sadarbība ar vismaz vienu partneri no citas Baltijas valsts ir obligāta.</w:t>
      </w:r>
    </w:p>
    <w:p w14:paraId="6A39E2E7" w14:textId="77777777" w:rsidR="00043C12" w:rsidRPr="00790AF3" w:rsidRDefault="00043C12" w:rsidP="00043C12">
      <w:pPr>
        <w:contextualSpacing/>
        <w:jc w:val="both"/>
      </w:pPr>
      <w:r>
        <w:t xml:space="preserve">Projektiem ar vienu partneri no Baltijas valsts un vienu partneri no </w:t>
      </w:r>
      <w:proofErr w:type="spellStart"/>
      <w:r>
        <w:t>donorvalsts</w:t>
      </w:r>
      <w:proofErr w:type="spellEnd"/>
      <w:r>
        <w:t xml:space="preserve"> </w:t>
      </w:r>
      <w:r>
        <w:rPr>
          <w:b/>
        </w:rPr>
        <w:t>projekta piešķīrums</w:t>
      </w:r>
      <w:r>
        <w:t xml:space="preserve"> būs līdz 800 000 €. Pieteikumi ar partneriem no divām citām Baltijas valstīm un vienas </w:t>
      </w:r>
      <w:proofErr w:type="spellStart"/>
      <w:r>
        <w:t>donorvalsts</w:t>
      </w:r>
      <w:proofErr w:type="spellEnd"/>
      <w:r>
        <w:t xml:space="preserve"> var pretendēt uz projekta piešķīrumu līdz 1 000 000 €. </w:t>
      </w:r>
    </w:p>
    <w:p w14:paraId="49C2A9A9" w14:textId="77777777" w:rsidR="00043C12" w:rsidRPr="00790AF3" w:rsidRDefault="00043C12" w:rsidP="00043C12">
      <w:pPr>
        <w:contextualSpacing/>
        <w:jc w:val="both"/>
      </w:pPr>
      <w:r>
        <w:t>Piešķīrumi visiem programmas projektiem var būt līdz 100 % no projekta kopējiem attiecināmajiem izdevumiem. Projekta piešķīruma apjoms visos gadījumos tiek noteikts atbilstoši spēkā esošajiem noteikumiem valsts atbalsta jomā un ievērojot visu citu projektam piešķirto valsts atbalstu.</w:t>
      </w:r>
    </w:p>
    <w:p w14:paraId="4BF387E5" w14:textId="77777777" w:rsidR="00043C12" w:rsidRPr="00790AF3" w:rsidRDefault="00043C12" w:rsidP="00043C12">
      <w:pPr>
        <w:contextualSpacing/>
        <w:jc w:val="both"/>
      </w:pPr>
      <w:r>
        <w:rPr>
          <w:b/>
        </w:rPr>
        <w:t>Projektu ilgums</w:t>
      </w:r>
      <w:r>
        <w:t xml:space="preserve"> ir vismaz trīs gadi ar iespēju pagarināt uz 1 gadu (bez papildu programmas finansējuma).</w:t>
      </w:r>
    </w:p>
    <w:p w14:paraId="58B12B51" w14:textId="77777777" w:rsidR="00043C12" w:rsidRPr="00790AF3" w:rsidRDefault="00043C12" w:rsidP="00043C12">
      <w:pPr>
        <w:contextualSpacing/>
        <w:jc w:val="both"/>
      </w:pPr>
      <w:r>
        <w:t xml:space="preserve">Priekšlikumus novērtē saskaņā ar Pētniecības programmu vadlīnijām. </w:t>
      </w:r>
    </w:p>
    <w:p w14:paraId="1FD79513" w14:textId="77777777" w:rsidR="00043C12" w:rsidRPr="00E56240" w:rsidRDefault="00043C12" w:rsidP="00043C12">
      <w:pPr>
        <w:contextualSpacing/>
        <w:jc w:val="both"/>
        <w:rPr>
          <w:highlight w:val="yellow"/>
        </w:rPr>
      </w:pPr>
    </w:p>
    <w:p w14:paraId="2C7EBACB" w14:textId="77777777" w:rsidR="00043C12" w:rsidRPr="00790AF3" w:rsidRDefault="00043C12" w:rsidP="00043C12">
      <w:pPr>
        <w:contextualSpacing/>
        <w:jc w:val="both"/>
      </w:pPr>
      <w:r>
        <w:rPr>
          <w:b/>
        </w:rPr>
        <w:t xml:space="preserve">Stipendijas </w:t>
      </w:r>
    </w:p>
    <w:p w14:paraId="14D0BCC4" w14:textId="3FB71326" w:rsidR="00043C12" w:rsidRPr="00790AF3" w:rsidRDefault="00043C12" w:rsidP="00043C12">
      <w:pPr>
        <w:contextualSpacing/>
        <w:jc w:val="both"/>
      </w:pPr>
      <w:r>
        <w:t xml:space="preserve">Tiks atbalstītas stipendijas mobilitātes projektiem starp Latvijas un </w:t>
      </w:r>
      <w:proofErr w:type="spellStart"/>
      <w:r>
        <w:t>donorvalstu</w:t>
      </w:r>
      <w:proofErr w:type="spellEnd"/>
      <w:r>
        <w:t xml:space="preserve"> augstākās izglītības un pētniecības iestādēm. Finansējums būs pieejams studentiem, akadēmiskajam un neakadēmiskajam (administratīvajam un tehniskajam) personālam. Projekti, kas izstrādāti sinerģijā ar Baltijas pētniecības programmas projektiem, tiks apstiprināti prioritārā kārtībā. </w:t>
      </w:r>
    </w:p>
    <w:p w14:paraId="26E65577" w14:textId="77777777" w:rsidR="00043C12" w:rsidRPr="00790AF3" w:rsidRDefault="00043C12" w:rsidP="00043C12">
      <w:pPr>
        <w:contextualSpacing/>
        <w:jc w:val="both"/>
        <w:rPr>
          <w:b/>
        </w:rPr>
      </w:pPr>
      <w:r>
        <w:rPr>
          <w:b/>
        </w:rPr>
        <w:t>Atklātie konkursi</w:t>
      </w:r>
    </w:p>
    <w:p w14:paraId="6D697ACA" w14:textId="77777777" w:rsidR="00043C12" w:rsidRDefault="00043C12" w:rsidP="00043C12">
      <w:pPr>
        <w:contextualSpacing/>
        <w:jc w:val="both"/>
      </w:pPr>
      <w:r>
        <w:lastRenderedPageBreak/>
        <w:t xml:space="preserve">Tiks izsludināts viens atklāts konkurss. Konkurss notiks pēc Latvijas pētniecības konkursa, lai nodrošinātu sinerģiju ar pētniecības projektiem. Ja pēc stipendiju konkursa paliek līdzekļi, programmas </w:t>
      </w:r>
      <w:proofErr w:type="spellStart"/>
      <w:r>
        <w:t>apsaimniekotājs</w:t>
      </w:r>
      <w:proofErr w:type="spellEnd"/>
      <w:r>
        <w:t xml:space="preserve"> var izsludināt otru konkursu.</w:t>
      </w:r>
    </w:p>
    <w:p w14:paraId="029878F2" w14:textId="77777777" w:rsidR="00043C12" w:rsidRPr="00790AF3" w:rsidRDefault="00043C12" w:rsidP="00043C12">
      <w:pPr>
        <w:contextualSpacing/>
        <w:jc w:val="both"/>
      </w:pPr>
    </w:p>
    <w:p w14:paraId="2E647C36" w14:textId="77777777" w:rsidR="00043C12" w:rsidRPr="00790AF3" w:rsidRDefault="00043C12" w:rsidP="00043C12">
      <w:pPr>
        <w:contextualSpacing/>
        <w:jc w:val="both"/>
      </w:pPr>
      <w:r>
        <w:rPr>
          <w:b/>
        </w:rPr>
        <w:t>Projektu iesniedzēji</w:t>
      </w:r>
      <w:r>
        <w:t xml:space="preserve"> ir Latvijas augstākās izglītības iestādes. Projekta iesniedzējam jāsadarbojas ar vismaz vienu partneri – augstākās izglītības vai pētniecības iestādi </w:t>
      </w:r>
      <w:proofErr w:type="spellStart"/>
      <w:r>
        <w:t>donorvalstī</w:t>
      </w:r>
      <w:proofErr w:type="spellEnd"/>
      <w:r>
        <w:t xml:space="preserve">. </w:t>
      </w:r>
    </w:p>
    <w:p w14:paraId="5FFDE21C" w14:textId="279E9730" w:rsidR="00043C12" w:rsidRPr="00790AF3" w:rsidRDefault="00043C12" w:rsidP="00043C12">
      <w:pPr>
        <w:contextualSpacing/>
        <w:jc w:val="both"/>
      </w:pPr>
      <w:r>
        <w:rPr>
          <w:b/>
        </w:rPr>
        <w:t xml:space="preserve">Pieteikšanās </w:t>
      </w:r>
      <w:r w:rsidR="0038145C">
        <w:t xml:space="preserve"> stipendijām</w:t>
      </w:r>
      <w:r>
        <w:t xml:space="preserve"> organizē  augstākās izglītības iestā</w:t>
      </w:r>
      <w:r w:rsidR="0038145C">
        <w:t>des</w:t>
      </w:r>
      <w:r>
        <w:t xml:space="preserve"> vai pētniecības organizācij</w:t>
      </w:r>
      <w:r w:rsidR="0038145C">
        <w:t>as</w:t>
      </w:r>
      <w:r>
        <w:t>.</w:t>
      </w:r>
    </w:p>
    <w:p w14:paraId="29D82962" w14:textId="77777777" w:rsidR="00043C12" w:rsidRPr="00790AF3" w:rsidRDefault="00043C12" w:rsidP="00043C12">
      <w:pPr>
        <w:contextualSpacing/>
        <w:jc w:val="both"/>
      </w:pPr>
      <w:r>
        <w:rPr>
          <w:b/>
        </w:rPr>
        <w:t>Projekta piešķīrums</w:t>
      </w:r>
      <w:r>
        <w:t xml:space="preserve"> vienam projektam būs līdz 200 000 €. Stipendijas piešķīrums tiks segts 100 % apmērā.</w:t>
      </w:r>
    </w:p>
    <w:p w14:paraId="64B86CF1" w14:textId="77777777" w:rsidR="00043C12" w:rsidRPr="00790AF3" w:rsidRDefault="00043C12" w:rsidP="00043C12">
      <w:pPr>
        <w:contextualSpacing/>
        <w:jc w:val="both"/>
        <w:rPr>
          <w:b/>
          <w:highlight w:val="yellow"/>
        </w:rPr>
      </w:pPr>
      <w:r>
        <w:rPr>
          <w:b/>
        </w:rPr>
        <w:t>Projekta ilgums</w:t>
      </w:r>
      <w:r>
        <w:t xml:space="preserve"> būs maksimums 30 mēneši.</w:t>
      </w:r>
    </w:p>
    <w:p w14:paraId="12383950" w14:textId="77777777" w:rsidR="00043C12" w:rsidRPr="00E56240" w:rsidRDefault="00043C12" w:rsidP="00043C12">
      <w:pPr>
        <w:contextualSpacing/>
        <w:jc w:val="both"/>
        <w:rPr>
          <w:b/>
        </w:rPr>
      </w:pPr>
    </w:p>
    <w:p w14:paraId="11FB6AC9" w14:textId="0A1AC65C" w:rsidR="00043C12" w:rsidRPr="00790AF3" w:rsidRDefault="00043C12" w:rsidP="00043C12">
      <w:pPr>
        <w:contextualSpacing/>
        <w:jc w:val="both"/>
        <w:rPr>
          <w:b/>
        </w:rPr>
      </w:pPr>
      <w:r>
        <w:rPr>
          <w:b/>
        </w:rPr>
        <w:t>Inovācij</w:t>
      </w:r>
      <w:r w:rsidR="00703934">
        <w:rPr>
          <w:b/>
        </w:rPr>
        <w:t>as</w:t>
      </w:r>
      <w:r>
        <w:rPr>
          <w:b/>
        </w:rPr>
        <w:t xml:space="preserve"> centri</w:t>
      </w:r>
    </w:p>
    <w:p w14:paraId="753C67C0" w14:textId="40387A8F" w:rsidR="00043C12" w:rsidRPr="0087795A" w:rsidRDefault="00043C12" w:rsidP="00043C12">
      <w:pPr>
        <w:contextualSpacing/>
        <w:jc w:val="both"/>
        <w:rPr>
          <w:b/>
        </w:rPr>
      </w:pPr>
      <w:r>
        <w:rPr>
          <w:b/>
        </w:rPr>
        <w:t>Inovācij</w:t>
      </w:r>
      <w:r w:rsidR="00703934">
        <w:rPr>
          <w:b/>
        </w:rPr>
        <w:t>as</w:t>
      </w:r>
      <w:r>
        <w:rPr>
          <w:b/>
        </w:rPr>
        <w:t xml:space="preserve"> centri tiks sīkāk izstrādāti programmas līguma posmā. Tad būs pieejama sīkāka informācija par aktivitātēm, kas jāveic iepriekš noteikto projektu ietvaros, kā arī Latvijas un divpusējo projektu partneru atlase un lomu. Tādējādi šī koncepcija nesatur stingrus lēmumus par šiem jautājumiem.</w:t>
      </w:r>
    </w:p>
    <w:p w14:paraId="29651C93" w14:textId="77777777" w:rsidR="00043C12" w:rsidRPr="00E56240" w:rsidRDefault="00043C12" w:rsidP="00043C12">
      <w:pPr>
        <w:contextualSpacing/>
        <w:jc w:val="both"/>
      </w:pPr>
    </w:p>
    <w:p w14:paraId="2705F591" w14:textId="51C29032" w:rsidR="00043C12" w:rsidRDefault="00043C12" w:rsidP="00043C12">
      <w:pPr>
        <w:contextualSpacing/>
        <w:jc w:val="both"/>
      </w:pPr>
      <w:r>
        <w:t>Programma finansēs četrus iepriekš noteiktos projektus Cēsīs, Daugavpilī, Liepājā un Ventspilī. Pašvaldības darbosies kā iepriekš noteikto projektu iesniedzējas. Aktivitātes ietvers izglītības programmu un skolotāju mācību kursu, kā arī izstādes materiālu izstrādi. Pārvietojamā demonstrēšanas telpu aprīkojuma izmaksas, kas saistītas ar aktivitātēm inovācij</w:t>
      </w:r>
      <w:r w:rsidR="00703934">
        <w:t>as</w:t>
      </w:r>
      <w:r>
        <w:t xml:space="preserve"> centros, ir attiecināmās izmaksas. Maksimālais šāda aprīkojuma finansējuma apjoms, kas pieejams katram projektam, ir 60 % no kopējām attiecināmajām projekta izmaksām. </w:t>
      </w:r>
    </w:p>
    <w:p w14:paraId="2AAA7E10" w14:textId="77777777" w:rsidR="00043C12" w:rsidRPr="00790AF3" w:rsidRDefault="00043C12" w:rsidP="00043C12">
      <w:pPr>
        <w:contextualSpacing/>
        <w:jc w:val="both"/>
      </w:pPr>
      <w:r>
        <w:t>Piešķīrumi iepriekš noteiktajiem projektiem tiek sadalīti šādi:</w:t>
      </w:r>
    </w:p>
    <w:p w14:paraId="69B3031A" w14:textId="77777777" w:rsidR="00043C12" w:rsidRPr="00790AF3" w:rsidRDefault="00043C12" w:rsidP="00043C12">
      <w:pPr>
        <w:pStyle w:val="ListParagraph"/>
        <w:numPr>
          <w:ilvl w:val="0"/>
          <w:numId w:val="8"/>
        </w:numPr>
        <w:jc w:val="both"/>
        <w:rPr>
          <w:rFonts w:ascii="Times New Roman" w:hAnsi="Times New Roman"/>
          <w:sz w:val="24"/>
          <w:szCs w:val="24"/>
        </w:rPr>
      </w:pPr>
      <w:proofErr w:type="spellStart"/>
      <w:r>
        <w:rPr>
          <w:rFonts w:ascii="Times New Roman" w:hAnsi="Times New Roman"/>
          <w:sz w:val="24"/>
          <w:szCs w:val="24"/>
        </w:rPr>
        <w:t>Cēsu</w:t>
      </w:r>
      <w:proofErr w:type="spellEnd"/>
      <w:r>
        <w:rPr>
          <w:rFonts w:ascii="Times New Roman" w:hAnsi="Times New Roman"/>
          <w:sz w:val="24"/>
          <w:szCs w:val="24"/>
        </w:rPr>
        <w:t xml:space="preserve"> pašvaldība: 1 932 172 €</w:t>
      </w:r>
    </w:p>
    <w:p w14:paraId="138AEDBD" w14:textId="77777777" w:rsidR="00043C12" w:rsidRPr="00790AF3" w:rsidRDefault="00043C12" w:rsidP="00043C12">
      <w:pPr>
        <w:pStyle w:val="ListParagraph"/>
        <w:numPr>
          <w:ilvl w:val="0"/>
          <w:numId w:val="8"/>
        </w:numPr>
        <w:jc w:val="both"/>
        <w:rPr>
          <w:rFonts w:ascii="Times New Roman" w:hAnsi="Times New Roman"/>
          <w:sz w:val="24"/>
          <w:szCs w:val="24"/>
        </w:rPr>
      </w:pPr>
      <w:r>
        <w:rPr>
          <w:rFonts w:ascii="Times New Roman" w:hAnsi="Times New Roman"/>
          <w:sz w:val="24"/>
          <w:szCs w:val="24"/>
        </w:rPr>
        <w:t>Daugavpils pašvaldība: 1 810 444 €</w:t>
      </w:r>
    </w:p>
    <w:p w14:paraId="53CF37B6" w14:textId="77777777" w:rsidR="00043C12" w:rsidRPr="00790AF3" w:rsidRDefault="00043C12" w:rsidP="00043C12">
      <w:pPr>
        <w:pStyle w:val="ListParagraph"/>
        <w:numPr>
          <w:ilvl w:val="0"/>
          <w:numId w:val="8"/>
        </w:numPr>
        <w:jc w:val="both"/>
        <w:rPr>
          <w:rFonts w:ascii="Times New Roman" w:hAnsi="Times New Roman"/>
          <w:sz w:val="24"/>
          <w:szCs w:val="24"/>
        </w:rPr>
      </w:pPr>
      <w:r>
        <w:rPr>
          <w:rFonts w:ascii="Times New Roman" w:hAnsi="Times New Roman"/>
          <w:sz w:val="24"/>
          <w:szCs w:val="24"/>
        </w:rPr>
        <w:t>Liepājas pašvaldība: 887 444 €</w:t>
      </w:r>
    </w:p>
    <w:p w14:paraId="4F9928F8" w14:textId="77777777" w:rsidR="00043C12" w:rsidRPr="00790AF3" w:rsidRDefault="00043C12" w:rsidP="00043C12">
      <w:pPr>
        <w:pStyle w:val="ListParagraph"/>
        <w:numPr>
          <w:ilvl w:val="0"/>
          <w:numId w:val="8"/>
        </w:numPr>
        <w:jc w:val="both"/>
        <w:rPr>
          <w:rFonts w:ascii="Times New Roman" w:hAnsi="Times New Roman"/>
          <w:sz w:val="24"/>
          <w:szCs w:val="24"/>
        </w:rPr>
      </w:pPr>
      <w:r>
        <w:rPr>
          <w:rFonts w:ascii="Times New Roman" w:hAnsi="Times New Roman"/>
          <w:sz w:val="24"/>
          <w:szCs w:val="24"/>
        </w:rPr>
        <w:t>Ventspils pašvaldība: 1 810 508 €</w:t>
      </w:r>
    </w:p>
    <w:p w14:paraId="41C5827E" w14:textId="77777777" w:rsidR="00043C12" w:rsidRPr="00790AF3" w:rsidRDefault="00043C12" w:rsidP="00043C12">
      <w:pPr>
        <w:jc w:val="both"/>
      </w:pPr>
      <w:r>
        <w:rPr>
          <w:b/>
        </w:rPr>
        <w:t>Kopējās attiecināmās izmaksas kopā ar 10 % līdzfinansējumu</w:t>
      </w:r>
      <w:r>
        <w:t xml:space="preserve"> katram projektam ir šādas:</w:t>
      </w:r>
    </w:p>
    <w:p w14:paraId="512BF1CA" w14:textId="77777777" w:rsidR="00043C12" w:rsidRPr="00790AF3" w:rsidRDefault="00043C12" w:rsidP="00043C12">
      <w:pPr>
        <w:pStyle w:val="ListParagraph"/>
        <w:numPr>
          <w:ilvl w:val="0"/>
          <w:numId w:val="8"/>
        </w:numPr>
        <w:jc w:val="both"/>
        <w:rPr>
          <w:rFonts w:ascii="Times New Roman" w:hAnsi="Times New Roman"/>
          <w:sz w:val="24"/>
          <w:szCs w:val="24"/>
        </w:rPr>
      </w:pPr>
      <w:proofErr w:type="spellStart"/>
      <w:r>
        <w:rPr>
          <w:rFonts w:ascii="Times New Roman" w:hAnsi="Times New Roman"/>
          <w:sz w:val="24"/>
          <w:szCs w:val="24"/>
        </w:rPr>
        <w:t>Cēsu</w:t>
      </w:r>
      <w:proofErr w:type="spellEnd"/>
      <w:r>
        <w:rPr>
          <w:rFonts w:ascii="Times New Roman" w:hAnsi="Times New Roman"/>
          <w:sz w:val="24"/>
          <w:szCs w:val="24"/>
        </w:rPr>
        <w:t xml:space="preserve"> pašvaldība: 2 146 856 €</w:t>
      </w:r>
    </w:p>
    <w:p w14:paraId="1DE7C04E" w14:textId="77777777" w:rsidR="00043C12" w:rsidRPr="00790AF3" w:rsidRDefault="00043C12" w:rsidP="00043C12">
      <w:pPr>
        <w:pStyle w:val="ListParagraph"/>
        <w:numPr>
          <w:ilvl w:val="0"/>
          <w:numId w:val="8"/>
        </w:numPr>
        <w:jc w:val="both"/>
        <w:rPr>
          <w:rFonts w:ascii="Times New Roman" w:hAnsi="Times New Roman"/>
          <w:sz w:val="24"/>
          <w:szCs w:val="24"/>
        </w:rPr>
      </w:pPr>
      <w:r>
        <w:rPr>
          <w:rFonts w:ascii="Times New Roman" w:hAnsi="Times New Roman"/>
          <w:sz w:val="24"/>
          <w:szCs w:val="24"/>
        </w:rPr>
        <w:t>Daugavpils pašvaldība: 2 011 605 €</w:t>
      </w:r>
    </w:p>
    <w:p w14:paraId="5EC935B8" w14:textId="77777777" w:rsidR="00043C12" w:rsidRPr="00790AF3" w:rsidRDefault="00043C12" w:rsidP="00043C12">
      <w:pPr>
        <w:pStyle w:val="ListParagraph"/>
        <w:numPr>
          <w:ilvl w:val="0"/>
          <w:numId w:val="8"/>
        </w:numPr>
        <w:jc w:val="both"/>
        <w:rPr>
          <w:rFonts w:ascii="Times New Roman" w:hAnsi="Times New Roman"/>
          <w:sz w:val="24"/>
          <w:szCs w:val="24"/>
        </w:rPr>
      </w:pPr>
      <w:r>
        <w:rPr>
          <w:rFonts w:ascii="Times New Roman" w:hAnsi="Times New Roman"/>
          <w:sz w:val="24"/>
          <w:szCs w:val="24"/>
        </w:rPr>
        <w:t>Liepājas pašvaldība:  986 049 €</w:t>
      </w:r>
    </w:p>
    <w:p w14:paraId="681EB553" w14:textId="77777777" w:rsidR="00043C12" w:rsidRPr="00790AF3" w:rsidRDefault="00043C12" w:rsidP="00043C12">
      <w:pPr>
        <w:pStyle w:val="ListParagraph"/>
        <w:numPr>
          <w:ilvl w:val="0"/>
          <w:numId w:val="8"/>
        </w:numPr>
        <w:jc w:val="both"/>
        <w:rPr>
          <w:rFonts w:ascii="Times New Roman" w:hAnsi="Times New Roman"/>
          <w:sz w:val="24"/>
          <w:szCs w:val="24"/>
        </w:rPr>
      </w:pPr>
      <w:r>
        <w:rPr>
          <w:rFonts w:ascii="Times New Roman" w:hAnsi="Times New Roman"/>
          <w:sz w:val="24"/>
          <w:szCs w:val="24"/>
        </w:rPr>
        <w:t>Ventspils pašvaldība: 2 011 676 €</w:t>
      </w:r>
    </w:p>
    <w:p w14:paraId="7D1F170D" w14:textId="77777777" w:rsidR="00043C12" w:rsidRPr="00790AF3" w:rsidRDefault="00043C12" w:rsidP="00043C12">
      <w:pPr>
        <w:jc w:val="both"/>
      </w:pPr>
      <w:r>
        <w:t xml:space="preserve"> </w:t>
      </w:r>
    </w:p>
    <w:p w14:paraId="2CC44F20" w14:textId="3FAA7C79" w:rsidR="00043C12" w:rsidRPr="00790AF3" w:rsidRDefault="00043C12" w:rsidP="00043C12">
      <w:pPr>
        <w:contextualSpacing/>
        <w:jc w:val="both"/>
      </w:pPr>
      <w:r>
        <w:t xml:space="preserve">Programmas </w:t>
      </w:r>
      <w:proofErr w:type="spellStart"/>
      <w:r>
        <w:t>apsaimniekotājs</w:t>
      </w:r>
      <w:proofErr w:type="spellEnd"/>
      <w:r>
        <w:t xml:space="preserve"> nodrošinās, lai inovācij</w:t>
      </w:r>
      <w:r w:rsidR="00703934">
        <w:t>as</w:t>
      </w:r>
      <w:r>
        <w:t xml:space="preserve"> centri iesniegtu kvalitatīvas stratēģijas, un cieši uzraudzīs ieviešanu. Sadarbības komiteja sniegs konsultācijas un apstiprinās inovācij</w:t>
      </w:r>
      <w:r w:rsidR="00703934">
        <w:t>as</w:t>
      </w:r>
      <w:r>
        <w:t xml:space="preserve"> centru stratēģiskos plānus. </w:t>
      </w:r>
    </w:p>
    <w:p w14:paraId="021C4CC8" w14:textId="77777777" w:rsidR="00043C12" w:rsidRPr="00E56240" w:rsidRDefault="00043C12" w:rsidP="00043C12">
      <w:pPr>
        <w:contextualSpacing/>
        <w:jc w:val="both"/>
        <w:rPr>
          <w:b/>
        </w:rPr>
      </w:pPr>
    </w:p>
    <w:p w14:paraId="12BA3315" w14:textId="77777777" w:rsidR="00043C12" w:rsidRPr="00790AF3" w:rsidRDefault="00043C12" w:rsidP="00043C12">
      <w:pPr>
        <w:contextualSpacing/>
        <w:jc w:val="both"/>
      </w:pPr>
      <w:r>
        <w:t xml:space="preserve">Katrs projekta iesniedzējs nodrošina pieņemamu plānotā projekta gatavības līmeni šādos aspektos: </w:t>
      </w:r>
    </w:p>
    <w:p w14:paraId="0C46565F" w14:textId="159F38FE" w:rsidR="00043C12" w:rsidRPr="00790AF3" w:rsidRDefault="00043C12" w:rsidP="00043C12">
      <w:pPr>
        <w:contextualSpacing/>
        <w:jc w:val="both"/>
      </w:pPr>
      <w:r>
        <w:t>1. inovācij</w:t>
      </w:r>
      <w:r w:rsidR="00AD7754">
        <w:t>as</w:t>
      </w:r>
      <w:r>
        <w:t xml:space="preserve"> centra specializācija, tematiskā ievirze un prioritārā joma, kas ir citāda nekā </w:t>
      </w:r>
      <w:r w:rsidR="0035082E">
        <w:t xml:space="preserve">pārējiem </w:t>
      </w:r>
      <w:r>
        <w:t>inovācij</w:t>
      </w:r>
      <w:r w:rsidR="00AD7754">
        <w:t>as</w:t>
      </w:r>
      <w:r>
        <w:t xml:space="preserve"> centriem, nodrošinot </w:t>
      </w:r>
      <w:proofErr w:type="spellStart"/>
      <w:r>
        <w:t>papildināmību</w:t>
      </w:r>
      <w:proofErr w:type="spellEnd"/>
      <w:r>
        <w:t xml:space="preserve"> un izvairoties no dublēšanās;</w:t>
      </w:r>
    </w:p>
    <w:p w14:paraId="016C254D" w14:textId="185A1934" w:rsidR="00043C12" w:rsidRPr="00790AF3" w:rsidRDefault="00043C12" w:rsidP="00043C12">
      <w:pPr>
        <w:contextualSpacing/>
        <w:jc w:val="both"/>
      </w:pPr>
      <w:r>
        <w:lastRenderedPageBreak/>
        <w:t>2. inovācij</w:t>
      </w:r>
      <w:r w:rsidR="00AD7754">
        <w:t>as</w:t>
      </w:r>
      <w:r>
        <w:t xml:space="preserve"> centra stratēģija, tai skaitā plāns, kā sasniegt primāro </w:t>
      </w:r>
      <w:proofErr w:type="spellStart"/>
      <w:r>
        <w:t>mērķgrupu</w:t>
      </w:r>
      <w:proofErr w:type="spellEnd"/>
      <w:r>
        <w:t>, piemēram, skolotājus, studentus un skolēnus:</w:t>
      </w:r>
    </w:p>
    <w:p w14:paraId="2CDFA396" w14:textId="77777777" w:rsidR="00043C12" w:rsidRPr="00790AF3" w:rsidRDefault="00043C12" w:rsidP="00043C12">
      <w:pPr>
        <w:pStyle w:val="ListParagraph"/>
        <w:numPr>
          <w:ilvl w:val="0"/>
          <w:numId w:val="8"/>
        </w:numPr>
        <w:shd w:val="clear" w:color="auto" w:fill="FFFFFF"/>
        <w:rPr>
          <w:rFonts w:ascii="Times New Roman" w:hAnsi="Times New Roman"/>
          <w:sz w:val="24"/>
          <w:szCs w:val="24"/>
        </w:rPr>
      </w:pPr>
      <w:r>
        <w:rPr>
          <w:rFonts w:ascii="Times New Roman" w:hAnsi="Times New Roman"/>
          <w:sz w:val="24"/>
          <w:szCs w:val="24"/>
        </w:rPr>
        <w:t>izstrādājot jaunas izglītības programmas visiem vecuma līmeņiem;</w:t>
      </w:r>
    </w:p>
    <w:p w14:paraId="1A937635" w14:textId="77777777" w:rsidR="00043C12" w:rsidRPr="00790AF3" w:rsidRDefault="00043C12" w:rsidP="00043C12">
      <w:pPr>
        <w:pStyle w:val="ListParagraph"/>
        <w:numPr>
          <w:ilvl w:val="0"/>
          <w:numId w:val="8"/>
        </w:numPr>
        <w:shd w:val="clear" w:color="auto" w:fill="FFFFFF"/>
        <w:rPr>
          <w:rFonts w:ascii="Times New Roman" w:hAnsi="Times New Roman"/>
          <w:sz w:val="24"/>
          <w:szCs w:val="24"/>
        </w:rPr>
      </w:pPr>
      <w:r>
        <w:rPr>
          <w:rFonts w:ascii="Times New Roman" w:hAnsi="Times New Roman"/>
          <w:sz w:val="24"/>
          <w:szCs w:val="24"/>
        </w:rPr>
        <w:t>organizējot darbnīcas un seminārus skolotājiem;</w:t>
      </w:r>
    </w:p>
    <w:p w14:paraId="262A7D86" w14:textId="77777777" w:rsidR="00043C12" w:rsidRPr="00790AF3" w:rsidRDefault="00043C12" w:rsidP="00043C12">
      <w:pPr>
        <w:pStyle w:val="ListParagraph"/>
        <w:numPr>
          <w:ilvl w:val="0"/>
          <w:numId w:val="8"/>
        </w:numPr>
        <w:shd w:val="clear" w:color="auto" w:fill="FFFFFF"/>
        <w:rPr>
          <w:rFonts w:ascii="Times New Roman" w:hAnsi="Times New Roman"/>
          <w:sz w:val="24"/>
          <w:szCs w:val="24"/>
        </w:rPr>
      </w:pPr>
      <w:r>
        <w:rPr>
          <w:rFonts w:ascii="Times New Roman" w:hAnsi="Times New Roman"/>
          <w:sz w:val="24"/>
          <w:szCs w:val="24"/>
        </w:rPr>
        <w:t>izstrādājot izglītības programmas skolotājiem;</w:t>
      </w:r>
    </w:p>
    <w:p w14:paraId="471E4A98" w14:textId="77777777" w:rsidR="00043C12" w:rsidRPr="00790AF3" w:rsidRDefault="00043C12" w:rsidP="00043C12">
      <w:pPr>
        <w:pStyle w:val="ListParagraph"/>
        <w:numPr>
          <w:ilvl w:val="0"/>
          <w:numId w:val="8"/>
        </w:numPr>
        <w:shd w:val="clear" w:color="auto" w:fill="FFFFFF"/>
        <w:rPr>
          <w:rFonts w:ascii="Times New Roman" w:hAnsi="Times New Roman"/>
          <w:sz w:val="24"/>
          <w:szCs w:val="24"/>
        </w:rPr>
      </w:pPr>
      <w:r>
        <w:rPr>
          <w:rFonts w:ascii="Times New Roman" w:hAnsi="Times New Roman"/>
          <w:sz w:val="24"/>
          <w:szCs w:val="24"/>
        </w:rPr>
        <w:t>organizējot skolēnu, bērnu un ģimeņu darbnīcas un ārpus telpu aktivitātes par konkrētu prioritāro tēmu;</w:t>
      </w:r>
    </w:p>
    <w:p w14:paraId="7020814B" w14:textId="49F70657" w:rsidR="00043C12" w:rsidRPr="00790AF3" w:rsidRDefault="00043C12" w:rsidP="00043C12">
      <w:pPr>
        <w:contextualSpacing/>
        <w:jc w:val="both"/>
      </w:pPr>
      <w:r>
        <w:t>3. inovācij</w:t>
      </w:r>
      <w:r w:rsidR="00AD7754">
        <w:t>as</w:t>
      </w:r>
      <w:r>
        <w:t xml:space="preserve"> centra ilgtspējas plāns nākamajiem trim gadiem;</w:t>
      </w:r>
    </w:p>
    <w:p w14:paraId="2A0D1B20" w14:textId="24BB1F75" w:rsidR="00043C12" w:rsidRPr="00790AF3" w:rsidRDefault="00043C12" w:rsidP="00043C12">
      <w:pPr>
        <w:contextualSpacing/>
        <w:jc w:val="both"/>
        <w:rPr>
          <w:b/>
        </w:rPr>
      </w:pPr>
      <w:r>
        <w:t>4. inovācij</w:t>
      </w:r>
      <w:r w:rsidR="00AD7754">
        <w:t>as</w:t>
      </w:r>
      <w:r>
        <w:t xml:space="preserve"> centram piemērotas telpas, tai skaitā ēku celtniecībai vai renovācijai nepieciešamā finansējuma pieejamība.</w:t>
      </w:r>
      <w:r>
        <w:rPr>
          <w:b/>
        </w:rPr>
        <w:t xml:space="preserve"> </w:t>
      </w:r>
    </w:p>
    <w:p w14:paraId="53D65E49" w14:textId="77777777" w:rsidR="00043C12" w:rsidRPr="00790AF3" w:rsidRDefault="00043C12" w:rsidP="00043C12">
      <w:pPr>
        <w:shd w:val="clear" w:color="auto" w:fill="FFFFFF"/>
      </w:pPr>
    </w:p>
    <w:p w14:paraId="61EBF12E" w14:textId="39B29BE7" w:rsidR="00043C12" w:rsidRPr="00790AF3" w:rsidRDefault="00043C12" w:rsidP="00043C12">
      <w:pPr>
        <w:shd w:val="clear" w:color="auto" w:fill="FFFFFF"/>
        <w:jc w:val="both"/>
      </w:pPr>
      <w:r>
        <w:t>Inovācij</w:t>
      </w:r>
      <w:r w:rsidR="00C51432">
        <w:t>as</w:t>
      </w:r>
      <w:r>
        <w:t xml:space="preserve"> centri:</w:t>
      </w:r>
    </w:p>
    <w:p w14:paraId="339069AC" w14:textId="77777777" w:rsidR="00043C12" w:rsidRPr="00790AF3" w:rsidRDefault="00043C12" w:rsidP="00043C12">
      <w:pPr>
        <w:pStyle w:val="ListParagraph"/>
        <w:numPr>
          <w:ilvl w:val="0"/>
          <w:numId w:val="8"/>
        </w:numPr>
        <w:shd w:val="clear" w:color="auto" w:fill="FFFFFF"/>
        <w:jc w:val="both"/>
        <w:rPr>
          <w:rFonts w:ascii="Times New Roman" w:hAnsi="Times New Roman"/>
          <w:sz w:val="24"/>
          <w:szCs w:val="24"/>
        </w:rPr>
      </w:pPr>
      <w:r>
        <w:rPr>
          <w:rFonts w:ascii="Times New Roman" w:hAnsi="Times New Roman"/>
          <w:sz w:val="24"/>
          <w:szCs w:val="24"/>
        </w:rPr>
        <w:t>nodrošinās piekļuvi saviem pakalpojumiem, izstādēm un citām aktivitātēm (ieskaitot transporta un, ja nepieciešams, citu saistīto izdevumu segšanu) skolām un NVO no visiem valsts reģioniem;</w:t>
      </w:r>
    </w:p>
    <w:p w14:paraId="4632BDE8" w14:textId="77777777" w:rsidR="00043C12" w:rsidRPr="00790AF3" w:rsidRDefault="00043C12" w:rsidP="00043C12">
      <w:pPr>
        <w:pStyle w:val="ListParagraph"/>
        <w:numPr>
          <w:ilvl w:val="0"/>
          <w:numId w:val="8"/>
        </w:numPr>
        <w:shd w:val="clear" w:color="auto" w:fill="FFFFFF"/>
        <w:jc w:val="both"/>
        <w:rPr>
          <w:rFonts w:ascii="Times New Roman" w:hAnsi="Times New Roman"/>
          <w:sz w:val="24"/>
          <w:szCs w:val="24"/>
        </w:rPr>
      </w:pPr>
      <w:r>
        <w:rPr>
          <w:rFonts w:ascii="Times New Roman" w:hAnsi="Times New Roman"/>
          <w:sz w:val="24"/>
          <w:szCs w:val="24"/>
        </w:rPr>
        <w:t xml:space="preserve">ļoti cieši sadarbosies savā starpā – tiks organizētas vismaz divas ikgadējas sanāksmes, lai sagatavotu un koordinētu darba plānus, </w:t>
      </w:r>
      <w:proofErr w:type="spellStart"/>
      <w:r>
        <w:rPr>
          <w:rFonts w:ascii="Times New Roman" w:hAnsi="Times New Roman"/>
          <w:sz w:val="24"/>
          <w:szCs w:val="24"/>
        </w:rPr>
        <w:t>ārpuscentru</w:t>
      </w:r>
      <w:proofErr w:type="spellEnd"/>
      <w:r>
        <w:rPr>
          <w:rFonts w:ascii="Times New Roman" w:hAnsi="Times New Roman"/>
          <w:sz w:val="24"/>
          <w:szCs w:val="24"/>
        </w:rPr>
        <w:t xml:space="preserve"> aktivitātes, rezultātu izplatīšanu utt.;</w:t>
      </w:r>
    </w:p>
    <w:p w14:paraId="23AC3FA1" w14:textId="77777777" w:rsidR="00043C12" w:rsidRPr="00A53A3A" w:rsidRDefault="00043C12" w:rsidP="00043C12">
      <w:pPr>
        <w:pStyle w:val="ListParagraph"/>
        <w:numPr>
          <w:ilvl w:val="0"/>
          <w:numId w:val="8"/>
        </w:numPr>
        <w:shd w:val="clear" w:color="auto" w:fill="FFFFFF"/>
        <w:jc w:val="both"/>
        <w:rPr>
          <w:rFonts w:ascii="Times New Roman" w:hAnsi="Times New Roman"/>
          <w:sz w:val="24"/>
          <w:szCs w:val="24"/>
        </w:rPr>
      </w:pPr>
      <w:r>
        <w:rPr>
          <w:rFonts w:ascii="Times New Roman" w:hAnsi="Times New Roman"/>
          <w:sz w:val="24"/>
          <w:szCs w:val="24"/>
        </w:rPr>
        <w:t xml:space="preserve">sadarbosies ar vismaz vienu </w:t>
      </w:r>
      <w:proofErr w:type="spellStart"/>
      <w:r>
        <w:rPr>
          <w:rFonts w:ascii="Times New Roman" w:hAnsi="Times New Roman"/>
          <w:sz w:val="24"/>
          <w:szCs w:val="24"/>
        </w:rPr>
        <w:t>donorvalsts</w:t>
      </w:r>
      <w:proofErr w:type="spellEnd"/>
      <w:r>
        <w:rPr>
          <w:rFonts w:ascii="Times New Roman" w:hAnsi="Times New Roman"/>
          <w:sz w:val="24"/>
          <w:szCs w:val="24"/>
        </w:rPr>
        <w:t xml:space="preserve"> partneri;</w:t>
      </w:r>
    </w:p>
    <w:p w14:paraId="2211CEDE" w14:textId="77777777" w:rsidR="00043C12" w:rsidRPr="00A53A3A" w:rsidRDefault="00043C12" w:rsidP="00043C12">
      <w:pPr>
        <w:pStyle w:val="ListParagraph"/>
        <w:numPr>
          <w:ilvl w:val="0"/>
          <w:numId w:val="8"/>
        </w:numPr>
        <w:shd w:val="clear" w:color="auto" w:fill="FFFFFF"/>
        <w:jc w:val="both"/>
        <w:rPr>
          <w:rFonts w:ascii="Times New Roman" w:hAnsi="Times New Roman"/>
          <w:sz w:val="24"/>
          <w:szCs w:val="24"/>
        </w:rPr>
      </w:pPr>
      <w:r>
        <w:rPr>
          <w:rFonts w:ascii="Times New Roman" w:hAnsi="Times New Roman"/>
          <w:sz w:val="24"/>
          <w:szCs w:val="24"/>
        </w:rPr>
        <w:t xml:space="preserve">izmantos dažādas darba metodes – jauktos modeļus, </w:t>
      </w:r>
      <w:proofErr w:type="spellStart"/>
      <w:r>
        <w:rPr>
          <w:rFonts w:ascii="Times New Roman" w:hAnsi="Times New Roman"/>
          <w:sz w:val="24"/>
          <w:szCs w:val="24"/>
        </w:rPr>
        <w:t>fokusgrupas</w:t>
      </w:r>
      <w:proofErr w:type="spellEnd"/>
      <w:r>
        <w:rPr>
          <w:rFonts w:ascii="Times New Roman" w:hAnsi="Times New Roman"/>
          <w:sz w:val="24"/>
          <w:szCs w:val="24"/>
        </w:rPr>
        <w:t>, komandas darbu, radošo izglītību, daudzpakāpju izglītību, projekta metodi un darbnīcas, neformālās izglītības metodes, kuru pamatā ir kompetenču izglītība;</w:t>
      </w:r>
    </w:p>
    <w:p w14:paraId="2039EA26" w14:textId="77777777" w:rsidR="00043C12" w:rsidRPr="00A53A3A" w:rsidRDefault="00043C12" w:rsidP="00043C12">
      <w:pPr>
        <w:pStyle w:val="ListParagraph"/>
        <w:numPr>
          <w:ilvl w:val="0"/>
          <w:numId w:val="8"/>
        </w:numPr>
        <w:shd w:val="clear" w:color="auto" w:fill="FFFFFF"/>
        <w:jc w:val="both"/>
        <w:rPr>
          <w:rFonts w:ascii="Times New Roman" w:hAnsi="Times New Roman"/>
          <w:sz w:val="24"/>
          <w:szCs w:val="24"/>
        </w:rPr>
      </w:pPr>
      <w:r>
        <w:rPr>
          <w:rFonts w:ascii="Times New Roman" w:hAnsi="Times New Roman"/>
          <w:sz w:val="24"/>
          <w:szCs w:val="24"/>
        </w:rPr>
        <w:t>darba metodēm izmantos dažādus instrumentus: pārvietojamo aprīkojumu, interneta platformas, Lego ar programmatūru un datorus, viedās tehnoloģijas un sadarbības partneru zināšanas un pieredzi.</w:t>
      </w:r>
    </w:p>
    <w:p w14:paraId="68D882ED" w14:textId="77777777" w:rsidR="00043C12" w:rsidRPr="00E56240" w:rsidRDefault="00043C12" w:rsidP="00043C12">
      <w:pPr>
        <w:contextualSpacing/>
        <w:jc w:val="both"/>
        <w:rPr>
          <w:b/>
        </w:rPr>
      </w:pPr>
    </w:p>
    <w:p w14:paraId="5523B71B" w14:textId="552A38BE" w:rsidR="00043C12" w:rsidRPr="00790AF3" w:rsidRDefault="00043C12" w:rsidP="00043C12">
      <w:pPr>
        <w:contextualSpacing/>
        <w:jc w:val="both"/>
        <w:rPr>
          <w:b/>
        </w:rPr>
      </w:pPr>
      <w:r>
        <w:rPr>
          <w:b/>
        </w:rPr>
        <w:t>At</w:t>
      </w:r>
      <w:r w:rsidR="00FA6592">
        <w:rPr>
          <w:b/>
        </w:rPr>
        <w:t>balstāmās</w:t>
      </w:r>
      <w:r>
        <w:rPr>
          <w:b/>
        </w:rPr>
        <w:t xml:space="preserve"> aktivitātes varētu ietvert:</w:t>
      </w:r>
    </w:p>
    <w:p w14:paraId="56346E0F" w14:textId="77777777" w:rsidR="00043C12" w:rsidRPr="00790AF3" w:rsidRDefault="00043C12" w:rsidP="00043C12">
      <w:pPr>
        <w:ind w:left="284" w:hanging="284"/>
        <w:contextualSpacing/>
        <w:jc w:val="both"/>
      </w:pPr>
      <w:r>
        <w:t xml:space="preserve">1. </w:t>
      </w:r>
      <w:r w:rsidRPr="00B61ABD">
        <w:t>izglītības un mācību programmu izstrāde skolotājiem par to, kā attīstīt skolas vidē tādas vērtības kā zinātkāre, inovācijas un uzņēmējdarbība, kā arī STEM priekšmetu un amatniecības skolotāju</w:t>
      </w:r>
      <w:r>
        <w:t xml:space="preserve"> apmācība, lai palielinātu viņu zināšanas, prasmes un kompetenci kopumā;</w:t>
      </w:r>
    </w:p>
    <w:p w14:paraId="346F1AD4" w14:textId="77777777" w:rsidR="00043C12" w:rsidRPr="00790AF3" w:rsidRDefault="00043C12" w:rsidP="00043C12">
      <w:pPr>
        <w:ind w:left="284" w:hanging="284"/>
        <w:contextualSpacing/>
        <w:jc w:val="both"/>
      </w:pPr>
      <w:r>
        <w:t>2. praktisko darbnīcu, ārpusskolas pasākumu, zinātnisko nometņu izveide STEM, uzņēmējdarbības un inovāciju popularizēšanai, nodrošinot arī nepieciešamo pārvietojamo aprīkojumu un izejmateriālus;</w:t>
      </w:r>
    </w:p>
    <w:p w14:paraId="256507A4" w14:textId="4FCFBCC5" w:rsidR="00043C12" w:rsidRPr="00790AF3" w:rsidRDefault="00043C12" w:rsidP="00043C12">
      <w:pPr>
        <w:ind w:left="284" w:hanging="284"/>
        <w:contextualSpacing/>
        <w:jc w:val="both"/>
      </w:pPr>
      <w:r>
        <w:t>3.  zinātnes un inovācij</w:t>
      </w:r>
      <w:r w:rsidR="00A92720">
        <w:t>as</w:t>
      </w:r>
      <w:r>
        <w:t xml:space="preserve"> </w:t>
      </w:r>
      <w:proofErr w:type="spellStart"/>
      <w:r>
        <w:t>ārpuscentra</w:t>
      </w:r>
      <w:proofErr w:type="spellEnd"/>
      <w:r>
        <w:t xml:space="preserve"> aktivitātes;</w:t>
      </w:r>
    </w:p>
    <w:p w14:paraId="2FE2E324" w14:textId="30D8F770" w:rsidR="00043C12" w:rsidRPr="00790AF3" w:rsidRDefault="00043C12" w:rsidP="00043C12">
      <w:pPr>
        <w:ind w:left="284" w:hanging="284"/>
        <w:contextualSpacing/>
        <w:jc w:val="both"/>
      </w:pPr>
      <w:r>
        <w:t xml:space="preserve">4. </w:t>
      </w:r>
      <w:proofErr w:type="spellStart"/>
      <w:r>
        <w:t>koprades</w:t>
      </w:r>
      <w:proofErr w:type="spellEnd"/>
      <w:r>
        <w:t xml:space="preserve"> vietu (</w:t>
      </w:r>
      <w:proofErr w:type="spellStart"/>
      <w:r>
        <w:rPr>
          <w:i/>
        </w:rPr>
        <w:t>makerspaces</w:t>
      </w:r>
      <w:proofErr w:type="spellEnd"/>
      <w:r>
        <w:t xml:space="preserve">) un </w:t>
      </w:r>
      <w:proofErr w:type="spellStart"/>
      <w:r w:rsidRPr="00CE405F">
        <w:t>koprades</w:t>
      </w:r>
      <w:proofErr w:type="spellEnd"/>
      <w:r w:rsidRPr="00CE405F">
        <w:t xml:space="preserve"> laboratoriju (</w:t>
      </w:r>
      <w:proofErr w:type="spellStart"/>
      <w:r>
        <w:rPr>
          <w:i/>
        </w:rPr>
        <w:t>makerlabs</w:t>
      </w:r>
      <w:proofErr w:type="spellEnd"/>
      <w:r>
        <w:t>) izveide skolēniem ar tematiskajām darbnīcām STEM jomā</w:t>
      </w:r>
      <w:r w:rsidR="007346E1">
        <w:t>s</w:t>
      </w:r>
      <w:r>
        <w:t>;</w:t>
      </w:r>
    </w:p>
    <w:p w14:paraId="2E309746" w14:textId="7B1EACBD" w:rsidR="00043C12" w:rsidRPr="00790AF3" w:rsidRDefault="00043C12" w:rsidP="00043C12">
      <w:pPr>
        <w:ind w:left="284" w:hanging="284"/>
        <w:contextualSpacing/>
        <w:jc w:val="both"/>
      </w:pPr>
      <w:r>
        <w:t xml:space="preserve">5. brīvas pieejas nodrošināšana skolotājiem, studentiem un skolēniem </w:t>
      </w:r>
      <w:proofErr w:type="spellStart"/>
      <w:r>
        <w:t>koprades</w:t>
      </w:r>
      <w:proofErr w:type="spellEnd"/>
      <w:r>
        <w:t xml:space="preserve"> vietām dažād</w:t>
      </w:r>
      <w:r w:rsidR="00CF5D28">
        <w:t>ās</w:t>
      </w:r>
      <w:r>
        <w:t xml:space="preserve"> nozar</w:t>
      </w:r>
      <w:r w:rsidR="00CF5D28">
        <w:t>ēs</w:t>
      </w:r>
      <w:r>
        <w:t xml:space="preserve">, </w:t>
      </w:r>
      <w:r w:rsidR="00CF5D28">
        <w:t xml:space="preserve">digitālo </w:t>
      </w:r>
      <w:r>
        <w:t xml:space="preserve">un </w:t>
      </w:r>
      <w:r w:rsidR="00CF5D28">
        <w:t>tehnisko darbnīcu veidā</w:t>
      </w:r>
      <w:r>
        <w:t>;</w:t>
      </w:r>
    </w:p>
    <w:p w14:paraId="19281EF1" w14:textId="77777777" w:rsidR="00043C12" w:rsidRPr="00790AF3" w:rsidRDefault="00043C12" w:rsidP="00043C12">
      <w:pPr>
        <w:ind w:left="284" w:hanging="284"/>
        <w:contextualSpacing/>
        <w:jc w:val="both"/>
      </w:pPr>
      <w:r>
        <w:t>6. biznesa ideju veicināšanas pasākumu organizēšana skolēniem un studentiem, lai palīdzētu viņiem pārbaudīt savas agrīnā stadijā esošās biznesa idejas un piesaistīt potenciālos partnerus un investorus;</w:t>
      </w:r>
    </w:p>
    <w:p w14:paraId="3337B41B" w14:textId="62D5D528" w:rsidR="00043C12" w:rsidRPr="00790AF3" w:rsidRDefault="00043C12" w:rsidP="00043C12">
      <w:pPr>
        <w:ind w:left="284" w:hanging="284"/>
        <w:contextualSpacing/>
        <w:jc w:val="both"/>
      </w:pPr>
      <w:r>
        <w:t>7. ikmēneša darbnīcu, semināru un apmācību organizēšana skolēniem un studentiem, kā arī kopīgu sanāksmju organizēšana uzņēmējiem un profesionālās</w:t>
      </w:r>
      <w:r w:rsidR="007346E1">
        <w:t xml:space="preserve"> un </w:t>
      </w:r>
      <w:r>
        <w:t>augstākās izglītības iestāžu studentiem, kur viņi kopā strādās, ieviesīs inovācijas un apmainīsies ar zināšanām, pieredzi un idejām, attīstīs stažēšanās iespējas;</w:t>
      </w:r>
    </w:p>
    <w:p w14:paraId="7B053E41" w14:textId="405F3B2B" w:rsidR="00043C12" w:rsidRPr="00790AF3" w:rsidRDefault="00043C12" w:rsidP="00043C12">
      <w:pPr>
        <w:ind w:left="284" w:hanging="284"/>
        <w:contextualSpacing/>
        <w:jc w:val="both"/>
      </w:pPr>
      <w:r>
        <w:lastRenderedPageBreak/>
        <w:t>8. interaktīvo un praktisko tematisko izstāžu izstrāde un rīkošana sadarbībā ar augstākās izglītības iestādēm, profesionālās izglītības iestādēm un nozares pārstāvjiem, lai popularizētu STEM jom</w:t>
      </w:r>
      <w:r w:rsidR="00CF5D28">
        <w:t>as</w:t>
      </w:r>
      <w:r>
        <w:t>;</w:t>
      </w:r>
    </w:p>
    <w:p w14:paraId="13324AA3" w14:textId="206DC015" w:rsidR="00043C12" w:rsidRPr="00790AF3" w:rsidRDefault="00043C12" w:rsidP="00043C12">
      <w:pPr>
        <w:ind w:left="284" w:hanging="284"/>
        <w:contextualSpacing/>
        <w:jc w:val="both"/>
      </w:pPr>
      <w:r>
        <w:t>9. inovācij</w:t>
      </w:r>
      <w:r w:rsidR="00CF5D28">
        <w:t>as</w:t>
      </w:r>
      <w:r>
        <w:t xml:space="preserve"> centra ietekmes uz sabiedrību novērtēšana un faktoru analīze, kuri ierobežo efektīvāku STEM, inovāciju un uzņēmējdarbības komunikāciju;</w:t>
      </w:r>
    </w:p>
    <w:p w14:paraId="0B660EFB" w14:textId="77777777" w:rsidR="00043C12" w:rsidRPr="00790AF3" w:rsidRDefault="00043C12" w:rsidP="00043C12">
      <w:pPr>
        <w:ind w:left="284" w:hanging="284"/>
        <w:contextualSpacing/>
        <w:jc w:val="both"/>
      </w:pPr>
      <w:r>
        <w:t>10. cilvēkresursu piesaistes sekmēšana IKT nozarē.</w:t>
      </w:r>
    </w:p>
    <w:p w14:paraId="65597CC3" w14:textId="77777777" w:rsidR="00043C12" w:rsidRPr="00E56240" w:rsidRDefault="00043C12" w:rsidP="00043C12">
      <w:pPr>
        <w:ind w:left="284" w:hanging="284"/>
        <w:contextualSpacing/>
        <w:jc w:val="both"/>
      </w:pPr>
    </w:p>
    <w:p w14:paraId="35142CEB" w14:textId="77777777" w:rsidR="00043C12" w:rsidRPr="00790AF3" w:rsidRDefault="00043C12" w:rsidP="00043C12">
      <w:pPr>
        <w:contextualSpacing/>
        <w:jc w:val="both"/>
      </w:pPr>
      <w:r>
        <w:t>Citas aktivitātes varētu tikt īstenotas, izmantojot projekta partneru pašu finansējumu. Ar visu aktivitāšu īstenošanu tiks nodrošināta spēcīga divpusēja sadarbība.</w:t>
      </w:r>
    </w:p>
    <w:p w14:paraId="620BF24F" w14:textId="77777777" w:rsidR="00043C12" w:rsidRPr="00E56240" w:rsidRDefault="00043C12" w:rsidP="00043C12">
      <w:pPr>
        <w:contextualSpacing/>
        <w:jc w:val="both"/>
        <w:rPr>
          <w:b/>
        </w:rPr>
      </w:pPr>
    </w:p>
    <w:p w14:paraId="7F5BB0B7" w14:textId="77777777" w:rsidR="00043C12" w:rsidRPr="00790AF3" w:rsidRDefault="00043C12" w:rsidP="00043C12">
      <w:pPr>
        <w:contextualSpacing/>
        <w:jc w:val="both"/>
      </w:pPr>
      <w:r>
        <w:rPr>
          <w:b/>
        </w:rPr>
        <w:t>Attiecināmās izmaksas:</w:t>
      </w:r>
    </w:p>
    <w:p w14:paraId="7B974B85" w14:textId="77777777" w:rsidR="00043C12" w:rsidRPr="00790AF3" w:rsidRDefault="00043C12" w:rsidP="00043C12">
      <w:pPr>
        <w:contextualSpacing/>
        <w:jc w:val="both"/>
      </w:pPr>
      <w:r>
        <w:t xml:space="preserve">1. personāla izmaksas, biroja un administratīvās izmaksas, ceļa izdevumi, ārējo ekspertīžu un pakalpojumu izmaksas; </w:t>
      </w:r>
    </w:p>
    <w:p w14:paraId="76393502" w14:textId="77777777" w:rsidR="00043C12" w:rsidRPr="00790AF3" w:rsidRDefault="00043C12" w:rsidP="00043C12">
      <w:pPr>
        <w:contextualSpacing/>
        <w:jc w:val="both"/>
      </w:pPr>
      <w:r>
        <w:t>2. pārvietojamā demonstrēšanas telpu aprīkojuma izmaksas, kas saistītas ar aktivitātēm inovāciju centros (nepārsniedz 60% no katra projekta kopējiem attiecināmajiem izdevumiem).</w:t>
      </w:r>
    </w:p>
    <w:p w14:paraId="0BB38C22" w14:textId="77777777" w:rsidR="00043C12" w:rsidRPr="00E56240" w:rsidRDefault="00043C12" w:rsidP="00043C12">
      <w:pPr>
        <w:contextualSpacing/>
        <w:jc w:val="both"/>
      </w:pPr>
    </w:p>
    <w:p w14:paraId="0213B851" w14:textId="77777777" w:rsidR="00043C12" w:rsidRPr="00790AF3" w:rsidRDefault="00043C12" w:rsidP="00043C12">
      <w:pPr>
        <w:contextualSpacing/>
        <w:jc w:val="both"/>
      </w:pPr>
      <w:r>
        <w:t xml:space="preserve">Izdevumi infrastruktūrai (“stingrie” pasākumi) nav attiecināmi. </w:t>
      </w:r>
    </w:p>
    <w:p w14:paraId="4992A53C" w14:textId="77777777" w:rsidR="00043C12" w:rsidRPr="00E56240" w:rsidRDefault="00043C12" w:rsidP="00043C12">
      <w:pPr>
        <w:contextualSpacing/>
        <w:jc w:val="both"/>
        <w:rPr>
          <w:lang w:val="de-DE"/>
        </w:rPr>
      </w:pPr>
    </w:p>
    <w:p w14:paraId="19D9D647" w14:textId="09501753" w:rsidR="00043C12" w:rsidRDefault="00043C12" w:rsidP="00043C12">
      <w:pPr>
        <w:contextualSpacing/>
        <w:jc w:val="both"/>
      </w:pPr>
      <w:r>
        <w:rPr>
          <w:b/>
        </w:rPr>
        <w:t xml:space="preserve">Projekta partneri </w:t>
      </w:r>
      <w:r>
        <w:t>ir</w:t>
      </w:r>
      <w:r>
        <w:rPr>
          <w:b/>
          <w:bCs/>
        </w:rPr>
        <w:t xml:space="preserve"> </w:t>
      </w:r>
      <w:r>
        <w:t xml:space="preserve">pašvaldības, augstākās izglītības iestādes, zinātniskās iestādes un profesionālās izglītības iestādes. Pašvaldības (Cēsis, Daugavpils, Liepāja, Ventspils) būs projekta iesniedzējas. Projektu iesniedzējiem </w:t>
      </w:r>
      <w:r w:rsidR="004A26DE">
        <w:t xml:space="preserve">kā partneri </w:t>
      </w:r>
      <w:r>
        <w:t xml:space="preserve">ir jāiekļauj arī Latvijas augstākās izglītības un/vai zinātniskās iestādes, kā arī Norvēģijas </w:t>
      </w:r>
      <w:proofErr w:type="spellStart"/>
      <w:r>
        <w:t>koprades</w:t>
      </w:r>
      <w:proofErr w:type="spellEnd"/>
      <w:r>
        <w:t xml:space="preserve"> vietas un inovācij</w:t>
      </w:r>
      <w:r w:rsidR="004A26DE">
        <w:t>as</w:t>
      </w:r>
      <w:r>
        <w:t xml:space="preserve"> centrus. Lai sekmētu programmas īstenošanu un rezultātu sasniegšanu, izvēlas partnerus, tostarp vietējos un Norvēģijas partnerus, kuriem ir ievērojama pieredze, zināšanas un resursi. </w:t>
      </w:r>
    </w:p>
    <w:p w14:paraId="54FE265A" w14:textId="77777777" w:rsidR="00043C12" w:rsidRPr="00E56240" w:rsidRDefault="00043C12" w:rsidP="00043C12">
      <w:pPr>
        <w:contextualSpacing/>
        <w:jc w:val="both"/>
        <w:rPr>
          <w:b/>
        </w:rPr>
      </w:pPr>
    </w:p>
    <w:p w14:paraId="35122C41" w14:textId="5DE87779" w:rsidR="00043C12" w:rsidRPr="00790AF3" w:rsidRDefault="00043C12" w:rsidP="00043C12">
      <w:pPr>
        <w:contextualSpacing/>
        <w:jc w:val="both"/>
      </w:pPr>
      <w:r>
        <w:t>Projekti tiks pabeigti</w:t>
      </w:r>
      <w:r w:rsidR="006028ED">
        <w:t xml:space="preserve"> ne vēlāk kā</w:t>
      </w:r>
      <w:r>
        <w:t xml:space="preserve"> līdz 2024. gada 30. aprīlim.</w:t>
      </w:r>
    </w:p>
    <w:p w14:paraId="15388020" w14:textId="77777777" w:rsidR="00043C12" w:rsidRPr="00E56240" w:rsidRDefault="00043C12" w:rsidP="00043C12">
      <w:pPr>
        <w:contextualSpacing/>
        <w:jc w:val="both"/>
        <w:rPr>
          <w:b/>
          <w:i/>
        </w:rPr>
      </w:pPr>
    </w:p>
    <w:p w14:paraId="3397FC2E" w14:textId="77777777" w:rsidR="00043C12" w:rsidRPr="00790AF3" w:rsidRDefault="00043C12" w:rsidP="00043C12">
      <w:pPr>
        <w:contextualSpacing/>
        <w:jc w:val="both"/>
        <w:rPr>
          <w:b/>
        </w:rPr>
      </w:pPr>
      <w:r>
        <w:rPr>
          <w:b/>
        </w:rPr>
        <w:t xml:space="preserve">Programmas vadība </w:t>
      </w:r>
    </w:p>
    <w:p w14:paraId="68B23F29" w14:textId="42630B68" w:rsidR="00043C12" w:rsidRPr="00790AF3" w:rsidRDefault="0082340C" w:rsidP="00043C12">
      <w:pPr>
        <w:contextualSpacing/>
        <w:jc w:val="both"/>
      </w:pPr>
      <w:r w:rsidRPr="0082340C">
        <w:rPr>
          <w:b/>
          <w:bCs/>
        </w:rPr>
        <w:t xml:space="preserve">Programmas </w:t>
      </w:r>
      <w:proofErr w:type="spellStart"/>
      <w:r w:rsidRPr="0082340C">
        <w:rPr>
          <w:b/>
          <w:bCs/>
        </w:rPr>
        <w:t>apsaimniekotājs</w:t>
      </w:r>
      <w:proofErr w:type="spellEnd"/>
      <w:r w:rsidRPr="0082340C">
        <w:rPr>
          <w:bCs/>
        </w:rPr>
        <w:t xml:space="preserve"> (PA)</w:t>
      </w:r>
      <w:r w:rsidRPr="0082340C">
        <w:t xml:space="preserve"> - Latvijas Republikas Izglītības un zinātnes ministrija - ir atbildīga par programmas sagatavošanu un īstenošanu ciešā sadarbībā ar donoru programmas partneriem un programmas aģentūru. Līdz </w:t>
      </w:r>
      <w:r w:rsidRPr="0082340C">
        <w:rPr>
          <w:rFonts w:eastAsia="Calibri"/>
          <w:lang w:eastAsia="lv-LV"/>
        </w:rPr>
        <w:t>2021.gada 30.jūnijam</w:t>
      </w:r>
      <w:r w:rsidRPr="0082340C">
        <w:rPr>
          <w:rFonts w:eastAsia="Calibri"/>
        </w:rPr>
        <w:t xml:space="preserve"> programmas aģentūras funkcijas pilda Valsts izglītības attīstības aģentūra. N</w:t>
      </w:r>
      <w:r>
        <w:rPr>
          <w:rFonts w:eastAsia="Calibri"/>
        </w:rPr>
        <w:t xml:space="preserve">o 2021.gada 1.jūlija programmas </w:t>
      </w:r>
      <w:r w:rsidRPr="0082340C">
        <w:rPr>
          <w:rFonts w:eastAsia="Calibri"/>
        </w:rPr>
        <w:t>pētniecības aktivitātes īstenošanas aģentūras funkcijas pilda Latvijas zinātnes padome, savukārt programmas stipendiju un inovācijas centru aktivitāšu īstenošanas aģentūras funkcijas pilda Valsts izglītības attīstības aģentūra</w:t>
      </w:r>
      <w:r w:rsidR="00043C12">
        <w:t xml:space="preserve">.  </w:t>
      </w:r>
    </w:p>
    <w:p w14:paraId="192DE88E" w14:textId="77777777" w:rsidR="00043C12" w:rsidRPr="00790AF3" w:rsidRDefault="00043C12" w:rsidP="00043C12">
      <w:pPr>
        <w:contextualSpacing/>
        <w:jc w:val="both"/>
      </w:pPr>
      <w:r>
        <w:t>Visu Baltijas pētniecības programmas atklāto konkursu dokumentāciju kopīgi izstrādās visi trīs Baltijas valstu PA un programmas komiteja, lai nodrošinātu pretendentiem vienādus nosacījumus visos trīs atklātajos konkursos.</w:t>
      </w:r>
    </w:p>
    <w:p w14:paraId="113F4F34" w14:textId="4ACE1BB5" w:rsidR="00043C12" w:rsidRPr="00790AF3" w:rsidRDefault="00043C12" w:rsidP="00043C12">
      <w:pPr>
        <w:contextualSpacing/>
        <w:jc w:val="both"/>
      </w:pPr>
      <w:r>
        <w:t>Atklāto konkursu dokumentāciju stipendiju un inovācij</w:t>
      </w:r>
      <w:r w:rsidR="004D0F55">
        <w:t>as</w:t>
      </w:r>
      <w:r>
        <w:t xml:space="preserve"> centru komponentei izstrādās programmas </w:t>
      </w:r>
      <w:proofErr w:type="spellStart"/>
      <w:r>
        <w:t>apsaimniekotājs</w:t>
      </w:r>
      <w:proofErr w:type="spellEnd"/>
      <w:r>
        <w:t>, koordinējot to ar  sadarbības komiteju.</w:t>
      </w:r>
    </w:p>
    <w:p w14:paraId="44CE3989" w14:textId="6B59FB0C" w:rsidR="00043C12" w:rsidRPr="00790AF3" w:rsidRDefault="00043C12" w:rsidP="00043C12">
      <w:pPr>
        <w:contextualSpacing/>
        <w:jc w:val="both"/>
        <w:rPr>
          <w:b/>
        </w:rPr>
      </w:pPr>
      <w:r>
        <w:rPr>
          <w:b/>
        </w:rPr>
        <w:t>Programmas komiteja</w:t>
      </w:r>
      <w:r>
        <w:t xml:space="preserve"> tiks izveidota kopīgi un sastāvēs no diviem dalībniekiem no Baltijas valsts un diviem dalībniekiem no </w:t>
      </w:r>
      <w:proofErr w:type="spellStart"/>
      <w:r>
        <w:t>donorvalsts</w:t>
      </w:r>
      <w:proofErr w:type="spellEnd"/>
      <w:r>
        <w:t xml:space="preserve"> (kopā astoņi dalībnieki).  Papildus programmas komitejas pienākumiem, kas uzskaitīti Pētniecības programmu vadlīnijās, tās uzdevumos būs koordinēt atklātos konkursus un uzraudzīt programmu; pilnveidot programmu, pieņemot stratēģiskus lēmumus, lai izpildītu programmas vispārējos mērķus, izmantojot atklātos konkursus; noteikt Baltijas pievienoto vērtību; noteikt īpašas prasības katram atklātajam konkursam; noteikt projektu prasības; apsvērt līdzekļu piešķiršanu katrai pētniecības disciplīnai. Programmas komiteja apstiprinās </w:t>
      </w:r>
      <w:r>
        <w:lastRenderedPageBreak/>
        <w:t>projektu atlases kritērijus. Kā minimums, tiem jāsatur kritērijus, kas noteikti Pētniecības programmu vadlīnijās. Projektu pieteikumu atlase notiks saskaņā ar Pētniecības programmu vadlīnijām, kas izstrādātas EEZ un Norvēģijas piešķīrumiem. Programmas komiteja izstrādās vienotu pieeju programmas rezultātu izplatīšanai un papildus nodrošinās kopīgas platformas izveidi</w:t>
      </w:r>
      <w:r w:rsidRPr="00DA4307">
        <w:t xml:space="preserve"> </w:t>
      </w:r>
      <w:r>
        <w:t xml:space="preserve">kopīgu pasākumu un konferenču organizēšanai . Tāpat Programmas komiteja atbalstīs un konsultēs PA visos jautājumos, kas saistīti ar programmas finansēto projektu un aktivitāšu zinātnisko kvalitāti un atbilstību. Programmas komiteja lems par divpusējā fonda izmantošanu pētniecības aktivitātēm. </w:t>
      </w:r>
    </w:p>
    <w:p w14:paraId="368206BA" w14:textId="77777777" w:rsidR="00043C12" w:rsidRPr="00790AF3" w:rsidRDefault="00043C12" w:rsidP="00043C12">
      <w:pPr>
        <w:contextualSpacing/>
        <w:jc w:val="both"/>
      </w:pPr>
      <w:r>
        <w:rPr>
          <w:b/>
        </w:rPr>
        <w:t>Sadarbības komiteja</w:t>
      </w:r>
      <w:r>
        <w:t xml:space="preserve"> (skatīt Izglītības programmu vadlīnijas) sniegs konsultācijas saistībā ar 2. un 3. rezultātu. </w:t>
      </w:r>
    </w:p>
    <w:p w14:paraId="3548CBC3" w14:textId="77777777" w:rsidR="00043C12" w:rsidRPr="00790AF3" w:rsidRDefault="00043C12" w:rsidP="00043C12">
      <w:pPr>
        <w:pStyle w:val="BodyText"/>
        <w:spacing w:after="0"/>
        <w:contextualSpacing/>
        <w:jc w:val="both"/>
        <w:rPr>
          <w:rFonts w:ascii="Times New Roman" w:hAnsi="Times New Roman"/>
          <w:sz w:val="24"/>
          <w:szCs w:val="24"/>
        </w:rPr>
      </w:pPr>
    </w:p>
    <w:p w14:paraId="44BDC88A" w14:textId="77777777" w:rsidR="00043C12" w:rsidRPr="00790AF3" w:rsidRDefault="00043C12" w:rsidP="00043C12">
      <w:pPr>
        <w:contextualSpacing/>
        <w:jc w:val="both"/>
        <w:rPr>
          <w:b/>
        </w:rPr>
      </w:pPr>
      <w:r>
        <w:rPr>
          <w:b/>
        </w:rPr>
        <w:t>4. </w:t>
      </w:r>
      <w:proofErr w:type="spellStart"/>
      <w:r>
        <w:rPr>
          <w:b/>
        </w:rPr>
        <w:t>Mērķgrupas</w:t>
      </w:r>
      <w:proofErr w:type="spellEnd"/>
      <w:r>
        <w:rPr>
          <w:b/>
        </w:rPr>
        <w:t xml:space="preserve"> </w:t>
      </w:r>
    </w:p>
    <w:p w14:paraId="3FC321A9" w14:textId="77777777" w:rsidR="00043C12" w:rsidRPr="00790AF3" w:rsidRDefault="00043C12" w:rsidP="00043C12">
      <w:pPr>
        <w:contextualSpacing/>
        <w:jc w:val="both"/>
        <w:rPr>
          <w:b/>
        </w:rPr>
      </w:pPr>
      <w:r>
        <w:rPr>
          <w:b/>
        </w:rPr>
        <w:t>Baltijas pētniecības programma</w:t>
      </w:r>
    </w:p>
    <w:p w14:paraId="3BEF2DD5" w14:textId="77777777" w:rsidR="00043C12" w:rsidRPr="00790AF3" w:rsidRDefault="00043C12" w:rsidP="00043C12">
      <w:pPr>
        <w:contextualSpacing/>
        <w:jc w:val="both"/>
        <w:rPr>
          <w:iCs/>
        </w:rPr>
      </w:pPr>
      <w:r>
        <w:t xml:space="preserve">Primārā </w:t>
      </w:r>
      <w:proofErr w:type="spellStart"/>
      <w:r>
        <w:t>mērķgrupa</w:t>
      </w:r>
      <w:proofErr w:type="spellEnd"/>
      <w:r>
        <w:t xml:space="preserve"> ir pētniecības organizācijas, kā noteikts ES Nostādnēs par valsts atbalstu pētniecībai, izstrādei un inovācijai (2014/C 198/01). </w:t>
      </w:r>
    </w:p>
    <w:p w14:paraId="61BE0B42" w14:textId="77777777" w:rsidR="00043C12" w:rsidRPr="00790AF3" w:rsidRDefault="00043C12" w:rsidP="00043C12">
      <w:pPr>
        <w:contextualSpacing/>
        <w:jc w:val="both"/>
        <w:rPr>
          <w:iCs/>
        </w:rPr>
      </w:pPr>
      <w:r>
        <w:t xml:space="preserve">Gala saņēmēji ir pētniecības kopiena (tai skaitā doktorantūras studenti, doktoranti un </w:t>
      </w:r>
      <w:proofErr w:type="spellStart"/>
      <w:r>
        <w:t>pēcdoktorantūras</w:t>
      </w:r>
      <w:proofErr w:type="spellEnd"/>
      <w:r>
        <w:t xml:space="preserve"> pētnieki), pētniecības rezultātu lietotāji un sabiedrība kopumā. </w:t>
      </w:r>
    </w:p>
    <w:p w14:paraId="52C2DCBC" w14:textId="77777777" w:rsidR="00043C12" w:rsidRPr="00E56240" w:rsidRDefault="00043C12" w:rsidP="00043C12">
      <w:pPr>
        <w:contextualSpacing/>
        <w:jc w:val="both"/>
        <w:rPr>
          <w:b/>
        </w:rPr>
      </w:pPr>
    </w:p>
    <w:p w14:paraId="189AF882" w14:textId="77777777" w:rsidR="00043C12" w:rsidRPr="00790AF3" w:rsidRDefault="00043C12" w:rsidP="00043C12">
      <w:pPr>
        <w:contextualSpacing/>
        <w:jc w:val="both"/>
        <w:rPr>
          <w:b/>
        </w:rPr>
      </w:pPr>
      <w:r>
        <w:rPr>
          <w:b/>
        </w:rPr>
        <w:t xml:space="preserve">Stipendijas </w:t>
      </w:r>
    </w:p>
    <w:p w14:paraId="0C3C4F66" w14:textId="77777777" w:rsidR="00043C12" w:rsidRPr="00790AF3" w:rsidRDefault="00043C12" w:rsidP="00043C12">
      <w:pPr>
        <w:contextualSpacing/>
        <w:jc w:val="both"/>
        <w:rPr>
          <w:iCs/>
        </w:rPr>
      </w:pPr>
      <w:r>
        <w:t xml:space="preserve">Primārā </w:t>
      </w:r>
      <w:proofErr w:type="spellStart"/>
      <w:r>
        <w:t>mērķgrupa</w:t>
      </w:r>
      <w:proofErr w:type="spellEnd"/>
      <w:r>
        <w:t xml:space="preserve"> ir augstākās izglītības iestādes.</w:t>
      </w:r>
    </w:p>
    <w:p w14:paraId="00BEAA11" w14:textId="77777777" w:rsidR="00043C12" w:rsidRPr="00790AF3" w:rsidRDefault="00043C12" w:rsidP="00043C12">
      <w:pPr>
        <w:contextualSpacing/>
        <w:jc w:val="both"/>
        <w:rPr>
          <w:iCs/>
        </w:rPr>
      </w:pPr>
      <w:r>
        <w:t>Gala saņēmēji ir studenti un personāls (administratīvais un akadēmiskais), nākotnes darba devēji un sabiedrība kopumā.</w:t>
      </w:r>
    </w:p>
    <w:p w14:paraId="2D8EEF85" w14:textId="77777777" w:rsidR="00043C12" w:rsidRPr="00E56240" w:rsidRDefault="00043C12" w:rsidP="00043C12">
      <w:pPr>
        <w:contextualSpacing/>
        <w:jc w:val="both"/>
        <w:rPr>
          <w:b/>
          <w:lang w:eastAsia="en-GB"/>
        </w:rPr>
      </w:pPr>
    </w:p>
    <w:p w14:paraId="5F8794A3" w14:textId="6009D63A" w:rsidR="00043C12" w:rsidRPr="00790AF3" w:rsidRDefault="00043C12" w:rsidP="00043C12">
      <w:pPr>
        <w:contextualSpacing/>
        <w:jc w:val="both"/>
        <w:rPr>
          <w:b/>
        </w:rPr>
      </w:pPr>
      <w:r>
        <w:rPr>
          <w:b/>
        </w:rPr>
        <w:t>Inovācij</w:t>
      </w:r>
      <w:r w:rsidR="0023563E">
        <w:rPr>
          <w:b/>
        </w:rPr>
        <w:t>as</w:t>
      </w:r>
      <w:r>
        <w:rPr>
          <w:b/>
        </w:rPr>
        <w:t xml:space="preserve"> centri</w:t>
      </w:r>
    </w:p>
    <w:p w14:paraId="6F5E15F4" w14:textId="77777777" w:rsidR="00043C12" w:rsidRPr="00790AF3" w:rsidRDefault="00043C12" w:rsidP="00043C12">
      <w:pPr>
        <w:contextualSpacing/>
        <w:jc w:val="both"/>
      </w:pPr>
      <w:r>
        <w:t xml:space="preserve">Primārā </w:t>
      </w:r>
      <w:proofErr w:type="spellStart"/>
      <w:r>
        <w:t>mērķgrupa</w:t>
      </w:r>
      <w:proofErr w:type="spellEnd"/>
      <w:r>
        <w:t xml:space="preserve"> ir skolotāji, studenti un skolēni.</w:t>
      </w:r>
    </w:p>
    <w:p w14:paraId="077D26FB" w14:textId="746C695A" w:rsidR="00043C12" w:rsidRPr="00790AF3" w:rsidRDefault="00043C12" w:rsidP="00043C12">
      <w:pPr>
        <w:contextualSpacing/>
        <w:jc w:val="both"/>
      </w:pPr>
      <w:r>
        <w:t xml:space="preserve">Gala saņēmēji ir sabiedrība kopumā, jo īpaši cilvēki, kas strādā </w:t>
      </w:r>
      <w:r w:rsidR="0023563E">
        <w:t xml:space="preserve">institūcijās </w:t>
      </w:r>
      <w:r>
        <w:t>izglītības, zinātnes un darba dzīves jomā.</w:t>
      </w:r>
    </w:p>
    <w:p w14:paraId="674D300A" w14:textId="77777777" w:rsidR="00043C12" w:rsidRPr="00790AF3" w:rsidRDefault="00043C12" w:rsidP="00043C12">
      <w:pPr>
        <w:pStyle w:val="Heading1"/>
        <w:numPr>
          <w:ilvl w:val="0"/>
          <w:numId w:val="0"/>
        </w:numPr>
        <w:spacing w:before="0"/>
        <w:contextualSpacing/>
        <w:jc w:val="both"/>
        <w:rPr>
          <w:rFonts w:ascii="Times New Roman" w:eastAsia="Times New Roman" w:hAnsi="Times New Roman"/>
          <w:bCs w:val="0"/>
          <w:color w:val="auto"/>
          <w:sz w:val="24"/>
          <w:szCs w:val="24"/>
        </w:rPr>
      </w:pPr>
    </w:p>
    <w:p w14:paraId="1738ED11" w14:textId="77777777" w:rsidR="00043C12" w:rsidRPr="00790AF3" w:rsidRDefault="00043C12" w:rsidP="00043C12">
      <w:pPr>
        <w:pStyle w:val="Heading1"/>
        <w:numPr>
          <w:ilvl w:val="0"/>
          <w:numId w:val="0"/>
        </w:numPr>
        <w:spacing w:before="0"/>
        <w:contextualSpacing/>
        <w:jc w:val="both"/>
        <w:rPr>
          <w:rFonts w:ascii="Times New Roman" w:hAnsi="Times New Roman"/>
          <w:color w:val="auto"/>
          <w:sz w:val="24"/>
          <w:szCs w:val="24"/>
        </w:rPr>
      </w:pPr>
      <w:r>
        <w:rPr>
          <w:rFonts w:ascii="Times New Roman" w:hAnsi="Times New Roman"/>
          <w:bCs w:val="0"/>
          <w:color w:val="auto"/>
          <w:sz w:val="24"/>
          <w:szCs w:val="24"/>
        </w:rPr>
        <w:t>5. Piemērojamie noteikumi valsts atbalsta jomā</w:t>
      </w:r>
    </w:p>
    <w:p w14:paraId="7DEB5B32" w14:textId="77777777" w:rsidR="00043C12" w:rsidRPr="00790AF3" w:rsidRDefault="00043C12" w:rsidP="00043C12">
      <w:pPr>
        <w:contextualSpacing/>
        <w:jc w:val="both"/>
      </w:pPr>
      <w:r>
        <w:t>Baltijas pētniecības programmas aktivitātes tiks finansētas saskaņā ar 2014. gada 17. jūnija Komisijas Regulu (ES) Nr. 651/2014, ar ko noteiktas atbalsta kategorijas atzīst par saderīgām ar iekšējo tirgu, piemērojot Līguma 107. un. 108. pantu.</w:t>
      </w:r>
    </w:p>
    <w:p w14:paraId="49168BF1" w14:textId="77777777" w:rsidR="00043C12" w:rsidRPr="00790AF3" w:rsidRDefault="00043C12" w:rsidP="00043C12">
      <w:pPr>
        <w:contextualSpacing/>
        <w:jc w:val="both"/>
        <w:rPr>
          <w:b/>
        </w:rPr>
      </w:pPr>
      <w:r>
        <w:rPr>
          <w:b/>
        </w:rPr>
        <w:t xml:space="preserve"> </w:t>
      </w:r>
    </w:p>
    <w:p w14:paraId="01038348" w14:textId="77777777" w:rsidR="00043C12" w:rsidRPr="00790AF3" w:rsidRDefault="00043C12" w:rsidP="00043C12">
      <w:pPr>
        <w:contextualSpacing/>
        <w:jc w:val="both"/>
        <w:rPr>
          <w:b/>
        </w:rPr>
      </w:pPr>
      <w:r>
        <w:rPr>
          <w:b/>
        </w:rPr>
        <w:t xml:space="preserve">6. Process, kura rezultātā sagatavota koncepcija </w:t>
      </w:r>
    </w:p>
    <w:p w14:paraId="7ED015C1" w14:textId="4AB6A173" w:rsidR="00043C12" w:rsidRPr="00790AF3" w:rsidRDefault="00043C12" w:rsidP="00043C12">
      <w:pPr>
        <w:pStyle w:val="BodyText"/>
        <w:spacing w:after="0"/>
        <w:contextualSpacing/>
        <w:jc w:val="both"/>
        <w:rPr>
          <w:rFonts w:ascii="Times New Roman" w:hAnsi="Times New Roman"/>
          <w:sz w:val="24"/>
          <w:szCs w:val="24"/>
        </w:rPr>
      </w:pPr>
      <w:r>
        <w:rPr>
          <w:rFonts w:ascii="Times New Roman" w:hAnsi="Times New Roman"/>
          <w:sz w:val="24"/>
          <w:szCs w:val="24"/>
        </w:rPr>
        <w:t xml:space="preserve">Koncepcija izstrādāta ciešā sadarbībā starp trīs Baltijas valstu PA kā arī donoru programmu partneriem (DPP) un Finanšu instrumentu biroju (FIB). Partneri tika uzaicināti piedalīties viens otra pasākumos, </w:t>
      </w:r>
      <w:r w:rsidR="008A780B">
        <w:rPr>
          <w:rFonts w:ascii="Times New Roman" w:hAnsi="Times New Roman"/>
          <w:sz w:val="24"/>
          <w:szCs w:val="24"/>
        </w:rPr>
        <w:t xml:space="preserve">sanāksmēs </w:t>
      </w:r>
      <w:r>
        <w:rPr>
          <w:rFonts w:ascii="Times New Roman" w:hAnsi="Times New Roman"/>
          <w:sz w:val="24"/>
          <w:szCs w:val="24"/>
        </w:rPr>
        <w:t xml:space="preserve">ar ieinteresētajām </w:t>
      </w:r>
      <w:r w:rsidR="008A780B">
        <w:rPr>
          <w:rFonts w:ascii="Times New Roman" w:hAnsi="Times New Roman"/>
          <w:sz w:val="24"/>
          <w:szCs w:val="24"/>
        </w:rPr>
        <w:t xml:space="preserve">pusēm </w:t>
      </w:r>
      <w:r>
        <w:rPr>
          <w:rFonts w:ascii="Times New Roman" w:hAnsi="Times New Roman"/>
          <w:sz w:val="24"/>
          <w:szCs w:val="24"/>
        </w:rPr>
        <w:t xml:space="preserve">un dokumentu sagatavošanas sanāksmēs un sniedza savu ieguldījumu.  2018. gada janvārī tika organizēta </w:t>
      </w:r>
      <w:r w:rsidR="008A780B">
        <w:rPr>
          <w:rFonts w:ascii="Times New Roman" w:hAnsi="Times New Roman"/>
          <w:sz w:val="24"/>
          <w:szCs w:val="24"/>
        </w:rPr>
        <w:t xml:space="preserve">atklāšanas </w:t>
      </w:r>
      <w:r>
        <w:rPr>
          <w:rFonts w:ascii="Times New Roman" w:hAnsi="Times New Roman"/>
          <w:sz w:val="24"/>
          <w:szCs w:val="24"/>
        </w:rPr>
        <w:t xml:space="preserve">sanāksme Rīgā. 2018. gada februārī visas Baltijas valstis tikās ar FIB Briselē, lai precizētu Igaunijas koncepcijas detaļas un </w:t>
      </w:r>
      <w:r w:rsidR="00FA6DC9">
        <w:rPr>
          <w:rFonts w:ascii="Times New Roman" w:hAnsi="Times New Roman"/>
          <w:sz w:val="24"/>
          <w:szCs w:val="24"/>
        </w:rPr>
        <w:t xml:space="preserve">apspriestu </w:t>
      </w:r>
      <w:r>
        <w:rPr>
          <w:rFonts w:ascii="Times New Roman" w:hAnsi="Times New Roman"/>
          <w:sz w:val="24"/>
          <w:szCs w:val="24"/>
        </w:rPr>
        <w:t>konkrētus jautājumus par Latvijas koncepciju. Ieinteresēto pušu sanāksme, kas notika 2018. gada 13. februārī Rīgā (23 dalībnieki Baltijas pētniecības programmai un stipendijām, 36 dalībnieki inovācij</w:t>
      </w:r>
      <w:r w:rsidR="00FA6DC9">
        <w:rPr>
          <w:rFonts w:ascii="Times New Roman" w:hAnsi="Times New Roman"/>
          <w:sz w:val="24"/>
          <w:szCs w:val="24"/>
        </w:rPr>
        <w:t>as</w:t>
      </w:r>
      <w:r>
        <w:rPr>
          <w:rFonts w:ascii="Times New Roman" w:hAnsi="Times New Roman"/>
          <w:sz w:val="24"/>
          <w:szCs w:val="24"/>
        </w:rPr>
        <w:t xml:space="preserve"> centriem), tika izmantota, lai izstrādātu koncepciju un tiks izmantota, lai turpmāk izstrādātu dokumentus atklātajiem konkursiem. Apspriede ar ieinteresētajām pusēm sekmēja dialogu starp pētniekiem, universitāšu, pašvaldību pārstāvjiem un politikas veidotājiem. Apspriedē piedalījās dažādu NVO (piemēram, Latvijas zinātnes centru apvienības, Latvijas Jauno zinātnieku apvienības un Latvijas Universitāšu asociācijas) pārstāvji. Lai pabeigtu koncepcijas izstrādi inovāciju centriem, notika šādas tikšanās: DPP inovāciju centru apmeklējums pirmajā septembra </w:t>
      </w:r>
      <w:r>
        <w:rPr>
          <w:rFonts w:ascii="Times New Roman" w:hAnsi="Times New Roman"/>
          <w:sz w:val="24"/>
          <w:szCs w:val="24"/>
        </w:rPr>
        <w:lastRenderedPageBreak/>
        <w:t xml:space="preserve">nedēļā, 14. septembra tikšanās ar pašvaldībām Briselē, PA–DPP novembra sanāksme Tronheimā un PA–DPP 15. novembra sanāksme Briselē. </w:t>
      </w:r>
    </w:p>
    <w:p w14:paraId="0FDF7A97" w14:textId="77777777" w:rsidR="00043C12" w:rsidRPr="00790AF3" w:rsidRDefault="00043C12" w:rsidP="00043C12">
      <w:pPr>
        <w:pStyle w:val="BodyText"/>
        <w:spacing w:after="0"/>
        <w:contextualSpacing/>
        <w:jc w:val="both"/>
        <w:rPr>
          <w:rFonts w:ascii="Times New Roman" w:hAnsi="Times New Roman"/>
          <w:sz w:val="24"/>
          <w:szCs w:val="24"/>
        </w:rPr>
      </w:pPr>
    </w:p>
    <w:p w14:paraId="0B6E9A0C" w14:textId="77777777" w:rsidR="00043C12" w:rsidRPr="00790AF3" w:rsidRDefault="00043C12" w:rsidP="00043C12">
      <w:pPr>
        <w:contextualSpacing/>
        <w:jc w:val="both"/>
        <w:rPr>
          <w:b/>
        </w:rPr>
      </w:pPr>
      <w:r>
        <w:rPr>
          <w:b/>
        </w:rPr>
        <w:t xml:space="preserve">7. Divpusējās sadarbības mērķi </w:t>
      </w:r>
    </w:p>
    <w:p w14:paraId="2D1871C3" w14:textId="77777777" w:rsidR="00043C12" w:rsidRPr="00790AF3" w:rsidRDefault="00043C12" w:rsidP="00043C12">
      <w:pPr>
        <w:pStyle w:val="BodyText"/>
        <w:spacing w:after="0"/>
        <w:contextualSpacing/>
        <w:jc w:val="both"/>
        <w:rPr>
          <w:rFonts w:ascii="Times New Roman" w:hAnsi="Times New Roman"/>
          <w:sz w:val="24"/>
          <w:szCs w:val="24"/>
        </w:rPr>
      </w:pPr>
      <w:r>
        <w:rPr>
          <w:rFonts w:ascii="Times New Roman" w:hAnsi="Times New Roman"/>
          <w:sz w:val="24"/>
          <w:szCs w:val="24"/>
        </w:rPr>
        <w:t xml:space="preserve">Programma ir skaidri virzīta uz attiecību stiprināšanu starp Baltijas valstīm un DPP institūcijām. Pētniecības projektiem būs obligāta abu pušu līdzdalība. Šī sadarbība ļaus apmainīties ar zināšanām un pieredzi, veidojot ilgtermiņa institucionālo sadarbību. Tā rezultātā palielināsies kopīgu rakstu skaits publicēšanai starptautiskos zinātniski recenzētos žurnālos, kā arī projektos iesaistīto </w:t>
      </w:r>
      <w:proofErr w:type="spellStart"/>
      <w:r>
        <w:rPr>
          <w:rFonts w:ascii="Times New Roman" w:hAnsi="Times New Roman"/>
          <w:sz w:val="24"/>
          <w:szCs w:val="24"/>
        </w:rPr>
        <w:t>donorvalstu</w:t>
      </w:r>
      <w:proofErr w:type="spellEnd"/>
      <w:r>
        <w:rPr>
          <w:rFonts w:ascii="Times New Roman" w:hAnsi="Times New Roman"/>
          <w:sz w:val="24"/>
          <w:szCs w:val="24"/>
        </w:rPr>
        <w:t xml:space="preserve"> pētniecības organizāciju skaits. Papildus attiecību stiprināšanai projektu līmenī programma stratēģiski izmantos divpusējās sadarbības fondu, lai finansētu aktivitātes, kas palīdzēs sekmēt šo jautājumu citos līmeņos.</w:t>
      </w:r>
    </w:p>
    <w:p w14:paraId="1DD1108C" w14:textId="77777777" w:rsidR="00043C12" w:rsidRPr="00790AF3" w:rsidRDefault="00043C12" w:rsidP="00043C12">
      <w:pPr>
        <w:pStyle w:val="BodyText"/>
        <w:spacing w:after="0"/>
        <w:contextualSpacing/>
        <w:jc w:val="both"/>
        <w:rPr>
          <w:rFonts w:ascii="Times New Roman" w:hAnsi="Times New Roman"/>
          <w:sz w:val="24"/>
          <w:szCs w:val="24"/>
        </w:rPr>
      </w:pPr>
      <w:r>
        <w:rPr>
          <w:rFonts w:ascii="Times New Roman" w:hAnsi="Times New Roman"/>
          <w:sz w:val="24"/>
          <w:szCs w:val="24"/>
        </w:rPr>
        <w:t>Divpusējās sadarbības fonda ietvaros tiks atbalstītas šādas aktivitātes (150000 €):</w:t>
      </w:r>
    </w:p>
    <w:p w14:paraId="78748201" w14:textId="77777777" w:rsidR="00043C12" w:rsidRPr="00790AF3" w:rsidRDefault="00043C12" w:rsidP="00043C12">
      <w:pPr>
        <w:pStyle w:val="ListParagraph"/>
        <w:numPr>
          <w:ilvl w:val="0"/>
          <w:numId w:val="2"/>
        </w:numPr>
        <w:spacing w:after="0"/>
        <w:ind w:left="284" w:hanging="284"/>
        <w:jc w:val="both"/>
        <w:rPr>
          <w:rFonts w:ascii="Times New Roman" w:hAnsi="Times New Roman"/>
          <w:sz w:val="24"/>
          <w:szCs w:val="24"/>
        </w:rPr>
      </w:pPr>
      <w:r>
        <w:rPr>
          <w:rFonts w:ascii="Times New Roman" w:hAnsi="Times New Roman"/>
          <w:sz w:val="24"/>
          <w:szCs w:val="24"/>
        </w:rPr>
        <w:t xml:space="preserve">Programmas izstrādes posms: PA, potenciālo projektu iesniedzēju un partneru mācību vizītes uz </w:t>
      </w:r>
      <w:proofErr w:type="spellStart"/>
      <w:r>
        <w:rPr>
          <w:rFonts w:ascii="Times New Roman" w:hAnsi="Times New Roman"/>
          <w:sz w:val="24"/>
          <w:szCs w:val="24"/>
        </w:rPr>
        <w:t>donorvalstīm</w:t>
      </w:r>
      <w:proofErr w:type="spellEnd"/>
      <w:r>
        <w:rPr>
          <w:rFonts w:ascii="Times New Roman" w:hAnsi="Times New Roman"/>
          <w:sz w:val="24"/>
          <w:szCs w:val="24"/>
        </w:rPr>
        <w:t xml:space="preserve">, lai saņemtu informāciju par programmas izstrādi; divpusējas sadarbības </w:t>
      </w:r>
      <w:proofErr w:type="spellStart"/>
      <w:r>
        <w:rPr>
          <w:rFonts w:ascii="Times New Roman" w:hAnsi="Times New Roman"/>
          <w:sz w:val="24"/>
          <w:szCs w:val="24"/>
        </w:rPr>
        <w:t>priekšizpēte</w:t>
      </w:r>
      <w:proofErr w:type="spellEnd"/>
      <w:r>
        <w:rPr>
          <w:rFonts w:ascii="Times New Roman" w:hAnsi="Times New Roman"/>
          <w:sz w:val="24"/>
          <w:szCs w:val="24"/>
        </w:rPr>
        <w:t xml:space="preserve"> un ekspertu konsultācijas par programmas izstrādi; divpusējas (daudzpusējas) apspriedes ar ieinteresētajām personām un veicināšanas pasākumi, lai piesaistītu potenciālos projektu iesniedzējus un partnerus partnerības projektiem.</w:t>
      </w:r>
    </w:p>
    <w:p w14:paraId="28AC5494" w14:textId="77777777" w:rsidR="00043C12" w:rsidRPr="00790AF3" w:rsidRDefault="00043C12" w:rsidP="00043C12">
      <w:pPr>
        <w:pStyle w:val="ListParagraph"/>
        <w:numPr>
          <w:ilvl w:val="0"/>
          <w:numId w:val="2"/>
        </w:numPr>
        <w:spacing w:after="0"/>
        <w:ind w:left="284" w:hanging="284"/>
        <w:jc w:val="both"/>
        <w:rPr>
          <w:rFonts w:ascii="Times New Roman" w:hAnsi="Times New Roman"/>
          <w:sz w:val="24"/>
          <w:szCs w:val="24"/>
        </w:rPr>
      </w:pPr>
      <w:r>
        <w:rPr>
          <w:rFonts w:ascii="Times New Roman" w:hAnsi="Times New Roman"/>
          <w:sz w:val="24"/>
          <w:szCs w:val="24"/>
        </w:rPr>
        <w:t xml:space="preserve">Programmas īstenošanas posms. Atbalsts potenciālo partneru atrašanai </w:t>
      </w:r>
      <w:proofErr w:type="spellStart"/>
      <w:r>
        <w:rPr>
          <w:rFonts w:ascii="Times New Roman" w:hAnsi="Times New Roman"/>
          <w:sz w:val="24"/>
          <w:szCs w:val="24"/>
        </w:rPr>
        <w:t>donorvalstīs</w:t>
      </w:r>
      <w:proofErr w:type="spellEnd"/>
      <w:r>
        <w:rPr>
          <w:rFonts w:ascii="Times New Roman" w:hAnsi="Times New Roman"/>
          <w:sz w:val="24"/>
          <w:szCs w:val="24"/>
        </w:rPr>
        <w:t xml:space="preserve"> un palīdzība pretendentiem projektu pieteikumu sagatavošanā un izstrādē. Pirms pirmā atklātā konkursa rīkošanas tiks organizēts īpašs pasākums, kas iepazīstinās ar programmu un ļaus atrast projekta partnerus. Šajā partnerību veidošanas pasākumā tiks paziņoti programmas mērķi, un pētniekiem būs iespēja iepazīstināt citus ar sevi un savu darbu un izveidot sadarbību ar citiem pētniekiem. </w:t>
      </w:r>
    </w:p>
    <w:p w14:paraId="7635811D" w14:textId="77777777" w:rsidR="00043C12" w:rsidRPr="00790AF3" w:rsidRDefault="00043C12" w:rsidP="00043C12">
      <w:pPr>
        <w:pStyle w:val="ListParagraph"/>
        <w:spacing w:after="0"/>
        <w:ind w:left="284"/>
        <w:jc w:val="both"/>
        <w:rPr>
          <w:rFonts w:ascii="Times New Roman" w:hAnsi="Times New Roman"/>
          <w:sz w:val="24"/>
          <w:szCs w:val="24"/>
        </w:rPr>
      </w:pPr>
    </w:p>
    <w:p w14:paraId="7DA71D15" w14:textId="77777777" w:rsidR="00043C12" w:rsidRPr="00790AF3" w:rsidRDefault="00043C12" w:rsidP="00043C12">
      <w:pPr>
        <w:pStyle w:val="BodyText"/>
        <w:spacing w:after="0"/>
        <w:contextualSpacing/>
        <w:jc w:val="both"/>
        <w:rPr>
          <w:rFonts w:ascii="Times New Roman" w:hAnsi="Times New Roman"/>
          <w:sz w:val="24"/>
          <w:szCs w:val="24"/>
        </w:rPr>
      </w:pPr>
      <w:r>
        <w:rPr>
          <w:rFonts w:ascii="Times New Roman" w:hAnsi="Times New Roman"/>
          <w:sz w:val="24"/>
          <w:szCs w:val="24"/>
        </w:rPr>
        <w:t xml:space="preserve">Partneri ierosina sarīkot atklāšanas pasākumu Igaunijā, </w:t>
      </w:r>
      <w:proofErr w:type="spellStart"/>
      <w:r>
        <w:rPr>
          <w:rFonts w:ascii="Times New Roman" w:hAnsi="Times New Roman"/>
          <w:sz w:val="24"/>
          <w:szCs w:val="24"/>
        </w:rPr>
        <w:t>vidusposma</w:t>
      </w:r>
      <w:proofErr w:type="spellEnd"/>
      <w:r>
        <w:rPr>
          <w:rFonts w:ascii="Times New Roman" w:hAnsi="Times New Roman"/>
          <w:sz w:val="24"/>
          <w:szCs w:val="24"/>
        </w:rPr>
        <w:t xml:space="preserve"> pasākumu Latvijā un noslēguma konferenci Lietuvā. Lai apmeklētu šos pasākumus, pētnieki no </w:t>
      </w:r>
      <w:proofErr w:type="spellStart"/>
      <w:r>
        <w:rPr>
          <w:rFonts w:ascii="Times New Roman" w:hAnsi="Times New Roman"/>
          <w:sz w:val="24"/>
          <w:szCs w:val="24"/>
        </w:rPr>
        <w:t>donorvalstīm</w:t>
      </w:r>
      <w:proofErr w:type="spellEnd"/>
      <w:r>
        <w:rPr>
          <w:rFonts w:ascii="Times New Roman" w:hAnsi="Times New Roman"/>
          <w:sz w:val="24"/>
          <w:szCs w:val="24"/>
        </w:rPr>
        <w:t xml:space="preserve"> varēs saņemt kompensāciju ceļa izdevumiem.</w:t>
      </w:r>
    </w:p>
    <w:p w14:paraId="0F13B009" w14:textId="77C995C6" w:rsidR="00043C12" w:rsidRPr="00790AF3" w:rsidRDefault="00043C12" w:rsidP="00043C12">
      <w:pPr>
        <w:pStyle w:val="BodyText"/>
        <w:spacing w:after="0"/>
        <w:contextualSpacing/>
        <w:jc w:val="both"/>
        <w:rPr>
          <w:rFonts w:ascii="Times New Roman" w:hAnsi="Times New Roman"/>
          <w:sz w:val="24"/>
          <w:szCs w:val="24"/>
        </w:rPr>
      </w:pPr>
      <w:r>
        <w:rPr>
          <w:rFonts w:ascii="Times New Roman" w:hAnsi="Times New Roman"/>
          <w:sz w:val="24"/>
          <w:szCs w:val="24"/>
        </w:rPr>
        <w:t>Pasākumi kapacitātes stiprināšanai, tīklošana</w:t>
      </w:r>
      <w:r w:rsidR="00FA6DC9">
        <w:rPr>
          <w:rFonts w:ascii="Times New Roman" w:hAnsi="Times New Roman"/>
          <w:sz w:val="24"/>
          <w:szCs w:val="24"/>
        </w:rPr>
        <w:t>s</w:t>
      </w:r>
      <w:r>
        <w:rPr>
          <w:rFonts w:ascii="Times New Roman" w:hAnsi="Times New Roman"/>
          <w:sz w:val="24"/>
          <w:szCs w:val="24"/>
        </w:rPr>
        <w:t xml:space="preserve"> un </w:t>
      </w:r>
      <w:r w:rsidR="00FA6DC9">
        <w:rPr>
          <w:rFonts w:ascii="Times New Roman" w:hAnsi="Times New Roman"/>
          <w:sz w:val="24"/>
          <w:szCs w:val="24"/>
        </w:rPr>
        <w:t xml:space="preserve">labās </w:t>
      </w:r>
      <w:r>
        <w:rPr>
          <w:rFonts w:ascii="Times New Roman" w:hAnsi="Times New Roman"/>
          <w:sz w:val="24"/>
          <w:szCs w:val="24"/>
        </w:rPr>
        <w:t xml:space="preserve">prakses apmaiņa starp projektu iesniedzējiem un </w:t>
      </w:r>
      <w:proofErr w:type="spellStart"/>
      <w:r>
        <w:rPr>
          <w:rFonts w:ascii="Times New Roman" w:hAnsi="Times New Roman"/>
          <w:sz w:val="24"/>
          <w:szCs w:val="24"/>
        </w:rPr>
        <w:t>donorvalstu</w:t>
      </w:r>
      <w:proofErr w:type="spellEnd"/>
      <w:r>
        <w:rPr>
          <w:rFonts w:ascii="Times New Roman" w:hAnsi="Times New Roman"/>
          <w:sz w:val="24"/>
          <w:szCs w:val="24"/>
        </w:rPr>
        <w:t xml:space="preserve"> organizācijām, palielin</w:t>
      </w:r>
      <w:r w:rsidR="00FA6DC9">
        <w:rPr>
          <w:rFonts w:ascii="Times New Roman" w:hAnsi="Times New Roman"/>
          <w:sz w:val="24"/>
          <w:szCs w:val="24"/>
        </w:rPr>
        <w:t>ās</w:t>
      </w:r>
      <w:r>
        <w:rPr>
          <w:rFonts w:ascii="Times New Roman" w:hAnsi="Times New Roman"/>
          <w:sz w:val="24"/>
          <w:szCs w:val="24"/>
        </w:rPr>
        <w:t xml:space="preserve"> programmas pievienoto vērtību un nodrošin</w:t>
      </w:r>
      <w:r w:rsidR="004864F9">
        <w:rPr>
          <w:rFonts w:ascii="Times New Roman" w:hAnsi="Times New Roman"/>
          <w:sz w:val="24"/>
          <w:szCs w:val="24"/>
        </w:rPr>
        <w:t>ās</w:t>
      </w:r>
      <w:r>
        <w:rPr>
          <w:rFonts w:ascii="Times New Roman" w:hAnsi="Times New Roman"/>
          <w:sz w:val="24"/>
          <w:szCs w:val="24"/>
        </w:rPr>
        <w:t xml:space="preserve"> Latvijas pētniecības kopienai, pētniecības un attīstības institūcijām un pašvaldībām iespēju nodibināt starptautisk</w:t>
      </w:r>
      <w:r w:rsidR="00FA6DC9">
        <w:rPr>
          <w:rFonts w:ascii="Times New Roman" w:hAnsi="Times New Roman"/>
          <w:sz w:val="24"/>
          <w:szCs w:val="24"/>
        </w:rPr>
        <w:t>a</w:t>
      </w:r>
      <w:r>
        <w:rPr>
          <w:rFonts w:ascii="Times New Roman" w:hAnsi="Times New Roman"/>
          <w:sz w:val="24"/>
          <w:szCs w:val="24"/>
        </w:rPr>
        <w:t xml:space="preserve">s </w:t>
      </w:r>
      <w:r w:rsidR="00FA6DC9">
        <w:rPr>
          <w:rFonts w:ascii="Times New Roman" w:hAnsi="Times New Roman"/>
          <w:sz w:val="24"/>
          <w:szCs w:val="24"/>
        </w:rPr>
        <w:t xml:space="preserve">labās </w:t>
      </w:r>
      <w:r>
        <w:rPr>
          <w:rFonts w:ascii="Times New Roman" w:hAnsi="Times New Roman"/>
          <w:sz w:val="24"/>
          <w:szCs w:val="24"/>
        </w:rPr>
        <w:t>prakses standartus.</w:t>
      </w:r>
    </w:p>
    <w:p w14:paraId="0154F110" w14:textId="4874FE51" w:rsidR="00043C12" w:rsidRPr="00790AF3" w:rsidRDefault="00043C12" w:rsidP="00043C12">
      <w:pPr>
        <w:pStyle w:val="BodyText"/>
        <w:spacing w:after="0"/>
        <w:contextualSpacing/>
        <w:jc w:val="both"/>
        <w:rPr>
          <w:rFonts w:ascii="Times New Roman" w:hAnsi="Times New Roman"/>
          <w:sz w:val="24"/>
          <w:szCs w:val="24"/>
        </w:rPr>
      </w:pPr>
      <w:r>
        <w:rPr>
          <w:rFonts w:ascii="Times New Roman" w:hAnsi="Times New Roman"/>
          <w:sz w:val="24"/>
          <w:szCs w:val="24"/>
        </w:rPr>
        <w:t xml:space="preserve">Aktivitātēm būs konkrēta tematiskā ievirze (piemēram, </w:t>
      </w:r>
      <w:r w:rsidR="004864F9">
        <w:rPr>
          <w:rFonts w:ascii="Times New Roman" w:hAnsi="Times New Roman"/>
          <w:sz w:val="24"/>
          <w:szCs w:val="24"/>
        </w:rPr>
        <w:t>vadība</w:t>
      </w:r>
      <w:r>
        <w:rPr>
          <w:rFonts w:ascii="Times New Roman" w:hAnsi="Times New Roman"/>
          <w:sz w:val="24"/>
          <w:szCs w:val="24"/>
        </w:rPr>
        <w:t xml:space="preserve">, ētika, vērtēšana, finanšu vadība, problēmas vai citas </w:t>
      </w:r>
      <w:proofErr w:type="spellStart"/>
      <w:r>
        <w:rPr>
          <w:rFonts w:ascii="Times New Roman" w:hAnsi="Times New Roman"/>
          <w:sz w:val="24"/>
          <w:szCs w:val="24"/>
        </w:rPr>
        <w:t>mērķgrupas</w:t>
      </w:r>
      <w:proofErr w:type="spellEnd"/>
      <w:r>
        <w:rPr>
          <w:rFonts w:ascii="Times New Roman" w:hAnsi="Times New Roman"/>
          <w:sz w:val="24"/>
          <w:szCs w:val="24"/>
        </w:rPr>
        <w:t xml:space="preserve"> ierosinātās tēmas), un tās organizēs Valsts izglītības attīstības aģentūra </w:t>
      </w:r>
      <w:r w:rsidR="000A59FC">
        <w:rPr>
          <w:rFonts w:ascii="Times New Roman" w:hAnsi="Times New Roman"/>
          <w:sz w:val="24"/>
          <w:szCs w:val="24"/>
        </w:rPr>
        <w:t xml:space="preserve">un Latvijas Zinātnes padome </w:t>
      </w:r>
      <w:r>
        <w:rPr>
          <w:rFonts w:ascii="Times New Roman" w:hAnsi="Times New Roman"/>
          <w:sz w:val="24"/>
          <w:szCs w:val="24"/>
        </w:rPr>
        <w:t xml:space="preserve">ciešā sadarbībā ar programmas </w:t>
      </w:r>
      <w:proofErr w:type="spellStart"/>
      <w:r>
        <w:rPr>
          <w:rFonts w:ascii="Times New Roman" w:hAnsi="Times New Roman"/>
          <w:sz w:val="24"/>
          <w:szCs w:val="24"/>
        </w:rPr>
        <w:t>apsaimniekotājiem</w:t>
      </w:r>
      <w:proofErr w:type="spellEnd"/>
      <w:r>
        <w:rPr>
          <w:rFonts w:ascii="Times New Roman" w:hAnsi="Times New Roman"/>
          <w:sz w:val="24"/>
          <w:szCs w:val="24"/>
        </w:rPr>
        <w:t xml:space="preserve"> no Igaunijas, Latvijas un Lietuvas un </w:t>
      </w:r>
      <w:r w:rsidR="00F66BB7">
        <w:rPr>
          <w:rFonts w:ascii="Times New Roman" w:hAnsi="Times New Roman"/>
          <w:sz w:val="24"/>
          <w:szCs w:val="24"/>
        </w:rPr>
        <w:t xml:space="preserve">programmas </w:t>
      </w:r>
      <w:proofErr w:type="spellStart"/>
      <w:r>
        <w:rPr>
          <w:rFonts w:ascii="Times New Roman" w:hAnsi="Times New Roman"/>
          <w:sz w:val="24"/>
          <w:szCs w:val="24"/>
        </w:rPr>
        <w:t>donorvalstu</w:t>
      </w:r>
      <w:proofErr w:type="spellEnd"/>
      <w:r>
        <w:rPr>
          <w:rFonts w:ascii="Times New Roman" w:hAnsi="Times New Roman"/>
          <w:sz w:val="24"/>
          <w:szCs w:val="24"/>
        </w:rPr>
        <w:t xml:space="preserve"> partneriem. </w:t>
      </w:r>
    </w:p>
    <w:p w14:paraId="32B0913C" w14:textId="0FCFD987" w:rsidR="00043C12" w:rsidRPr="00790AF3" w:rsidRDefault="00043C12" w:rsidP="00043C12">
      <w:pPr>
        <w:pStyle w:val="BodyText"/>
        <w:spacing w:after="0"/>
        <w:contextualSpacing/>
        <w:jc w:val="both"/>
        <w:rPr>
          <w:rFonts w:ascii="Times New Roman" w:hAnsi="Times New Roman"/>
          <w:sz w:val="24"/>
          <w:szCs w:val="24"/>
        </w:rPr>
      </w:pPr>
      <w:r>
        <w:rPr>
          <w:rFonts w:ascii="Times New Roman" w:hAnsi="Times New Roman"/>
          <w:sz w:val="24"/>
          <w:szCs w:val="24"/>
        </w:rPr>
        <w:t xml:space="preserve">Šīs aktivitātes aptvers tādas tēmas kā pētniecības un </w:t>
      </w:r>
      <w:r w:rsidR="00635812">
        <w:rPr>
          <w:rFonts w:ascii="Times New Roman" w:hAnsi="Times New Roman"/>
          <w:sz w:val="24"/>
          <w:szCs w:val="24"/>
        </w:rPr>
        <w:t xml:space="preserve">inovācijas </w:t>
      </w:r>
      <w:r>
        <w:rPr>
          <w:rFonts w:ascii="Times New Roman" w:hAnsi="Times New Roman"/>
          <w:sz w:val="24"/>
          <w:szCs w:val="24"/>
        </w:rPr>
        <w:t xml:space="preserve">programmu izstrāde un īstenošana; atklāto konkursu </w:t>
      </w:r>
      <w:r w:rsidR="00D47035">
        <w:rPr>
          <w:rFonts w:ascii="Times New Roman" w:hAnsi="Times New Roman"/>
          <w:sz w:val="24"/>
          <w:szCs w:val="24"/>
        </w:rPr>
        <w:t xml:space="preserve">organizēšanas  labā </w:t>
      </w:r>
      <w:r>
        <w:rPr>
          <w:rFonts w:ascii="Times New Roman" w:hAnsi="Times New Roman"/>
          <w:sz w:val="24"/>
          <w:szCs w:val="24"/>
        </w:rPr>
        <w:t xml:space="preserve">prakse; starptautiska </w:t>
      </w:r>
      <w:r w:rsidR="00D47035">
        <w:rPr>
          <w:rFonts w:ascii="Times New Roman" w:hAnsi="Times New Roman"/>
          <w:sz w:val="24"/>
          <w:szCs w:val="24"/>
        </w:rPr>
        <w:t xml:space="preserve"> izvērtēšana</w:t>
      </w:r>
      <w:r>
        <w:rPr>
          <w:rFonts w:ascii="Times New Roman" w:hAnsi="Times New Roman"/>
          <w:sz w:val="24"/>
          <w:szCs w:val="24"/>
        </w:rPr>
        <w:t xml:space="preserve">; </w:t>
      </w:r>
      <w:r w:rsidR="00E87C95">
        <w:rPr>
          <w:rFonts w:ascii="Times New Roman" w:hAnsi="Times New Roman"/>
          <w:sz w:val="24"/>
          <w:szCs w:val="24"/>
        </w:rPr>
        <w:t xml:space="preserve">projektu </w:t>
      </w:r>
      <w:r>
        <w:rPr>
          <w:rFonts w:ascii="Times New Roman" w:hAnsi="Times New Roman"/>
          <w:sz w:val="24"/>
          <w:szCs w:val="24"/>
        </w:rPr>
        <w:t xml:space="preserve">apspriešana un </w:t>
      </w:r>
      <w:proofErr w:type="spellStart"/>
      <w:r w:rsidR="00E87C95">
        <w:rPr>
          <w:rFonts w:ascii="Times New Roman" w:hAnsi="Times New Roman"/>
          <w:sz w:val="24"/>
          <w:szCs w:val="24"/>
        </w:rPr>
        <w:t>finanšejuma</w:t>
      </w:r>
      <w:proofErr w:type="spellEnd"/>
      <w:r w:rsidR="00E87C95">
        <w:rPr>
          <w:rFonts w:ascii="Times New Roman" w:hAnsi="Times New Roman"/>
          <w:sz w:val="24"/>
          <w:szCs w:val="24"/>
        </w:rPr>
        <w:t xml:space="preserve"> </w:t>
      </w:r>
      <w:r>
        <w:rPr>
          <w:rFonts w:ascii="Times New Roman" w:hAnsi="Times New Roman"/>
          <w:sz w:val="24"/>
          <w:szCs w:val="24"/>
        </w:rPr>
        <w:t>piešķiršana; projektu vadība; pētniecības projektu valsts un starptautiskais tiesiskais un finanšu regulējums; zināšanu pārvaldība (tostarp intelektuālā īpašuma tiesības, izplatīšana un izmantošana), kā arī projektu un programmu rezultātu pārraudzība.</w:t>
      </w:r>
    </w:p>
    <w:p w14:paraId="3AC07AE6" w14:textId="33D8C445" w:rsidR="00043C12" w:rsidRPr="00790AF3" w:rsidRDefault="00043C12" w:rsidP="00043C12">
      <w:pPr>
        <w:pStyle w:val="BodyText"/>
        <w:spacing w:after="0"/>
        <w:contextualSpacing/>
        <w:jc w:val="both"/>
        <w:rPr>
          <w:rFonts w:ascii="Times New Roman" w:hAnsi="Times New Roman"/>
          <w:sz w:val="24"/>
          <w:szCs w:val="24"/>
        </w:rPr>
      </w:pPr>
      <w:r>
        <w:rPr>
          <w:rFonts w:ascii="Times New Roman" w:hAnsi="Times New Roman"/>
          <w:sz w:val="24"/>
          <w:szCs w:val="24"/>
        </w:rPr>
        <w:t xml:space="preserve">Kapacitātes stiprināšana programmas līmenī – mācību vizītes, tīklošana, apmaiņa, aktivitātes, kuru mērķis ir sadarbības stiprināšana un pieredzes un </w:t>
      </w:r>
      <w:r w:rsidR="00635812">
        <w:rPr>
          <w:rFonts w:ascii="Times New Roman" w:hAnsi="Times New Roman"/>
          <w:sz w:val="24"/>
          <w:szCs w:val="24"/>
        </w:rPr>
        <w:t xml:space="preserve">labās </w:t>
      </w:r>
      <w:r>
        <w:rPr>
          <w:rFonts w:ascii="Times New Roman" w:hAnsi="Times New Roman"/>
          <w:sz w:val="24"/>
          <w:szCs w:val="24"/>
        </w:rPr>
        <w:t xml:space="preserve">prakses apmaiņa starp PA un </w:t>
      </w:r>
      <w:proofErr w:type="spellStart"/>
      <w:r>
        <w:rPr>
          <w:rFonts w:ascii="Times New Roman" w:hAnsi="Times New Roman"/>
          <w:sz w:val="24"/>
          <w:szCs w:val="24"/>
        </w:rPr>
        <w:t>Diku</w:t>
      </w:r>
      <w:proofErr w:type="spellEnd"/>
      <w:r>
        <w:rPr>
          <w:rFonts w:ascii="Times New Roman" w:hAnsi="Times New Roman"/>
          <w:sz w:val="24"/>
          <w:szCs w:val="24"/>
        </w:rPr>
        <w:t>, RCN un AIBA kā DPP.</w:t>
      </w:r>
    </w:p>
    <w:p w14:paraId="05378F34" w14:textId="77777777" w:rsidR="00043C12" w:rsidRPr="00790AF3" w:rsidRDefault="00043C12" w:rsidP="00043C12">
      <w:pPr>
        <w:pStyle w:val="BodyText"/>
        <w:spacing w:after="0"/>
        <w:contextualSpacing/>
        <w:jc w:val="both"/>
        <w:rPr>
          <w:rFonts w:ascii="Times New Roman" w:hAnsi="Times New Roman"/>
          <w:sz w:val="24"/>
          <w:szCs w:val="24"/>
        </w:rPr>
      </w:pPr>
      <w:r>
        <w:rPr>
          <w:rFonts w:ascii="Times New Roman" w:hAnsi="Times New Roman"/>
          <w:sz w:val="24"/>
          <w:szCs w:val="24"/>
        </w:rPr>
        <w:t xml:space="preserve">Citas aktivitātes projektu līmenī ir vērstas uz sadarbības uzlabošanu starp Igaunijas, Latvijas, Lietuvas un </w:t>
      </w:r>
      <w:proofErr w:type="spellStart"/>
      <w:r>
        <w:rPr>
          <w:rFonts w:ascii="Times New Roman" w:hAnsi="Times New Roman"/>
          <w:sz w:val="24"/>
          <w:szCs w:val="24"/>
        </w:rPr>
        <w:t>donorvalstu</w:t>
      </w:r>
      <w:proofErr w:type="spellEnd"/>
      <w:r>
        <w:rPr>
          <w:rFonts w:ascii="Times New Roman" w:hAnsi="Times New Roman"/>
          <w:sz w:val="24"/>
          <w:szCs w:val="24"/>
        </w:rPr>
        <w:t xml:space="preserve"> pētniekiem.</w:t>
      </w:r>
    </w:p>
    <w:p w14:paraId="3F7D7E2E" w14:textId="77777777" w:rsidR="00043C12" w:rsidRPr="00E56240" w:rsidRDefault="00043C12" w:rsidP="00043C12">
      <w:pPr>
        <w:contextualSpacing/>
        <w:jc w:val="both"/>
        <w:rPr>
          <w:b/>
        </w:rPr>
      </w:pPr>
    </w:p>
    <w:p w14:paraId="4C5E7EB5" w14:textId="77777777" w:rsidR="00043C12" w:rsidRPr="00790AF3" w:rsidRDefault="00043C12" w:rsidP="00043C12">
      <w:pPr>
        <w:contextualSpacing/>
        <w:jc w:val="both"/>
        <w:rPr>
          <w:b/>
        </w:rPr>
      </w:pPr>
      <w:r>
        <w:rPr>
          <w:b/>
        </w:rPr>
        <w:lastRenderedPageBreak/>
        <w:t>8. Sadarbība ar starptautiskajām organizācijām</w:t>
      </w:r>
    </w:p>
    <w:p w14:paraId="602FB0FB" w14:textId="77777777" w:rsidR="00043C12" w:rsidRPr="00790AF3" w:rsidRDefault="00043C12" w:rsidP="00043C12">
      <w:pPr>
        <w:pStyle w:val="BodyText"/>
        <w:spacing w:after="0"/>
        <w:contextualSpacing/>
        <w:jc w:val="both"/>
        <w:rPr>
          <w:rFonts w:ascii="Times New Roman" w:eastAsia="Calibri" w:hAnsi="Times New Roman"/>
          <w:sz w:val="24"/>
          <w:szCs w:val="24"/>
        </w:rPr>
      </w:pPr>
      <w:r>
        <w:rPr>
          <w:rFonts w:ascii="Times New Roman" w:hAnsi="Times New Roman"/>
          <w:sz w:val="24"/>
          <w:szCs w:val="24"/>
        </w:rPr>
        <w:t>Nav attiecināms.</w:t>
      </w:r>
    </w:p>
    <w:p w14:paraId="20A5751D" w14:textId="77777777" w:rsidR="00043C12" w:rsidRPr="00790AF3" w:rsidRDefault="00043C12" w:rsidP="00043C12">
      <w:pPr>
        <w:pStyle w:val="BodyText"/>
        <w:spacing w:after="0"/>
        <w:contextualSpacing/>
        <w:jc w:val="both"/>
        <w:rPr>
          <w:rFonts w:ascii="Times New Roman" w:eastAsia="Calibri" w:hAnsi="Times New Roman"/>
          <w:sz w:val="24"/>
          <w:szCs w:val="24"/>
          <w:lang w:eastAsia="en-GB"/>
        </w:rPr>
        <w:sectPr w:rsidR="00043C12" w:rsidRPr="00790AF3" w:rsidSect="00541B06">
          <w:headerReference w:type="default" r:id="rId11"/>
          <w:footerReference w:type="default" r:id="rId12"/>
          <w:headerReference w:type="first" r:id="rId13"/>
          <w:footerReference w:type="first" r:id="rId14"/>
          <w:pgSz w:w="11907" w:h="16839" w:code="9"/>
          <w:pgMar w:top="1440" w:right="1797" w:bottom="1440" w:left="1797" w:header="709" w:footer="709" w:gutter="0"/>
          <w:cols w:space="708"/>
          <w:titlePg/>
          <w:docGrid w:linePitch="360"/>
        </w:sectPr>
      </w:pPr>
    </w:p>
    <w:p w14:paraId="068A8A8B" w14:textId="77777777" w:rsidR="00043C12" w:rsidRPr="00790AF3" w:rsidRDefault="00043C12" w:rsidP="00043C12">
      <w:pPr>
        <w:contextualSpacing/>
        <w:rPr>
          <w:rFonts w:eastAsia="Calibri"/>
        </w:rPr>
      </w:pPr>
      <w:r>
        <w:rPr>
          <w:b/>
        </w:rPr>
        <w:lastRenderedPageBreak/>
        <w:t xml:space="preserve">9. Programmas ieviešanas metodes </w:t>
      </w:r>
    </w:p>
    <w:p w14:paraId="0BF1A208" w14:textId="77777777" w:rsidR="00043C12" w:rsidRPr="00790AF3" w:rsidRDefault="00043C12" w:rsidP="00043C12">
      <w:pPr>
        <w:pStyle w:val="BodyText"/>
        <w:spacing w:after="0"/>
        <w:contextualSpacing/>
        <w:rPr>
          <w:rFonts w:ascii="Times New Roman" w:eastAsia="Calibri" w:hAnsi="Times New Roman"/>
          <w:b/>
          <w:sz w:val="24"/>
          <w:szCs w:val="24"/>
        </w:rPr>
      </w:pPr>
      <w:r>
        <w:rPr>
          <w:rFonts w:ascii="Times New Roman" w:hAnsi="Times New Roman"/>
          <w:sz w:val="24"/>
          <w:szCs w:val="24"/>
        </w:rPr>
        <w:t xml:space="preserve">Latvijas programma tiks ieviesta šādā veidā: </w:t>
      </w:r>
    </w:p>
    <w:tbl>
      <w:tblPr>
        <w:tblW w:w="5000" w:type="pct"/>
        <w:jc w:val="center"/>
        <w:tblLayout w:type="fixed"/>
        <w:tblLook w:val="04A0" w:firstRow="1" w:lastRow="0" w:firstColumn="1" w:lastColumn="0" w:noHBand="0" w:noVBand="1"/>
      </w:tblPr>
      <w:tblGrid>
        <w:gridCol w:w="1897"/>
        <w:gridCol w:w="2130"/>
        <w:gridCol w:w="1700"/>
        <w:gridCol w:w="1488"/>
        <w:gridCol w:w="2340"/>
        <w:gridCol w:w="3385"/>
      </w:tblGrid>
      <w:tr w:rsidR="00043C12" w:rsidRPr="00790AF3" w14:paraId="6080409B" w14:textId="77777777" w:rsidTr="007C692E">
        <w:trPr>
          <w:trHeight w:val="300"/>
          <w:jc w:val="center"/>
        </w:trPr>
        <w:tc>
          <w:tcPr>
            <w:tcW w:w="733" w:type="pct"/>
            <w:tcBorders>
              <w:top w:val="single" w:sz="8" w:space="0" w:color="auto"/>
              <w:left w:val="single" w:sz="8" w:space="0" w:color="auto"/>
              <w:bottom w:val="single" w:sz="4" w:space="0" w:color="auto"/>
              <w:right w:val="single" w:sz="4" w:space="0" w:color="auto"/>
            </w:tcBorders>
            <w:shd w:val="clear" w:color="000000" w:fill="D9D9D9"/>
            <w:vAlign w:val="center"/>
            <w:hideMark/>
          </w:tcPr>
          <w:p w14:paraId="4FE1D4D6" w14:textId="77777777" w:rsidR="00043C12" w:rsidRPr="00790AF3" w:rsidRDefault="00043C12" w:rsidP="007C692E">
            <w:pPr>
              <w:contextualSpacing/>
              <w:jc w:val="both"/>
              <w:rPr>
                <w:b/>
                <w:bCs/>
              </w:rPr>
            </w:pPr>
            <w:r>
              <w:rPr>
                <w:b/>
                <w:bCs/>
              </w:rPr>
              <w:t> </w:t>
            </w:r>
          </w:p>
        </w:tc>
        <w:tc>
          <w:tcPr>
            <w:tcW w:w="823" w:type="pct"/>
            <w:tcBorders>
              <w:top w:val="single" w:sz="8" w:space="0" w:color="auto"/>
              <w:left w:val="nil"/>
              <w:bottom w:val="single" w:sz="4" w:space="0" w:color="auto"/>
              <w:right w:val="single" w:sz="4" w:space="0" w:color="auto"/>
            </w:tcBorders>
            <w:shd w:val="clear" w:color="000000" w:fill="D9D9D9"/>
            <w:vAlign w:val="center"/>
            <w:hideMark/>
          </w:tcPr>
          <w:p w14:paraId="25AEFDF8" w14:textId="77777777" w:rsidR="00043C12" w:rsidRPr="00790AF3" w:rsidRDefault="00043C12" w:rsidP="007C692E">
            <w:pPr>
              <w:contextualSpacing/>
              <w:jc w:val="center"/>
              <w:rPr>
                <w:b/>
                <w:bCs/>
              </w:rPr>
            </w:pPr>
            <w:r>
              <w:rPr>
                <w:b/>
                <w:bCs/>
              </w:rPr>
              <w:t>Plānotais skaits: atklātais(-</w:t>
            </w:r>
            <w:proofErr w:type="spellStart"/>
            <w:r>
              <w:rPr>
                <w:b/>
                <w:bCs/>
              </w:rPr>
              <w:t>ie</w:t>
            </w:r>
            <w:proofErr w:type="spellEnd"/>
            <w:r>
              <w:rPr>
                <w:b/>
                <w:bCs/>
              </w:rPr>
              <w:t>) konkurss(-i)/</w:t>
            </w:r>
          </w:p>
          <w:p w14:paraId="4551DFF8" w14:textId="77777777" w:rsidR="00043C12" w:rsidRPr="00790AF3" w:rsidRDefault="00043C12" w:rsidP="007C692E">
            <w:pPr>
              <w:contextualSpacing/>
              <w:jc w:val="center"/>
              <w:rPr>
                <w:b/>
                <w:bCs/>
              </w:rPr>
            </w:pPr>
            <w:r>
              <w:rPr>
                <w:b/>
                <w:bCs/>
              </w:rPr>
              <w:t xml:space="preserve">neliela apjoma </w:t>
            </w:r>
            <w:proofErr w:type="spellStart"/>
            <w:r>
              <w:rPr>
                <w:b/>
                <w:bCs/>
              </w:rPr>
              <w:t>grantu</w:t>
            </w:r>
            <w:proofErr w:type="spellEnd"/>
            <w:r>
              <w:rPr>
                <w:b/>
                <w:bCs/>
              </w:rPr>
              <w:t xml:space="preserve"> shēma(-</w:t>
            </w:r>
            <w:proofErr w:type="spellStart"/>
            <w:r>
              <w:rPr>
                <w:b/>
                <w:bCs/>
              </w:rPr>
              <w:t>as</w:t>
            </w:r>
            <w:proofErr w:type="spellEnd"/>
            <w:r>
              <w:rPr>
                <w:b/>
                <w:bCs/>
              </w:rPr>
              <w:t>)/iepriekš noteiktais(-</w:t>
            </w:r>
            <w:proofErr w:type="spellStart"/>
            <w:r>
              <w:rPr>
                <w:b/>
                <w:bCs/>
              </w:rPr>
              <w:t>ie</w:t>
            </w:r>
            <w:proofErr w:type="spellEnd"/>
            <w:r>
              <w:rPr>
                <w:b/>
                <w:bCs/>
              </w:rPr>
              <w:t>) projekts(-i)/finanšu instruments(-i)</w:t>
            </w:r>
          </w:p>
        </w:tc>
        <w:tc>
          <w:tcPr>
            <w:tcW w:w="657" w:type="pct"/>
            <w:tcBorders>
              <w:top w:val="single" w:sz="8" w:space="0" w:color="auto"/>
              <w:left w:val="nil"/>
              <w:bottom w:val="single" w:sz="4" w:space="0" w:color="auto"/>
              <w:right w:val="single" w:sz="4" w:space="0" w:color="auto"/>
            </w:tcBorders>
            <w:shd w:val="clear" w:color="000000" w:fill="D9D9D9"/>
            <w:vAlign w:val="center"/>
            <w:hideMark/>
          </w:tcPr>
          <w:p w14:paraId="710A14DE" w14:textId="77777777" w:rsidR="00043C12" w:rsidRPr="00790AF3" w:rsidRDefault="00043C12" w:rsidP="007C692E">
            <w:pPr>
              <w:contextualSpacing/>
              <w:jc w:val="center"/>
            </w:pPr>
            <w:r>
              <w:rPr>
                <w:b/>
              </w:rPr>
              <w:t>Plānotā summa (€)</w:t>
            </w:r>
          </w:p>
          <w:p w14:paraId="2ACF7871" w14:textId="77777777" w:rsidR="00043C12" w:rsidRPr="00790AF3" w:rsidRDefault="00043C12" w:rsidP="007C692E">
            <w:pPr>
              <w:contextualSpacing/>
              <w:jc w:val="center"/>
              <w:rPr>
                <w:b/>
                <w:bCs/>
              </w:rPr>
            </w:pPr>
            <w:r>
              <w:t xml:space="preserve">(katram atklātajam konkursam, katrai neliela apjoma </w:t>
            </w:r>
            <w:proofErr w:type="spellStart"/>
            <w:r>
              <w:t>grantu</w:t>
            </w:r>
            <w:proofErr w:type="spellEnd"/>
            <w:r>
              <w:t xml:space="preserve"> shēmai, iepriekš noteiktajiem projektiem, finanšu instrumentam)*</w:t>
            </w:r>
          </w:p>
        </w:tc>
        <w:tc>
          <w:tcPr>
            <w:tcW w:w="575" w:type="pct"/>
            <w:tcBorders>
              <w:top w:val="single" w:sz="4" w:space="0" w:color="auto"/>
              <w:left w:val="nil"/>
              <w:bottom w:val="single" w:sz="4" w:space="0" w:color="auto"/>
              <w:right w:val="single" w:sz="4" w:space="0" w:color="auto"/>
            </w:tcBorders>
            <w:shd w:val="clear" w:color="000000" w:fill="D9D9D9"/>
          </w:tcPr>
          <w:p w14:paraId="744C6130" w14:textId="77777777" w:rsidR="00043C12" w:rsidRPr="00790AF3" w:rsidRDefault="00043C12" w:rsidP="007C692E">
            <w:pPr>
              <w:contextualSpacing/>
              <w:jc w:val="center"/>
              <w:rPr>
                <w:b/>
                <w:bCs/>
              </w:rPr>
            </w:pPr>
            <w:r>
              <w:rPr>
                <w:b/>
                <w:bCs/>
              </w:rPr>
              <w:t>Projekta piešķīruma daļa (%)</w:t>
            </w:r>
          </w:p>
        </w:tc>
        <w:tc>
          <w:tcPr>
            <w:tcW w:w="904" w:type="pct"/>
            <w:tcBorders>
              <w:top w:val="single" w:sz="8" w:space="0" w:color="auto"/>
              <w:left w:val="single" w:sz="4" w:space="0" w:color="auto"/>
              <w:bottom w:val="single" w:sz="4" w:space="0" w:color="auto"/>
              <w:right w:val="single" w:sz="8" w:space="0" w:color="auto"/>
            </w:tcBorders>
            <w:shd w:val="clear" w:color="000000" w:fill="D9D9D9"/>
            <w:vAlign w:val="center"/>
            <w:hideMark/>
          </w:tcPr>
          <w:p w14:paraId="31395BFC" w14:textId="77777777" w:rsidR="00043C12" w:rsidRPr="00790AF3" w:rsidRDefault="00043C12" w:rsidP="007C692E">
            <w:pPr>
              <w:contextualSpacing/>
              <w:jc w:val="center"/>
              <w:rPr>
                <w:b/>
                <w:bCs/>
              </w:rPr>
            </w:pPr>
            <w:r>
              <w:rPr>
                <w:b/>
                <w:bCs/>
              </w:rPr>
              <w:t>Pretendenti, kam ir tiesības piedalīties programmā</w:t>
            </w:r>
          </w:p>
        </w:tc>
        <w:tc>
          <w:tcPr>
            <w:tcW w:w="1308" w:type="pct"/>
            <w:tcBorders>
              <w:top w:val="single" w:sz="8" w:space="0" w:color="auto"/>
              <w:left w:val="nil"/>
              <w:bottom w:val="single" w:sz="4" w:space="0" w:color="auto"/>
              <w:right w:val="single" w:sz="8" w:space="0" w:color="auto"/>
            </w:tcBorders>
            <w:shd w:val="clear" w:color="000000" w:fill="D9D9D9"/>
            <w:vAlign w:val="center"/>
          </w:tcPr>
          <w:p w14:paraId="008A9B9B" w14:textId="77777777" w:rsidR="00043C12" w:rsidRPr="00790AF3" w:rsidRDefault="00043C12" w:rsidP="007C692E">
            <w:pPr>
              <w:contextualSpacing/>
              <w:rPr>
                <w:b/>
                <w:bCs/>
              </w:rPr>
            </w:pPr>
            <w:r>
              <w:rPr>
                <w:b/>
                <w:bCs/>
              </w:rPr>
              <w:t>Partneri, kam ir tiesības piedalīties programmā</w:t>
            </w:r>
          </w:p>
        </w:tc>
      </w:tr>
      <w:tr w:rsidR="00043C12" w:rsidRPr="00790AF3" w14:paraId="500716A9" w14:textId="77777777" w:rsidTr="007C692E">
        <w:trPr>
          <w:trHeight w:val="650"/>
          <w:jc w:val="center"/>
        </w:trPr>
        <w:tc>
          <w:tcPr>
            <w:tcW w:w="733" w:type="pct"/>
            <w:vMerge w:val="restart"/>
            <w:tcBorders>
              <w:top w:val="single" w:sz="4" w:space="0" w:color="auto"/>
              <w:left w:val="single" w:sz="8" w:space="0" w:color="auto"/>
              <w:bottom w:val="single" w:sz="4" w:space="0" w:color="auto"/>
              <w:right w:val="single" w:sz="4" w:space="0" w:color="auto"/>
            </w:tcBorders>
            <w:shd w:val="clear" w:color="auto" w:fill="auto"/>
            <w:hideMark/>
          </w:tcPr>
          <w:p w14:paraId="333B5619" w14:textId="77777777" w:rsidR="00043C12" w:rsidRPr="00790AF3" w:rsidRDefault="00043C12" w:rsidP="007C692E">
            <w:pPr>
              <w:contextualSpacing/>
              <w:rPr>
                <w:b/>
                <w:bCs/>
              </w:rPr>
            </w:pPr>
            <w:r>
              <w:rPr>
                <w:b/>
                <w:bCs/>
              </w:rPr>
              <w:t>Atklātais konkurss:</w:t>
            </w:r>
          </w:p>
          <w:p w14:paraId="0662CF95" w14:textId="77777777" w:rsidR="00043C12" w:rsidRPr="00790AF3" w:rsidRDefault="00043C12" w:rsidP="007C692E">
            <w:pPr>
              <w:contextualSpacing/>
              <w:rPr>
                <w:b/>
                <w:bCs/>
              </w:rPr>
            </w:pPr>
            <w:r>
              <w:rPr>
                <w:b/>
                <w:bCs/>
              </w:rPr>
              <w:t xml:space="preserve">Baltijas pētniecības programma (PJ2) </w:t>
            </w:r>
          </w:p>
        </w:tc>
        <w:tc>
          <w:tcPr>
            <w:tcW w:w="823" w:type="pct"/>
            <w:vMerge w:val="restart"/>
            <w:tcBorders>
              <w:top w:val="single" w:sz="4" w:space="0" w:color="auto"/>
              <w:left w:val="single" w:sz="4" w:space="0" w:color="auto"/>
              <w:right w:val="single" w:sz="4" w:space="0" w:color="auto"/>
            </w:tcBorders>
            <w:shd w:val="clear" w:color="auto" w:fill="auto"/>
            <w:hideMark/>
          </w:tcPr>
          <w:p w14:paraId="17C23A15" w14:textId="77777777" w:rsidR="00043C12" w:rsidRPr="00790AF3" w:rsidRDefault="00043C12" w:rsidP="007C692E">
            <w:pPr>
              <w:contextualSpacing/>
              <w:jc w:val="both"/>
            </w:pPr>
            <w:r>
              <w:t> 1 (1. rezultāts)</w:t>
            </w:r>
          </w:p>
          <w:p w14:paraId="113AFEE4" w14:textId="77777777" w:rsidR="00043C12" w:rsidRPr="00790AF3" w:rsidRDefault="00043C12" w:rsidP="007C692E">
            <w:pPr>
              <w:contextualSpacing/>
              <w:jc w:val="both"/>
              <w:rPr>
                <w:lang w:val="en-GB" w:eastAsia="en-GB"/>
              </w:rPr>
            </w:pPr>
          </w:p>
        </w:tc>
        <w:tc>
          <w:tcPr>
            <w:tcW w:w="657" w:type="pct"/>
            <w:tcBorders>
              <w:top w:val="single" w:sz="4" w:space="0" w:color="auto"/>
              <w:left w:val="nil"/>
              <w:right w:val="single" w:sz="4" w:space="0" w:color="auto"/>
            </w:tcBorders>
            <w:shd w:val="clear" w:color="auto" w:fill="auto"/>
            <w:hideMark/>
          </w:tcPr>
          <w:p w14:paraId="1F511A57" w14:textId="77777777" w:rsidR="00043C12" w:rsidRPr="00790AF3" w:rsidRDefault="00043C12" w:rsidP="007C692E">
            <w:pPr>
              <w:contextualSpacing/>
              <w:jc w:val="both"/>
            </w:pPr>
            <w:r>
              <w:t> 7 541 272 €</w:t>
            </w:r>
          </w:p>
        </w:tc>
        <w:tc>
          <w:tcPr>
            <w:tcW w:w="575" w:type="pct"/>
            <w:tcBorders>
              <w:top w:val="single" w:sz="4" w:space="0" w:color="auto"/>
              <w:left w:val="nil"/>
              <w:right w:val="single" w:sz="4" w:space="0" w:color="auto"/>
            </w:tcBorders>
          </w:tcPr>
          <w:p w14:paraId="056C4736" w14:textId="77777777" w:rsidR="00043C12" w:rsidRPr="00790AF3" w:rsidRDefault="00043C12" w:rsidP="007C692E">
            <w:pPr>
              <w:contextualSpacing/>
              <w:jc w:val="both"/>
            </w:pPr>
            <w:r>
              <w:t>100 %</w:t>
            </w:r>
          </w:p>
        </w:tc>
        <w:tc>
          <w:tcPr>
            <w:tcW w:w="904" w:type="pct"/>
            <w:tcBorders>
              <w:top w:val="single" w:sz="4" w:space="0" w:color="auto"/>
              <w:left w:val="single" w:sz="4" w:space="0" w:color="auto"/>
              <w:right w:val="single" w:sz="8" w:space="0" w:color="auto"/>
            </w:tcBorders>
            <w:shd w:val="clear" w:color="auto" w:fill="auto"/>
            <w:hideMark/>
          </w:tcPr>
          <w:p w14:paraId="25F4A0A9" w14:textId="77777777" w:rsidR="00043C12" w:rsidRPr="00790AF3" w:rsidRDefault="00043C12" w:rsidP="007C692E">
            <w:pPr>
              <w:contextualSpacing/>
            </w:pPr>
            <w:r>
              <w:t>Latvijā reģistrētās pētniecības organizācijas, kā noteikts ES Nostādnēs par valsts atbalstu pētniecībai, izstrādei un inovācijai (2014/C 198/01)</w:t>
            </w:r>
          </w:p>
        </w:tc>
        <w:tc>
          <w:tcPr>
            <w:tcW w:w="1308" w:type="pct"/>
            <w:tcBorders>
              <w:top w:val="single" w:sz="4" w:space="0" w:color="auto"/>
              <w:left w:val="nil"/>
              <w:right w:val="single" w:sz="8" w:space="0" w:color="auto"/>
            </w:tcBorders>
          </w:tcPr>
          <w:p w14:paraId="34C43628" w14:textId="77777777" w:rsidR="00043C12" w:rsidRPr="00790AF3" w:rsidRDefault="00043C12" w:rsidP="007C692E">
            <w:pPr>
              <w:contextualSpacing/>
            </w:pPr>
            <w:r>
              <w:t>- Igaunijā, Latvijā, Lietuvā, Norvēģijā, Islandē vai Lihtenšteinā reģistrētās pētniecības organizācijas, kā noteikts ES Nostādnēs par valsts atbalstu pētniecībai, izstrādei un inovācijai (2014/C 198/01);</w:t>
            </w:r>
          </w:p>
          <w:p w14:paraId="665E704D" w14:textId="77777777" w:rsidR="00043C12" w:rsidRPr="00790AF3" w:rsidRDefault="00043C12" w:rsidP="007C692E">
            <w:pPr>
              <w:contextualSpacing/>
            </w:pPr>
            <w:r>
              <w:t xml:space="preserve">- trešajās valstīs reģistrētās pētniecības organizācijas, kuru galvenais mērķis ir patstāvīgi veikt fundamentālos pētījumus, rūpnieciskos pētījumus vai eksperimentālo izstrādni vai plaši izplatīt šādu aktivitāšu rezultātus mācīšanas, publicēšanas vai zināšanu nodošanas veidā, ir partneri, kam ir tiesības piedalīties </w:t>
            </w:r>
            <w:r>
              <w:lastRenderedPageBreak/>
              <w:t>programmā, bet kas nevar saņemt finansējumu no projekta piešķīruma</w:t>
            </w:r>
          </w:p>
        </w:tc>
      </w:tr>
      <w:tr w:rsidR="00043C12" w:rsidRPr="00790AF3" w14:paraId="643C126F" w14:textId="77777777" w:rsidTr="007C692E">
        <w:trPr>
          <w:trHeight w:val="293"/>
          <w:jc w:val="center"/>
        </w:trPr>
        <w:tc>
          <w:tcPr>
            <w:tcW w:w="733" w:type="pct"/>
            <w:vMerge/>
            <w:tcBorders>
              <w:top w:val="nil"/>
              <w:left w:val="single" w:sz="8" w:space="0" w:color="auto"/>
              <w:bottom w:val="single" w:sz="4" w:space="0" w:color="auto"/>
              <w:right w:val="single" w:sz="4" w:space="0" w:color="auto"/>
            </w:tcBorders>
            <w:hideMark/>
          </w:tcPr>
          <w:p w14:paraId="3AFD1F52" w14:textId="77777777" w:rsidR="00043C12" w:rsidRPr="00E56240" w:rsidRDefault="00043C12" w:rsidP="007C692E">
            <w:pPr>
              <w:contextualSpacing/>
              <w:rPr>
                <w:b/>
                <w:bCs/>
                <w:lang w:eastAsia="en-GB"/>
              </w:rPr>
            </w:pPr>
          </w:p>
        </w:tc>
        <w:tc>
          <w:tcPr>
            <w:tcW w:w="823" w:type="pct"/>
            <w:vMerge/>
            <w:tcBorders>
              <w:left w:val="single" w:sz="4" w:space="0" w:color="auto"/>
              <w:right w:val="single" w:sz="4" w:space="0" w:color="auto"/>
            </w:tcBorders>
            <w:hideMark/>
          </w:tcPr>
          <w:p w14:paraId="1BA76309" w14:textId="77777777" w:rsidR="00043C12" w:rsidRPr="00E56240" w:rsidRDefault="00043C12" w:rsidP="007C692E">
            <w:pPr>
              <w:contextualSpacing/>
              <w:jc w:val="both"/>
              <w:rPr>
                <w:lang w:eastAsia="en-GB"/>
              </w:rPr>
            </w:pPr>
          </w:p>
        </w:tc>
        <w:tc>
          <w:tcPr>
            <w:tcW w:w="657" w:type="pct"/>
            <w:tcBorders>
              <w:top w:val="nil"/>
              <w:left w:val="nil"/>
              <w:bottom w:val="single" w:sz="4" w:space="0" w:color="auto"/>
              <w:right w:val="single" w:sz="4" w:space="0" w:color="auto"/>
            </w:tcBorders>
            <w:shd w:val="clear" w:color="auto" w:fill="auto"/>
            <w:hideMark/>
          </w:tcPr>
          <w:p w14:paraId="7F8F065D" w14:textId="77777777" w:rsidR="00043C12" w:rsidRPr="00E56240" w:rsidRDefault="00043C12" w:rsidP="007C692E">
            <w:pPr>
              <w:contextualSpacing/>
              <w:jc w:val="both"/>
              <w:rPr>
                <w:lang w:eastAsia="en-GB"/>
              </w:rPr>
            </w:pPr>
          </w:p>
        </w:tc>
        <w:tc>
          <w:tcPr>
            <w:tcW w:w="575" w:type="pct"/>
            <w:tcBorders>
              <w:left w:val="nil"/>
              <w:bottom w:val="single" w:sz="4" w:space="0" w:color="auto"/>
              <w:right w:val="single" w:sz="4" w:space="0" w:color="auto"/>
            </w:tcBorders>
          </w:tcPr>
          <w:p w14:paraId="2CF42389" w14:textId="77777777" w:rsidR="00043C12" w:rsidRPr="00E56240" w:rsidRDefault="00043C12" w:rsidP="007C692E">
            <w:pPr>
              <w:contextualSpacing/>
              <w:jc w:val="both"/>
              <w:rPr>
                <w:lang w:eastAsia="en-GB"/>
              </w:rPr>
            </w:pPr>
          </w:p>
        </w:tc>
        <w:tc>
          <w:tcPr>
            <w:tcW w:w="904" w:type="pct"/>
            <w:tcBorders>
              <w:left w:val="single" w:sz="4" w:space="0" w:color="auto"/>
              <w:bottom w:val="single" w:sz="4" w:space="0" w:color="auto"/>
              <w:right w:val="single" w:sz="8" w:space="0" w:color="auto"/>
            </w:tcBorders>
            <w:shd w:val="clear" w:color="auto" w:fill="auto"/>
            <w:hideMark/>
          </w:tcPr>
          <w:p w14:paraId="2D03FB17" w14:textId="77777777" w:rsidR="00043C12" w:rsidRPr="00790AF3" w:rsidRDefault="00043C12" w:rsidP="007C692E">
            <w:pPr>
              <w:contextualSpacing/>
              <w:jc w:val="both"/>
            </w:pPr>
            <w:r>
              <w:t>  </w:t>
            </w:r>
          </w:p>
        </w:tc>
        <w:tc>
          <w:tcPr>
            <w:tcW w:w="1308" w:type="pct"/>
            <w:tcBorders>
              <w:left w:val="nil"/>
              <w:bottom w:val="single" w:sz="4" w:space="0" w:color="auto"/>
              <w:right w:val="single" w:sz="8" w:space="0" w:color="auto"/>
            </w:tcBorders>
          </w:tcPr>
          <w:p w14:paraId="0CC45D4D" w14:textId="77777777" w:rsidR="00043C12" w:rsidRPr="00E56240" w:rsidRDefault="00043C12" w:rsidP="007C692E">
            <w:pPr>
              <w:contextualSpacing/>
              <w:jc w:val="both"/>
              <w:rPr>
                <w:lang w:eastAsia="en-GB"/>
              </w:rPr>
            </w:pPr>
          </w:p>
        </w:tc>
      </w:tr>
      <w:tr w:rsidR="00043C12" w:rsidRPr="00790AF3" w14:paraId="61A08B32" w14:textId="77777777" w:rsidTr="007C692E">
        <w:trPr>
          <w:trHeight w:val="553"/>
          <w:jc w:val="center"/>
        </w:trPr>
        <w:tc>
          <w:tcPr>
            <w:tcW w:w="733" w:type="pct"/>
            <w:tcBorders>
              <w:top w:val="nil"/>
              <w:left w:val="single" w:sz="8" w:space="0" w:color="auto"/>
              <w:bottom w:val="single" w:sz="4" w:space="0" w:color="auto"/>
              <w:right w:val="single" w:sz="4" w:space="0" w:color="auto"/>
            </w:tcBorders>
            <w:shd w:val="clear" w:color="auto" w:fill="auto"/>
            <w:hideMark/>
          </w:tcPr>
          <w:p w14:paraId="6F9C26C1" w14:textId="77777777" w:rsidR="00043C12" w:rsidRPr="00790AF3" w:rsidRDefault="00043C12" w:rsidP="007C692E">
            <w:pPr>
              <w:contextualSpacing/>
              <w:rPr>
                <w:b/>
                <w:bCs/>
              </w:rPr>
            </w:pPr>
            <w:r>
              <w:rPr>
                <w:b/>
                <w:bCs/>
              </w:rPr>
              <w:t>Atklātie konkursi:</w:t>
            </w:r>
          </w:p>
          <w:p w14:paraId="5487B2AC" w14:textId="77777777" w:rsidR="00043C12" w:rsidRPr="00790AF3" w:rsidRDefault="00043C12" w:rsidP="007C692E">
            <w:pPr>
              <w:contextualSpacing/>
              <w:rPr>
                <w:b/>
                <w:bCs/>
              </w:rPr>
            </w:pPr>
            <w:r>
              <w:rPr>
                <w:b/>
                <w:bCs/>
              </w:rPr>
              <w:t xml:space="preserve">Stipendijas (PJ3) </w:t>
            </w:r>
          </w:p>
        </w:tc>
        <w:tc>
          <w:tcPr>
            <w:tcW w:w="823" w:type="pct"/>
            <w:tcBorders>
              <w:top w:val="single" w:sz="4" w:space="0" w:color="auto"/>
              <w:left w:val="nil"/>
              <w:bottom w:val="single" w:sz="4" w:space="0" w:color="auto"/>
              <w:right w:val="single" w:sz="4" w:space="0" w:color="auto"/>
            </w:tcBorders>
            <w:shd w:val="clear" w:color="auto" w:fill="auto"/>
            <w:hideMark/>
          </w:tcPr>
          <w:p w14:paraId="74DE545C" w14:textId="77777777" w:rsidR="00043C12" w:rsidRPr="00790AF3" w:rsidRDefault="00043C12" w:rsidP="007C692E">
            <w:pPr>
              <w:contextualSpacing/>
              <w:jc w:val="both"/>
            </w:pPr>
            <w:r>
              <w:t>1 (2. rezultāts)</w:t>
            </w:r>
          </w:p>
          <w:p w14:paraId="1057527F" w14:textId="77777777" w:rsidR="00043C12" w:rsidRPr="00790AF3" w:rsidRDefault="00043C12" w:rsidP="007C692E">
            <w:pPr>
              <w:contextualSpacing/>
              <w:jc w:val="both"/>
              <w:rPr>
                <w:lang w:val="en-GB" w:eastAsia="en-GB"/>
              </w:rPr>
            </w:pPr>
          </w:p>
        </w:tc>
        <w:tc>
          <w:tcPr>
            <w:tcW w:w="657" w:type="pct"/>
            <w:tcBorders>
              <w:top w:val="single" w:sz="4" w:space="0" w:color="auto"/>
              <w:left w:val="nil"/>
              <w:bottom w:val="single" w:sz="4" w:space="0" w:color="auto"/>
              <w:right w:val="single" w:sz="4" w:space="0" w:color="auto"/>
            </w:tcBorders>
            <w:shd w:val="clear" w:color="auto" w:fill="auto"/>
            <w:hideMark/>
          </w:tcPr>
          <w:p w14:paraId="01049C65" w14:textId="77777777" w:rsidR="00043C12" w:rsidRPr="00790AF3" w:rsidRDefault="00043C12" w:rsidP="007C692E">
            <w:pPr>
              <w:contextualSpacing/>
              <w:jc w:val="both"/>
            </w:pPr>
            <w:r>
              <w:t> 1 582 866 €</w:t>
            </w:r>
          </w:p>
        </w:tc>
        <w:tc>
          <w:tcPr>
            <w:tcW w:w="575" w:type="pct"/>
            <w:tcBorders>
              <w:top w:val="single" w:sz="4" w:space="0" w:color="auto"/>
              <w:left w:val="nil"/>
              <w:bottom w:val="single" w:sz="4" w:space="0" w:color="auto"/>
              <w:right w:val="single" w:sz="4" w:space="0" w:color="auto"/>
            </w:tcBorders>
          </w:tcPr>
          <w:p w14:paraId="28F08265" w14:textId="77777777" w:rsidR="00043C12" w:rsidRPr="00790AF3" w:rsidRDefault="00043C12" w:rsidP="007C692E">
            <w:pPr>
              <w:contextualSpacing/>
              <w:jc w:val="both"/>
            </w:pPr>
            <w:r>
              <w:t>100 %</w:t>
            </w:r>
          </w:p>
        </w:tc>
        <w:tc>
          <w:tcPr>
            <w:tcW w:w="904" w:type="pct"/>
            <w:tcBorders>
              <w:top w:val="single" w:sz="4" w:space="0" w:color="auto"/>
              <w:left w:val="single" w:sz="4" w:space="0" w:color="auto"/>
              <w:bottom w:val="single" w:sz="4" w:space="0" w:color="auto"/>
              <w:right w:val="single" w:sz="8" w:space="0" w:color="auto"/>
            </w:tcBorders>
            <w:shd w:val="clear" w:color="auto" w:fill="auto"/>
            <w:hideMark/>
          </w:tcPr>
          <w:p w14:paraId="2DC71CE8" w14:textId="77777777" w:rsidR="00043C12" w:rsidRPr="00790AF3" w:rsidRDefault="00043C12" w:rsidP="007C692E">
            <w:pPr>
              <w:contextualSpacing/>
              <w:jc w:val="both"/>
            </w:pPr>
            <w:r>
              <w:t>Latvijas augstākās izglītības iestādes</w:t>
            </w:r>
          </w:p>
        </w:tc>
        <w:tc>
          <w:tcPr>
            <w:tcW w:w="1308" w:type="pct"/>
            <w:tcBorders>
              <w:top w:val="single" w:sz="4" w:space="0" w:color="auto"/>
              <w:left w:val="nil"/>
              <w:bottom w:val="single" w:sz="4" w:space="0" w:color="auto"/>
              <w:right w:val="single" w:sz="8" w:space="0" w:color="auto"/>
            </w:tcBorders>
          </w:tcPr>
          <w:p w14:paraId="4AACC8CF" w14:textId="77777777" w:rsidR="00043C12" w:rsidRPr="00790AF3" w:rsidRDefault="00043C12" w:rsidP="007C692E">
            <w:pPr>
              <w:contextualSpacing/>
              <w:jc w:val="both"/>
            </w:pPr>
            <w:proofErr w:type="spellStart"/>
            <w:r>
              <w:t>Donorvalstu</w:t>
            </w:r>
            <w:proofErr w:type="spellEnd"/>
            <w:r>
              <w:t xml:space="preserve"> augstākās izglītības un pētniecības iestādes </w:t>
            </w:r>
          </w:p>
        </w:tc>
      </w:tr>
      <w:tr w:rsidR="00043C12" w:rsidRPr="00790AF3" w14:paraId="728D329B" w14:textId="77777777" w:rsidTr="007C692E">
        <w:trPr>
          <w:trHeight w:val="421"/>
          <w:jc w:val="center"/>
        </w:trPr>
        <w:tc>
          <w:tcPr>
            <w:tcW w:w="733" w:type="pct"/>
            <w:vMerge w:val="restart"/>
            <w:tcBorders>
              <w:top w:val="single" w:sz="4" w:space="0" w:color="auto"/>
              <w:left w:val="single" w:sz="4" w:space="0" w:color="auto"/>
              <w:bottom w:val="single" w:sz="4" w:space="0" w:color="auto"/>
              <w:right w:val="single" w:sz="4" w:space="0" w:color="auto"/>
            </w:tcBorders>
            <w:shd w:val="clear" w:color="auto" w:fill="auto"/>
          </w:tcPr>
          <w:p w14:paraId="6708E52A" w14:textId="1DEE55B3" w:rsidR="00043C12" w:rsidRPr="00790AF3" w:rsidRDefault="00043C12" w:rsidP="007C692E">
            <w:pPr>
              <w:contextualSpacing/>
              <w:rPr>
                <w:bCs/>
              </w:rPr>
            </w:pPr>
            <w:r>
              <w:t>Iepriekš noteiktie projekti:  Inovācij</w:t>
            </w:r>
            <w:r w:rsidR="00CF2800">
              <w:t>as</w:t>
            </w:r>
            <w:r>
              <w:t xml:space="preserve"> centri (PJ3)**</w:t>
            </w:r>
          </w:p>
          <w:p w14:paraId="5B4C5A97" w14:textId="77777777" w:rsidR="00043C12" w:rsidRPr="00E56240" w:rsidRDefault="00043C12" w:rsidP="007C692E">
            <w:pPr>
              <w:contextualSpacing/>
              <w:rPr>
                <w:bCs/>
                <w:lang w:eastAsia="en-GB"/>
              </w:rPr>
            </w:pPr>
          </w:p>
        </w:tc>
        <w:tc>
          <w:tcPr>
            <w:tcW w:w="823" w:type="pct"/>
            <w:vMerge w:val="restart"/>
            <w:tcBorders>
              <w:top w:val="single" w:sz="4" w:space="0" w:color="auto"/>
              <w:left w:val="single" w:sz="4" w:space="0" w:color="auto"/>
              <w:bottom w:val="single" w:sz="4" w:space="0" w:color="auto"/>
              <w:right w:val="single" w:sz="4" w:space="0" w:color="auto"/>
            </w:tcBorders>
            <w:shd w:val="clear" w:color="auto" w:fill="auto"/>
          </w:tcPr>
          <w:p w14:paraId="1B3C46FF" w14:textId="77777777" w:rsidR="00043C12" w:rsidRPr="00790AF3" w:rsidRDefault="00043C12" w:rsidP="007C692E">
            <w:pPr>
              <w:contextualSpacing/>
              <w:jc w:val="both"/>
            </w:pPr>
            <w:r>
              <w:t>4 (3. rezultāts)</w:t>
            </w:r>
          </w:p>
        </w:tc>
        <w:tc>
          <w:tcPr>
            <w:tcW w:w="657" w:type="pct"/>
            <w:tcBorders>
              <w:top w:val="single" w:sz="4" w:space="0" w:color="auto"/>
              <w:left w:val="single" w:sz="4" w:space="0" w:color="auto"/>
              <w:bottom w:val="single" w:sz="4" w:space="0" w:color="auto"/>
              <w:right w:val="single" w:sz="4" w:space="0" w:color="auto"/>
            </w:tcBorders>
            <w:shd w:val="clear" w:color="auto" w:fill="auto"/>
          </w:tcPr>
          <w:p w14:paraId="727C6CF1" w14:textId="77777777" w:rsidR="00043C12" w:rsidRPr="00790AF3" w:rsidRDefault="00043C12" w:rsidP="007C692E">
            <w:pPr>
              <w:contextualSpacing/>
              <w:jc w:val="both"/>
            </w:pPr>
            <w:r>
              <w:t> </w:t>
            </w:r>
          </w:p>
          <w:p w14:paraId="2A6C3E42" w14:textId="77777777" w:rsidR="00043C12" w:rsidRPr="00790AF3" w:rsidRDefault="00043C12" w:rsidP="007C692E">
            <w:pPr>
              <w:contextualSpacing/>
              <w:jc w:val="both"/>
            </w:pPr>
            <w:r>
              <w:t>1 932 172 €</w:t>
            </w:r>
          </w:p>
        </w:tc>
        <w:tc>
          <w:tcPr>
            <w:tcW w:w="575" w:type="pct"/>
            <w:tcBorders>
              <w:top w:val="single" w:sz="4" w:space="0" w:color="auto"/>
              <w:left w:val="single" w:sz="4" w:space="0" w:color="auto"/>
              <w:bottom w:val="single" w:sz="4" w:space="0" w:color="auto"/>
              <w:right w:val="single" w:sz="4" w:space="0" w:color="auto"/>
            </w:tcBorders>
          </w:tcPr>
          <w:p w14:paraId="159D2240" w14:textId="77777777" w:rsidR="00043C12" w:rsidRPr="00790AF3" w:rsidRDefault="00043C12" w:rsidP="007C692E">
            <w:pPr>
              <w:contextualSpacing/>
              <w:jc w:val="both"/>
            </w:pPr>
            <w:r>
              <w:t>90 %</w:t>
            </w:r>
          </w:p>
          <w:p w14:paraId="4837B489" w14:textId="77777777" w:rsidR="00043C12" w:rsidRPr="00790AF3" w:rsidRDefault="00043C12" w:rsidP="007C692E">
            <w:pPr>
              <w:contextualSpacing/>
              <w:jc w:val="both"/>
              <w:rPr>
                <w:lang w:val="en-GB" w:eastAsia="en-GB"/>
              </w:rPr>
            </w:pPr>
          </w:p>
        </w:tc>
        <w:tc>
          <w:tcPr>
            <w:tcW w:w="904" w:type="pct"/>
            <w:tcBorders>
              <w:top w:val="single" w:sz="4" w:space="0" w:color="auto"/>
              <w:left w:val="single" w:sz="4" w:space="0" w:color="auto"/>
              <w:bottom w:val="single" w:sz="4" w:space="0" w:color="auto"/>
              <w:right w:val="single" w:sz="4" w:space="0" w:color="auto"/>
            </w:tcBorders>
            <w:shd w:val="clear" w:color="auto" w:fill="auto"/>
          </w:tcPr>
          <w:p w14:paraId="1C15C9F5" w14:textId="77777777" w:rsidR="00043C12" w:rsidRPr="00790AF3" w:rsidRDefault="00043C12" w:rsidP="007C692E">
            <w:pPr>
              <w:contextualSpacing/>
              <w:jc w:val="both"/>
            </w:pPr>
            <w:proofErr w:type="spellStart"/>
            <w:r>
              <w:t>Cēsu</w:t>
            </w:r>
            <w:proofErr w:type="spellEnd"/>
            <w:r>
              <w:t xml:space="preserve"> pašvaldība </w:t>
            </w:r>
          </w:p>
        </w:tc>
        <w:tc>
          <w:tcPr>
            <w:tcW w:w="1308" w:type="pct"/>
            <w:tcBorders>
              <w:top w:val="single" w:sz="4" w:space="0" w:color="auto"/>
              <w:left w:val="single" w:sz="4" w:space="0" w:color="auto"/>
              <w:bottom w:val="single" w:sz="4" w:space="0" w:color="auto"/>
              <w:right w:val="single" w:sz="4" w:space="0" w:color="auto"/>
            </w:tcBorders>
          </w:tcPr>
          <w:p w14:paraId="0AF17BD9" w14:textId="77777777" w:rsidR="00043C12" w:rsidRPr="00790AF3" w:rsidRDefault="00043C12" w:rsidP="007C692E">
            <w:pPr>
              <w:contextualSpacing/>
              <w:jc w:val="both"/>
              <w:rPr>
                <w:color w:val="FF0000"/>
              </w:rPr>
            </w:pPr>
            <w:r>
              <w:t>Latvijas zinātnes centru apvienība (tiks nolemts)</w:t>
            </w:r>
          </w:p>
          <w:p w14:paraId="6D28DE04" w14:textId="77777777" w:rsidR="00043C12" w:rsidRPr="00790AF3" w:rsidRDefault="00043C12" w:rsidP="007C692E">
            <w:pPr>
              <w:contextualSpacing/>
              <w:jc w:val="both"/>
            </w:pPr>
            <w:r>
              <w:t>Rīgas Tehniskā universitāte (tiks nolemts)</w:t>
            </w:r>
          </w:p>
          <w:p w14:paraId="53DA2368" w14:textId="77777777" w:rsidR="00043C12" w:rsidRPr="00E56240" w:rsidRDefault="00043C12" w:rsidP="007C692E">
            <w:pPr>
              <w:contextualSpacing/>
              <w:jc w:val="both"/>
              <w:rPr>
                <w:lang w:val="de-DE" w:eastAsia="en-GB"/>
              </w:rPr>
            </w:pPr>
          </w:p>
        </w:tc>
      </w:tr>
      <w:tr w:rsidR="00043C12" w:rsidRPr="00790AF3" w14:paraId="1FB6CBE9" w14:textId="77777777" w:rsidTr="007C692E">
        <w:trPr>
          <w:trHeight w:val="414"/>
          <w:jc w:val="center"/>
        </w:trPr>
        <w:tc>
          <w:tcPr>
            <w:tcW w:w="733" w:type="pct"/>
            <w:vMerge/>
            <w:tcBorders>
              <w:top w:val="single" w:sz="4" w:space="0" w:color="auto"/>
              <w:left w:val="single" w:sz="4" w:space="0" w:color="auto"/>
              <w:bottom w:val="single" w:sz="4" w:space="0" w:color="auto"/>
              <w:right w:val="single" w:sz="4" w:space="0" w:color="auto"/>
            </w:tcBorders>
            <w:shd w:val="clear" w:color="auto" w:fill="auto"/>
          </w:tcPr>
          <w:p w14:paraId="2DDB5EBE" w14:textId="77777777" w:rsidR="00043C12" w:rsidRPr="00E56240" w:rsidRDefault="00043C12" w:rsidP="007C692E">
            <w:pPr>
              <w:contextualSpacing/>
              <w:rPr>
                <w:bCs/>
                <w:lang w:val="de-DE" w:eastAsia="en-GB"/>
              </w:rPr>
            </w:pPr>
          </w:p>
        </w:tc>
        <w:tc>
          <w:tcPr>
            <w:tcW w:w="823" w:type="pct"/>
            <w:vMerge/>
            <w:tcBorders>
              <w:top w:val="single" w:sz="4" w:space="0" w:color="auto"/>
              <w:left w:val="single" w:sz="4" w:space="0" w:color="auto"/>
              <w:bottom w:val="single" w:sz="4" w:space="0" w:color="auto"/>
              <w:right w:val="single" w:sz="4" w:space="0" w:color="auto"/>
            </w:tcBorders>
            <w:shd w:val="clear" w:color="auto" w:fill="auto"/>
          </w:tcPr>
          <w:p w14:paraId="53CE715E" w14:textId="77777777" w:rsidR="00043C12" w:rsidRPr="00E56240" w:rsidRDefault="00043C12" w:rsidP="007C692E">
            <w:pPr>
              <w:contextualSpacing/>
              <w:jc w:val="both"/>
              <w:rPr>
                <w:lang w:val="de-DE" w:eastAsia="en-GB"/>
              </w:rPr>
            </w:pPr>
          </w:p>
        </w:tc>
        <w:tc>
          <w:tcPr>
            <w:tcW w:w="657" w:type="pct"/>
            <w:tcBorders>
              <w:top w:val="single" w:sz="4" w:space="0" w:color="auto"/>
              <w:left w:val="single" w:sz="4" w:space="0" w:color="auto"/>
              <w:bottom w:val="single" w:sz="4" w:space="0" w:color="auto"/>
              <w:right w:val="single" w:sz="4" w:space="0" w:color="auto"/>
            </w:tcBorders>
            <w:shd w:val="clear" w:color="auto" w:fill="auto"/>
          </w:tcPr>
          <w:p w14:paraId="31E014E4" w14:textId="77777777" w:rsidR="00043C12" w:rsidRPr="00790AF3" w:rsidRDefault="00043C12" w:rsidP="007C692E">
            <w:pPr>
              <w:rPr>
                <w:shd w:val="clear" w:color="auto" w:fill="FFFFFF"/>
              </w:rPr>
            </w:pPr>
          </w:p>
          <w:p w14:paraId="7C8E3E53" w14:textId="77777777" w:rsidR="00043C12" w:rsidRPr="00790AF3" w:rsidRDefault="00043C12" w:rsidP="007C692E">
            <w:r>
              <w:rPr>
                <w:shd w:val="clear" w:color="auto" w:fill="FFFFFF"/>
              </w:rPr>
              <w:t>1 810 444 </w:t>
            </w:r>
            <w:r>
              <w:t>€</w:t>
            </w:r>
          </w:p>
          <w:p w14:paraId="77F9EBA3" w14:textId="77777777" w:rsidR="00043C12" w:rsidRPr="00790AF3" w:rsidRDefault="00043C12" w:rsidP="007C692E">
            <w:pPr>
              <w:contextualSpacing/>
              <w:jc w:val="both"/>
              <w:rPr>
                <w:lang w:val="en-GB" w:eastAsia="en-GB"/>
              </w:rPr>
            </w:pPr>
          </w:p>
        </w:tc>
        <w:tc>
          <w:tcPr>
            <w:tcW w:w="575" w:type="pct"/>
            <w:tcBorders>
              <w:top w:val="single" w:sz="4" w:space="0" w:color="auto"/>
              <w:left w:val="single" w:sz="4" w:space="0" w:color="auto"/>
              <w:bottom w:val="single" w:sz="4" w:space="0" w:color="auto"/>
              <w:right w:val="single" w:sz="4" w:space="0" w:color="auto"/>
            </w:tcBorders>
          </w:tcPr>
          <w:p w14:paraId="49D1C539" w14:textId="77777777" w:rsidR="00043C12" w:rsidRPr="00790AF3" w:rsidRDefault="00043C12" w:rsidP="007C692E">
            <w:pPr>
              <w:contextualSpacing/>
              <w:jc w:val="both"/>
            </w:pPr>
            <w:r>
              <w:t xml:space="preserve">90 % </w:t>
            </w:r>
          </w:p>
        </w:tc>
        <w:tc>
          <w:tcPr>
            <w:tcW w:w="904" w:type="pct"/>
            <w:tcBorders>
              <w:top w:val="single" w:sz="4" w:space="0" w:color="auto"/>
              <w:left w:val="single" w:sz="4" w:space="0" w:color="auto"/>
              <w:bottom w:val="single" w:sz="4" w:space="0" w:color="auto"/>
              <w:right w:val="single" w:sz="4" w:space="0" w:color="auto"/>
            </w:tcBorders>
            <w:shd w:val="clear" w:color="auto" w:fill="auto"/>
          </w:tcPr>
          <w:p w14:paraId="0F880309" w14:textId="77777777" w:rsidR="00043C12" w:rsidRPr="00790AF3" w:rsidRDefault="00043C12" w:rsidP="007C692E">
            <w:pPr>
              <w:contextualSpacing/>
              <w:jc w:val="both"/>
            </w:pPr>
            <w:r>
              <w:t>Daugavpils pašvaldība</w:t>
            </w:r>
          </w:p>
        </w:tc>
        <w:tc>
          <w:tcPr>
            <w:tcW w:w="1308" w:type="pct"/>
            <w:tcBorders>
              <w:top w:val="single" w:sz="4" w:space="0" w:color="auto"/>
              <w:left w:val="single" w:sz="4" w:space="0" w:color="auto"/>
              <w:bottom w:val="single" w:sz="4" w:space="0" w:color="auto"/>
              <w:right w:val="single" w:sz="4" w:space="0" w:color="auto"/>
            </w:tcBorders>
          </w:tcPr>
          <w:p w14:paraId="6FE93640" w14:textId="77777777" w:rsidR="00043C12" w:rsidRPr="00790AF3" w:rsidRDefault="00043C12" w:rsidP="007C692E">
            <w:pPr>
              <w:contextualSpacing/>
              <w:jc w:val="both"/>
            </w:pPr>
            <w:r>
              <w:t>Daugavpils Universitāte (tiks nolemts)</w:t>
            </w:r>
          </w:p>
          <w:p w14:paraId="60D3281D" w14:textId="77777777" w:rsidR="00043C12" w:rsidRPr="00790AF3" w:rsidRDefault="00043C12" w:rsidP="007C692E">
            <w:pPr>
              <w:contextualSpacing/>
              <w:jc w:val="both"/>
              <w:rPr>
                <w:lang w:val="en-GB" w:eastAsia="en-GB"/>
              </w:rPr>
            </w:pPr>
          </w:p>
        </w:tc>
      </w:tr>
      <w:tr w:rsidR="00043C12" w:rsidRPr="00790AF3" w14:paraId="7259B777" w14:textId="77777777" w:rsidTr="007C692E">
        <w:trPr>
          <w:trHeight w:val="395"/>
          <w:jc w:val="center"/>
        </w:trPr>
        <w:tc>
          <w:tcPr>
            <w:tcW w:w="733" w:type="pct"/>
            <w:vMerge/>
            <w:tcBorders>
              <w:top w:val="single" w:sz="4" w:space="0" w:color="auto"/>
              <w:left w:val="single" w:sz="4" w:space="0" w:color="auto"/>
              <w:right w:val="single" w:sz="4" w:space="0" w:color="auto"/>
            </w:tcBorders>
            <w:shd w:val="clear" w:color="auto" w:fill="auto"/>
          </w:tcPr>
          <w:p w14:paraId="42B96849" w14:textId="77777777" w:rsidR="00043C12" w:rsidRPr="00790AF3" w:rsidRDefault="00043C12" w:rsidP="007C692E">
            <w:pPr>
              <w:contextualSpacing/>
              <w:rPr>
                <w:bCs/>
                <w:lang w:val="en-GB" w:eastAsia="en-GB"/>
              </w:rPr>
            </w:pPr>
          </w:p>
        </w:tc>
        <w:tc>
          <w:tcPr>
            <w:tcW w:w="823" w:type="pct"/>
            <w:vMerge/>
            <w:tcBorders>
              <w:top w:val="single" w:sz="4" w:space="0" w:color="auto"/>
              <w:left w:val="nil"/>
              <w:right w:val="single" w:sz="4" w:space="0" w:color="auto"/>
            </w:tcBorders>
            <w:shd w:val="clear" w:color="auto" w:fill="auto"/>
          </w:tcPr>
          <w:p w14:paraId="5DE28CAA" w14:textId="77777777" w:rsidR="00043C12" w:rsidRPr="00790AF3" w:rsidRDefault="00043C12" w:rsidP="007C692E">
            <w:pPr>
              <w:contextualSpacing/>
              <w:jc w:val="both"/>
              <w:rPr>
                <w:lang w:val="en-GB" w:eastAsia="en-GB"/>
              </w:rPr>
            </w:pPr>
          </w:p>
        </w:tc>
        <w:tc>
          <w:tcPr>
            <w:tcW w:w="657" w:type="pct"/>
            <w:tcBorders>
              <w:top w:val="single" w:sz="4" w:space="0" w:color="auto"/>
              <w:left w:val="nil"/>
              <w:bottom w:val="single" w:sz="4" w:space="0" w:color="auto"/>
              <w:right w:val="single" w:sz="4" w:space="0" w:color="auto"/>
            </w:tcBorders>
            <w:shd w:val="clear" w:color="auto" w:fill="auto"/>
          </w:tcPr>
          <w:p w14:paraId="573B2EEC" w14:textId="77777777" w:rsidR="00043C12" w:rsidRPr="00790AF3" w:rsidRDefault="00043C12" w:rsidP="007C692E">
            <w:pPr>
              <w:contextualSpacing/>
              <w:jc w:val="both"/>
            </w:pPr>
            <w:r>
              <w:t> </w:t>
            </w:r>
          </w:p>
          <w:p w14:paraId="1483F36C" w14:textId="77777777" w:rsidR="00043C12" w:rsidRPr="00790AF3" w:rsidRDefault="00043C12" w:rsidP="007C692E">
            <w:pPr>
              <w:contextualSpacing/>
              <w:jc w:val="both"/>
            </w:pPr>
            <w:r>
              <w:t>887 444 €</w:t>
            </w:r>
          </w:p>
          <w:p w14:paraId="251E27FD" w14:textId="77777777" w:rsidR="00043C12" w:rsidRPr="00790AF3" w:rsidRDefault="00043C12" w:rsidP="007C692E">
            <w:pPr>
              <w:contextualSpacing/>
              <w:jc w:val="both"/>
              <w:rPr>
                <w:lang w:val="en-GB" w:eastAsia="en-GB"/>
              </w:rPr>
            </w:pPr>
          </w:p>
        </w:tc>
        <w:tc>
          <w:tcPr>
            <w:tcW w:w="575" w:type="pct"/>
            <w:tcBorders>
              <w:top w:val="single" w:sz="4" w:space="0" w:color="auto"/>
              <w:left w:val="nil"/>
              <w:bottom w:val="single" w:sz="4" w:space="0" w:color="auto"/>
              <w:right w:val="single" w:sz="4" w:space="0" w:color="auto"/>
            </w:tcBorders>
          </w:tcPr>
          <w:p w14:paraId="10F0DFC4" w14:textId="77777777" w:rsidR="00043C12" w:rsidRPr="00790AF3" w:rsidRDefault="00043C12" w:rsidP="007C692E">
            <w:pPr>
              <w:contextualSpacing/>
              <w:jc w:val="both"/>
            </w:pPr>
            <w:r>
              <w:t>90 %</w:t>
            </w:r>
          </w:p>
          <w:p w14:paraId="03C5274A" w14:textId="77777777" w:rsidR="00043C12" w:rsidRPr="00790AF3" w:rsidRDefault="00043C12" w:rsidP="007C692E">
            <w:pPr>
              <w:contextualSpacing/>
              <w:jc w:val="both"/>
              <w:rPr>
                <w:lang w:val="en-GB" w:eastAsia="en-GB"/>
              </w:rPr>
            </w:pPr>
          </w:p>
        </w:tc>
        <w:tc>
          <w:tcPr>
            <w:tcW w:w="904" w:type="pct"/>
            <w:tcBorders>
              <w:top w:val="single" w:sz="4" w:space="0" w:color="auto"/>
              <w:left w:val="single" w:sz="4" w:space="0" w:color="auto"/>
              <w:bottom w:val="single" w:sz="4" w:space="0" w:color="auto"/>
              <w:right w:val="single" w:sz="4" w:space="0" w:color="auto"/>
            </w:tcBorders>
            <w:shd w:val="clear" w:color="auto" w:fill="auto"/>
          </w:tcPr>
          <w:p w14:paraId="3D81077E" w14:textId="77777777" w:rsidR="00043C12" w:rsidRPr="00790AF3" w:rsidRDefault="00043C12" w:rsidP="007C692E">
            <w:pPr>
              <w:contextualSpacing/>
              <w:jc w:val="both"/>
            </w:pPr>
            <w:r>
              <w:t xml:space="preserve">Liepājas pašvaldība </w:t>
            </w:r>
          </w:p>
        </w:tc>
        <w:tc>
          <w:tcPr>
            <w:tcW w:w="1308" w:type="pct"/>
            <w:tcBorders>
              <w:top w:val="single" w:sz="4" w:space="0" w:color="auto"/>
              <w:left w:val="single" w:sz="4" w:space="0" w:color="auto"/>
              <w:bottom w:val="single" w:sz="4" w:space="0" w:color="auto"/>
              <w:right w:val="single" w:sz="4" w:space="0" w:color="auto"/>
            </w:tcBorders>
          </w:tcPr>
          <w:p w14:paraId="1A093CCD" w14:textId="77777777" w:rsidR="00043C12" w:rsidRPr="00790AF3" w:rsidRDefault="00043C12" w:rsidP="007C692E">
            <w:pPr>
              <w:contextualSpacing/>
              <w:jc w:val="both"/>
            </w:pPr>
            <w:r>
              <w:t>Liepājas Universitāte (tiks nolemts)</w:t>
            </w:r>
          </w:p>
          <w:p w14:paraId="6F6E37A5" w14:textId="77777777" w:rsidR="00043C12" w:rsidRPr="00790AF3" w:rsidRDefault="00043C12" w:rsidP="007C692E">
            <w:pPr>
              <w:contextualSpacing/>
              <w:jc w:val="both"/>
              <w:rPr>
                <w:lang w:val="en-GB" w:eastAsia="en-GB"/>
              </w:rPr>
            </w:pPr>
          </w:p>
        </w:tc>
      </w:tr>
      <w:tr w:rsidR="00043C12" w:rsidRPr="00790AF3" w14:paraId="04E8EE22" w14:textId="77777777" w:rsidTr="007C692E">
        <w:trPr>
          <w:trHeight w:val="712"/>
          <w:jc w:val="center"/>
        </w:trPr>
        <w:tc>
          <w:tcPr>
            <w:tcW w:w="733" w:type="pct"/>
            <w:tcBorders>
              <w:left w:val="single" w:sz="4" w:space="0" w:color="auto"/>
              <w:bottom w:val="single" w:sz="4" w:space="0" w:color="auto"/>
              <w:right w:val="single" w:sz="4" w:space="0" w:color="auto"/>
            </w:tcBorders>
            <w:shd w:val="clear" w:color="auto" w:fill="auto"/>
          </w:tcPr>
          <w:p w14:paraId="76E03A40" w14:textId="77777777" w:rsidR="00043C12" w:rsidRPr="00790AF3" w:rsidRDefault="00043C12" w:rsidP="007C692E">
            <w:pPr>
              <w:contextualSpacing/>
              <w:rPr>
                <w:bCs/>
                <w:lang w:val="en-GB" w:eastAsia="en-GB"/>
              </w:rPr>
            </w:pPr>
          </w:p>
        </w:tc>
        <w:tc>
          <w:tcPr>
            <w:tcW w:w="823" w:type="pct"/>
            <w:tcBorders>
              <w:left w:val="nil"/>
              <w:bottom w:val="single" w:sz="4" w:space="0" w:color="auto"/>
              <w:right w:val="single" w:sz="4" w:space="0" w:color="auto"/>
            </w:tcBorders>
            <w:shd w:val="clear" w:color="auto" w:fill="auto"/>
          </w:tcPr>
          <w:p w14:paraId="1327AA5B" w14:textId="77777777" w:rsidR="00043C12" w:rsidRPr="00790AF3" w:rsidRDefault="00043C12" w:rsidP="007C692E">
            <w:pPr>
              <w:contextualSpacing/>
              <w:jc w:val="both"/>
              <w:rPr>
                <w:lang w:val="en-GB" w:eastAsia="en-GB"/>
              </w:rPr>
            </w:pPr>
          </w:p>
        </w:tc>
        <w:tc>
          <w:tcPr>
            <w:tcW w:w="657" w:type="pct"/>
            <w:tcBorders>
              <w:top w:val="single" w:sz="4" w:space="0" w:color="auto"/>
              <w:left w:val="nil"/>
              <w:bottom w:val="single" w:sz="4" w:space="0" w:color="auto"/>
              <w:right w:val="single" w:sz="4" w:space="0" w:color="auto"/>
            </w:tcBorders>
            <w:shd w:val="clear" w:color="auto" w:fill="auto"/>
          </w:tcPr>
          <w:p w14:paraId="73BF1755" w14:textId="77777777" w:rsidR="00043C12" w:rsidRPr="00790AF3" w:rsidRDefault="00043C12" w:rsidP="007C692E">
            <w:pPr>
              <w:contextualSpacing/>
              <w:jc w:val="both"/>
              <w:rPr>
                <w:shd w:val="clear" w:color="auto" w:fill="FFFFFF"/>
              </w:rPr>
            </w:pPr>
            <w:r>
              <w:rPr>
                <w:shd w:val="clear" w:color="auto" w:fill="FFFFFF"/>
              </w:rPr>
              <w:t> </w:t>
            </w:r>
          </w:p>
          <w:p w14:paraId="04EF1384" w14:textId="77777777" w:rsidR="00043C12" w:rsidRPr="00790AF3" w:rsidRDefault="00043C12" w:rsidP="007C692E">
            <w:pPr>
              <w:contextualSpacing/>
              <w:jc w:val="both"/>
            </w:pPr>
            <w:r>
              <w:rPr>
                <w:shd w:val="clear" w:color="auto" w:fill="FFFFFF"/>
              </w:rPr>
              <w:t>1 810 508 </w:t>
            </w:r>
            <w:r>
              <w:t>€</w:t>
            </w:r>
          </w:p>
        </w:tc>
        <w:tc>
          <w:tcPr>
            <w:tcW w:w="575" w:type="pct"/>
            <w:tcBorders>
              <w:top w:val="single" w:sz="4" w:space="0" w:color="auto"/>
              <w:left w:val="nil"/>
              <w:bottom w:val="single" w:sz="4" w:space="0" w:color="auto"/>
              <w:right w:val="single" w:sz="4" w:space="0" w:color="auto"/>
            </w:tcBorders>
          </w:tcPr>
          <w:p w14:paraId="62CC5756" w14:textId="77777777" w:rsidR="00043C12" w:rsidRPr="00790AF3" w:rsidRDefault="00043C12" w:rsidP="007C692E">
            <w:pPr>
              <w:contextualSpacing/>
              <w:jc w:val="both"/>
            </w:pPr>
            <w:r>
              <w:t>90 %</w:t>
            </w:r>
          </w:p>
          <w:p w14:paraId="543F7AC6" w14:textId="77777777" w:rsidR="00043C12" w:rsidRPr="00790AF3" w:rsidRDefault="00043C12" w:rsidP="007C692E">
            <w:pPr>
              <w:contextualSpacing/>
              <w:jc w:val="both"/>
              <w:rPr>
                <w:lang w:val="en-GB" w:eastAsia="en-GB"/>
              </w:rPr>
            </w:pPr>
          </w:p>
        </w:tc>
        <w:tc>
          <w:tcPr>
            <w:tcW w:w="904" w:type="pct"/>
            <w:tcBorders>
              <w:top w:val="single" w:sz="4" w:space="0" w:color="auto"/>
              <w:left w:val="single" w:sz="4" w:space="0" w:color="auto"/>
              <w:bottom w:val="single" w:sz="4" w:space="0" w:color="auto"/>
              <w:right w:val="single" w:sz="4" w:space="0" w:color="auto"/>
            </w:tcBorders>
            <w:shd w:val="clear" w:color="auto" w:fill="auto"/>
          </w:tcPr>
          <w:p w14:paraId="2255D36D" w14:textId="77777777" w:rsidR="00043C12" w:rsidRPr="00790AF3" w:rsidRDefault="00043C12" w:rsidP="007C692E">
            <w:pPr>
              <w:contextualSpacing/>
              <w:jc w:val="both"/>
            </w:pPr>
            <w:r>
              <w:t>Ventspils pašvaldība</w:t>
            </w:r>
          </w:p>
        </w:tc>
        <w:tc>
          <w:tcPr>
            <w:tcW w:w="1308" w:type="pct"/>
            <w:tcBorders>
              <w:top w:val="single" w:sz="4" w:space="0" w:color="auto"/>
              <w:left w:val="single" w:sz="4" w:space="0" w:color="auto"/>
              <w:bottom w:val="single" w:sz="4" w:space="0" w:color="auto"/>
              <w:right w:val="single" w:sz="4" w:space="0" w:color="auto"/>
            </w:tcBorders>
          </w:tcPr>
          <w:p w14:paraId="519CB9BD" w14:textId="5B5A6434" w:rsidR="00043C12" w:rsidRPr="00790AF3" w:rsidRDefault="00043C12" w:rsidP="007C692E">
            <w:pPr>
              <w:contextualSpacing/>
              <w:jc w:val="both"/>
            </w:pPr>
            <w:r>
              <w:t xml:space="preserve">Ventspils </w:t>
            </w:r>
            <w:r w:rsidR="00C11314">
              <w:t xml:space="preserve">Augstskola </w:t>
            </w:r>
            <w:r>
              <w:t>(tiks nolemts)</w:t>
            </w:r>
          </w:p>
          <w:p w14:paraId="048E69E5" w14:textId="77777777" w:rsidR="00043C12" w:rsidRPr="00790AF3" w:rsidRDefault="00043C12" w:rsidP="007C692E">
            <w:pPr>
              <w:contextualSpacing/>
              <w:jc w:val="both"/>
            </w:pPr>
            <w:r>
              <w:t>Ventspils Tehniskā koledža (tiks nolemts)</w:t>
            </w:r>
          </w:p>
          <w:p w14:paraId="66812EAF" w14:textId="77777777" w:rsidR="00043C12" w:rsidRPr="00E56240" w:rsidRDefault="00043C12" w:rsidP="007C692E">
            <w:pPr>
              <w:contextualSpacing/>
              <w:jc w:val="both"/>
              <w:rPr>
                <w:lang w:val="de-DE" w:eastAsia="en-GB"/>
              </w:rPr>
            </w:pPr>
          </w:p>
        </w:tc>
      </w:tr>
    </w:tbl>
    <w:p w14:paraId="770439CF" w14:textId="77777777" w:rsidR="00043C12" w:rsidRPr="00790AF3" w:rsidRDefault="00043C12" w:rsidP="00043C12">
      <w:pPr>
        <w:pStyle w:val="BodyText"/>
        <w:spacing w:after="0"/>
        <w:contextualSpacing/>
        <w:rPr>
          <w:rFonts w:ascii="Times New Roman" w:hAnsi="Times New Roman"/>
          <w:sz w:val="24"/>
          <w:szCs w:val="24"/>
        </w:rPr>
      </w:pPr>
      <w:r>
        <w:rPr>
          <w:rFonts w:ascii="Times New Roman" w:hAnsi="Times New Roman"/>
          <w:sz w:val="24"/>
          <w:szCs w:val="24"/>
        </w:rPr>
        <w:t>* Kopā ar līdzfinansējumu.</w:t>
      </w:r>
    </w:p>
    <w:p w14:paraId="782AA186" w14:textId="185EDAF9" w:rsidR="00043C12" w:rsidRPr="00790AF3" w:rsidRDefault="00043C12" w:rsidP="00043C12">
      <w:pPr>
        <w:pStyle w:val="BodyText"/>
        <w:spacing w:after="0"/>
        <w:contextualSpacing/>
        <w:rPr>
          <w:rFonts w:ascii="Times New Roman" w:hAnsi="Times New Roman"/>
          <w:sz w:val="24"/>
          <w:szCs w:val="24"/>
        </w:rPr>
      </w:pPr>
      <w:r>
        <w:rPr>
          <w:rFonts w:ascii="Times New Roman" w:hAnsi="Times New Roman"/>
          <w:sz w:val="24"/>
          <w:szCs w:val="24"/>
        </w:rPr>
        <w:t xml:space="preserve">** Precīza informācija par </w:t>
      </w:r>
      <w:r w:rsidR="00A44BCF">
        <w:rPr>
          <w:rFonts w:ascii="Times New Roman" w:hAnsi="Times New Roman"/>
          <w:sz w:val="24"/>
          <w:szCs w:val="24"/>
        </w:rPr>
        <w:t xml:space="preserve">nacionālo </w:t>
      </w:r>
      <w:r>
        <w:rPr>
          <w:rFonts w:ascii="Times New Roman" w:hAnsi="Times New Roman"/>
          <w:sz w:val="24"/>
          <w:szCs w:val="24"/>
        </w:rPr>
        <w:t xml:space="preserve">partneru </w:t>
      </w:r>
      <w:r w:rsidR="00A44BCF">
        <w:rPr>
          <w:rFonts w:ascii="Times New Roman" w:hAnsi="Times New Roman"/>
          <w:sz w:val="24"/>
          <w:szCs w:val="24"/>
        </w:rPr>
        <w:t xml:space="preserve">kā arī </w:t>
      </w:r>
      <w:proofErr w:type="spellStart"/>
      <w:r>
        <w:rPr>
          <w:rFonts w:ascii="Times New Roman" w:hAnsi="Times New Roman"/>
          <w:sz w:val="24"/>
          <w:szCs w:val="24"/>
        </w:rPr>
        <w:t>donorvalsts</w:t>
      </w:r>
      <w:proofErr w:type="spellEnd"/>
      <w:r>
        <w:rPr>
          <w:rFonts w:ascii="Times New Roman" w:hAnsi="Times New Roman"/>
          <w:sz w:val="24"/>
          <w:szCs w:val="24"/>
        </w:rPr>
        <w:t xml:space="preserve"> partneru līdzdalību un to loma projektos tiks vēlāk norādīta un galīgi apstiprināta programmas līgumā.</w:t>
      </w:r>
    </w:p>
    <w:tbl>
      <w:tblPr>
        <w:tblStyle w:val="TableGrid1"/>
        <w:tblW w:w="4869" w:type="pct"/>
        <w:tblLook w:val="04A0" w:firstRow="1" w:lastRow="0" w:firstColumn="1" w:lastColumn="0" w:noHBand="0" w:noVBand="1"/>
      </w:tblPr>
      <w:tblGrid>
        <w:gridCol w:w="1556"/>
        <w:gridCol w:w="2361"/>
        <w:gridCol w:w="5589"/>
        <w:gridCol w:w="1556"/>
        <w:gridCol w:w="1549"/>
      </w:tblGrid>
      <w:tr w:rsidR="00043C12" w:rsidRPr="00790AF3" w14:paraId="3B13D34D" w14:textId="77777777" w:rsidTr="007C692E">
        <w:trPr>
          <w:trHeight w:val="438"/>
          <w:tblHeader/>
        </w:trPr>
        <w:tc>
          <w:tcPr>
            <w:tcW w:w="542" w:type="pct"/>
            <w:shd w:val="clear" w:color="auto" w:fill="BFBFBF" w:themeFill="background1" w:themeFillShade="BF"/>
          </w:tcPr>
          <w:p w14:paraId="16837E1B" w14:textId="77777777" w:rsidR="00043C12" w:rsidRPr="00E56240" w:rsidRDefault="00043C12" w:rsidP="007C692E">
            <w:pPr>
              <w:contextualSpacing/>
              <w:jc w:val="both"/>
              <w:rPr>
                <w:b/>
              </w:rPr>
            </w:pPr>
          </w:p>
        </w:tc>
        <w:tc>
          <w:tcPr>
            <w:tcW w:w="1034" w:type="pct"/>
            <w:shd w:val="clear" w:color="auto" w:fill="BFBFBF" w:themeFill="background1" w:themeFillShade="BF"/>
          </w:tcPr>
          <w:p w14:paraId="4D897EFD" w14:textId="77777777" w:rsidR="00043C12" w:rsidRPr="00AD1E0E" w:rsidRDefault="00043C12" w:rsidP="007C692E">
            <w:pPr>
              <w:contextualSpacing/>
              <w:jc w:val="both"/>
              <w:rPr>
                <w:rFonts w:ascii="Times New Roman" w:eastAsia="Times New Roman,Calibri" w:hAnsi="Times New Roman"/>
                <w:b/>
              </w:rPr>
            </w:pPr>
            <w:r>
              <w:rPr>
                <w:rFonts w:ascii="Times New Roman" w:hAnsi="Times New Roman"/>
                <w:b/>
              </w:rPr>
              <w:t>Apraksts</w:t>
            </w:r>
          </w:p>
        </w:tc>
        <w:tc>
          <w:tcPr>
            <w:tcW w:w="2314" w:type="pct"/>
            <w:tcBorders>
              <w:top w:val="single" w:sz="4" w:space="0" w:color="auto"/>
            </w:tcBorders>
            <w:shd w:val="clear" w:color="auto" w:fill="BFBFBF" w:themeFill="background1" w:themeFillShade="BF"/>
          </w:tcPr>
          <w:p w14:paraId="2ED99E0E" w14:textId="77777777" w:rsidR="00043C12" w:rsidRPr="00AD1E0E" w:rsidRDefault="00043C12" w:rsidP="007C692E">
            <w:pPr>
              <w:contextualSpacing/>
              <w:jc w:val="both"/>
              <w:rPr>
                <w:rFonts w:ascii="Times New Roman" w:hAnsi="Times New Roman"/>
                <w:b/>
              </w:rPr>
            </w:pPr>
            <w:r>
              <w:rPr>
                <w:rFonts w:ascii="Times New Roman" w:hAnsi="Times New Roman"/>
                <w:b/>
              </w:rPr>
              <w:t xml:space="preserve">Rādītāji </w:t>
            </w:r>
          </w:p>
        </w:tc>
        <w:tc>
          <w:tcPr>
            <w:tcW w:w="556" w:type="pct"/>
            <w:tcBorders>
              <w:top w:val="single" w:sz="4" w:space="0" w:color="auto"/>
            </w:tcBorders>
            <w:shd w:val="clear" w:color="auto" w:fill="BFBFBF" w:themeFill="background1" w:themeFillShade="BF"/>
          </w:tcPr>
          <w:p w14:paraId="6D91595F" w14:textId="77777777" w:rsidR="00043C12" w:rsidRPr="00AD1E0E" w:rsidRDefault="00043C12" w:rsidP="007C692E">
            <w:pPr>
              <w:contextualSpacing/>
              <w:jc w:val="both"/>
              <w:rPr>
                <w:rFonts w:ascii="Times New Roman" w:hAnsi="Times New Roman"/>
                <w:b/>
              </w:rPr>
            </w:pPr>
            <w:r>
              <w:rPr>
                <w:rFonts w:ascii="Times New Roman" w:hAnsi="Times New Roman"/>
                <w:b/>
              </w:rPr>
              <w:t xml:space="preserve">Bāzes līnija </w:t>
            </w:r>
          </w:p>
        </w:tc>
        <w:tc>
          <w:tcPr>
            <w:tcW w:w="554" w:type="pct"/>
            <w:tcBorders>
              <w:top w:val="single" w:sz="4" w:space="0" w:color="auto"/>
            </w:tcBorders>
            <w:shd w:val="clear" w:color="auto" w:fill="BFBFBF" w:themeFill="background1" w:themeFillShade="BF"/>
          </w:tcPr>
          <w:p w14:paraId="7C1E8CFD" w14:textId="77777777" w:rsidR="00043C12" w:rsidRPr="00AD1E0E" w:rsidRDefault="00043C12" w:rsidP="007C692E">
            <w:pPr>
              <w:contextualSpacing/>
              <w:jc w:val="both"/>
              <w:rPr>
                <w:rFonts w:ascii="Times New Roman" w:hAnsi="Times New Roman"/>
                <w:b/>
              </w:rPr>
            </w:pPr>
            <w:r>
              <w:rPr>
                <w:rFonts w:ascii="Times New Roman" w:hAnsi="Times New Roman"/>
                <w:b/>
              </w:rPr>
              <w:t xml:space="preserve">Uzdevumi </w:t>
            </w:r>
          </w:p>
        </w:tc>
      </w:tr>
      <w:tr w:rsidR="00043C12" w:rsidRPr="00790AF3" w14:paraId="48FB4FBF" w14:textId="77777777" w:rsidTr="007C692E">
        <w:trPr>
          <w:trHeight w:val="438"/>
          <w:tblHeader/>
        </w:trPr>
        <w:tc>
          <w:tcPr>
            <w:tcW w:w="542" w:type="pct"/>
          </w:tcPr>
          <w:p w14:paraId="029E0186" w14:textId="77777777" w:rsidR="00043C12" w:rsidRPr="00AD1E0E" w:rsidRDefault="00043C12" w:rsidP="007C692E">
            <w:pPr>
              <w:contextualSpacing/>
              <w:jc w:val="both"/>
              <w:rPr>
                <w:rFonts w:ascii="Times New Roman" w:hAnsi="Times New Roman"/>
                <w:b/>
              </w:rPr>
            </w:pPr>
            <w:r>
              <w:rPr>
                <w:rFonts w:ascii="Times New Roman" w:hAnsi="Times New Roman"/>
                <w:b/>
              </w:rPr>
              <w:t xml:space="preserve">Mērķis </w:t>
            </w:r>
          </w:p>
        </w:tc>
        <w:tc>
          <w:tcPr>
            <w:tcW w:w="4458" w:type="pct"/>
            <w:gridSpan w:val="4"/>
          </w:tcPr>
          <w:p w14:paraId="02AD2F46" w14:textId="39C2B1C7" w:rsidR="00043C12" w:rsidRPr="00790AF3" w:rsidRDefault="00745C31" w:rsidP="00745C31">
            <w:pPr>
              <w:contextualSpacing/>
              <w:jc w:val="both"/>
              <w:rPr>
                <w:b/>
              </w:rPr>
            </w:pPr>
            <w:r>
              <w:rPr>
                <w:rFonts w:ascii="Times New Roman" w:hAnsi="Times New Roman"/>
                <w:b/>
              </w:rPr>
              <w:t xml:space="preserve">Padziļinātu </w:t>
            </w:r>
            <w:r w:rsidR="00043C12">
              <w:rPr>
                <w:rFonts w:ascii="Times New Roman" w:hAnsi="Times New Roman"/>
                <w:b/>
              </w:rPr>
              <w:t>uz pēt</w:t>
            </w:r>
            <w:r>
              <w:rPr>
                <w:rFonts w:ascii="Times New Roman" w:hAnsi="Times New Roman"/>
                <w:b/>
              </w:rPr>
              <w:t>ījumiem</w:t>
            </w:r>
            <w:r w:rsidR="00043C12">
              <w:rPr>
                <w:rFonts w:ascii="Times New Roman" w:hAnsi="Times New Roman"/>
                <w:b/>
              </w:rPr>
              <w:t xml:space="preserve"> balstītu zināšanu attīstību </w:t>
            </w:r>
          </w:p>
        </w:tc>
      </w:tr>
      <w:tr w:rsidR="00043C12" w:rsidRPr="00790AF3" w14:paraId="44CC0827" w14:textId="77777777" w:rsidTr="007C692E">
        <w:trPr>
          <w:trHeight w:val="438"/>
          <w:tblHeader/>
        </w:trPr>
        <w:tc>
          <w:tcPr>
            <w:tcW w:w="542" w:type="pct"/>
            <w:vMerge w:val="restart"/>
          </w:tcPr>
          <w:p w14:paraId="6C2F2F84" w14:textId="77777777" w:rsidR="00043C12" w:rsidRPr="00790AF3" w:rsidRDefault="00043C12" w:rsidP="007C692E">
            <w:pPr>
              <w:contextualSpacing/>
              <w:jc w:val="both"/>
              <w:rPr>
                <w:rFonts w:ascii="Times New Roman" w:hAnsi="Times New Roman"/>
                <w:b/>
              </w:rPr>
            </w:pPr>
            <w:r>
              <w:rPr>
                <w:rFonts w:ascii="Times New Roman" w:hAnsi="Times New Roman"/>
                <w:b/>
              </w:rPr>
              <w:t>1. rezultāts</w:t>
            </w:r>
          </w:p>
          <w:p w14:paraId="693ECB0B" w14:textId="77777777" w:rsidR="00043C12" w:rsidRPr="00790AF3" w:rsidRDefault="00043C12" w:rsidP="007C692E">
            <w:pPr>
              <w:contextualSpacing/>
              <w:jc w:val="both"/>
              <w:rPr>
                <w:rFonts w:ascii="Times New Roman" w:hAnsi="Times New Roman"/>
                <w:b/>
                <w:lang w:val="en-GB"/>
              </w:rPr>
            </w:pPr>
          </w:p>
        </w:tc>
        <w:tc>
          <w:tcPr>
            <w:tcW w:w="1034" w:type="pct"/>
            <w:vMerge w:val="restart"/>
          </w:tcPr>
          <w:p w14:paraId="29005B03" w14:textId="77777777" w:rsidR="00043C12" w:rsidRPr="00790AF3" w:rsidRDefault="00043C12" w:rsidP="007C692E">
            <w:pPr>
              <w:contextualSpacing/>
              <w:jc w:val="both"/>
              <w:rPr>
                <w:rFonts w:ascii="Times New Roman" w:hAnsi="Times New Roman"/>
                <w:b/>
              </w:rPr>
            </w:pPr>
            <w:r>
              <w:rPr>
                <w:rFonts w:ascii="Times New Roman" w:hAnsi="Times New Roman"/>
                <w:b/>
              </w:rPr>
              <w:t>Starptautiskā līmenī uzlabots Baltijas pētniecības sniegums.</w:t>
            </w:r>
            <w:r w:rsidRPr="00790AF3">
              <w:rPr>
                <w:rStyle w:val="FootnoteReference"/>
                <w:rFonts w:ascii="Times New Roman" w:eastAsia="Times New Roman,Calibri" w:hAnsi="Times New Roman"/>
                <w:b/>
                <w:lang w:val="en-GB"/>
              </w:rPr>
              <w:footnoteReference w:id="6"/>
            </w:r>
            <w:r>
              <w:rPr>
                <w:rFonts w:ascii="Times New Roman" w:hAnsi="Times New Roman"/>
                <w:b/>
              </w:rPr>
              <w:t xml:space="preserve"> </w:t>
            </w:r>
          </w:p>
        </w:tc>
        <w:tc>
          <w:tcPr>
            <w:tcW w:w="2314" w:type="pct"/>
            <w:tcBorders>
              <w:top w:val="single" w:sz="4" w:space="0" w:color="auto"/>
            </w:tcBorders>
          </w:tcPr>
          <w:p w14:paraId="0DB038CA" w14:textId="77777777" w:rsidR="00043C12" w:rsidRPr="00790AF3" w:rsidRDefault="00043C12" w:rsidP="007C692E">
            <w:pPr>
              <w:contextualSpacing/>
              <w:jc w:val="both"/>
              <w:rPr>
                <w:rFonts w:ascii="Times New Roman" w:hAnsi="Times New Roman"/>
                <w:b/>
              </w:rPr>
            </w:pPr>
            <w:r>
              <w:t xml:space="preserve"> </w:t>
            </w:r>
            <w:r>
              <w:rPr>
                <w:rFonts w:ascii="Times New Roman" w:hAnsi="Times New Roman"/>
                <w:b/>
              </w:rPr>
              <w:t>Kopīgi iesniegto recenzēto zinātnisko publikāciju skaits</w:t>
            </w:r>
          </w:p>
        </w:tc>
        <w:tc>
          <w:tcPr>
            <w:tcW w:w="556" w:type="pct"/>
            <w:tcBorders>
              <w:top w:val="single" w:sz="4" w:space="0" w:color="auto"/>
            </w:tcBorders>
          </w:tcPr>
          <w:p w14:paraId="3C7F67CA" w14:textId="77777777" w:rsidR="00043C12" w:rsidRPr="00790AF3" w:rsidRDefault="00043C12" w:rsidP="007C692E">
            <w:pPr>
              <w:contextualSpacing/>
              <w:jc w:val="both"/>
              <w:rPr>
                <w:rFonts w:ascii="Times New Roman" w:hAnsi="Times New Roman"/>
                <w:b/>
              </w:rPr>
            </w:pPr>
            <w:r>
              <w:rPr>
                <w:rFonts w:ascii="Times New Roman" w:hAnsi="Times New Roman"/>
                <w:b/>
              </w:rPr>
              <w:t>0</w:t>
            </w:r>
          </w:p>
        </w:tc>
        <w:tc>
          <w:tcPr>
            <w:tcW w:w="554" w:type="pct"/>
            <w:tcBorders>
              <w:top w:val="single" w:sz="4" w:space="0" w:color="auto"/>
            </w:tcBorders>
          </w:tcPr>
          <w:p w14:paraId="7EBD7204" w14:textId="77777777" w:rsidR="00043C12" w:rsidRPr="00790AF3" w:rsidRDefault="00043C12" w:rsidP="007C692E">
            <w:pPr>
              <w:contextualSpacing/>
              <w:jc w:val="both"/>
              <w:rPr>
                <w:rFonts w:ascii="Times New Roman" w:hAnsi="Times New Roman"/>
                <w:b/>
              </w:rPr>
            </w:pPr>
            <w:r>
              <w:rPr>
                <w:rFonts w:ascii="Times New Roman" w:hAnsi="Times New Roman"/>
                <w:b/>
              </w:rPr>
              <w:t>50</w:t>
            </w:r>
          </w:p>
        </w:tc>
      </w:tr>
      <w:tr w:rsidR="00043C12" w:rsidRPr="00790AF3" w14:paraId="0E432FE7" w14:textId="77777777" w:rsidTr="007C692E">
        <w:trPr>
          <w:trHeight w:val="438"/>
          <w:tblHeader/>
        </w:trPr>
        <w:tc>
          <w:tcPr>
            <w:tcW w:w="542" w:type="pct"/>
            <w:vMerge/>
          </w:tcPr>
          <w:p w14:paraId="62618E04" w14:textId="77777777" w:rsidR="00043C12" w:rsidRPr="00790AF3" w:rsidRDefault="00043C12" w:rsidP="007C692E">
            <w:pPr>
              <w:contextualSpacing/>
              <w:jc w:val="both"/>
              <w:rPr>
                <w:rFonts w:ascii="Times New Roman" w:hAnsi="Times New Roman"/>
                <w:b/>
                <w:lang w:val="en-GB"/>
              </w:rPr>
            </w:pPr>
          </w:p>
        </w:tc>
        <w:tc>
          <w:tcPr>
            <w:tcW w:w="1034" w:type="pct"/>
            <w:vMerge/>
          </w:tcPr>
          <w:p w14:paraId="53922517" w14:textId="77777777" w:rsidR="00043C12" w:rsidRPr="00790AF3" w:rsidRDefault="00043C12" w:rsidP="007C692E">
            <w:pPr>
              <w:contextualSpacing/>
              <w:jc w:val="both"/>
              <w:rPr>
                <w:rFonts w:ascii="Times New Roman" w:eastAsia="Times New Roman,Calibri" w:hAnsi="Times New Roman"/>
                <w:b/>
                <w:lang w:val="en-GB"/>
              </w:rPr>
            </w:pPr>
          </w:p>
        </w:tc>
        <w:tc>
          <w:tcPr>
            <w:tcW w:w="2314" w:type="pct"/>
            <w:tcBorders>
              <w:top w:val="single" w:sz="4" w:space="0" w:color="auto"/>
            </w:tcBorders>
          </w:tcPr>
          <w:p w14:paraId="28A5C3F1" w14:textId="7D2B038B" w:rsidR="00043C12" w:rsidRPr="00790AF3" w:rsidRDefault="00043C12" w:rsidP="00186EA9">
            <w:pPr>
              <w:contextualSpacing/>
              <w:jc w:val="both"/>
              <w:rPr>
                <w:rFonts w:ascii="Times New Roman" w:hAnsi="Times New Roman"/>
                <w:b/>
              </w:rPr>
            </w:pPr>
            <w:r>
              <w:rPr>
                <w:rFonts w:ascii="Times New Roman" w:hAnsi="Times New Roman"/>
                <w:b/>
              </w:rPr>
              <w:t xml:space="preserve">Kopīgo pieteikumu skaits turpmākam finansējumam (sadalīts pa pieteikumu </w:t>
            </w:r>
            <w:r w:rsidR="00186EA9">
              <w:rPr>
                <w:rFonts w:ascii="Times New Roman" w:hAnsi="Times New Roman"/>
                <w:b/>
              </w:rPr>
              <w:t>veidiem</w:t>
            </w:r>
            <w:r>
              <w:rPr>
                <w:rStyle w:val="FootnoteReference"/>
                <w:rFonts w:ascii="Times New Roman" w:hAnsi="Times New Roman"/>
                <w:b/>
                <w:lang w:val="en-GB"/>
              </w:rPr>
              <w:footnoteReference w:id="7"/>
            </w:r>
            <w:r>
              <w:rPr>
                <w:rFonts w:ascii="Times New Roman" w:hAnsi="Times New Roman"/>
                <w:b/>
              </w:rPr>
              <w:t>)</w:t>
            </w:r>
          </w:p>
        </w:tc>
        <w:tc>
          <w:tcPr>
            <w:tcW w:w="556" w:type="pct"/>
            <w:tcBorders>
              <w:top w:val="single" w:sz="4" w:space="0" w:color="auto"/>
            </w:tcBorders>
          </w:tcPr>
          <w:p w14:paraId="7A5AAD31" w14:textId="77777777" w:rsidR="00043C12" w:rsidRPr="00790AF3" w:rsidRDefault="00043C12" w:rsidP="007C692E">
            <w:pPr>
              <w:contextualSpacing/>
              <w:jc w:val="both"/>
              <w:rPr>
                <w:rFonts w:ascii="Times New Roman" w:hAnsi="Times New Roman"/>
                <w:b/>
              </w:rPr>
            </w:pPr>
            <w:r>
              <w:rPr>
                <w:rFonts w:ascii="Times New Roman" w:hAnsi="Times New Roman"/>
                <w:b/>
              </w:rPr>
              <w:t>0</w:t>
            </w:r>
          </w:p>
        </w:tc>
        <w:tc>
          <w:tcPr>
            <w:tcW w:w="554" w:type="pct"/>
            <w:tcBorders>
              <w:top w:val="single" w:sz="4" w:space="0" w:color="auto"/>
            </w:tcBorders>
          </w:tcPr>
          <w:p w14:paraId="03B33D4C" w14:textId="77777777" w:rsidR="00043C12" w:rsidRPr="00790AF3" w:rsidRDefault="00043C12" w:rsidP="007C692E">
            <w:pPr>
              <w:contextualSpacing/>
              <w:jc w:val="both"/>
              <w:rPr>
                <w:rFonts w:ascii="Times New Roman" w:hAnsi="Times New Roman"/>
                <w:b/>
              </w:rPr>
            </w:pPr>
            <w:r>
              <w:rPr>
                <w:rFonts w:ascii="Times New Roman" w:hAnsi="Times New Roman"/>
                <w:b/>
              </w:rPr>
              <w:t>10</w:t>
            </w:r>
          </w:p>
        </w:tc>
      </w:tr>
      <w:tr w:rsidR="00043C12" w:rsidRPr="00790AF3" w14:paraId="2E620908" w14:textId="77777777" w:rsidTr="007C692E">
        <w:trPr>
          <w:trHeight w:val="740"/>
          <w:tblHeader/>
        </w:trPr>
        <w:tc>
          <w:tcPr>
            <w:tcW w:w="542" w:type="pct"/>
            <w:vMerge/>
          </w:tcPr>
          <w:p w14:paraId="42917999" w14:textId="77777777" w:rsidR="00043C12" w:rsidRPr="00790AF3" w:rsidRDefault="00043C12" w:rsidP="007C692E">
            <w:pPr>
              <w:contextualSpacing/>
              <w:jc w:val="both"/>
              <w:rPr>
                <w:rFonts w:ascii="Times New Roman" w:hAnsi="Times New Roman"/>
                <w:b/>
                <w:lang w:val="en-GB"/>
              </w:rPr>
            </w:pPr>
          </w:p>
        </w:tc>
        <w:tc>
          <w:tcPr>
            <w:tcW w:w="1034" w:type="pct"/>
            <w:vMerge/>
          </w:tcPr>
          <w:p w14:paraId="61F2C3C3" w14:textId="77777777" w:rsidR="00043C12" w:rsidRPr="00790AF3" w:rsidRDefault="00043C12" w:rsidP="007C692E">
            <w:pPr>
              <w:contextualSpacing/>
              <w:jc w:val="both"/>
              <w:rPr>
                <w:rFonts w:ascii="Times New Roman" w:eastAsiaTheme="minorHAnsi" w:hAnsi="Times New Roman"/>
                <w:b/>
                <w:lang w:val="en-GB"/>
              </w:rPr>
            </w:pPr>
          </w:p>
        </w:tc>
        <w:tc>
          <w:tcPr>
            <w:tcW w:w="2314" w:type="pct"/>
            <w:tcBorders>
              <w:top w:val="single" w:sz="4" w:space="0" w:color="auto"/>
            </w:tcBorders>
          </w:tcPr>
          <w:p w14:paraId="394D003C" w14:textId="77777777" w:rsidR="00043C12" w:rsidRPr="00790AF3" w:rsidRDefault="00043C12" w:rsidP="007C692E">
            <w:pPr>
              <w:contextualSpacing/>
              <w:jc w:val="both"/>
              <w:rPr>
                <w:rFonts w:ascii="Times New Roman" w:hAnsi="Times New Roman"/>
                <w:b/>
                <w:bCs/>
              </w:rPr>
            </w:pPr>
            <w:r>
              <w:rPr>
                <w:rFonts w:ascii="Times New Roman" w:hAnsi="Times New Roman"/>
                <w:b/>
              </w:rPr>
              <w:t>Kopīgi reģistrēto pieteikumu skaits intelektuālā īpašuma aizsardzībai</w:t>
            </w:r>
            <w:r>
              <w:rPr>
                <w:rFonts w:ascii="Times New Roman" w:hAnsi="Times New Roman"/>
              </w:rPr>
              <w:t xml:space="preserve"> </w:t>
            </w:r>
          </w:p>
        </w:tc>
        <w:tc>
          <w:tcPr>
            <w:tcW w:w="556" w:type="pct"/>
            <w:tcBorders>
              <w:top w:val="single" w:sz="4" w:space="0" w:color="auto"/>
            </w:tcBorders>
          </w:tcPr>
          <w:p w14:paraId="5A0EC2F4" w14:textId="77777777" w:rsidR="00043C12" w:rsidRPr="00790AF3" w:rsidRDefault="00043C12" w:rsidP="007C692E">
            <w:pPr>
              <w:contextualSpacing/>
              <w:jc w:val="both"/>
              <w:rPr>
                <w:rFonts w:ascii="Times New Roman" w:hAnsi="Times New Roman"/>
                <w:b/>
              </w:rPr>
            </w:pPr>
            <w:r>
              <w:rPr>
                <w:rFonts w:ascii="Times New Roman" w:hAnsi="Times New Roman"/>
                <w:b/>
              </w:rPr>
              <w:t>0</w:t>
            </w:r>
          </w:p>
        </w:tc>
        <w:tc>
          <w:tcPr>
            <w:tcW w:w="554" w:type="pct"/>
            <w:tcBorders>
              <w:top w:val="single" w:sz="4" w:space="0" w:color="auto"/>
            </w:tcBorders>
          </w:tcPr>
          <w:p w14:paraId="0359FD96" w14:textId="77777777" w:rsidR="00043C12" w:rsidRPr="00790AF3" w:rsidRDefault="00043C12" w:rsidP="007C692E">
            <w:pPr>
              <w:contextualSpacing/>
              <w:jc w:val="both"/>
              <w:rPr>
                <w:rFonts w:ascii="Times New Roman" w:hAnsi="Times New Roman"/>
                <w:b/>
              </w:rPr>
            </w:pPr>
            <w:r>
              <w:rPr>
                <w:rFonts w:ascii="Times New Roman" w:hAnsi="Times New Roman"/>
                <w:b/>
              </w:rPr>
              <w:t>3</w:t>
            </w:r>
          </w:p>
        </w:tc>
      </w:tr>
      <w:tr w:rsidR="00043C12" w:rsidRPr="00790AF3" w14:paraId="387D58F1" w14:textId="77777777" w:rsidTr="007C692E">
        <w:trPr>
          <w:trHeight w:val="438"/>
          <w:tblHeader/>
        </w:trPr>
        <w:tc>
          <w:tcPr>
            <w:tcW w:w="542" w:type="pct"/>
          </w:tcPr>
          <w:p w14:paraId="020151D3" w14:textId="77777777" w:rsidR="00043C12" w:rsidRPr="00790AF3" w:rsidRDefault="00043C12" w:rsidP="007C692E">
            <w:pPr>
              <w:contextualSpacing/>
              <w:jc w:val="both"/>
              <w:rPr>
                <w:rFonts w:ascii="Times New Roman" w:hAnsi="Times New Roman"/>
                <w:b/>
              </w:rPr>
            </w:pPr>
            <w:r>
              <w:rPr>
                <w:rFonts w:ascii="Times New Roman" w:hAnsi="Times New Roman"/>
              </w:rPr>
              <w:t>1.1. iznākums</w:t>
            </w:r>
          </w:p>
        </w:tc>
        <w:tc>
          <w:tcPr>
            <w:tcW w:w="1034" w:type="pct"/>
          </w:tcPr>
          <w:p w14:paraId="07ACBDEF" w14:textId="77777777" w:rsidR="00043C12" w:rsidRPr="00790AF3" w:rsidRDefault="00043C12" w:rsidP="007C692E">
            <w:pPr>
              <w:contextualSpacing/>
              <w:jc w:val="both"/>
              <w:rPr>
                <w:rFonts w:ascii="Times New Roman" w:eastAsiaTheme="minorHAnsi" w:hAnsi="Times New Roman"/>
                <w:b/>
              </w:rPr>
            </w:pPr>
            <w:r>
              <w:rPr>
                <w:rFonts w:ascii="Times New Roman" w:hAnsi="Times New Roman"/>
              </w:rPr>
              <w:t>Veikta pētniecības zināšanu apmaiņa.</w:t>
            </w:r>
          </w:p>
        </w:tc>
        <w:tc>
          <w:tcPr>
            <w:tcW w:w="2314" w:type="pct"/>
            <w:tcBorders>
              <w:top w:val="single" w:sz="4" w:space="0" w:color="auto"/>
            </w:tcBorders>
          </w:tcPr>
          <w:p w14:paraId="08FF28BC" w14:textId="77777777" w:rsidR="00043C12" w:rsidRPr="00790AF3" w:rsidRDefault="00043C12" w:rsidP="007C692E">
            <w:pPr>
              <w:contextualSpacing/>
              <w:jc w:val="both"/>
              <w:rPr>
                <w:rFonts w:ascii="Times New Roman" w:hAnsi="Times New Roman"/>
                <w:b/>
              </w:rPr>
            </w:pPr>
            <w:r>
              <w:rPr>
                <w:rFonts w:ascii="Times New Roman" w:hAnsi="Times New Roman"/>
              </w:rPr>
              <w:t>Atbalstīto pētnieku skaits (sadalīts pa saņēmējvalstīm, dzimumiem, izglītības pakāpēm</w:t>
            </w:r>
            <w:r>
              <w:rPr>
                <w:rStyle w:val="FootnoteReference"/>
                <w:rFonts w:ascii="Times New Roman" w:hAnsi="Times New Roman"/>
                <w:lang w:val="en-GB"/>
              </w:rPr>
              <w:footnoteReference w:id="8"/>
            </w:r>
            <w:r>
              <w:rPr>
                <w:rFonts w:ascii="Times New Roman" w:hAnsi="Times New Roman"/>
              </w:rPr>
              <w:t>)</w:t>
            </w:r>
          </w:p>
        </w:tc>
        <w:tc>
          <w:tcPr>
            <w:tcW w:w="556" w:type="pct"/>
            <w:tcBorders>
              <w:top w:val="single" w:sz="4" w:space="0" w:color="auto"/>
            </w:tcBorders>
          </w:tcPr>
          <w:p w14:paraId="3FCA7387" w14:textId="77777777" w:rsidR="00043C12" w:rsidRPr="00790AF3" w:rsidRDefault="00043C12" w:rsidP="007C692E">
            <w:pPr>
              <w:contextualSpacing/>
              <w:jc w:val="both"/>
              <w:rPr>
                <w:rFonts w:ascii="Times New Roman" w:hAnsi="Times New Roman"/>
                <w:b/>
              </w:rPr>
            </w:pPr>
            <w:r>
              <w:rPr>
                <w:rFonts w:ascii="Times New Roman" w:hAnsi="Times New Roman"/>
              </w:rPr>
              <w:t>0</w:t>
            </w:r>
          </w:p>
        </w:tc>
        <w:tc>
          <w:tcPr>
            <w:tcW w:w="554" w:type="pct"/>
            <w:tcBorders>
              <w:top w:val="single" w:sz="4" w:space="0" w:color="auto"/>
            </w:tcBorders>
          </w:tcPr>
          <w:p w14:paraId="54BED850" w14:textId="77777777" w:rsidR="00043C12" w:rsidRPr="00790AF3" w:rsidRDefault="00043C12" w:rsidP="007C692E">
            <w:pPr>
              <w:contextualSpacing/>
              <w:jc w:val="both"/>
              <w:rPr>
                <w:rFonts w:ascii="Times New Roman" w:hAnsi="Times New Roman"/>
                <w:b/>
              </w:rPr>
            </w:pPr>
            <w:r>
              <w:rPr>
                <w:rFonts w:ascii="Times New Roman" w:hAnsi="Times New Roman"/>
              </w:rPr>
              <w:t>25</w:t>
            </w:r>
          </w:p>
        </w:tc>
      </w:tr>
      <w:tr w:rsidR="00043C12" w:rsidRPr="00790AF3" w14:paraId="528BDCF1" w14:textId="77777777" w:rsidTr="007C692E">
        <w:trPr>
          <w:trHeight w:val="547"/>
          <w:tblHeader/>
        </w:trPr>
        <w:tc>
          <w:tcPr>
            <w:tcW w:w="542" w:type="pct"/>
            <w:vMerge w:val="restart"/>
          </w:tcPr>
          <w:p w14:paraId="3BC9F443" w14:textId="77777777" w:rsidR="00043C12" w:rsidRPr="00790AF3" w:rsidRDefault="00043C12" w:rsidP="007C692E">
            <w:pPr>
              <w:contextualSpacing/>
              <w:rPr>
                <w:rFonts w:ascii="Times New Roman" w:hAnsi="Times New Roman"/>
                <w:b/>
              </w:rPr>
            </w:pPr>
            <w:r>
              <w:rPr>
                <w:rFonts w:ascii="Times New Roman" w:hAnsi="Times New Roman"/>
                <w:b/>
              </w:rPr>
              <w:t>2. rezultāts</w:t>
            </w:r>
          </w:p>
          <w:p w14:paraId="4DAC7898" w14:textId="77777777" w:rsidR="00043C12" w:rsidRPr="00790AF3" w:rsidRDefault="00043C12" w:rsidP="007C692E">
            <w:pPr>
              <w:contextualSpacing/>
              <w:jc w:val="both"/>
              <w:rPr>
                <w:rFonts w:ascii="Times New Roman" w:hAnsi="Times New Roman"/>
                <w:lang w:val="en-GB"/>
              </w:rPr>
            </w:pPr>
          </w:p>
        </w:tc>
        <w:tc>
          <w:tcPr>
            <w:tcW w:w="1034" w:type="pct"/>
            <w:vMerge w:val="restart"/>
          </w:tcPr>
          <w:p w14:paraId="6C9B3948" w14:textId="77777777" w:rsidR="00043C12" w:rsidRPr="00790AF3" w:rsidRDefault="00043C12" w:rsidP="007C692E">
            <w:pPr>
              <w:contextualSpacing/>
              <w:jc w:val="both"/>
              <w:rPr>
                <w:rFonts w:ascii="Times New Roman" w:hAnsi="Times New Roman"/>
              </w:rPr>
            </w:pPr>
            <w:r>
              <w:rPr>
                <w:rFonts w:ascii="Times New Roman" w:hAnsi="Times New Roman"/>
                <w:b/>
              </w:rPr>
              <w:t>Uzlabotas studentu un personāla prasmes un kompetences augstākās izglītības un pētniecības jomā.</w:t>
            </w:r>
          </w:p>
        </w:tc>
        <w:tc>
          <w:tcPr>
            <w:tcW w:w="2314" w:type="pct"/>
          </w:tcPr>
          <w:p w14:paraId="19F165BC" w14:textId="77777777" w:rsidR="00043C12" w:rsidRPr="00F11185" w:rsidRDefault="00043C12" w:rsidP="007C692E">
            <w:pPr>
              <w:contextualSpacing/>
              <w:jc w:val="both"/>
              <w:rPr>
                <w:rFonts w:ascii="Times New Roman" w:hAnsi="Times New Roman"/>
                <w:lang w:val="fr-BE"/>
              </w:rPr>
            </w:pPr>
          </w:p>
        </w:tc>
        <w:tc>
          <w:tcPr>
            <w:tcW w:w="556" w:type="pct"/>
          </w:tcPr>
          <w:p w14:paraId="5CD8AA66" w14:textId="77777777" w:rsidR="00043C12" w:rsidRPr="00F11185" w:rsidRDefault="00043C12" w:rsidP="007C692E">
            <w:pPr>
              <w:contextualSpacing/>
              <w:jc w:val="both"/>
              <w:rPr>
                <w:rFonts w:ascii="Times New Roman" w:hAnsi="Times New Roman"/>
                <w:lang w:val="fr-BE"/>
              </w:rPr>
            </w:pPr>
          </w:p>
        </w:tc>
        <w:tc>
          <w:tcPr>
            <w:tcW w:w="554" w:type="pct"/>
          </w:tcPr>
          <w:p w14:paraId="7F0DE15E" w14:textId="77777777" w:rsidR="00043C12" w:rsidRPr="00F11185" w:rsidRDefault="00043C12" w:rsidP="007C692E">
            <w:pPr>
              <w:contextualSpacing/>
              <w:jc w:val="both"/>
              <w:rPr>
                <w:rFonts w:ascii="Times New Roman" w:hAnsi="Times New Roman"/>
                <w:lang w:val="fr-BE"/>
              </w:rPr>
            </w:pPr>
          </w:p>
        </w:tc>
      </w:tr>
      <w:tr w:rsidR="00043C12" w:rsidRPr="00790AF3" w14:paraId="1E028C9B" w14:textId="77777777" w:rsidTr="007C692E">
        <w:trPr>
          <w:trHeight w:val="547"/>
          <w:tblHeader/>
        </w:trPr>
        <w:tc>
          <w:tcPr>
            <w:tcW w:w="542" w:type="pct"/>
            <w:vMerge/>
          </w:tcPr>
          <w:p w14:paraId="5AA7E4E3" w14:textId="77777777" w:rsidR="00043C12" w:rsidRPr="00F11185" w:rsidRDefault="00043C12" w:rsidP="007C692E">
            <w:pPr>
              <w:contextualSpacing/>
              <w:jc w:val="both"/>
              <w:rPr>
                <w:rFonts w:ascii="Times New Roman" w:hAnsi="Times New Roman"/>
                <w:lang w:val="fr-BE"/>
              </w:rPr>
            </w:pPr>
          </w:p>
        </w:tc>
        <w:tc>
          <w:tcPr>
            <w:tcW w:w="1034" w:type="pct"/>
            <w:vMerge/>
          </w:tcPr>
          <w:p w14:paraId="7604C269" w14:textId="77777777" w:rsidR="00043C12" w:rsidRPr="00F11185" w:rsidRDefault="00043C12" w:rsidP="007C692E">
            <w:pPr>
              <w:contextualSpacing/>
              <w:jc w:val="both"/>
              <w:rPr>
                <w:rFonts w:ascii="Times New Roman" w:hAnsi="Times New Roman"/>
                <w:lang w:val="fr-BE"/>
              </w:rPr>
            </w:pPr>
          </w:p>
        </w:tc>
        <w:tc>
          <w:tcPr>
            <w:tcW w:w="2314" w:type="pct"/>
          </w:tcPr>
          <w:p w14:paraId="2FA33034" w14:textId="77777777" w:rsidR="00043C12" w:rsidRPr="00790AF3" w:rsidRDefault="00043C12" w:rsidP="007C692E">
            <w:pPr>
              <w:contextualSpacing/>
              <w:jc w:val="both"/>
              <w:rPr>
                <w:rFonts w:ascii="Times New Roman" w:hAnsi="Times New Roman"/>
              </w:rPr>
            </w:pPr>
            <w:r>
              <w:rPr>
                <w:rFonts w:ascii="Times New Roman" w:hAnsi="Times New Roman"/>
                <w:b/>
              </w:rPr>
              <w:t xml:space="preserve">Studentu skaits ar ECTS kredītpunktiem </w:t>
            </w:r>
          </w:p>
        </w:tc>
        <w:tc>
          <w:tcPr>
            <w:tcW w:w="556" w:type="pct"/>
          </w:tcPr>
          <w:p w14:paraId="227D10B0" w14:textId="77777777" w:rsidR="00043C12" w:rsidRPr="00790AF3" w:rsidRDefault="00043C12" w:rsidP="007C692E">
            <w:pPr>
              <w:contextualSpacing/>
              <w:jc w:val="both"/>
              <w:rPr>
                <w:rFonts w:ascii="Times New Roman" w:hAnsi="Times New Roman"/>
              </w:rPr>
            </w:pPr>
            <w:r>
              <w:rPr>
                <w:rFonts w:ascii="Times New Roman" w:hAnsi="Times New Roman"/>
                <w:b/>
              </w:rPr>
              <w:t>0</w:t>
            </w:r>
          </w:p>
        </w:tc>
        <w:tc>
          <w:tcPr>
            <w:tcW w:w="554" w:type="pct"/>
          </w:tcPr>
          <w:p w14:paraId="32F5E297" w14:textId="77777777" w:rsidR="00043C12" w:rsidRPr="00790AF3" w:rsidRDefault="00043C12" w:rsidP="007C692E">
            <w:pPr>
              <w:contextualSpacing/>
              <w:jc w:val="both"/>
              <w:rPr>
                <w:rFonts w:ascii="Times New Roman" w:hAnsi="Times New Roman"/>
              </w:rPr>
            </w:pPr>
            <w:r>
              <w:rPr>
                <w:rFonts w:ascii="Times New Roman" w:hAnsi="Times New Roman"/>
                <w:b/>
              </w:rPr>
              <w:t>90</w:t>
            </w:r>
          </w:p>
        </w:tc>
      </w:tr>
      <w:tr w:rsidR="00043C12" w:rsidRPr="00790AF3" w14:paraId="520383D1" w14:textId="77777777" w:rsidTr="007C692E">
        <w:trPr>
          <w:trHeight w:val="547"/>
          <w:tblHeader/>
        </w:trPr>
        <w:tc>
          <w:tcPr>
            <w:tcW w:w="542" w:type="pct"/>
            <w:vMerge w:val="restart"/>
          </w:tcPr>
          <w:p w14:paraId="62D8D04D" w14:textId="77777777" w:rsidR="00043C12" w:rsidRPr="00790AF3" w:rsidRDefault="00043C12" w:rsidP="007C692E">
            <w:pPr>
              <w:contextualSpacing/>
              <w:rPr>
                <w:rFonts w:ascii="Times New Roman" w:hAnsi="Times New Roman"/>
              </w:rPr>
            </w:pPr>
            <w:r>
              <w:rPr>
                <w:rFonts w:ascii="Times New Roman" w:hAnsi="Times New Roman"/>
              </w:rPr>
              <w:br w:type="page"/>
              <w:t>2.2. iznākums</w:t>
            </w:r>
          </w:p>
          <w:p w14:paraId="32BC0A71" w14:textId="77777777" w:rsidR="00043C12" w:rsidRPr="00790AF3" w:rsidRDefault="00043C12" w:rsidP="007C692E">
            <w:pPr>
              <w:contextualSpacing/>
              <w:rPr>
                <w:rFonts w:ascii="Times New Roman" w:hAnsi="Times New Roman"/>
                <w:lang w:val="en-GB"/>
              </w:rPr>
            </w:pPr>
          </w:p>
          <w:p w14:paraId="72E95D2D" w14:textId="77777777" w:rsidR="00043C12" w:rsidRPr="00790AF3" w:rsidRDefault="00043C12" w:rsidP="007C692E">
            <w:pPr>
              <w:contextualSpacing/>
              <w:jc w:val="both"/>
              <w:rPr>
                <w:rFonts w:ascii="Times New Roman" w:hAnsi="Times New Roman"/>
                <w:lang w:val="en-GB"/>
              </w:rPr>
            </w:pPr>
          </w:p>
        </w:tc>
        <w:tc>
          <w:tcPr>
            <w:tcW w:w="1034" w:type="pct"/>
            <w:vMerge w:val="restart"/>
          </w:tcPr>
          <w:p w14:paraId="7DA8762A" w14:textId="77777777" w:rsidR="00043C12" w:rsidRPr="00790AF3" w:rsidRDefault="00043C12" w:rsidP="007C692E">
            <w:pPr>
              <w:contextualSpacing/>
              <w:rPr>
                <w:rFonts w:ascii="Times New Roman" w:hAnsi="Times New Roman"/>
              </w:rPr>
            </w:pPr>
            <w:r>
              <w:rPr>
                <w:rFonts w:ascii="Times New Roman" w:hAnsi="Times New Roman"/>
              </w:rPr>
              <w:t xml:space="preserve">Veicināta mācību mobilitāte augstākās izglītības jomā (AII studenti un AII personāls) starp saņēmējvalsti un </w:t>
            </w:r>
            <w:proofErr w:type="spellStart"/>
            <w:r>
              <w:rPr>
                <w:rFonts w:ascii="Times New Roman" w:hAnsi="Times New Roman"/>
              </w:rPr>
              <w:t>donorvalstīm</w:t>
            </w:r>
            <w:proofErr w:type="spellEnd"/>
            <w:r>
              <w:rPr>
                <w:rFonts w:ascii="Times New Roman" w:hAnsi="Times New Roman"/>
              </w:rPr>
              <w:t>.</w:t>
            </w:r>
          </w:p>
          <w:p w14:paraId="42CA1BF9" w14:textId="77777777" w:rsidR="00043C12" w:rsidRPr="00790AF3" w:rsidRDefault="00043C12" w:rsidP="007C692E">
            <w:pPr>
              <w:contextualSpacing/>
              <w:jc w:val="both"/>
              <w:rPr>
                <w:rFonts w:ascii="Times New Roman" w:hAnsi="Times New Roman"/>
                <w:lang w:val="en-GB"/>
              </w:rPr>
            </w:pPr>
          </w:p>
        </w:tc>
        <w:tc>
          <w:tcPr>
            <w:tcW w:w="2314" w:type="pct"/>
          </w:tcPr>
          <w:p w14:paraId="5E9FFCE4" w14:textId="4119C172" w:rsidR="00043C12" w:rsidRPr="00790AF3" w:rsidRDefault="00E61122" w:rsidP="00E61122">
            <w:pPr>
              <w:contextualSpacing/>
              <w:jc w:val="both"/>
              <w:rPr>
                <w:rFonts w:ascii="Times New Roman" w:hAnsi="Times New Roman"/>
              </w:rPr>
            </w:pPr>
            <w:r>
              <w:rPr>
                <w:rFonts w:ascii="Times New Roman" w:hAnsi="Times New Roman"/>
              </w:rPr>
              <w:t>P</w:t>
            </w:r>
            <w:r w:rsidR="00043C12">
              <w:rPr>
                <w:rFonts w:ascii="Times New Roman" w:hAnsi="Times New Roman"/>
              </w:rPr>
              <w:t xml:space="preserve">ersonāla skaits no Latvijas, kuri piedalījušies apmaiņā (sadalīts pa </w:t>
            </w:r>
            <w:proofErr w:type="spellStart"/>
            <w:r w:rsidR="00043C12">
              <w:rPr>
                <w:rFonts w:ascii="Times New Roman" w:hAnsi="Times New Roman"/>
              </w:rPr>
              <w:t>donorvalstīm</w:t>
            </w:r>
            <w:proofErr w:type="spellEnd"/>
            <w:r w:rsidR="00043C12">
              <w:rPr>
                <w:rFonts w:ascii="Times New Roman" w:hAnsi="Times New Roman"/>
              </w:rPr>
              <w:t xml:space="preserve"> un dzimumiem)</w:t>
            </w:r>
          </w:p>
        </w:tc>
        <w:tc>
          <w:tcPr>
            <w:tcW w:w="556" w:type="pct"/>
          </w:tcPr>
          <w:p w14:paraId="3AB5A413" w14:textId="77777777" w:rsidR="00043C12" w:rsidRPr="00790AF3" w:rsidRDefault="00043C12" w:rsidP="007C692E">
            <w:pPr>
              <w:contextualSpacing/>
              <w:jc w:val="both"/>
              <w:rPr>
                <w:rFonts w:ascii="Times New Roman" w:hAnsi="Times New Roman"/>
              </w:rPr>
            </w:pPr>
            <w:r>
              <w:rPr>
                <w:rFonts w:ascii="Times New Roman" w:hAnsi="Times New Roman"/>
              </w:rPr>
              <w:t>0</w:t>
            </w:r>
          </w:p>
        </w:tc>
        <w:tc>
          <w:tcPr>
            <w:tcW w:w="554" w:type="pct"/>
          </w:tcPr>
          <w:p w14:paraId="6564404C" w14:textId="77777777" w:rsidR="00043C12" w:rsidRPr="00790AF3" w:rsidRDefault="00043C12" w:rsidP="007C692E">
            <w:pPr>
              <w:contextualSpacing/>
              <w:jc w:val="both"/>
              <w:rPr>
                <w:rFonts w:ascii="Times New Roman" w:hAnsi="Times New Roman"/>
              </w:rPr>
            </w:pPr>
            <w:r>
              <w:rPr>
                <w:rFonts w:ascii="Times New Roman" w:hAnsi="Times New Roman"/>
              </w:rPr>
              <w:t>100</w:t>
            </w:r>
          </w:p>
        </w:tc>
      </w:tr>
      <w:tr w:rsidR="00043C12" w:rsidRPr="00790AF3" w14:paraId="39532603" w14:textId="77777777" w:rsidTr="007C692E">
        <w:trPr>
          <w:trHeight w:val="547"/>
          <w:tblHeader/>
        </w:trPr>
        <w:tc>
          <w:tcPr>
            <w:tcW w:w="542" w:type="pct"/>
            <w:vMerge/>
          </w:tcPr>
          <w:p w14:paraId="6BE4CB74" w14:textId="77777777" w:rsidR="00043C12" w:rsidRPr="00790AF3" w:rsidRDefault="00043C12" w:rsidP="007C692E">
            <w:pPr>
              <w:contextualSpacing/>
              <w:jc w:val="both"/>
              <w:rPr>
                <w:rFonts w:ascii="Times New Roman" w:hAnsi="Times New Roman"/>
                <w:lang w:val="en-GB"/>
              </w:rPr>
            </w:pPr>
          </w:p>
        </w:tc>
        <w:tc>
          <w:tcPr>
            <w:tcW w:w="1034" w:type="pct"/>
            <w:vMerge/>
          </w:tcPr>
          <w:p w14:paraId="435E1BE0" w14:textId="77777777" w:rsidR="00043C12" w:rsidRPr="00790AF3" w:rsidRDefault="00043C12" w:rsidP="007C692E">
            <w:pPr>
              <w:contextualSpacing/>
              <w:jc w:val="both"/>
              <w:rPr>
                <w:rFonts w:ascii="Times New Roman" w:hAnsi="Times New Roman"/>
                <w:lang w:val="en-GB"/>
              </w:rPr>
            </w:pPr>
          </w:p>
        </w:tc>
        <w:tc>
          <w:tcPr>
            <w:tcW w:w="2314" w:type="pct"/>
          </w:tcPr>
          <w:p w14:paraId="0C60283C" w14:textId="141F1566" w:rsidR="00043C12" w:rsidRPr="00790AF3" w:rsidRDefault="00AE70B0" w:rsidP="00AE70B0">
            <w:pPr>
              <w:contextualSpacing/>
              <w:jc w:val="both"/>
              <w:rPr>
                <w:rFonts w:ascii="Times New Roman" w:hAnsi="Times New Roman"/>
              </w:rPr>
            </w:pPr>
            <w:r>
              <w:rPr>
                <w:rFonts w:ascii="Times New Roman" w:hAnsi="Times New Roman"/>
              </w:rPr>
              <w:t>P</w:t>
            </w:r>
            <w:r w:rsidR="00043C12">
              <w:rPr>
                <w:rFonts w:ascii="Times New Roman" w:hAnsi="Times New Roman"/>
              </w:rPr>
              <w:t xml:space="preserve">ersonāla skaits no </w:t>
            </w:r>
            <w:proofErr w:type="spellStart"/>
            <w:r w:rsidR="00043C12">
              <w:rPr>
                <w:rFonts w:ascii="Times New Roman" w:hAnsi="Times New Roman"/>
              </w:rPr>
              <w:t>donorvalstīm</w:t>
            </w:r>
            <w:proofErr w:type="spellEnd"/>
            <w:r w:rsidR="00043C12">
              <w:rPr>
                <w:rFonts w:ascii="Times New Roman" w:hAnsi="Times New Roman"/>
              </w:rPr>
              <w:t xml:space="preserve">, kuri piedalījušies apmaiņā (sadalīts pa </w:t>
            </w:r>
            <w:proofErr w:type="spellStart"/>
            <w:r w:rsidR="00043C12">
              <w:rPr>
                <w:rFonts w:ascii="Times New Roman" w:hAnsi="Times New Roman"/>
              </w:rPr>
              <w:t>donorvalstīm</w:t>
            </w:r>
            <w:proofErr w:type="spellEnd"/>
            <w:r w:rsidR="00043C12">
              <w:rPr>
                <w:rFonts w:ascii="Times New Roman" w:hAnsi="Times New Roman"/>
              </w:rPr>
              <w:t xml:space="preserve"> un dzimumiem)</w:t>
            </w:r>
          </w:p>
        </w:tc>
        <w:tc>
          <w:tcPr>
            <w:tcW w:w="556" w:type="pct"/>
          </w:tcPr>
          <w:p w14:paraId="5FF440B0" w14:textId="77777777" w:rsidR="00043C12" w:rsidRPr="00790AF3" w:rsidRDefault="00043C12" w:rsidP="007C692E">
            <w:pPr>
              <w:contextualSpacing/>
              <w:jc w:val="both"/>
              <w:rPr>
                <w:rFonts w:ascii="Times New Roman" w:hAnsi="Times New Roman"/>
              </w:rPr>
            </w:pPr>
            <w:r>
              <w:rPr>
                <w:rFonts w:ascii="Times New Roman" w:hAnsi="Times New Roman"/>
              </w:rPr>
              <w:t>0</w:t>
            </w:r>
          </w:p>
        </w:tc>
        <w:tc>
          <w:tcPr>
            <w:tcW w:w="554" w:type="pct"/>
          </w:tcPr>
          <w:p w14:paraId="3862974D" w14:textId="77777777" w:rsidR="00043C12" w:rsidRPr="00790AF3" w:rsidRDefault="00043C12" w:rsidP="007C692E">
            <w:pPr>
              <w:contextualSpacing/>
              <w:jc w:val="both"/>
              <w:rPr>
                <w:rFonts w:ascii="Times New Roman" w:hAnsi="Times New Roman"/>
              </w:rPr>
            </w:pPr>
            <w:r>
              <w:rPr>
                <w:rFonts w:ascii="Times New Roman" w:hAnsi="Times New Roman"/>
              </w:rPr>
              <w:t>50</w:t>
            </w:r>
          </w:p>
        </w:tc>
      </w:tr>
      <w:tr w:rsidR="00043C12" w:rsidRPr="00790AF3" w14:paraId="2638B76F" w14:textId="77777777" w:rsidTr="007C692E">
        <w:trPr>
          <w:trHeight w:val="547"/>
          <w:tblHeader/>
        </w:trPr>
        <w:tc>
          <w:tcPr>
            <w:tcW w:w="542" w:type="pct"/>
            <w:vMerge/>
          </w:tcPr>
          <w:p w14:paraId="45E60E0B" w14:textId="77777777" w:rsidR="00043C12" w:rsidRPr="00790AF3" w:rsidRDefault="00043C12" w:rsidP="007C692E">
            <w:pPr>
              <w:contextualSpacing/>
              <w:jc w:val="both"/>
              <w:rPr>
                <w:rFonts w:ascii="Times New Roman" w:hAnsi="Times New Roman"/>
                <w:lang w:val="en-GB"/>
              </w:rPr>
            </w:pPr>
          </w:p>
        </w:tc>
        <w:tc>
          <w:tcPr>
            <w:tcW w:w="1034" w:type="pct"/>
            <w:vMerge/>
          </w:tcPr>
          <w:p w14:paraId="25B58461" w14:textId="77777777" w:rsidR="00043C12" w:rsidRPr="00790AF3" w:rsidRDefault="00043C12" w:rsidP="007C692E">
            <w:pPr>
              <w:contextualSpacing/>
              <w:jc w:val="both"/>
              <w:rPr>
                <w:rFonts w:ascii="Times New Roman" w:hAnsi="Times New Roman"/>
                <w:lang w:val="en-GB"/>
              </w:rPr>
            </w:pPr>
          </w:p>
        </w:tc>
        <w:tc>
          <w:tcPr>
            <w:tcW w:w="2314" w:type="pct"/>
          </w:tcPr>
          <w:p w14:paraId="3FA4428C" w14:textId="07849B83" w:rsidR="00043C12" w:rsidRPr="00790AF3" w:rsidRDefault="00AE70B0" w:rsidP="00AE70B0">
            <w:pPr>
              <w:contextualSpacing/>
              <w:jc w:val="both"/>
              <w:rPr>
                <w:rFonts w:ascii="Times New Roman" w:hAnsi="Times New Roman"/>
              </w:rPr>
            </w:pPr>
            <w:r>
              <w:rPr>
                <w:rFonts w:ascii="Times New Roman" w:hAnsi="Times New Roman"/>
              </w:rPr>
              <w:t>S</w:t>
            </w:r>
            <w:r w:rsidR="00043C12">
              <w:rPr>
                <w:rFonts w:ascii="Times New Roman" w:hAnsi="Times New Roman"/>
              </w:rPr>
              <w:t xml:space="preserve">tudentu skaits no Latvijas, kuri piedalījušies apmaiņā (sadalīts pa </w:t>
            </w:r>
            <w:proofErr w:type="spellStart"/>
            <w:r w:rsidR="00043C12">
              <w:rPr>
                <w:rFonts w:ascii="Times New Roman" w:hAnsi="Times New Roman"/>
              </w:rPr>
              <w:t>donorvalstīm</w:t>
            </w:r>
            <w:proofErr w:type="spellEnd"/>
            <w:r w:rsidR="00043C12">
              <w:rPr>
                <w:rFonts w:ascii="Times New Roman" w:hAnsi="Times New Roman"/>
              </w:rPr>
              <w:t>)</w:t>
            </w:r>
          </w:p>
        </w:tc>
        <w:tc>
          <w:tcPr>
            <w:tcW w:w="556" w:type="pct"/>
          </w:tcPr>
          <w:p w14:paraId="1B99CF60" w14:textId="77777777" w:rsidR="00043C12" w:rsidRPr="00790AF3" w:rsidRDefault="00043C12" w:rsidP="007C692E">
            <w:pPr>
              <w:contextualSpacing/>
              <w:jc w:val="both"/>
              <w:rPr>
                <w:rFonts w:ascii="Times New Roman" w:hAnsi="Times New Roman"/>
              </w:rPr>
            </w:pPr>
            <w:r>
              <w:rPr>
                <w:rFonts w:ascii="Times New Roman" w:hAnsi="Times New Roman"/>
              </w:rPr>
              <w:t>0</w:t>
            </w:r>
          </w:p>
        </w:tc>
        <w:tc>
          <w:tcPr>
            <w:tcW w:w="554" w:type="pct"/>
          </w:tcPr>
          <w:p w14:paraId="76B55988" w14:textId="77777777" w:rsidR="00043C12" w:rsidRPr="00790AF3" w:rsidRDefault="00043C12" w:rsidP="007C692E">
            <w:pPr>
              <w:contextualSpacing/>
              <w:jc w:val="both"/>
              <w:rPr>
                <w:rFonts w:ascii="Times New Roman" w:hAnsi="Times New Roman"/>
              </w:rPr>
            </w:pPr>
            <w:r>
              <w:rPr>
                <w:rFonts w:ascii="Times New Roman" w:hAnsi="Times New Roman"/>
              </w:rPr>
              <w:t>80</w:t>
            </w:r>
          </w:p>
        </w:tc>
      </w:tr>
      <w:tr w:rsidR="00043C12" w:rsidRPr="00790AF3" w14:paraId="057864FF" w14:textId="77777777" w:rsidTr="007C692E">
        <w:trPr>
          <w:trHeight w:val="547"/>
          <w:tblHeader/>
        </w:trPr>
        <w:tc>
          <w:tcPr>
            <w:tcW w:w="542" w:type="pct"/>
            <w:vMerge/>
          </w:tcPr>
          <w:p w14:paraId="68E1EF12" w14:textId="77777777" w:rsidR="00043C12" w:rsidRPr="00790AF3" w:rsidRDefault="00043C12" w:rsidP="007C692E">
            <w:pPr>
              <w:contextualSpacing/>
              <w:jc w:val="both"/>
              <w:rPr>
                <w:rFonts w:ascii="Times New Roman" w:hAnsi="Times New Roman"/>
                <w:lang w:val="en-GB"/>
              </w:rPr>
            </w:pPr>
          </w:p>
        </w:tc>
        <w:tc>
          <w:tcPr>
            <w:tcW w:w="1034" w:type="pct"/>
            <w:vMerge/>
          </w:tcPr>
          <w:p w14:paraId="3E9D65E6" w14:textId="77777777" w:rsidR="00043C12" w:rsidRPr="00790AF3" w:rsidRDefault="00043C12" w:rsidP="007C692E">
            <w:pPr>
              <w:contextualSpacing/>
              <w:jc w:val="both"/>
              <w:rPr>
                <w:rFonts w:ascii="Times New Roman" w:hAnsi="Times New Roman"/>
                <w:lang w:val="en-GB"/>
              </w:rPr>
            </w:pPr>
          </w:p>
        </w:tc>
        <w:tc>
          <w:tcPr>
            <w:tcW w:w="2314" w:type="pct"/>
          </w:tcPr>
          <w:p w14:paraId="375AF2A9" w14:textId="054E9F93" w:rsidR="00043C12" w:rsidRPr="00790AF3" w:rsidRDefault="00AE70B0" w:rsidP="00AE70B0">
            <w:pPr>
              <w:contextualSpacing/>
              <w:jc w:val="both"/>
              <w:rPr>
                <w:rFonts w:ascii="Times New Roman" w:hAnsi="Times New Roman"/>
              </w:rPr>
            </w:pPr>
            <w:r>
              <w:rPr>
                <w:rFonts w:ascii="Times New Roman" w:hAnsi="Times New Roman"/>
              </w:rPr>
              <w:t>S</w:t>
            </w:r>
            <w:r w:rsidR="00043C12">
              <w:rPr>
                <w:rFonts w:ascii="Times New Roman" w:hAnsi="Times New Roman"/>
              </w:rPr>
              <w:t xml:space="preserve">tudentu skaits no </w:t>
            </w:r>
            <w:proofErr w:type="spellStart"/>
            <w:r w:rsidR="00043C12">
              <w:rPr>
                <w:rFonts w:ascii="Times New Roman" w:hAnsi="Times New Roman"/>
              </w:rPr>
              <w:t>donorvalstīm</w:t>
            </w:r>
            <w:proofErr w:type="spellEnd"/>
            <w:r w:rsidR="00043C12">
              <w:rPr>
                <w:rFonts w:ascii="Times New Roman" w:hAnsi="Times New Roman"/>
              </w:rPr>
              <w:t xml:space="preserve">, kuri piedalījušies apmaiņā (sadalīts pa </w:t>
            </w:r>
            <w:proofErr w:type="spellStart"/>
            <w:r w:rsidR="00043C12">
              <w:rPr>
                <w:rFonts w:ascii="Times New Roman" w:hAnsi="Times New Roman"/>
              </w:rPr>
              <w:t>donorvalstīm</w:t>
            </w:r>
            <w:proofErr w:type="spellEnd"/>
            <w:r w:rsidR="00043C12">
              <w:rPr>
                <w:rFonts w:ascii="Times New Roman" w:hAnsi="Times New Roman"/>
              </w:rPr>
              <w:t>)  </w:t>
            </w:r>
          </w:p>
        </w:tc>
        <w:tc>
          <w:tcPr>
            <w:tcW w:w="556" w:type="pct"/>
          </w:tcPr>
          <w:p w14:paraId="371C0986" w14:textId="77777777" w:rsidR="00043C12" w:rsidRPr="00790AF3" w:rsidRDefault="00043C12" w:rsidP="007C692E">
            <w:pPr>
              <w:contextualSpacing/>
              <w:jc w:val="both"/>
              <w:rPr>
                <w:rFonts w:ascii="Times New Roman" w:hAnsi="Times New Roman"/>
              </w:rPr>
            </w:pPr>
            <w:r>
              <w:rPr>
                <w:rFonts w:ascii="Times New Roman" w:hAnsi="Times New Roman"/>
              </w:rPr>
              <w:t>0</w:t>
            </w:r>
          </w:p>
        </w:tc>
        <w:tc>
          <w:tcPr>
            <w:tcW w:w="554" w:type="pct"/>
          </w:tcPr>
          <w:p w14:paraId="49A62223" w14:textId="77777777" w:rsidR="00043C12" w:rsidRPr="00790AF3" w:rsidRDefault="00043C12" w:rsidP="007C692E">
            <w:pPr>
              <w:contextualSpacing/>
              <w:jc w:val="both"/>
              <w:rPr>
                <w:rFonts w:ascii="Times New Roman" w:hAnsi="Times New Roman"/>
              </w:rPr>
            </w:pPr>
            <w:r>
              <w:rPr>
                <w:rFonts w:ascii="Times New Roman" w:hAnsi="Times New Roman"/>
              </w:rPr>
              <w:t>10</w:t>
            </w:r>
          </w:p>
        </w:tc>
      </w:tr>
      <w:tr w:rsidR="00043C12" w:rsidRPr="00790AF3" w14:paraId="37C3BC28" w14:textId="77777777" w:rsidTr="007C692E">
        <w:trPr>
          <w:trHeight w:val="547"/>
          <w:tblHeader/>
        </w:trPr>
        <w:tc>
          <w:tcPr>
            <w:tcW w:w="542" w:type="pct"/>
            <w:vMerge w:val="restart"/>
          </w:tcPr>
          <w:p w14:paraId="76C73AAA" w14:textId="77777777" w:rsidR="00043C12" w:rsidRPr="00790AF3" w:rsidRDefault="00043C12" w:rsidP="007C692E">
            <w:pPr>
              <w:contextualSpacing/>
              <w:jc w:val="both"/>
              <w:rPr>
                <w:rFonts w:ascii="Times New Roman" w:hAnsi="Times New Roman"/>
              </w:rPr>
            </w:pPr>
            <w:r>
              <w:rPr>
                <w:rFonts w:ascii="Times New Roman" w:hAnsi="Times New Roman"/>
                <w:b/>
              </w:rPr>
              <w:t>3. rezultāts</w:t>
            </w:r>
          </w:p>
        </w:tc>
        <w:tc>
          <w:tcPr>
            <w:tcW w:w="1034" w:type="pct"/>
            <w:vMerge w:val="restart"/>
          </w:tcPr>
          <w:p w14:paraId="54227628" w14:textId="77777777" w:rsidR="00043C12" w:rsidRPr="00790AF3" w:rsidRDefault="00043C12" w:rsidP="007C692E">
            <w:pPr>
              <w:contextualSpacing/>
              <w:jc w:val="both"/>
              <w:rPr>
                <w:rFonts w:ascii="Times New Roman" w:hAnsi="Times New Roman"/>
              </w:rPr>
            </w:pPr>
            <w:r>
              <w:rPr>
                <w:rFonts w:ascii="Times New Roman" w:hAnsi="Times New Roman"/>
                <w:b/>
              </w:rPr>
              <w:t>Veicināta reģionālo zināšanu attīstība STEM (zinātnes, tehnoloģiju, inženierzinātņu un matemātikas) jomā.</w:t>
            </w:r>
          </w:p>
        </w:tc>
        <w:tc>
          <w:tcPr>
            <w:tcW w:w="2314" w:type="pct"/>
          </w:tcPr>
          <w:p w14:paraId="491BB3AC" w14:textId="344C799C" w:rsidR="00043C12" w:rsidRPr="00790AF3" w:rsidRDefault="00043C12" w:rsidP="007C692E">
            <w:pPr>
              <w:contextualSpacing/>
              <w:jc w:val="both"/>
              <w:rPr>
                <w:rFonts w:ascii="Times New Roman" w:hAnsi="Times New Roman"/>
                <w:b/>
              </w:rPr>
            </w:pPr>
            <w:r>
              <w:rPr>
                <w:rFonts w:ascii="Times New Roman" w:hAnsi="Times New Roman"/>
                <w:b/>
              </w:rPr>
              <w:t>Skolēnu un studentu skaits, kuri guvuši labumu no inovācij</w:t>
            </w:r>
            <w:r w:rsidR="00AE70B0">
              <w:rPr>
                <w:rFonts w:ascii="Times New Roman" w:hAnsi="Times New Roman"/>
                <w:b/>
              </w:rPr>
              <w:t>as</w:t>
            </w:r>
            <w:r>
              <w:rPr>
                <w:rFonts w:ascii="Times New Roman" w:hAnsi="Times New Roman"/>
                <w:b/>
              </w:rPr>
              <w:t xml:space="preserve"> centros organizētajām izglītības un mācību programmām (sadalīts pa dzimumiem, vecuma grupām)</w:t>
            </w:r>
          </w:p>
        </w:tc>
        <w:tc>
          <w:tcPr>
            <w:tcW w:w="556" w:type="pct"/>
          </w:tcPr>
          <w:p w14:paraId="46C8B0D7" w14:textId="77777777" w:rsidR="00043C12" w:rsidRPr="00790AF3" w:rsidRDefault="00043C12" w:rsidP="007C692E">
            <w:pPr>
              <w:contextualSpacing/>
              <w:jc w:val="both"/>
              <w:rPr>
                <w:rFonts w:ascii="Times New Roman" w:hAnsi="Times New Roman"/>
                <w:b/>
              </w:rPr>
            </w:pPr>
            <w:r>
              <w:rPr>
                <w:rFonts w:ascii="Times New Roman" w:hAnsi="Times New Roman"/>
                <w:b/>
              </w:rPr>
              <w:t>0</w:t>
            </w:r>
          </w:p>
        </w:tc>
        <w:tc>
          <w:tcPr>
            <w:tcW w:w="554" w:type="pct"/>
          </w:tcPr>
          <w:p w14:paraId="1C34FC67" w14:textId="77777777" w:rsidR="00043C12" w:rsidRPr="00790AF3" w:rsidRDefault="00043C12" w:rsidP="007C692E">
            <w:pPr>
              <w:contextualSpacing/>
              <w:jc w:val="both"/>
              <w:rPr>
                <w:rFonts w:ascii="Times New Roman" w:hAnsi="Times New Roman"/>
                <w:b/>
              </w:rPr>
            </w:pPr>
            <w:r>
              <w:rPr>
                <w:rFonts w:ascii="Times New Roman" w:hAnsi="Times New Roman"/>
                <w:b/>
              </w:rPr>
              <w:t>800</w:t>
            </w:r>
          </w:p>
        </w:tc>
      </w:tr>
      <w:tr w:rsidR="00043C12" w:rsidRPr="00790AF3" w14:paraId="14F96819" w14:textId="77777777" w:rsidTr="007C692E">
        <w:trPr>
          <w:trHeight w:val="547"/>
          <w:tblHeader/>
        </w:trPr>
        <w:tc>
          <w:tcPr>
            <w:tcW w:w="542" w:type="pct"/>
            <w:vMerge/>
          </w:tcPr>
          <w:p w14:paraId="6B1621F8" w14:textId="77777777" w:rsidR="00043C12" w:rsidRPr="00790AF3" w:rsidRDefault="00043C12" w:rsidP="007C692E">
            <w:pPr>
              <w:contextualSpacing/>
              <w:jc w:val="both"/>
              <w:rPr>
                <w:rFonts w:ascii="Times New Roman" w:hAnsi="Times New Roman"/>
                <w:b/>
                <w:lang w:val="en-GB"/>
              </w:rPr>
            </w:pPr>
          </w:p>
        </w:tc>
        <w:tc>
          <w:tcPr>
            <w:tcW w:w="1034" w:type="pct"/>
            <w:vMerge/>
          </w:tcPr>
          <w:p w14:paraId="4B222652" w14:textId="77777777" w:rsidR="00043C12" w:rsidRPr="00790AF3" w:rsidRDefault="00043C12" w:rsidP="007C692E">
            <w:pPr>
              <w:tabs>
                <w:tab w:val="num" w:pos="360"/>
              </w:tabs>
              <w:spacing w:before="120" w:after="120"/>
              <w:ind w:left="360" w:hanging="360"/>
              <w:contextualSpacing/>
              <w:jc w:val="both"/>
              <w:rPr>
                <w:rFonts w:ascii="Times New Roman" w:hAnsi="Times New Roman"/>
                <w:b/>
                <w:lang w:val="en-GB"/>
              </w:rPr>
            </w:pPr>
          </w:p>
        </w:tc>
        <w:tc>
          <w:tcPr>
            <w:tcW w:w="2314" w:type="pct"/>
          </w:tcPr>
          <w:p w14:paraId="7825021C" w14:textId="77777777" w:rsidR="00043C12" w:rsidRPr="00790AF3" w:rsidRDefault="00043C12" w:rsidP="007C692E">
            <w:pPr>
              <w:contextualSpacing/>
              <w:jc w:val="both"/>
              <w:rPr>
                <w:rFonts w:ascii="Times New Roman" w:hAnsi="Times New Roman"/>
                <w:b/>
              </w:rPr>
            </w:pPr>
            <w:r>
              <w:rPr>
                <w:rFonts w:ascii="Times New Roman" w:hAnsi="Times New Roman"/>
                <w:b/>
              </w:rPr>
              <w:t>Skolotāju daļa, kuri paziņojuši par kompetenču uzlabošanos STEM mācīšanā</w:t>
            </w:r>
            <w:r>
              <w:rPr>
                <w:rFonts w:ascii="Times New Roman" w:hAnsi="Times New Roman"/>
                <w:b/>
              </w:rPr>
              <w:tab/>
            </w:r>
          </w:p>
        </w:tc>
        <w:tc>
          <w:tcPr>
            <w:tcW w:w="556" w:type="pct"/>
          </w:tcPr>
          <w:p w14:paraId="3ECEE2B5" w14:textId="77777777" w:rsidR="00043C12" w:rsidRPr="00790AF3" w:rsidRDefault="00043C12" w:rsidP="007C692E">
            <w:pPr>
              <w:contextualSpacing/>
              <w:jc w:val="both"/>
              <w:rPr>
                <w:rFonts w:ascii="Times New Roman" w:hAnsi="Times New Roman"/>
                <w:b/>
              </w:rPr>
            </w:pPr>
            <w:r>
              <w:rPr>
                <w:rFonts w:ascii="Times New Roman" w:hAnsi="Times New Roman"/>
                <w:b/>
              </w:rPr>
              <w:t>Nav attiecināms</w:t>
            </w:r>
          </w:p>
        </w:tc>
        <w:tc>
          <w:tcPr>
            <w:tcW w:w="554" w:type="pct"/>
          </w:tcPr>
          <w:p w14:paraId="21DC2162" w14:textId="77777777" w:rsidR="00043C12" w:rsidRPr="00790AF3" w:rsidRDefault="00043C12" w:rsidP="007C692E">
            <w:pPr>
              <w:contextualSpacing/>
              <w:jc w:val="both"/>
              <w:rPr>
                <w:rFonts w:ascii="Times New Roman" w:hAnsi="Times New Roman"/>
                <w:b/>
              </w:rPr>
            </w:pPr>
            <w:r>
              <w:rPr>
                <w:rFonts w:ascii="Times New Roman" w:hAnsi="Times New Roman"/>
              </w:rPr>
              <w:t xml:space="preserve">≥ 80 % </w:t>
            </w:r>
          </w:p>
        </w:tc>
      </w:tr>
      <w:tr w:rsidR="00043C12" w:rsidRPr="00790AF3" w14:paraId="224DFABA" w14:textId="77777777" w:rsidTr="007C692E">
        <w:trPr>
          <w:trHeight w:val="547"/>
          <w:tblHeader/>
        </w:trPr>
        <w:tc>
          <w:tcPr>
            <w:tcW w:w="542" w:type="pct"/>
            <w:vMerge/>
          </w:tcPr>
          <w:p w14:paraId="3F1B431A" w14:textId="77777777" w:rsidR="00043C12" w:rsidRPr="00790AF3" w:rsidRDefault="00043C12" w:rsidP="007C692E">
            <w:pPr>
              <w:contextualSpacing/>
              <w:jc w:val="both"/>
              <w:rPr>
                <w:rFonts w:ascii="Times New Roman" w:hAnsi="Times New Roman"/>
                <w:b/>
                <w:lang w:val="en-GB"/>
              </w:rPr>
            </w:pPr>
          </w:p>
        </w:tc>
        <w:tc>
          <w:tcPr>
            <w:tcW w:w="1034" w:type="pct"/>
            <w:vMerge/>
          </w:tcPr>
          <w:p w14:paraId="13EA02E2" w14:textId="77777777" w:rsidR="00043C12" w:rsidRPr="00790AF3" w:rsidRDefault="00043C12" w:rsidP="007C692E">
            <w:pPr>
              <w:tabs>
                <w:tab w:val="num" w:pos="360"/>
              </w:tabs>
              <w:spacing w:before="120" w:after="120"/>
              <w:ind w:left="360" w:hanging="360"/>
              <w:contextualSpacing/>
              <w:jc w:val="both"/>
              <w:rPr>
                <w:rFonts w:ascii="Times New Roman" w:hAnsi="Times New Roman"/>
                <w:b/>
                <w:lang w:val="en-GB"/>
              </w:rPr>
            </w:pPr>
          </w:p>
        </w:tc>
        <w:tc>
          <w:tcPr>
            <w:tcW w:w="2314" w:type="pct"/>
          </w:tcPr>
          <w:p w14:paraId="137D41B1" w14:textId="77777777" w:rsidR="00043C12" w:rsidRPr="00790AF3" w:rsidRDefault="00043C12" w:rsidP="007C692E">
            <w:pPr>
              <w:contextualSpacing/>
              <w:jc w:val="both"/>
              <w:rPr>
                <w:rFonts w:ascii="Times New Roman" w:hAnsi="Times New Roman"/>
                <w:b/>
              </w:rPr>
            </w:pPr>
            <w:r>
              <w:rPr>
                <w:rFonts w:ascii="Times New Roman" w:hAnsi="Times New Roman"/>
                <w:b/>
              </w:rPr>
              <w:t>Skolēnu un studentu daļa, kuri paziņojuši par intereses palielināšanos par STEM</w:t>
            </w:r>
          </w:p>
        </w:tc>
        <w:tc>
          <w:tcPr>
            <w:tcW w:w="556" w:type="pct"/>
          </w:tcPr>
          <w:p w14:paraId="474DCF82" w14:textId="77777777" w:rsidR="00043C12" w:rsidRPr="00790AF3" w:rsidRDefault="00043C12" w:rsidP="007C692E">
            <w:pPr>
              <w:contextualSpacing/>
              <w:jc w:val="both"/>
              <w:rPr>
                <w:rFonts w:ascii="Times New Roman" w:hAnsi="Times New Roman"/>
                <w:b/>
              </w:rPr>
            </w:pPr>
            <w:r>
              <w:rPr>
                <w:rFonts w:ascii="Times New Roman" w:hAnsi="Times New Roman"/>
                <w:b/>
              </w:rPr>
              <w:t>Nav attiecināms</w:t>
            </w:r>
          </w:p>
        </w:tc>
        <w:tc>
          <w:tcPr>
            <w:tcW w:w="554" w:type="pct"/>
          </w:tcPr>
          <w:p w14:paraId="0F1E8E83" w14:textId="77777777" w:rsidR="00043C12" w:rsidRPr="00790AF3" w:rsidRDefault="00043C12" w:rsidP="007C692E">
            <w:pPr>
              <w:contextualSpacing/>
              <w:jc w:val="both"/>
              <w:rPr>
                <w:rFonts w:ascii="Times New Roman" w:hAnsi="Times New Roman"/>
                <w:b/>
              </w:rPr>
            </w:pPr>
            <w:r>
              <w:rPr>
                <w:rFonts w:ascii="Times New Roman" w:hAnsi="Times New Roman"/>
              </w:rPr>
              <w:t xml:space="preserve">≥ 80 % </w:t>
            </w:r>
          </w:p>
        </w:tc>
      </w:tr>
      <w:tr w:rsidR="00043C12" w:rsidRPr="00790AF3" w14:paraId="7C32AD2F" w14:textId="77777777" w:rsidTr="007C692E">
        <w:trPr>
          <w:trHeight w:val="547"/>
          <w:tblHeader/>
        </w:trPr>
        <w:tc>
          <w:tcPr>
            <w:tcW w:w="542" w:type="pct"/>
            <w:vMerge w:val="restart"/>
          </w:tcPr>
          <w:p w14:paraId="249881D2" w14:textId="77777777" w:rsidR="00043C12" w:rsidRPr="00790AF3" w:rsidRDefault="00043C12" w:rsidP="007C692E">
            <w:pPr>
              <w:contextualSpacing/>
              <w:jc w:val="both"/>
              <w:rPr>
                <w:rFonts w:ascii="Times New Roman" w:hAnsi="Times New Roman"/>
              </w:rPr>
            </w:pPr>
            <w:r>
              <w:rPr>
                <w:rFonts w:ascii="Times New Roman" w:hAnsi="Times New Roman"/>
              </w:rPr>
              <w:t>3.1. iznākums</w:t>
            </w:r>
          </w:p>
        </w:tc>
        <w:tc>
          <w:tcPr>
            <w:tcW w:w="1034" w:type="pct"/>
            <w:vMerge w:val="restart"/>
          </w:tcPr>
          <w:p w14:paraId="09B91D60" w14:textId="74E219C7" w:rsidR="00043C12" w:rsidRPr="00790AF3" w:rsidRDefault="00043C12" w:rsidP="007C692E">
            <w:pPr>
              <w:contextualSpacing/>
              <w:jc w:val="both"/>
              <w:rPr>
                <w:rFonts w:ascii="Times New Roman" w:hAnsi="Times New Roman"/>
              </w:rPr>
            </w:pPr>
            <w:r>
              <w:rPr>
                <w:rFonts w:ascii="Times New Roman" w:hAnsi="Times New Roman"/>
              </w:rPr>
              <w:t>Inovācij</w:t>
            </w:r>
            <w:r w:rsidR="00AE70B0">
              <w:rPr>
                <w:rFonts w:ascii="Times New Roman" w:hAnsi="Times New Roman"/>
              </w:rPr>
              <w:t>as</w:t>
            </w:r>
            <w:r>
              <w:rPr>
                <w:rFonts w:ascii="Times New Roman" w:hAnsi="Times New Roman"/>
              </w:rPr>
              <w:t xml:space="preserve"> centros īstenotās izglītības un mācību programmas</w:t>
            </w:r>
          </w:p>
        </w:tc>
        <w:tc>
          <w:tcPr>
            <w:tcW w:w="2314" w:type="pct"/>
          </w:tcPr>
          <w:p w14:paraId="1DA89550" w14:textId="77777777" w:rsidR="00043C12" w:rsidRPr="00790AF3" w:rsidRDefault="00043C12" w:rsidP="007C692E">
            <w:pPr>
              <w:contextualSpacing/>
              <w:jc w:val="both"/>
              <w:rPr>
                <w:rFonts w:ascii="Times New Roman" w:hAnsi="Times New Roman"/>
              </w:rPr>
            </w:pPr>
            <w:r>
              <w:rPr>
                <w:rFonts w:ascii="Times New Roman" w:hAnsi="Times New Roman"/>
              </w:rPr>
              <w:t>Izglītības un mācību programmās un darbnīcās iesaistīto skolotāju skaits</w:t>
            </w:r>
          </w:p>
        </w:tc>
        <w:tc>
          <w:tcPr>
            <w:tcW w:w="556" w:type="pct"/>
          </w:tcPr>
          <w:p w14:paraId="6774E2B2" w14:textId="77777777" w:rsidR="00043C12" w:rsidRPr="00790AF3" w:rsidRDefault="00043C12" w:rsidP="007C692E">
            <w:pPr>
              <w:contextualSpacing/>
              <w:jc w:val="both"/>
              <w:rPr>
                <w:rFonts w:ascii="Times New Roman" w:hAnsi="Times New Roman"/>
              </w:rPr>
            </w:pPr>
            <w:r>
              <w:rPr>
                <w:rFonts w:ascii="Times New Roman" w:hAnsi="Times New Roman"/>
              </w:rPr>
              <w:t>0</w:t>
            </w:r>
          </w:p>
        </w:tc>
        <w:tc>
          <w:tcPr>
            <w:tcW w:w="554" w:type="pct"/>
          </w:tcPr>
          <w:p w14:paraId="0A29AF31" w14:textId="77777777" w:rsidR="00043C12" w:rsidRPr="00790AF3" w:rsidRDefault="00043C12" w:rsidP="007C692E">
            <w:pPr>
              <w:contextualSpacing/>
              <w:jc w:val="both"/>
              <w:rPr>
                <w:rFonts w:ascii="Times New Roman" w:hAnsi="Times New Roman"/>
              </w:rPr>
            </w:pPr>
            <w:r>
              <w:rPr>
                <w:rFonts w:ascii="Times New Roman" w:hAnsi="Times New Roman"/>
              </w:rPr>
              <w:t>200</w:t>
            </w:r>
          </w:p>
        </w:tc>
      </w:tr>
      <w:tr w:rsidR="00043C12" w:rsidRPr="00790AF3" w14:paraId="4A669900" w14:textId="77777777" w:rsidTr="007C692E">
        <w:trPr>
          <w:trHeight w:val="580"/>
          <w:tblHeader/>
        </w:trPr>
        <w:tc>
          <w:tcPr>
            <w:tcW w:w="542" w:type="pct"/>
            <w:vMerge/>
          </w:tcPr>
          <w:p w14:paraId="3F2AE1BB" w14:textId="77777777" w:rsidR="00043C12" w:rsidRPr="00790AF3" w:rsidRDefault="00043C12" w:rsidP="007C692E">
            <w:pPr>
              <w:contextualSpacing/>
              <w:jc w:val="both"/>
              <w:rPr>
                <w:rFonts w:ascii="Times New Roman" w:hAnsi="Times New Roman"/>
                <w:lang w:val="en-GB"/>
              </w:rPr>
            </w:pPr>
          </w:p>
        </w:tc>
        <w:tc>
          <w:tcPr>
            <w:tcW w:w="1034" w:type="pct"/>
            <w:vMerge/>
          </w:tcPr>
          <w:p w14:paraId="6B228DEF" w14:textId="77777777" w:rsidR="00043C12" w:rsidRPr="00790AF3" w:rsidRDefault="00043C12" w:rsidP="007C692E">
            <w:pPr>
              <w:contextualSpacing/>
              <w:jc w:val="both"/>
              <w:rPr>
                <w:rFonts w:ascii="Times New Roman" w:hAnsi="Times New Roman"/>
                <w:lang w:val="en-GB"/>
              </w:rPr>
            </w:pPr>
          </w:p>
        </w:tc>
        <w:tc>
          <w:tcPr>
            <w:tcW w:w="2314" w:type="pct"/>
          </w:tcPr>
          <w:p w14:paraId="27AC0336" w14:textId="2103EBC5" w:rsidR="00043C12" w:rsidRPr="00790AF3" w:rsidRDefault="00043C12" w:rsidP="007C692E">
            <w:pPr>
              <w:contextualSpacing/>
              <w:jc w:val="both"/>
              <w:rPr>
                <w:rFonts w:ascii="Times New Roman" w:hAnsi="Times New Roman"/>
              </w:rPr>
            </w:pPr>
            <w:r>
              <w:rPr>
                <w:rFonts w:ascii="Times New Roman" w:hAnsi="Times New Roman"/>
              </w:rPr>
              <w:t>Inovācij</w:t>
            </w:r>
            <w:r w:rsidR="00AE70B0">
              <w:rPr>
                <w:rFonts w:ascii="Times New Roman" w:hAnsi="Times New Roman"/>
              </w:rPr>
              <w:t>as</w:t>
            </w:r>
            <w:r>
              <w:rPr>
                <w:rFonts w:ascii="Times New Roman" w:hAnsi="Times New Roman"/>
              </w:rPr>
              <w:t xml:space="preserve"> centros īstenoto izglītības un mācību programmu skaits</w:t>
            </w:r>
          </w:p>
        </w:tc>
        <w:tc>
          <w:tcPr>
            <w:tcW w:w="556" w:type="pct"/>
          </w:tcPr>
          <w:p w14:paraId="0D03EBFD" w14:textId="77777777" w:rsidR="00043C12" w:rsidRPr="00790AF3" w:rsidRDefault="00043C12" w:rsidP="007C692E">
            <w:pPr>
              <w:contextualSpacing/>
              <w:jc w:val="both"/>
              <w:rPr>
                <w:rFonts w:ascii="Times New Roman" w:hAnsi="Times New Roman"/>
              </w:rPr>
            </w:pPr>
            <w:r>
              <w:rPr>
                <w:rFonts w:ascii="Times New Roman" w:hAnsi="Times New Roman"/>
              </w:rPr>
              <w:t>0</w:t>
            </w:r>
          </w:p>
          <w:p w14:paraId="6A80F351" w14:textId="77777777" w:rsidR="00043C12" w:rsidRPr="00790AF3" w:rsidRDefault="00043C12" w:rsidP="007C692E">
            <w:pPr>
              <w:contextualSpacing/>
              <w:jc w:val="both"/>
              <w:rPr>
                <w:rFonts w:ascii="Times New Roman" w:hAnsi="Times New Roman"/>
                <w:lang w:val="en-GB"/>
              </w:rPr>
            </w:pPr>
          </w:p>
        </w:tc>
        <w:tc>
          <w:tcPr>
            <w:tcW w:w="554" w:type="pct"/>
          </w:tcPr>
          <w:p w14:paraId="70036348" w14:textId="77777777" w:rsidR="00043C12" w:rsidRPr="00790AF3" w:rsidRDefault="00043C12" w:rsidP="007C692E">
            <w:pPr>
              <w:contextualSpacing/>
              <w:jc w:val="both"/>
              <w:rPr>
                <w:rFonts w:ascii="Times New Roman" w:hAnsi="Times New Roman"/>
              </w:rPr>
            </w:pPr>
            <w:r>
              <w:rPr>
                <w:rFonts w:ascii="Times New Roman" w:hAnsi="Times New Roman"/>
              </w:rPr>
              <w:t>12</w:t>
            </w:r>
          </w:p>
          <w:p w14:paraId="4D04C0D5" w14:textId="77777777" w:rsidR="00043C12" w:rsidRPr="00790AF3" w:rsidRDefault="00043C12" w:rsidP="007C692E">
            <w:pPr>
              <w:contextualSpacing/>
              <w:jc w:val="both"/>
              <w:rPr>
                <w:rFonts w:ascii="Times New Roman" w:hAnsi="Times New Roman"/>
                <w:lang w:val="en-GB"/>
              </w:rPr>
            </w:pPr>
          </w:p>
        </w:tc>
      </w:tr>
      <w:tr w:rsidR="00043C12" w:rsidRPr="00790AF3" w14:paraId="7F91B3A3" w14:textId="77777777" w:rsidTr="007C692E">
        <w:trPr>
          <w:trHeight w:val="972"/>
          <w:tblHeader/>
        </w:trPr>
        <w:tc>
          <w:tcPr>
            <w:tcW w:w="542" w:type="pct"/>
            <w:vMerge w:val="restart"/>
          </w:tcPr>
          <w:p w14:paraId="5D0864DF" w14:textId="77777777" w:rsidR="00043C12" w:rsidRPr="00790AF3" w:rsidRDefault="00043C12" w:rsidP="007C692E">
            <w:pPr>
              <w:contextualSpacing/>
              <w:jc w:val="both"/>
              <w:rPr>
                <w:rFonts w:ascii="Times New Roman" w:hAnsi="Times New Roman"/>
              </w:rPr>
            </w:pPr>
            <w:r>
              <w:rPr>
                <w:rFonts w:ascii="Times New Roman" w:hAnsi="Times New Roman"/>
              </w:rPr>
              <w:t xml:space="preserve">Divpusējais rezultāts </w:t>
            </w:r>
          </w:p>
        </w:tc>
        <w:tc>
          <w:tcPr>
            <w:tcW w:w="1034" w:type="pct"/>
            <w:vMerge w:val="restart"/>
          </w:tcPr>
          <w:p w14:paraId="2612B0FB" w14:textId="77777777" w:rsidR="00043C12" w:rsidRPr="00790AF3" w:rsidRDefault="00043C12" w:rsidP="007C692E">
            <w:pPr>
              <w:contextualSpacing/>
              <w:jc w:val="both"/>
              <w:rPr>
                <w:rFonts w:ascii="Times New Roman" w:hAnsi="Times New Roman"/>
              </w:rPr>
            </w:pPr>
            <w:r>
              <w:rPr>
                <w:rFonts w:ascii="Times New Roman" w:hAnsi="Times New Roman"/>
              </w:rPr>
              <w:t xml:space="preserve">Uzlabota sadarbība starp programmā iesaistītajām saņēmējvalstu un </w:t>
            </w:r>
            <w:proofErr w:type="spellStart"/>
            <w:r>
              <w:rPr>
                <w:rFonts w:ascii="Times New Roman" w:hAnsi="Times New Roman"/>
              </w:rPr>
              <w:t>donorvalstu</w:t>
            </w:r>
            <w:proofErr w:type="spellEnd"/>
            <w:r>
              <w:rPr>
                <w:rFonts w:ascii="Times New Roman" w:hAnsi="Times New Roman"/>
              </w:rPr>
              <w:t xml:space="preserve"> organizācijām.</w:t>
            </w:r>
          </w:p>
        </w:tc>
        <w:tc>
          <w:tcPr>
            <w:tcW w:w="2314" w:type="pct"/>
          </w:tcPr>
          <w:p w14:paraId="361C4B3A" w14:textId="77777777" w:rsidR="00043C12" w:rsidRPr="00790AF3" w:rsidRDefault="00043C12" w:rsidP="007C692E">
            <w:pPr>
              <w:contextualSpacing/>
              <w:jc w:val="both"/>
              <w:rPr>
                <w:rFonts w:ascii="Times New Roman" w:hAnsi="Times New Roman"/>
              </w:rPr>
            </w:pPr>
            <w:r>
              <w:rPr>
                <w:rFonts w:ascii="Times New Roman" w:hAnsi="Times New Roman"/>
              </w:rPr>
              <w:t xml:space="preserve">Uzticības līmenis starp sadarbībā iesaistītajām saņēmējvalstu un </w:t>
            </w:r>
            <w:proofErr w:type="spellStart"/>
            <w:r>
              <w:rPr>
                <w:rFonts w:ascii="Times New Roman" w:hAnsi="Times New Roman"/>
              </w:rPr>
              <w:t>donorvalstu</w:t>
            </w:r>
            <w:proofErr w:type="spellEnd"/>
            <w:r>
              <w:rPr>
                <w:rFonts w:ascii="Times New Roman" w:hAnsi="Times New Roman"/>
              </w:rPr>
              <w:t xml:space="preserve"> organizācijām</w:t>
            </w:r>
          </w:p>
        </w:tc>
        <w:tc>
          <w:tcPr>
            <w:tcW w:w="556" w:type="pct"/>
          </w:tcPr>
          <w:p w14:paraId="767EB2D4" w14:textId="77777777" w:rsidR="00043C12" w:rsidRPr="00790AF3" w:rsidRDefault="00043C12" w:rsidP="007C692E">
            <w:pPr>
              <w:contextualSpacing/>
              <w:jc w:val="both"/>
              <w:rPr>
                <w:rFonts w:ascii="Times New Roman" w:hAnsi="Times New Roman"/>
              </w:rPr>
            </w:pPr>
            <w:r>
              <w:rPr>
                <w:rFonts w:ascii="Times New Roman" w:hAnsi="Times New Roman"/>
              </w:rPr>
              <w:t xml:space="preserve">Tiks nolemts pēc projektu parakstīšanas. </w:t>
            </w:r>
          </w:p>
        </w:tc>
        <w:tc>
          <w:tcPr>
            <w:tcW w:w="554" w:type="pct"/>
          </w:tcPr>
          <w:p w14:paraId="759F6925" w14:textId="77777777" w:rsidR="00043C12" w:rsidRPr="00790AF3" w:rsidRDefault="00043C12" w:rsidP="007C692E">
            <w:pPr>
              <w:contextualSpacing/>
              <w:jc w:val="both"/>
              <w:rPr>
                <w:rFonts w:ascii="Times New Roman" w:hAnsi="Times New Roman"/>
              </w:rPr>
            </w:pPr>
            <w:r>
              <w:rPr>
                <w:rFonts w:ascii="Times New Roman" w:hAnsi="Times New Roman"/>
              </w:rPr>
              <w:t>≥ 4,5 un pieaugums salīdzinājumā ar sākotnējo stāvokli</w:t>
            </w:r>
          </w:p>
        </w:tc>
      </w:tr>
      <w:tr w:rsidR="00043C12" w:rsidRPr="00790AF3" w14:paraId="4C9458AF" w14:textId="77777777" w:rsidTr="007C692E">
        <w:trPr>
          <w:trHeight w:val="920"/>
          <w:tblHeader/>
        </w:trPr>
        <w:tc>
          <w:tcPr>
            <w:tcW w:w="542" w:type="pct"/>
            <w:vMerge/>
          </w:tcPr>
          <w:p w14:paraId="13A57685" w14:textId="77777777" w:rsidR="00043C12" w:rsidRPr="00E56240" w:rsidRDefault="00043C12" w:rsidP="007C692E">
            <w:pPr>
              <w:contextualSpacing/>
              <w:jc w:val="both"/>
              <w:rPr>
                <w:rFonts w:ascii="Times New Roman" w:hAnsi="Times New Roman"/>
              </w:rPr>
            </w:pPr>
          </w:p>
        </w:tc>
        <w:tc>
          <w:tcPr>
            <w:tcW w:w="1034" w:type="pct"/>
            <w:vMerge/>
          </w:tcPr>
          <w:p w14:paraId="4DC07AFF" w14:textId="77777777" w:rsidR="00043C12" w:rsidRPr="00E56240" w:rsidRDefault="00043C12" w:rsidP="007C692E">
            <w:pPr>
              <w:contextualSpacing/>
              <w:jc w:val="both"/>
              <w:rPr>
                <w:rFonts w:ascii="Times New Roman" w:hAnsi="Times New Roman"/>
              </w:rPr>
            </w:pPr>
          </w:p>
        </w:tc>
        <w:tc>
          <w:tcPr>
            <w:tcW w:w="2314" w:type="pct"/>
          </w:tcPr>
          <w:p w14:paraId="6C3B68B1" w14:textId="77777777" w:rsidR="00043C12" w:rsidRPr="00790AF3" w:rsidRDefault="00043C12" w:rsidP="007C692E">
            <w:pPr>
              <w:contextualSpacing/>
              <w:jc w:val="both"/>
              <w:rPr>
                <w:rFonts w:ascii="Times New Roman" w:hAnsi="Times New Roman"/>
              </w:rPr>
            </w:pPr>
            <w:r>
              <w:rPr>
                <w:rFonts w:ascii="Times New Roman" w:hAnsi="Times New Roman"/>
              </w:rPr>
              <w:t>Apmierinātības līmenis ar partnerību</w:t>
            </w:r>
          </w:p>
        </w:tc>
        <w:tc>
          <w:tcPr>
            <w:tcW w:w="556" w:type="pct"/>
          </w:tcPr>
          <w:p w14:paraId="3E2C4942" w14:textId="77777777" w:rsidR="00043C12" w:rsidRPr="00790AF3" w:rsidRDefault="00043C12" w:rsidP="007C692E">
            <w:pPr>
              <w:contextualSpacing/>
              <w:jc w:val="both"/>
              <w:rPr>
                <w:rFonts w:ascii="Times New Roman" w:hAnsi="Times New Roman"/>
              </w:rPr>
            </w:pPr>
            <w:r>
              <w:rPr>
                <w:rFonts w:ascii="Times New Roman" w:hAnsi="Times New Roman"/>
              </w:rPr>
              <w:t>Tiks nolemts pēc projektu parakstīšanas.</w:t>
            </w:r>
          </w:p>
        </w:tc>
        <w:tc>
          <w:tcPr>
            <w:tcW w:w="554" w:type="pct"/>
          </w:tcPr>
          <w:p w14:paraId="440345AA" w14:textId="77777777" w:rsidR="00043C12" w:rsidRPr="00790AF3" w:rsidRDefault="00043C12" w:rsidP="007C692E">
            <w:pPr>
              <w:contextualSpacing/>
              <w:jc w:val="both"/>
              <w:rPr>
                <w:rFonts w:ascii="Times New Roman" w:hAnsi="Times New Roman"/>
              </w:rPr>
            </w:pPr>
            <w:r>
              <w:rPr>
                <w:rFonts w:ascii="Times New Roman" w:hAnsi="Times New Roman"/>
              </w:rPr>
              <w:t>≥ 4,5 un pieaugums salīdzinājumā ar sākotnējo stāvokli</w:t>
            </w:r>
          </w:p>
        </w:tc>
      </w:tr>
      <w:tr w:rsidR="00043C12" w:rsidRPr="00790AF3" w14:paraId="7C3F731B" w14:textId="77777777" w:rsidTr="007C692E">
        <w:trPr>
          <w:trHeight w:val="1153"/>
          <w:tblHeader/>
        </w:trPr>
        <w:tc>
          <w:tcPr>
            <w:tcW w:w="542" w:type="pct"/>
            <w:vMerge/>
          </w:tcPr>
          <w:p w14:paraId="721B07D0" w14:textId="77777777" w:rsidR="00043C12" w:rsidRPr="00E56240" w:rsidRDefault="00043C12" w:rsidP="007C692E">
            <w:pPr>
              <w:contextualSpacing/>
              <w:jc w:val="both"/>
              <w:rPr>
                <w:rFonts w:ascii="Times New Roman" w:hAnsi="Times New Roman"/>
              </w:rPr>
            </w:pPr>
          </w:p>
        </w:tc>
        <w:tc>
          <w:tcPr>
            <w:tcW w:w="1034" w:type="pct"/>
            <w:vMerge/>
          </w:tcPr>
          <w:p w14:paraId="1207B964" w14:textId="77777777" w:rsidR="00043C12" w:rsidRPr="00E56240" w:rsidRDefault="00043C12" w:rsidP="007C692E">
            <w:pPr>
              <w:contextualSpacing/>
              <w:jc w:val="both"/>
              <w:rPr>
                <w:rFonts w:ascii="Times New Roman" w:hAnsi="Times New Roman"/>
              </w:rPr>
            </w:pPr>
          </w:p>
        </w:tc>
        <w:tc>
          <w:tcPr>
            <w:tcW w:w="2314" w:type="pct"/>
          </w:tcPr>
          <w:p w14:paraId="4D5FEA7F" w14:textId="77777777" w:rsidR="00043C12" w:rsidRPr="00790AF3" w:rsidRDefault="00043C12" w:rsidP="007C692E">
            <w:pPr>
              <w:contextualSpacing/>
              <w:jc w:val="both"/>
              <w:rPr>
                <w:rFonts w:ascii="Times New Roman" w:hAnsi="Times New Roman"/>
              </w:rPr>
            </w:pPr>
            <w:r>
              <w:rPr>
                <w:rFonts w:ascii="Times New Roman" w:hAnsi="Times New Roman"/>
              </w:rPr>
              <w:t xml:space="preserve">Sadarbībā iesaistītās organizācijas, kuras izmanto no divpusējām partnerattiecībām iegūtās zināšanas </w:t>
            </w:r>
          </w:p>
        </w:tc>
        <w:tc>
          <w:tcPr>
            <w:tcW w:w="556" w:type="pct"/>
          </w:tcPr>
          <w:p w14:paraId="73B3FAAD" w14:textId="77777777" w:rsidR="00043C12" w:rsidRPr="00790AF3" w:rsidRDefault="00043C12" w:rsidP="007C692E">
            <w:pPr>
              <w:contextualSpacing/>
              <w:jc w:val="both"/>
              <w:rPr>
                <w:rFonts w:ascii="Times New Roman" w:hAnsi="Times New Roman"/>
              </w:rPr>
            </w:pPr>
            <w:r>
              <w:rPr>
                <w:rFonts w:ascii="Times New Roman" w:hAnsi="Times New Roman"/>
              </w:rPr>
              <w:t>Nav attiecināms</w:t>
            </w:r>
          </w:p>
        </w:tc>
        <w:tc>
          <w:tcPr>
            <w:tcW w:w="554" w:type="pct"/>
          </w:tcPr>
          <w:p w14:paraId="5AA4B84E" w14:textId="77777777" w:rsidR="00043C12" w:rsidRPr="00790AF3" w:rsidRDefault="00043C12" w:rsidP="007C692E">
            <w:pPr>
              <w:contextualSpacing/>
              <w:jc w:val="both"/>
              <w:rPr>
                <w:rFonts w:ascii="Times New Roman" w:hAnsi="Times New Roman"/>
              </w:rPr>
            </w:pPr>
            <w:r>
              <w:rPr>
                <w:rFonts w:ascii="Times New Roman" w:hAnsi="Times New Roman"/>
              </w:rPr>
              <w:t>≥ 50 % un pieaugums salīdzinājumā ar sākotnējo stāvokli</w:t>
            </w:r>
          </w:p>
        </w:tc>
      </w:tr>
      <w:tr w:rsidR="00043C12" w:rsidRPr="00790AF3" w14:paraId="537AD18C" w14:textId="77777777" w:rsidTr="007C692E">
        <w:trPr>
          <w:trHeight w:val="1153"/>
          <w:tblHeader/>
        </w:trPr>
        <w:tc>
          <w:tcPr>
            <w:tcW w:w="542" w:type="pct"/>
          </w:tcPr>
          <w:p w14:paraId="292FCCCB" w14:textId="77777777" w:rsidR="00043C12" w:rsidRPr="0041145E" w:rsidRDefault="00043C12" w:rsidP="007C692E">
            <w:pPr>
              <w:contextualSpacing/>
              <w:jc w:val="both"/>
              <w:rPr>
                <w:rFonts w:ascii="Times New Roman" w:hAnsi="Times New Roman"/>
              </w:rPr>
            </w:pPr>
            <w:r>
              <w:rPr>
                <w:rFonts w:ascii="Times New Roman" w:hAnsi="Times New Roman"/>
              </w:rPr>
              <w:t>1. divpusējais iznākums</w:t>
            </w:r>
          </w:p>
        </w:tc>
        <w:tc>
          <w:tcPr>
            <w:tcW w:w="1034" w:type="pct"/>
          </w:tcPr>
          <w:p w14:paraId="29D0567F" w14:textId="77777777" w:rsidR="00043C12" w:rsidRPr="0041145E" w:rsidRDefault="00043C12" w:rsidP="007C692E">
            <w:pPr>
              <w:contextualSpacing/>
              <w:jc w:val="both"/>
              <w:rPr>
                <w:rFonts w:ascii="Times New Roman" w:hAnsi="Times New Roman"/>
              </w:rPr>
            </w:pPr>
            <w:r>
              <w:rPr>
                <w:rFonts w:ascii="Times New Roman" w:hAnsi="Times New Roman"/>
              </w:rPr>
              <w:t xml:space="preserve">Veicināta sadarbība starp </w:t>
            </w:r>
            <w:proofErr w:type="spellStart"/>
            <w:r>
              <w:rPr>
                <w:rFonts w:ascii="Times New Roman" w:hAnsi="Times New Roman"/>
              </w:rPr>
              <w:t>donorvalstīm</w:t>
            </w:r>
            <w:proofErr w:type="spellEnd"/>
            <w:r>
              <w:rPr>
                <w:rFonts w:ascii="Times New Roman" w:hAnsi="Times New Roman"/>
              </w:rPr>
              <w:t xml:space="preserve"> un saņēmējvalsti.</w:t>
            </w:r>
          </w:p>
        </w:tc>
        <w:tc>
          <w:tcPr>
            <w:tcW w:w="2314" w:type="pct"/>
          </w:tcPr>
          <w:p w14:paraId="38931C4E" w14:textId="77777777" w:rsidR="00043C12" w:rsidRPr="00374334" w:rsidRDefault="00043C12" w:rsidP="007C692E">
            <w:pPr>
              <w:contextualSpacing/>
              <w:jc w:val="both"/>
              <w:rPr>
                <w:rFonts w:ascii="Times New Roman" w:hAnsi="Times New Roman"/>
              </w:rPr>
            </w:pPr>
            <w:r>
              <w:rPr>
                <w:rFonts w:ascii="Times New Roman" w:hAnsi="Times New Roman"/>
              </w:rPr>
              <w:t xml:space="preserve">Projektu skaits, kuru ietvaros notika sadarbība ar donoru projekta partneri </w:t>
            </w:r>
          </w:p>
        </w:tc>
        <w:tc>
          <w:tcPr>
            <w:tcW w:w="556" w:type="pct"/>
          </w:tcPr>
          <w:p w14:paraId="7EB1B1D3" w14:textId="77777777" w:rsidR="00043C12" w:rsidRPr="00374334" w:rsidRDefault="00043C12" w:rsidP="007C692E">
            <w:pPr>
              <w:contextualSpacing/>
              <w:jc w:val="both"/>
              <w:rPr>
                <w:rFonts w:ascii="Times New Roman" w:hAnsi="Times New Roman"/>
              </w:rPr>
            </w:pPr>
            <w:r>
              <w:rPr>
                <w:rFonts w:ascii="Times New Roman" w:hAnsi="Times New Roman"/>
              </w:rPr>
              <w:t>0</w:t>
            </w:r>
          </w:p>
        </w:tc>
        <w:tc>
          <w:tcPr>
            <w:tcW w:w="554" w:type="pct"/>
          </w:tcPr>
          <w:p w14:paraId="01FFF586" w14:textId="77777777" w:rsidR="00043C12" w:rsidRPr="00374334" w:rsidRDefault="00043C12" w:rsidP="007C692E">
            <w:pPr>
              <w:contextualSpacing/>
              <w:jc w:val="both"/>
              <w:rPr>
                <w:rFonts w:ascii="Times New Roman" w:hAnsi="Times New Roman"/>
              </w:rPr>
            </w:pPr>
            <w:r>
              <w:rPr>
                <w:rFonts w:ascii="Times New Roman" w:hAnsi="Times New Roman"/>
              </w:rPr>
              <w:t>17</w:t>
            </w:r>
          </w:p>
        </w:tc>
      </w:tr>
    </w:tbl>
    <w:p w14:paraId="29C5C6B9" w14:textId="77777777" w:rsidR="00043C12" w:rsidRPr="00790AF3" w:rsidRDefault="00043C12" w:rsidP="00043C12">
      <w:pPr>
        <w:pStyle w:val="BodyText"/>
        <w:spacing w:after="0"/>
        <w:contextualSpacing/>
        <w:rPr>
          <w:rFonts w:ascii="Times New Roman" w:hAnsi="Times New Roman"/>
          <w:sz w:val="24"/>
          <w:szCs w:val="24"/>
        </w:rPr>
        <w:sectPr w:rsidR="00043C12" w:rsidRPr="00790AF3" w:rsidSect="00570882">
          <w:headerReference w:type="first" r:id="rId15"/>
          <w:pgSz w:w="15840" w:h="12240" w:orient="landscape" w:code="1"/>
          <w:pgMar w:top="1418" w:right="1440" w:bottom="851" w:left="1440" w:header="709" w:footer="709" w:gutter="0"/>
          <w:cols w:space="708"/>
          <w:titlePg/>
          <w:docGrid w:linePitch="360"/>
        </w:sectPr>
      </w:pPr>
    </w:p>
    <w:p w14:paraId="2365700A" w14:textId="77777777" w:rsidR="00043C12" w:rsidRPr="00790AF3" w:rsidRDefault="00043C12" w:rsidP="00043C12">
      <w:pPr>
        <w:pStyle w:val="Heading1"/>
        <w:numPr>
          <w:ilvl w:val="0"/>
          <w:numId w:val="0"/>
        </w:numPr>
        <w:spacing w:before="0"/>
        <w:ind w:left="432"/>
        <w:contextualSpacing/>
        <w:rPr>
          <w:rFonts w:ascii="Times New Roman" w:hAnsi="Times New Roman"/>
          <w:color w:val="auto"/>
          <w:sz w:val="24"/>
          <w:szCs w:val="24"/>
        </w:rPr>
      </w:pPr>
      <w:r>
        <w:rPr>
          <w:rFonts w:ascii="Times New Roman" w:hAnsi="Times New Roman"/>
          <w:color w:val="auto"/>
          <w:sz w:val="24"/>
          <w:szCs w:val="24"/>
        </w:rPr>
        <w:lastRenderedPageBreak/>
        <w:t xml:space="preserve">11. Piešķīruma daļa un budžets </w:t>
      </w:r>
    </w:p>
    <w:p w14:paraId="0587F864" w14:textId="77777777" w:rsidR="00043C12" w:rsidRPr="00790AF3" w:rsidRDefault="00043C12" w:rsidP="00043C12">
      <w:pPr>
        <w:contextualSpacing/>
        <w:jc w:val="both"/>
        <w:rPr>
          <w:b/>
          <w:u w:val="single"/>
          <w:lang w:val="en-GB"/>
        </w:rPr>
      </w:pPr>
    </w:p>
    <w:tbl>
      <w:tblPr>
        <w:tblW w:w="5475" w:type="pct"/>
        <w:tblLayout w:type="fixed"/>
        <w:tblCellMar>
          <w:left w:w="0" w:type="dxa"/>
          <w:right w:w="0" w:type="dxa"/>
        </w:tblCellMar>
        <w:tblLook w:val="04A0" w:firstRow="1" w:lastRow="0" w:firstColumn="1" w:lastColumn="0" w:noHBand="0" w:noVBand="1"/>
      </w:tblPr>
      <w:tblGrid>
        <w:gridCol w:w="545"/>
        <w:gridCol w:w="1549"/>
        <w:gridCol w:w="1193"/>
        <w:gridCol w:w="1329"/>
        <w:gridCol w:w="958"/>
        <w:gridCol w:w="411"/>
        <w:gridCol w:w="1378"/>
        <w:gridCol w:w="236"/>
        <w:gridCol w:w="1182"/>
        <w:gridCol w:w="311"/>
      </w:tblGrid>
      <w:tr w:rsidR="00043C12" w:rsidRPr="00790AF3" w14:paraId="116BFF5C" w14:textId="77777777" w:rsidTr="004502B4">
        <w:trPr>
          <w:trHeight w:val="288"/>
        </w:trPr>
        <w:tc>
          <w:tcPr>
            <w:tcW w:w="3065" w:type="pct"/>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C50D61D" w14:textId="77777777" w:rsidR="00043C12" w:rsidRPr="00790AF3" w:rsidRDefault="00043C12" w:rsidP="007C692E">
            <w:pPr>
              <w:contextualSpacing/>
              <w:rPr>
                <w:b/>
              </w:rPr>
            </w:pPr>
            <w:r>
              <w:rPr>
                <w:b/>
              </w:rPr>
              <w:t>Attiecināmie programmas izdevumi</w:t>
            </w:r>
          </w:p>
        </w:tc>
        <w:tc>
          <w:tcPr>
            <w:tcW w:w="983" w:type="pct"/>
            <w:gridSpan w:val="2"/>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543302CE" w14:textId="77777777" w:rsidR="00043C12" w:rsidRPr="00790AF3" w:rsidRDefault="00043C12" w:rsidP="007C692E">
            <w:pPr>
              <w:contextualSpacing/>
              <w:jc w:val="right"/>
            </w:pPr>
            <w:r>
              <w:t>17 058 824 €</w:t>
            </w:r>
          </w:p>
        </w:tc>
        <w:tc>
          <w:tcPr>
            <w:tcW w:w="130" w:type="pct"/>
            <w:noWrap/>
            <w:tcMar>
              <w:top w:w="0" w:type="dxa"/>
              <w:left w:w="108" w:type="dxa"/>
              <w:bottom w:w="0" w:type="dxa"/>
              <w:right w:w="108" w:type="dxa"/>
            </w:tcMar>
            <w:vAlign w:val="bottom"/>
            <w:hideMark/>
          </w:tcPr>
          <w:p w14:paraId="43FF84BC" w14:textId="77777777" w:rsidR="00043C12" w:rsidRPr="00790AF3" w:rsidRDefault="00043C12" w:rsidP="007C692E">
            <w:pPr>
              <w:contextualSpacing/>
              <w:rPr>
                <w:lang w:val="en-GB" w:eastAsia="en-GB"/>
              </w:rPr>
            </w:pPr>
          </w:p>
        </w:tc>
        <w:tc>
          <w:tcPr>
            <w:tcW w:w="822" w:type="pct"/>
            <w:gridSpan w:val="2"/>
            <w:noWrap/>
            <w:tcMar>
              <w:top w:w="0" w:type="dxa"/>
              <w:left w:w="108" w:type="dxa"/>
              <w:bottom w:w="0" w:type="dxa"/>
              <w:right w:w="108" w:type="dxa"/>
            </w:tcMar>
            <w:vAlign w:val="bottom"/>
            <w:hideMark/>
          </w:tcPr>
          <w:p w14:paraId="3C93E95A" w14:textId="77777777" w:rsidR="00043C12" w:rsidRPr="00790AF3" w:rsidRDefault="00043C12" w:rsidP="007C692E">
            <w:pPr>
              <w:contextualSpacing/>
              <w:rPr>
                <w:lang w:val="en-GB" w:eastAsia="en-GB"/>
              </w:rPr>
            </w:pPr>
          </w:p>
        </w:tc>
      </w:tr>
      <w:tr w:rsidR="00043C12" w:rsidRPr="00790AF3" w14:paraId="7789C336" w14:textId="77777777" w:rsidTr="004502B4">
        <w:trPr>
          <w:trHeight w:val="288"/>
        </w:trPr>
        <w:tc>
          <w:tcPr>
            <w:tcW w:w="3065" w:type="pct"/>
            <w:gridSpan w:val="5"/>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73021D8" w14:textId="77777777" w:rsidR="00043C12" w:rsidRPr="00790AF3" w:rsidRDefault="00043C12" w:rsidP="007C692E">
            <w:pPr>
              <w:contextualSpacing/>
              <w:rPr>
                <w:rFonts w:eastAsiaTheme="minorHAnsi"/>
                <w:b/>
              </w:rPr>
            </w:pPr>
            <w:r>
              <w:rPr>
                <w:b/>
              </w:rPr>
              <w:t xml:space="preserve">Programmas piešķīruma daļa </w:t>
            </w:r>
          </w:p>
        </w:tc>
        <w:tc>
          <w:tcPr>
            <w:tcW w:w="983" w:type="pct"/>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C8F48DE" w14:textId="77777777" w:rsidR="00043C12" w:rsidRPr="00790AF3" w:rsidRDefault="00043C12" w:rsidP="007C692E">
            <w:pPr>
              <w:contextualSpacing/>
              <w:jc w:val="right"/>
            </w:pPr>
            <w:r>
              <w:t>85,00 %</w:t>
            </w:r>
          </w:p>
        </w:tc>
        <w:tc>
          <w:tcPr>
            <w:tcW w:w="130" w:type="pct"/>
            <w:noWrap/>
            <w:tcMar>
              <w:top w:w="0" w:type="dxa"/>
              <w:left w:w="108" w:type="dxa"/>
              <w:bottom w:w="0" w:type="dxa"/>
              <w:right w:w="108" w:type="dxa"/>
            </w:tcMar>
            <w:vAlign w:val="bottom"/>
            <w:hideMark/>
          </w:tcPr>
          <w:p w14:paraId="6FEB279D" w14:textId="77777777" w:rsidR="00043C12" w:rsidRPr="00790AF3" w:rsidRDefault="00043C12" w:rsidP="007C692E">
            <w:pPr>
              <w:contextualSpacing/>
              <w:rPr>
                <w:lang w:val="en-GB" w:eastAsia="en-GB"/>
              </w:rPr>
            </w:pPr>
          </w:p>
        </w:tc>
        <w:tc>
          <w:tcPr>
            <w:tcW w:w="822" w:type="pct"/>
            <w:gridSpan w:val="2"/>
            <w:noWrap/>
            <w:tcMar>
              <w:top w:w="0" w:type="dxa"/>
              <w:left w:w="108" w:type="dxa"/>
              <w:bottom w:w="0" w:type="dxa"/>
              <w:right w:w="108" w:type="dxa"/>
            </w:tcMar>
            <w:vAlign w:val="bottom"/>
            <w:hideMark/>
          </w:tcPr>
          <w:p w14:paraId="2B5BB05E" w14:textId="77777777" w:rsidR="00043C12" w:rsidRPr="00790AF3" w:rsidRDefault="00043C12" w:rsidP="007C692E">
            <w:pPr>
              <w:contextualSpacing/>
              <w:rPr>
                <w:lang w:val="en-GB" w:eastAsia="en-GB"/>
              </w:rPr>
            </w:pPr>
          </w:p>
        </w:tc>
      </w:tr>
      <w:tr w:rsidR="00043C12" w:rsidRPr="00790AF3" w14:paraId="1EEECC74" w14:textId="77777777" w:rsidTr="004502B4">
        <w:trPr>
          <w:trHeight w:val="288"/>
        </w:trPr>
        <w:tc>
          <w:tcPr>
            <w:tcW w:w="3065" w:type="pct"/>
            <w:gridSpan w:val="5"/>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B12F03D" w14:textId="77777777" w:rsidR="00043C12" w:rsidRPr="00790AF3" w:rsidRDefault="00043C12" w:rsidP="007C692E">
            <w:pPr>
              <w:contextualSpacing/>
              <w:rPr>
                <w:rFonts w:eastAsiaTheme="minorHAnsi"/>
                <w:b/>
              </w:rPr>
            </w:pPr>
            <w:r>
              <w:rPr>
                <w:b/>
              </w:rPr>
              <w:t>Kopējais programmas piešķīrums</w:t>
            </w:r>
          </w:p>
        </w:tc>
        <w:tc>
          <w:tcPr>
            <w:tcW w:w="983" w:type="pct"/>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0975DA8" w14:textId="77777777" w:rsidR="00043C12" w:rsidRPr="00790AF3" w:rsidRDefault="00043C12" w:rsidP="007C692E">
            <w:pPr>
              <w:contextualSpacing/>
              <w:jc w:val="right"/>
            </w:pPr>
            <w:r>
              <w:t>14 500 000 €</w:t>
            </w:r>
          </w:p>
        </w:tc>
        <w:tc>
          <w:tcPr>
            <w:tcW w:w="130" w:type="pct"/>
            <w:noWrap/>
            <w:tcMar>
              <w:top w:w="0" w:type="dxa"/>
              <w:left w:w="108" w:type="dxa"/>
              <w:bottom w:w="0" w:type="dxa"/>
              <w:right w:w="108" w:type="dxa"/>
            </w:tcMar>
            <w:vAlign w:val="bottom"/>
            <w:hideMark/>
          </w:tcPr>
          <w:p w14:paraId="69F0B57E" w14:textId="77777777" w:rsidR="00043C12" w:rsidRPr="00790AF3" w:rsidRDefault="00043C12" w:rsidP="007C692E">
            <w:pPr>
              <w:contextualSpacing/>
              <w:rPr>
                <w:lang w:val="en-GB" w:eastAsia="en-GB"/>
              </w:rPr>
            </w:pPr>
          </w:p>
        </w:tc>
        <w:tc>
          <w:tcPr>
            <w:tcW w:w="822" w:type="pct"/>
            <w:gridSpan w:val="2"/>
            <w:noWrap/>
            <w:tcMar>
              <w:top w:w="0" w:type="dxa"/>
              <w:left w:w="108" w:type="dxa"/>
              <w:bottom w:w="0" w:type="dxa"/>
              <w:right w:w="108" w:type="dxa"/>
            </w:tcMar>
            <w:vAlign w:val="bottom"/>
            <w:hideMark/>
          </w:tcPr>
          <w:p w14:paraId="526F9D35" w14:textId="77777777" w:rsidR="00043C12" w:rsidRPr="00790AF3" w:rsidRDefault="00043C12" w:rsidP="007C692E">
            <w:pPr>
              <w:contextualSpacing/>
              <w:rPr>
                <w:lang w:val="en-GB" w:eastAsia="en-GB"/>
              </w:rPr>
            </w:pPr>
          </w:p>
        </w:tc>
      </w:tr>
      <w:tr w:rsidR="00043C12" w:rsidRPr="00790AF3" w14:paraId="4BC946C4" w14:textId="77777777" w:rsidTr="004502B4">
        <w:trPr>
          <w:trHeight w:val="288"/>
        </w:trPr>
        <w:tc>
          <w:tcPr>
            <w:tcW w:w="3065" w:type="pct"/>
            <w:gridSpan w:val="5"/>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A263B95" w14:textId="77777777" w:rsidR="00043C12" w:rsidRPr="00790AF3" w:rsidRDefault="00043C12" w:rsidP="007C692E">
            <w:pPr>
              <w:contextualSpacing/>
              <w:rPr>
                <w:rFonts w:eastAsiaTheme="minorHAnsi"/>
                <w:b/>
              </w:rPr>
            </w:pPr>
            <w:r>
              <w:rPr>
                <w:b/>
              </w:rPr>
              <w:t>Programmas piešķīrums – EEZ piešķīrumi (€)</w:t>
            </w:r>
          </w:p>
        </w:tc>
        <w:tc>
          <w:tcPr>
            <w:tcW w:w="983" w:type="pct"/>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7C89ADF" w14:textId="77777777" w:rsidR="00043C12" w:rsidRPr="00790AF3" w:rsidRDefault="00043C12" w:rsidP="007C692E">
            <w:pPr>
              <w:contextualSpacing/>
              <w:jc w:val="right"/>
            </w:pPr>
            <w:r>
              <w:t>8 500 000 €</w:t>
            </w:r>
          </w:p>
        </w:tc>
        <w:tc>
          <w:tcPr>
            <w:tcW w:w="130" w:type="pct"/>
            <w:noWrap/>
            <w:tcMar>
              <w:top w:w="0" w:type="dxa"/>
              <w:left w:w="108" w:type="dxa"/>
              <w:bottom w:w="0" w:type="dxa"/>
              <w:right w:w="108" w:type="dxa"/>
            </w:tcMar>
            <w:vAlign w:val="bottom"/>
            <w:hideMark/>
          </w:tcPr>
          <w:p w14:paraId="25EA2B63" w14:textId="77777777" w:rsidR="00043C12" w:rsidRPr="00790AF3" w:rsidRDefault="00043C12" w:rsidP="007C692E">
            <w:pPr>
              <w:contextualSpacing/>
              <w:rPr>
                <w:lang w:val="en-GB" w:eastAsia="en-GB"/>
              </w:rPr>
            </w:pPr>
          </w:p>
        </w:tc>
        <w:tc>
          <w:tcPr>
            <w:tcW w:w="822" w:type="pct"/>
            <w:gridSpan w:val="2"/>
            <w:noWrap/>
            <w:tcMar>
              <w:top w:w="0" w:type="dxa"/>
              <w:left w:w="108" w:type="dxa"/>
              <w:bottom w:w="0" w:type="dxa"/>
              <w:right w:w="108" w:type="dxa"/>
            </w:tcMar>
            <w:vAlign w:val="bottom"/>
            <w:hideMark/>
          </w:tcPr>
          <w:p w14:paraId="238F4EA8" w14:textId="77777777" w:rsidR="00043C12" w:rsidRPr="00790AF3" w:rsidRDefault="00043C12" w:rsidP="007C692E">
            <w:pPr>
              <w:contextualSpacing/>
              <w:rPr>
                <w:lang w:val="en-GB" w:eastAsia="en-GB"/>
              </w:rPr>
            </w:pPr>
          </w:p>
        </w:tc>
      </w:tr>
      <w:tr w:rsidR="00043C12" w:rsidRPr="00790AF3" w14:paraId="37B59A0E" w14:textId="77777777" w:rsidTr="004502B4">
        <w:trPr>
          <w:trHeight w:val="288"/>
        </w:trPr>
        <w:tc>
          <w:tcPr>
            <w:tcW w:w="3065" w:type="pct"/>
            <w:gridSpan w:val="5"/>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3ACAED7" w14:textId="77777777" w:rsidR="00043C12" w:rsidRPr="00790AF3" w:rsidRDefault="00043C12" w:rsidP="007C692E">
            <w:pPr>
              <w:contextualSpacing/>
              <w:rPr>
                <w:rFonts w:eastAsiaTheme="minorHAnsi"/>
                <w:b/>
              </w:rPr>
            </w:pPr>
            <w:r>
              <w:rPr>
                <w:b/>
              </w:rPr>
              <w:t>Programmas piešķīrums – Norvēģijas piešķīrumi (€)</w:t>
            </w:r>
          </w:p>
        </w:tc>
        <w:tc>
          <w:tcPr>
            <w:tcW w:w="983" w:type="pct"/>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2BC1539" w14:textId="77777777" w:rsidR="00043C12" w:rsidRPr="00790AF3" w:rsidRDefault="00043C12" w:rsidP="007C692E">
            <w:pPr>
              <w:contextualSpacing/>
              <w:jc w:val="right"/>
            </w:pPr>
            <w:r>
              <w:t>6 000 000 €</w:t>
            </w:r>
          </w:p>
        </w:tc>
        <w:tc>
          <w:tcPr>
            <w:tcW w:w="130" w:type="pct"/>
            <w:noWrap/>
            <w:tcMar>
              <w:top w:w="0" w:type="dxa"/>
              <w:left w:w="108" w:type="dxa"/>
              <w:bottom w:w="0" w:type="dxa"/>
              <w:right w:w="108" w:type="dxa"/>
            </w:tcMar>
            <w:vAlign w:val="bottom"/>
            <w:hideMark/>
          </w:tcPr>
          <w:p w14:paraId="5486D823" w14:textId="77777777" w:rsidR="00043C12" w:rsidRPr="00790AF3" w:rsidRDefault="00043C12" w:rsidP="007C692E">
            <w:pPr>
              <w:contextualSpacing/>
              <w:rPr>
                <w:lang w:val="en-GB" w:eastAsia="en-GB"/>
              </w:rPr>
            </w:pPr>
          </w:p>
        </w:tc>
        <w:tc>
          <w:tcPr>
            <w:tcW w:w="822" w:type="pct"/>
            <w:gridSpan w:val="2"/>
            <w:noWrap/>
            <w:tcMar>
              <w:top w:w="0" w:type="dxa"/>
              <w:left w:w="108" w:type="dxa"/>
              <w:bottom w:w="0" w:type="dxa"/>
              <w:right w:w="108" w:type="dxa"/>
            </w:tcMar>
            <w:vAlign w:val="bottom"/>
            <w:hideMark/>
          </w:tcPr>
          <w:p w14:paraId="541EABE7" w14:textId="77777777" w:rsidR="00043C12" w:rsidRPr="00790AF3" w:rsidRDefault="00043C12" w:rsidP="007C692E">
            <w:pPr>
              <w:contextualSpacing/>
              <w:rPr>
                <w:lang w:val="en-GB" w:eastAsia="en-GB"/>
              </w:rPr>
            </w:pPr>
          </w:p>
        </w:tc>
      </w:tr>
      <w:tr w:rsidR="00043C12" w:rsidRPr="00790AF3" w14:paraId="45DEA368" w14:textId="77777777" w:rsidTr="004502B4">
        <w:trPr>
          <w:gridAfter w:val="1"/>
          <w:wAfter w:w="172" w:type="pct"/>
          <w:trHeight w:val="288"/>
        </w:trPr>
        <w:tc>
          <w:tcPr>
            <w:tcW w:w="299" w:type="pct"/>
            <w:noWrap/>
            <w:tcMar>
              <w:top w:w="0" w:type="dxa"/>
              <w:left w:w="108" w:type="dxa"/>
              <w:bottom w:w="0" w:type="dxa"/>
              <w:right w:w="108" w:type="dxa"/>
            </w:tcMar>
            <w:vAlign w:val="bottom"/>
            <w:hideMark/>
          </w:tcPr>
          <w:p w14:paraId="4CE3DC75" w14:textId="77777777" w:rsidR="00043C12" w:rsidRPr="00790AF3" w:rsidRDefault="00043C12" w:rsidP="007C692E">
            <w:pPr>
              <w:contextualSpacing/>
              <w:rPr>
                <w:lang w:val="en-GB" w:eastAsia="en-GB"/>
              </w:rPr>
            </w:pPr>
          </w:p>
        </w:tc>
        <w:tc>
          <w:tcPr>
            <w:tcW w:w="852" w:type="pct"/>
            <w:noWrap/>
            <w:tcMar>
              <w:top w:w="0" w:type="dxa"/>
              <w:left w:w="108" w:type="dxa"/>
              <w:bottom w:w="0" w:type="dxa"/>
              <w:right w:w="108" w:type="dxa"/>
            </w:tcMar>
            <w:vAlign w:val="bottom"/>
            <w:hideMark/>
          </w:tcPr>
          <w:p w14:paraId="5C8D5862" w14:textId="77777777" w:rsidR="00043C12" w:rsidRPr="00790AF3" w:rsidRDefault="00043C12" w:rsidP="007C692E">
            <w:pPr>
              <w:contextualSpacing/>
              <w:rPr>
                <w:lang w:val="en-GB" w:eastAsia="en-GB"/>
              </w:rPr>
            </w:pPr>
          </w:p>
        </w:tc>
        <w:tc>
          <w:tcPr>
            <w:tcW w:w="656" w:type="pct"/>
            <w:noWrap/>
            <w:tcMar>
              <w:top w:w="0" w:type="dxa"/>
              <w:left w:w="108" w:type="dxa"/>
              <w:bottom w:w="0" w:type="dxa"/>
              <w:right w:w="108" w:type="dxa"/>
            </w:tcMar>
            <w:vAlign w:val="bottom"/>
            <w:hideMark/>
          </w:tcPr>
          <w:p w14:paraId="35848650" w14:textId="77777777" w:rsidR="00043C12" w:rsidRPr="00790AF3" w:rsidRDefault="00043C12" w:rsidP="007C692E">
            <w:pPr>
              <w:contextualSpacing/>
              <w:rPr>
                <w:lang w:val="en-GB" w:eastAsia="en-GB"/>
              </w:rPr>
            </w:pPr>
          </w:p>
        </w:tc>
        <w:tc>
          <w:tcPr>
            <w:tcW w:w="731" w:type="pct"/>
            <w:noWrap/>
            <w:tcMar>
              <w:top w:w="0" w:type="dxa"/>
              <w:left w:w="108" w:type="dxa"/>
              <w:bottom w:w="0" w:type="dxa"/>
              <w:right w:w="108" w:type="dxa"/>
            </w:tcMar>
            <w:vAlign w:val="bottom"/>
            <w:hideMark/>
          </w:tcPr>
          <w:p w14:paraId="38217551" w14:textId="77777777" w:rsidR="00043C12" w:rsidRPr="00790AF3" w:rsidRDefault="00043C12" w:rsidP="007C692E">
            <w:pPr>
              <w:contextualSpacing/>
              <w:rPr>
                <w:lang w:val="en-GB" w:eastAsia="en-GB"/>
              </w:rPr>
            </w:pPr>
          </w:p>
        </w:tc>
        <w:tc>
          <w:tcPr>
            <w:tcW w:w="753" w:type="pct"/>
            <w:gridSpan w:val="2"/>
            <w:noWrap/>
            <w:tcMar>
              <w:top w:w="0" w:type="dxa"/>
              <w:left w:w="108" w:type="dxa"/>
              <w:bottom w:w="0" w:type="dxa"/>
              <w:right w:w="108" w:type="dxa"/>
            </w:tcMar>
            <w:vAlign w:val="bottom"/>
            <w:hideMark/>
          </w:tcPr>
          <w:p w14:paraId="769E7E7D" w14:textId="77777777" w:rsidR="00043C12" w:rsidRPr="00790AF3" w:rsidRDefault="00043C12" w:rsidP="007C692E">
            <w:pPr>
              <w:contextualSpacing/>
              <w:rPr>
                <w:lang w:val="en-GB" w:eastAsia="en-GB"/>
              </w:rPr>
            </w:pPr>
          </w:p>
        </w:tc>
        <w:tc>
          <w:tcPr>
            <w:tcW w:w="758" w:type="pct"/>
            <w:noWrap/>
            <w:tcMar>
              <w:top w:w="0" w:type="dxa"/>
              <w:left w:w="108" w:type="dxa"/>
              <w:bottom w:w="0" w:type="dxa"/>
              <w:right w:w="108" w:type="dxa"/>
            </w:tcMar>
            <w:vAlign w:val="bottom"/>
            <w:hideMark/>
          </w:tcPr>
          <w:p w14:paraId="396767FD" w14:textId="77777777" w:rsidR="00043C12" w:rsidRPr="00790AF3" w:rsidRDefault="00043C12" w:rsidP="007C692E">
            <w:pPr>
              <w:contextualSpacing/>
              <w:rPr>
                <w:lang w:val="en-GB" w:eastAsia="en-GB"/>
              </w:rPr>
            </w:pPr>
          </w:p>
        </w:tc>
        <w:tc>
          <w:tcPr>
            <w:tcW w:w="780" w:type="pct"/>
            <w:gridSpan w:val="2"/>
            <w:noWrap/>
            <w:tcMar>
              <w:top w:w="0" w:type="dxa"/>
              <w:left w:w="108" w:type="dxa"/>
              <w:bottom w:w="0" w:type="dxa"/>
              <w:right w:w="108" w:type="dxa"/>
            </w:tcMar>
            <w:vAlign w:val="bottom"/>
            <w:hideMark/>
          </w:tcPr>
          <w:p w14:paraId="4F0D2203" w14:textId="77777777" w:rsidR="00043C12" w:rsidRPr="00790AF3" w:rsidRDefault="00043C12" w:rsidP="007C692E">
            <w:pPr>
              <w:contextualSpacing/>
              <w:rPr>
                <w:lang w:val="en-GB" w:eastAsia="en-GB"/>
              </w:rPr>
            </w:pPr>
          </w:p>
        </w:tc>
      </w:tr>
      <w:tr w:rsidR="00043C12" w:rsidRPr="00790AF3" w14:paraId="1D9A5F9C" w14:textId="77777777" w:rsidTr="004502B4">
        <w:trPr>
          <w:gridAfter w:val="1"/>
          <w:wAfter w:w="172" w:type="pct"/>
          <w:trHeight w:val="288"/>
        </w:trPr>
        <w:tc>
          <w:tcPr>
            <w:tcW w:w="299" w:type="pct"/>
            <w:noWrap/>
            <w:tcMar>
              <w:top w:w="0" w:type="dxa"/>
              <w:left w:w="108" w:type="dxa"/>
              <w:bottom w:w="0" w:type="dxa"/>
              <w:right w:w="108" w:type="dxa"/>
            </w:tcMar>
            <w:vAlign w:val="bottom"/>
            <w:hideMark/>
          </w:tcPr>
          <w:p w14:paraId="092FB037" w14:textId="77777777" w:rsidR="00043C12" w:rsidRPr="00790AF3" w:rsidRDefault="00043C12" w:rsidP="007C692E">
            <w:pPr>
              <w:contextualSpacing/>
              <w:rPr>
                <w:lang w:val="en-GB" w:eastAsia="en-GB"/>
              </w:rPr>
            </w:pPr>
          </w:p>
        </w:tc>
        <w:tc>
          <w:tcPr>
            <w:tcW w:w="852" w:type="pct"/>
            <w:noWrap/>
            <w:tcMar>
              <w:top w:w="0" w:type="dxa"/>
              <w:left w:w="108" w:type="dxa"/>
              <w:bottom w:w="0" w:type="dxa"/>
              <w:right w:w="108" w:type="dxa"/>
            </w:tcMar>
            <w:vAlign w:val="bottom"/>
            <w:hideMark/>
          </w:tcPr>
          <w:p w14:paraId="0587E2E2" w14:textId="77777777" w:rsidR="00043C12" w:rsidRPr="00790AF3" w:rsidRDefault="00043C12" w:rsidP="007C692E">
            <w:pPr>
              <w:contextualSpacing/>
              <w:rPr>
                <w:lang w:val="en-GB" w:eastAsia="en-GB"/>
              </w:rPr>
            </w:pPr>
          </w:p>
        </w:tc>
        <w:tc>
          <w:tcPr>
            <w:tcW w:w="656" w:type="pct"/>
            <w:noWrap/>
            <w:tcMar>
              <w:top w:w="0" w:type="dxa"/>
              <w:left w:w="108" w:type="dxa"/>
              <w:bottom w:w="0" w:type="dxa"/>
              <w:right w:w="108" w:type="dxa"/>
            </w:tcMar>
            <w:vAlign w:val="bottom"/>
            <w:hideMark/>
          </w:tcPr>
          <w:p w14:paraId="4917B4B8" w14:textId="77777777" w:rsidR="00043C12" w:rsidRPr="00790AF3" w:rsidRDefault="00043C12" w:rsidP="007C692E">
            <w:pPr>
              <w:contextualSpacing/>
              <w:rPr>
                <w:lang w:val="en-GB" w:eastAsia="en-GB"/>
              </w:rPr>
            </w:pPr>
          </w:p>
        </w:tc>
        <w:tc>
          <w:tcPr>
            <w:tcW w:w="731" w:type="pct"/>
            <w:noWrap/>
            <w:tcMar>
              <w:top w:w="0" w:type="dxa"/>
              <w:left w:w="108" w:type="dxa"/>
              <w:bottom w:w="0" w:type="dxa"/>
              <w:right w:w="108" w:type="dxa"/>
            </w:tcMar>
            <w:vAlign w:val="bottom"/>
            <w:hideMark/>
          </w:tcPr>
          <w:p w14:paraId="2D7CCEA9" w14:textId="77777777" w:rsidR="00043C12" w:rsidRPr="00790AF3" w:rsidRDefault="00043C12" w:rsidP="007C692E">
            <w:pPr>
              <w:contextualSpacing/>
              <w:rPr>
                <w:lang w:val="en-GB" w:eastAsia="en-GB"/>
              </w:rPr>
            </w:pPr>
          </w:p>
        </w:tc>
        <w:tc>
          <w:tcPr>
            <w:tcW w:w="753" w:type="pct"/>
            <w:gridSpan w:val="2"/>
            <w:noWrap/>
            <w:tcMar>
              <w:top w:w="0" w:type="dxa"/>
              <w:left w:w="108" w:type="dxa"/>
              <w:bottom w:w="0" w:type="dxa"/>
              <w:right w:w="108" w:type="dxa"/>
            </w:tcMar>
            <w:vAlign w:val="bottom"/>
            <w:hideMark/>
          </w:tcPr>
          <w:p w14:paraId="2810FEBD" w14:textId="77777777" w:rsidR="00043C12" w:rsidRPr="00790AF3" w:rsidRDefault="00043C12" w:rsidP="007C692E">
            <w:pPr>
              <w:contextualSpacing/>
              <w:rPr>
                <w:lang w:val="en-GB" w:eastAsia="en-GB"/>
              </w:rPr>
            </w:pPr>
          </w:p>
        </w:tc>
        <w:tc>
          <w:tcPr>
            <w:tcW w:w="758" w:type="pct"/>
            <w:noWrap/>
            <w:tcMar>
              <w:top w:w="0" w:type="dxa"/>
              <w:left w:w="108" w:type="dxa"/>
              <w:bottom w:w="0" w:type="dxa"/>
              <w:right w:w="108" w:type="dxa"/>
            </w:tcMar>
            <w:vAlign w:val="bottom"/>
            <w:hideMark/>
          </w:tcPr>
          <w:p w14:paraId="2F096E3B" w14:textId="77777777" w:rsidR="00043C12" w:rsidRPr="00790AF3" w:rsidRDefault="00043C12" w:rsidP="007C692E">
            <w:pPr>
              <w:contextualSpacing/>
              <w:rPr>
                <w:lang w:val="en-GB" w:eastAsia="en-GB"/>
              </w:rPr>
            </w:pPr>
          </w:p>
        </w:tc>
        <w:tc>
          <w:tcPr>
            <w:tcW w:w="780" w:type="pct"/>
            <w:gridSpan w:val="2"/>
            <w:noWrap/>
            <w:tcMar>
              <w:top w:w="0" w:type="dxa"/>
              <w:left w:w="108" w:type="dxa"/>
              <w:bottom w:w="0" w:type="dxa"/>
              <w:right w:w="108" w:type="dxa"/>
            </w:tcMar>
            <w:vAlign w:val="bottom"/>
            <w:hideMark/>
          </w:tcPr>
          <w:p w14:paraId="17D6918C" w14:textId="77777777" w:rsidR="00043C12" w:rsidRPr="00790AF3" w:rsidRDefault="00043C12" w:rsidP="007C692E">
            <w:pPr>
              <w:contextualSpacing/>
              <w:rPr>
                <w:lang w:val="en-GB" w:eastAsia="en-GB"/>
              </w:rPr>
            </w:pPr>
          </w:p>
        </w:tc>
      </w:tr>
      <w:tr w:rsidR="00043C12" w:rsidRPr="004502B4" w14:paraId="60C3EFFC" w14:textId="77777777" w:rsidTr="004502B4">
        <w:trPr>
          <w:gridAfter w:val="1"/>
          <w:wAfter w:w="172" w:type="pct"/>
          <w:trHeight w:val="552"/>
        </w:trPr>
        <w:tc>
          <w:tcPr>
            <w:tcW w:w="29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6529C8B" w14:textId="77777777" w:rsidR="00043C12" w:rsidRPr="004502B4" w:rsidRDefault="00043C12" w:rsidP="007C692E">
            <w:pPr>
              <w:contextualSpacing/>
              <w:jc w:val="both"/>
              <w:rPr>
                <w:rFonts w:eastAsiaTheme="minorHAnsi"/>
                <w:b/>
                <w:sz w:val="20"/>
                <w:szCs w:val="20"/>
              </w:rPr>
            </w:pPr>
            <w:r w:rsidRPr="004502B4">
              <w:rPr>
                <w:b/>
                <w:sz w:val="20"/>
                <w:szCs w:val="20"/>
              </w:rPr>
              <w:t> </w:t>
            </w:r>
          </w:p>
        </w:tc>
        <w:tc>
          <w:tcPr>
            <w:tcW w:w="85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A4C552A" w14:textId="77777777" w:rsidR="00043C12" w:rsidRPr="004502B4" w:rsidRDefault="00043C12" w:rsidP="007C692E">
            <w:pPr>
              <w:contextualSpacing/>
              <w:jc w:val="center"/>
              <w:rPr>
                <w:b/>
                <w:sz w:val="20"/>
                <w:szCs w:val="20"/>
              </w:rPr>
            </w:pPr>
            <w:r w:rsidRPr="004502B4">
              <w:rPr>
                <w:b/>
                <w:sz w:val="20"/>
                <w:szCs w:val="20"/>
              </w:rPr>
              <w:t>Budžeta pozīcija</w:t>
            </w:r>
          </w:p>
        </w:tc>
        <w:tc>
          <w:tcPr>
            <w:tcW w:w="65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D6C0FD7" w14:textId="77777777" w:rsidR="00043C12" w:rsidRPr="004502B4" w:rsidRDefault="00043C12" w:rsidP="007C692E">
            <w:pPr>
              <w:contextualSpacing/>
              <w:jc w:val="center"/>
              <w:rPr>
                <w:b/>
                <w:sz w:val="20"/>
                <w:szCs w:val="20"/>
              </w:rPr>
            </w:pPr>
            <w:r w:rsidRPr="004502B4">
              <w:rPr>
                <w:b/>
                <w:sz w:val="20"/>
                <w:szCs w:val="20"/>
              </w:rPr>
              <w:t>EEZ piešķīrumi,</w:t>
            </w:r>
            <w:r w:rsidRPr="004502B4">
              <w:rPr>
                <w:sz w:val="20"/>
                <w:szCs w:val="20"/>
              </w:rPr>
              <w:t xml:space="preserve"> €</w:t>
            </w:r>
          </w:p>
        </w:tc>
        <w:tc>
          <w:tcPr>
            <w:tcW w:w="73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5A86DF2" w14:textId="77777777" w:rsidR="00043C12" w:rsidRPr="004502B4" w:rsidRDefault="00043C12" w:rsidP="007C692E">
            <w:pPr>
              <w:contextualSpacing/>
              <w:jc w:val="center"/>
              <w:rPr>
                <w:b/>
                <w:sz w:val="20"/>
                <w:szCs w:val="20"/>
              </w:rPr>
            </w:pPr>
            <w:r w:rsidRPr="004502B4">
              <w:rPr>
                <w:b/>
                <w:sz w:val="20"/>
                <w:szCs w:val="20"/>
              </w:rPr>
              <w:t xml:space="preserve">Norvēģijas piešķīrumi, </w:t>
            </w:r>
            <w:r w:rsidRPr="004502B4">
              <w:rPr>
                <w:sz w:val="20"/>
                <w:szCs w:val="20"/>
              </w:rPr>
              <w:t>€</w:t>
            </w:r>
          </w:p>
        </w:tc>
        <w:tc>
          <w:tcPr>
            <w:tcW w:w="753"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98E914A" w14:textId="77777777" w:rsidR="00043C12" w:rsidRPr="004502B4" w:rsidRDefault="00043C12" w:rsidP="007C692E">
            <w:pPr>
              <w:contextualSpacing/>
              <w:jc w:val="center"/>
              <w:rPr>
                <w:b/>
                <w:sz w:val="20"/>
                <w:szCs w:val="20"/>
              </w:rPr>
            </w:pPr>
            <w:r w:rsidRPr="004502B4">
              <w:rPr>
                <w:b/>
                <w:sz w:val="20"/>
                <w:szCs w:val="20"/>
              </w:rPr>
              <w:t xml:space="preserve">Kopējais piešķīrums, </w:t>
            </w:r>
            <w:r w:rsidRPr="004502B4">
              <w:rPr>
                <w:sz w:val="20"/>
                <w:szCs w:val="20"/>
              </w:rPr>
              <w:t>€</w:t>
            </w:r>
          </w:p>
        </w:tc>
        <w:tc>
          <w:tcPr>
            <w:tcW w:w="75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D689C72" w14:textId="77777777" w:rsidR="00043C12" w:rsidRPr="004502B4" w:rsidRDefault="00043C12" w:rsidP="007C692E">
            <w:pPr>
              <w:contextualSpacing/>
              <w:jc w:val="center"/>
              <w:rPr>
                <w:b/>
                <w:sz w:val="20"/>
                <w:szCs w:val="20"/>
              </w:rPr>
            </w:pPr>
            <w:r w:rsidRPr="004502B4">
              <w:rPr>
                <w:b/>
                <w:sz w:val="20"/>
                <w:szCs w:val="20"/>
              </w:rPr>
              <w:t>Programmas piešķīruma daļa, %</w:t>
            </w:r>
          </w:p>
        </w:tc>
        <w:tc>
          <w:tcPr>
            <w:tcW w:w="780" w:type="pct"/>
            <w:gridSpan w:val="2"/>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1146B615" w14:textId="77777777" w:rsidR="00043C12" w:rsidRPr="004502B4" w:rsidRDefault="00043C12" w:rsidP="007C692E">
            <w:pPr>
              <w:contextualSpacing/>
              <w:jc w:val="center"/>
              <w:rPr>
                <w:b/>
                <w:sz w:val="20"/>
                <w:szCs w:val="20"/>
              </w:rPr>
            </w:pPr>
            <w:r w:rsidRPr="004502B4">
              <w:rPr>
                <w:b/>
                <w:sz w:val="20"/>
                <w:szCs w:val="20"/>
              </w:rPr>
              <w:t xml:space="preserve">Attiecināmie programmas izdevumi, </w:t>
            </w:r>
            <w:r w:rsidRPr="004502B4">
              <w:rPr>
                <w:sz w:val="20"/>
                <w:szCs w:val="20"/>
              </w:rPr>
              <w:t>€</w:t>
            </w:r>
          </w:p>
        </w:tc>
      </w:tr>
      <w:tr w:rsidR="00043C12" w:rsidRPr="004502B4" w14:paraId="4B528521" w14:textId="77777777" w:rsidTr="004502B4">
        <w:trPr>
          <w:gridAfter w:val="1"/>
          <w:wAfter w:w="172" w:type="pct"/>
          <w:trHeight w:val="288"/>
        </w:trPr>
        <w:tc>
          <w:tcPr>
            <w:tcW w:w="29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7DA84C4" w14:textId="77777777" w:rsidR="00043C12" w:rsidRPr="004502B4" w:rsidRDefault="00043C12" w:rsidP="007C692E">
            <w:pPr>
              <w:contextualSpacing/>
              <w:jc w:val="both"/>
              <w:rPr>
                <w:sz w:val="20"/>
                <w:szCs w:val="20"/>
              </w:rPr>
            </w:pPr>
            <w:r w:rsidRPr="004502B4">
              <w:rPr>
                <w:sz w:val="20"/>
                <w:szCs w:val="20"/>
              </w:rPr>
              <w:t>PV</w:t>
            </w:r>
          </w:p>
        </w:tc>
        <w:tc>
          <w:tcPr>
            <w:tcW w:w="8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243475" w14:textId="77777777" w:rsidR="00043C12" w:rsidRPr="004502B4" w:rsidRDefault="00043C12" w:rsidP="007C692E">
            <w:pPr>
              <w:contextualSpacing/>
              <w:jc w:val="both"/>
              <w:rPr>
                <w:sz w:val="20"/>
                <w:szCs w:val="20"/>
              </w:rPr>
            </w:pPr>
            <w:r w:rsidRPr="004502B4">
              <w:rPr>
                <w:sz w:val="20"/>
                <w:szCs w:val="20"/>
              </w:rPr>
              <w:t>Programmas administrēšanas izmaksas</w:t>
            </w:r>
          </w:p>
        </w:tc>
        <w:tc>
          <w:tcPr>
            <w:tcW w:w="656" w:type="pct"/>
            <w:tcBorders>
              <w:top w:val="nil"/>
              <w:left w:val="nil"/>
              <w:bottom w:val="single" w:sz="8" w:space="0" w:color="auto"/>
              <w:right w:val="single" w:sz="8" w:space="0" w:color="auto"/>
            </w:tcBorders>
            <w:shd w:val="clear" w:color="auto" w:fill="DBE5F1" w:themeFill="accent1" w:themeFillTint="33"/>
            <w:tcMar>
              <w:top w:w="0" w:type="dxa"/>
              <w:left w:w="108" w:type="dxa"/>
              <w:bottom w:w="0" w:type="dxa"/>
              <w:right w:w="108" w:type="dxa"/>
            </w:tcMar>
            <w:vAlign w:val="center"/>
            <w:hideMark/>
          </w:tcPr>
          <w:p w14:paraId="08FD63DE" w14:textId="77777777" w:rsidR="00043C12" w:rsidRPr="004502B4" w:rsidRDefault="00043C12" w:rsidP="007C692E">
            <w:pPr>
              <w:contextualSpacing/>
              <w:jc w:val="center"/>
              <w:rPr>
                <w:sz w:val="20"/>
                <w:szCs w:val="20"/>
              </w:rPr>
            </w:pPr>
            <w:r w:rsidRPr="004502B4">
              <w:rPr>
                <w:sz w:val="20"/>
                <w:szCs w:val="20"/>
              </w:rPr>
              <w:t xml:space="preserve">744 483 </w:t>
            </w:r>
          </w:p>
        </w:tc>
        <w:tc>
          <w:tcPr>
            <w:tcW w:w="731" w:type="pct"/>
            <w:tcBorders>
              <w:top w:val="nil"/>
              <w:left w:val="nil"/>
              <w:bottom w:val="single" w:sz="8" w:space="0" w:color="auto"/>
              <w:right w:val="single" w:sz="8" w:space="0" w:color="auto"/>
            </w:tcBorders>
            <w:shd w:val="clear" w:color="auto" w:fill="DBE5F1" w:themeFill="accent1" w:themeFillTint="33"/>
            <w:tcMar>
              <w:top w:w="0" w:type="dxa"/>
              <w:left w:w="108" w:type="dxa"/>
              <w:bottom w:w="0" w:type="dxa"/>
              <w:right w:w="108" w:type="dxa"/>
            </w:tcMar>
            <w:vAlign w:val="center"/>
          </w:tcPr>
          <w:p w14:paraId="7BECFCC2" w14:textId="77777777" w:rsidR="00043C12" w:rsidRPr="004502B4" w:rsidRDefault="00043C12" w:rsidP="007C692E">
            <w:pPr>
              <w:contextualSpacing/>
              <w:jc w:val="center"/>
              <w:rPr>
                <w:sz w:val="20"/>
                <w:szCs w:val="20"/>
              </w:rPr>
            </w:pPr>
            <w:r w:rsidRPr="004502B4">
              <w:rPr>
                <w:sz w:val="20"/>
                <w:szCs w:val="20"/>
              </w:rPr>
              <w:t>525 518</w:t>
            </w:r>
          </w:p>
        </w:tc>
        <w:tc>
          <w:tcPr>
            <w:tcW w:w="753"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DA998C2" w14:textId="77777777" w:rsidR="00043C12" w:rsidRPr="004502B4" w:rsidRDefault="00043C12" w:rsidP="007C692E">
            <w:pPr>
              <w:contextualSpacing/>
              <w:jc w:val="center"/>
              <w:rPr>
                <w:sz w:val="20"/>
                <w:szCs w:val="20"/>
              </w:rPr>
            </w:pPr>
            <w:r w:rsidRPr="004502B4">
              <w:rPr>
                <w:sz w:val="20"/>
                <w:szCs w:val="20"/>
              </w:rPr>
              <w:t xml:space="preserve">1 270 000 </w:t>
            </w:r>
          </w:p>
        </w:tc>
        <w:tc>
          <w:tcPr>
            <w:tcW w:w="758" w:type="pct"/>
            <w:tcBorders>
              <w:top w:val="nil"/>
              <w:left w:val="nil"/>
              <w:bottom w:val="single" w:sz="8" w:space="0" w:color="auto"/>
              <w:right w:val="single" w:sz="8" w:space="0" w:color="auto"/>
            </w:tcBorders>
            <w:shd w:val="clear" w:color="auto" w:fill="DBE5F1" w:themeFill="accent1" w:themeFillTint="33"/>
            <w:tcMar>
              <w:top w:w="0" w:type="dxa"/>
              <w:left w:w="108" w:type="dxa"/>
              <w:bottom w:w="0" w:type="dxa"/>
              <w:right w:w="108" w:type="dxa"/>
            </w:tcMar>
            <w:vAlign w:val="center"/>
          </w:tcPr>
          <w:p w14:paraId="7E563519" w14:textId="77777777" w:rsidR="00043C12" w:rsidRPr="004502B4" w:rsidRDefault="00043C12" w:rsidP="007C692E">
            <w:pPr>
              <w:contextualSpacing/>
              <w:jc w:val="center"/>
              <w:rPr>
                <w:sz w:val="20"/>
                <w:szCs w:val="20"/>
              </w:rPr>
            </w:pPr>
            <w:r w:rsidRPr="004502B4">
              <w:rPr>
                <w:sz w:val="20"/>
                <w:szCs w:val="20"/>
              </w:rPr>
              <w:t>85</w:t>
            </w:r>
          </w:p>
        </w:tc>
        <w:tc>
          <w:tcPr>
            <w:tcW w:w="780"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C3FEC21" w14:textId="77777777" w:rsidR="00043C12" w:rsidRPr="004502B4" w:rsidRDefault="00043C12" w:rsidP="007C692E">
            <w:pPr>
              <w:contextualSpacing/>
              <w:jc w:val="center"/>
              <w:rPr>
                <w:sz w:val="20"/>
                <w:szCs w:val="20"/>
                <w:lang w:val="en-GB"/>
              </w:rPr>
            </w:pPr>
            <w:r w:rsidRPr="004502B4">
              <w:rPr>
                <w:sz w:val="20"/>
                <w:szCs w:val="20"/>
              </w:rPr>
              <w:t>1 494 118</w:t>
            </w:r>
          </w:p>
        </w:tc>
      </w:tr>
      <w:tr w:rsidR="00043C12" w:rsidRPr="004502B4" w14:paraId="6730C007" w14:textId="77777777" w:rsidTr="004502B4">
        <w:trPr>
          <w:gridAfter w:val="1"/>
          <w:wAfter w:w="172" w:type="pct"/>
          <w:trHeight w:val="288"/>
        </w:trPr>
        <w:tc>
          <w:tcPr>
            <w:tcW w:w="29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7CA2658" w14:textId="77777777" w:rsidR="00043C12" w:rsidRPr="004502B4" w:rsidRDefault="00043C12" w:rsidP="007C692E">
            <w:pPr>
              <w:contextualSpacing/>
              <w:jc w:val="both"/>
              <w:rPr>
                <w:sz w:val="20"/>
                <w:szCs w:val="20"/>
              </w:rPr>
            </w:pPr>
            <w:r w:rsidRPr="004502B4">
              <w:rPr>
                <w:sz w:val="20"/>
                <w:szCs w:val="20"/>
              </w:rPr>
              <w:t>PJ2</w:t>
            </w:r>
          </w:p>
        </w:tc>
        <w:tc>
          <w:tcPr>
            <w:tcW w:w="8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2DD243" w14:textId="77777777" w:rsidR="00043C12" w:rsidRPr="004502B4" w:rsidRDefault="00043C12" w:rsidP="007C692E">
            <w:pPr>
              <w:contextualSpacing/>
              <w:jc w:val="both"/>
              <w:rPr>
                <w:sz w:val="20"/>
                <w:szCs w:val="20"/>
              </w:rPr>
            </w:pPr>
            <w:r w:rsidRPr="004502B4">
              <w:rPr>
                <w:sz w:val="20"/>
                <w:szCs w:val="20"/>
              </w:rPr>
              <w:t>1. rezultāts</w:t>
            </w:r>
          </w:p>
        </w:tc>
        <w:tc>
          <w:tcPr>
            <w:tcW w:w="656" w:type="pct"/>
            <w:tcBorders>
              <w:top w:val="nil"/>
              <w:left w:val="nil"/>
              <w:bottom w:val="single" w:sz="8" w:space="0" w:color="auto"/>
              <w:right w:val="single" w:sz="8" w:space="0" w:color="auto"/>
            </w:tcBorders>
            <w:shd w:val="clear" w:color="auto" w:fill="DBE5F1" w:themeFill="accent1" w:themeFillTint="33"/>
            <w:tcMar>
              <w:top w:w="0" w:type="dxa"/>
              <w:left w:w="108" w:type="dxa"/>
              <w:bottom w:w="0" w:type="dxa"/>
              <w:right w:w="108" w:type="dxa"/>
            </w:tcMar>
            <w:vAlign w:val="center"/>
            <w:hideMark/>
          </w:tcPr>
          <w:p w14:paraId="35E83B71" w14:textId="77777777" w:rsidR="00043C12" w:rsidRPr="004502B4" w:rsidRDefault="00043C12" w:rsidP="007C692E">
            <w:pPr>
              <w:contextualSpacing/>
              <w:jc w:val="center"/>
              <w:rPr>
                <w:sz w:val="20"/>
                <w:szCs w:val="20"/>
              </w:rPr>
            </w:pPr>
            <w:r w:rsidRPr="004502B4">
              <w:rPr>
                <w:sz w:val="20"/>
                <w:szCs w:val="20"/>
              </w:rPr>
              <w:t xml:space="preserve">6 410 081 </w:t>
            </w:r>
          </w:p>
        </w:tc>
        <w:tc>
          <w:tcPr>
            <w:tcW w:w="731" w:type="pct"/>
            <w:tcBorders>
              <w:top w:val="nil"/>
              <w:left w:val="nil"/>
              <w:bottom w:val="single" w:sz="8" w:space="0" w:color="auto"/>
              <w:right w:val="single" w:sz="8" w:space="0" w:color="auto"/>
            </w:tcBorders>
            <w:shd w:val="clear" w:color="auto" w:fill="DBE5F1" w:themeFill="accent1" w:themeFillTint="33"/>
            <w:tcMar>
              <w:top w:w="0" w:type="dxa"/>
              <w:left w:w="108" w:type="dxa"/>
              <w:bottom w:w="0" w:type="dxa"/>
              <w:right w:w="108" w:type="dxa"/>
            </w:tcMar>
            <w:vAlign w:val="center"/>
          </w:tcPr>
          <w:p w14:paraId="293D357E" w14:textId="77777777" w:rsidR="00043C12" w:rsidRPr="004502B4" w:rsidRDefault="00043C12" w:rsidP="007C692E">
            <w:pPr>
              <w:contextualSpacing/>
              <w:jc w:val="center"/>
              <w:rPr>
                <w:sz w:val="20"/>
                <w:szCs w:val="20"/>
              </w:rPr>
            </w:pPr>
            <w:r w:rsidRPr="004502B4">
              <w:rPr>
                <w:sz w:val="20"/>
                <w:szCs w:val="20"/>
              </w:rPr>
              <w:t xml:space="preserve">0 </w:t>
            </w:r>
          </w:p>
        </w:tc>
        <w:tc>
          <w:tcPr>
            <w:tcW w:w="753"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2C39FBA4" w14:textId="77777777" w:rsidR="00043C12" w:rsidRPr="004502B4" w:rsidRDefault="00043C12" w:rsidP="007C692E">
            <w:pPr>
              <w:contextualSpacing/>
              <w:jc w:val="center"/>
              <w:rPr>
                <w:sz w:val="20"/>
                <w:szCs w:val="20"/>
              </w:rPr>
            </w:pPr>
            <w:r w:rsidRPr="004502B4">
              <w:rPr>
                <w:sz w:val="20"/>
                <w:szCs w:val="20"/>
              </w:rPr>
              <w:t xml:space="preserve">6 410 081 </w:t>
            </w:r>
          </w:p>
        </w:tc>
        <w:tc>
          <w:tcPr>
            <w:tcW w:w="758" w:type="pct"/>
            <w:tcBorders>
              <w:top w:val="nil"/>
              <w:left w:val="nil"/>
              <w:bottom w:val="single" w:sz="8" w:space="0" w:color="auto"/>
              <w:right w:val="single" w:sz="8" w:space="0" w:color="auto"/>
            </w:tcBorders>
            <w:shd w:val="clear" w:color="auto" w:fill="DBE5F1" w:themeFill="accent1" w:themeFillTint="33"/>
            <w:tcMar>
              <w:top w:w="0" w:type="dxa"/>
              <w:left w:w="108" w:type="dxa"/>
              <w:bottom w:w="0" w:type="dxa"/>
              <w:right w:w="108" w:type="dxa"/>
            </w:tcMar>
            <w:vAlign w:val="center"/>
          </w:tcPr>
          <w:p w14:paraId="47778663" w14:textId="77777777" w:rsidR="00043C12" w:rsidRPr="004502B4" w:rsidRDefault="00043C12" w:rsidP="007C692E">
            <w:pPr>
              <w:contextualSpacing/>
              <w:jc w:val="center"/>
              <w:rPr>
                <w:sz w:val="20"/>
                <w:szCs w:val="20"/>
              </w:rPr>
            </w:pPr>
            <w:r w:rsidRPr="004502B4">
              <w:rPr>
                <w:sz w:val="20"/>
                <w:szCs w:val="20"/>
              </w:rPr>
              <w:t>85</w:t>
            </w:r>
          </w:p>
        </w:tc>
        <w:tc>
          <w:tcPr>
            <w:tcW w:w="780"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F6B6C90" w14:textId="77777777" w:rsidR="00043C12" w:rsidRPr="004502B4" w:rsidRDefault="00043C12" w:rsidP="007C692E">
            <w:pPr>
              <w:contextualSpacing/>
              <w:jc w:val="center"/>
              <w:rPr>
                <w:sz w:val="20"/>
                <w:szCs w:val="20"/>
              </w:rPr>
            </w:pPr>
            <w:r w:rsidRPr="004502B4">
              <w:rPr>
                <w:sz w:val="20"/>
                <w:szCs w:val="20"/>
              </w:rPr>
              <w:t xml:space="preserve">7 541 272 </w:t>
            </w:r>
          </w:p>
        </w:tc>
      </w:tr>
      <w:tr w:rsidR="00043C12" w:rsidRPr="004502B4" w14:paraId="0DBBCBEC" w14:textId="77777777" w:rsidTr="004502B4">
        <w:trPr>
          <w:gridAfter w:val="1"/>
          <w:wAfter w:w="172" w:type="pct"/>
          <w:trHeight w:val="288"/>
        </w:trPr>
        <w:tc>
          <w:tcPr>
            <w:tcW w:w="29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443C613" w14:textId="77777777" w:rsidR="00043C12" w:rsidRPr="004502B4" w:rsidRDefault="00043C12" w:rsidP="007C692E">
            <w:pPr>
              <w:contextualSpacing/>
              <w:jc w:val="both"/>
              <w:rPr>
                <w:sz w:val="20"/>
                <w:szCs w:val="20"/>
              </w:rPr>
            </w:pPr>
            <w:r w:rsidRPr="004502B4">
              <w:rPr>
                <w:sz w:val="20"/>
                <w:szCs w:val="20"/>
              </w:rPr>
              <w:t>PJ3</w:t>
            </w:r>
          </w:p>
        </w:tc>
        <w:tc>
          <w:tcPr>
            <w:tcW w:w="852" w:type="pct"/>
            <w:tcBorders>
              <w:top w:val="nil"/>
              <w:left w:val="nil"/>
              <w:bottom w:val="single" w:sz="8" w:space="0" w:color="auto"/>
              <w:right w:val="single" w:sz="8" w:space="0" w:color="auto"/>
            </w:tcBorders>
            <w:tcMar>
              <w:top w:w="0" w:type="dxa"/>
              <w:left w:w="108" w:type="dxa"/>
              <w:bottom w:w="0" w:type="dxa"/>
              <w:right w:w="108" w:type="dxa"/>
            </w:tcMar>
            <w:vAlign w:val="center"/>
          </w:tcPr>
          <w:p w14:paraId="4712B892" w14:textId="77777777" w:rsidR="00043C12" w:rsidRPr="004502B4" w:rsidRDefault="00043C12" w:rsidP="007C692E">
            <w:pPr>
              <w:contextualSpacing/>
              <w:jc w:val="both"/>
              <w:rPr>
                <w:sz w:val="20"/>
                <w:szCs w:val="20"/>
              </w:rPr>
            </w:pPr>
            <w:r w:rsidRPr="004502B4">
              <w:rPr>
                <w:sz w:val="20"/>
                <w:szCs w:val="20"/>
              </w:rPr>
              <w:t>2. rezultāts</w:t>
            </w:r>
          </w:p>
        </w:tc>
        <w:tc>
          <w:tcPr>
            <w:tcW w:w="656" w:type="pct"/>
            <w:tcBorders>
              <w:top w:val="nil"/>
              <w:left w:val="nil"/>
              <w:bottom w:val="single" w:sz="8" w:space="0" w:color="auto"/>
              <w:right w:val="single" w:sz="8" w:space="0" w:color="auto"/>
            </w:tcBorders>
            <w:shd w:val="clear" w:color="auto" w:fill="DBE5F1" w:themeFill="accent1" w:themeFillTint="33"/>
            <w:tcMar>
              <w:top w:w="0" w:type="dxa"/>
              <w:left w:w="108" w:type="dxa"/>
              <w:bottom w:w="0" w:type="dxa"/>
              <w:right w:w="108" w:type="dxa"/>
            </w:tcMar>
            <w:vAlign w:val="center"/>
          </w:tcPr>
          <w:p w14:paraId="343F8192" w14:textId="77777777" w:rsidR="00043C12" w:rsidRPr="004502B4" w:rsidRDefault="00043C12" w:rsidP="007C692E">
            <w:pPr>
              <w:contextualSpacing/>
              <w:jc w:val="center"/>
              <w:rPr>
                <w:sz w:val="20"/>
                <w:szCs w:val="20"/>
              </w:rPr>
            </w:pPr>
            <w:r w:rsidRPr="004502B4">
              <w:rPr>
                <w:sz w:val="20"/>
                <w:szCs w:val="20"/>
              </w:rPr>
              <w:t xml:space="preserve">1 345 436 </w:t>
            </w:r>
          </w:p>
        </w:tc>
        <w:tc>
          <w:tcPr>
            <w:tcW w:w="731" w:type="pct"/>
            <w:tcBorders>
              <w:top w:val="nil"/>
              <w:left w:val="nil"/>
              <w:bottom w:val="single" w:sz="8" w:space="0" w:color="auto"/>
              <w:right w:val="single" w:sz="8" w:space="0" w:color="auto"/>
            </w:tcBorders>
            <w:shd w:val="clear" w:color="auto" w:fill="DBE5F1" w:themeFill="accent1" w:themeFillTint="33"/>
            <w:tcMar>
              <w:top w:w="0" w:type="dxa"/>
              <w:left w:w="108" w:type="dxa"/>
              <w:bottom w:w="0" w:type="dxa"/>
              <w:right w:w="108" w:type="dxa"/>
            </w:tcMar>
            <w:vAlign w:val="center"/>
          </w:tcPr>
          <w:p w14:paraId="035A914A" w14:textId="77777777" w:rsidR="00043C12" w:rsidRPr="004502B4" w:rsidRDefault="00043C12" w:rsidP="007C692E">
            <w:pPr>
              <w:contextualSpacing/>
              <w:jc w:val="center"/>
              <w:rPr>
                <w:sz w:val="20"/>
                <w:szCs w:val="20"/>
              </w:rPr>
            </w:pPr>
            <w:r w:rsidRPr="004502B4">
              <w:rPr>
                <w:sz w:val="20"/>
                <w:szCs w:val="20"/>
              </w:rPr>
              <w:t xml:space="preserve">0 </w:t>
            </w:r>
          </w:p>
        </w:tc>
        <w:tc>
          <w:tcPr>
            <w:tcW w:w="753"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4846FCA" w14:textId="77777777" w:rsidR="00043C12" w:rsidRPr="004502B4" w:rsidRDefault="00043C12" w:rsidP="007C692E">
            <w:pPr>
              <w:contextualSpacing/>
              <w:jc w:val="center"/>
              <w:rPr>
                <w:sz w:val="20"/>
                <w:szCs w:val="20"/>
              </w:rPr>
            </w:pPr>
            <w:r w:rsidRPr="004502B4">
              <w:rPr>
                <w:sz w:val="20"/>
                <w:szCs w:val="20"/>
              </w:rPr>
              <w:t xml:space="preserve">1 345 436 </w:t>
            </w:r>
          </w:p>
        </w:tc>
        <w:tc>
          <w:tcPr>
            <w:tcW w:w="758" w:type="pct"/>
            <w:tcBorders>
              <w:top w:val="nil"/>
              <w:left w:val="nil"/>
              <w:bottom w:val="single" w:sz="8" w:space="0" w:color="auto"/>
              <w:right w:val="single" w:sz="8" w:space="0" w:color="auto"/>
            </w:tcBorders>
            <w:shd w:val="clear" w:color="auto" w:fill="DBE5F1" w:themeFill="accent1" w:themeFillTint="33"/>
            <w:tcMar>
              <w:top w:w="0" w:type="dxa"/>
              <w:left w:w="108" w:type="dxa"/>
              <w:bottom w:w="0" w:type="dxa"/>
              <w:right w:w="108" w:type="dxa"/>
            </w:tcMar>
            <w:vAlign w:val="center"/>
          </w:tcPr>
          <w:p w14:paraId="27C18328" w14:textId="77777777" w:rsidR="00043C12" w:rsidRPr="004502B4" w:rsidRDefault="00043C12" w:rsidP="007C692E">
            <w:pPr>
              <w:contextualSpacing/>
              <w:jc w:val="center"/>
              <w:rPr>
                <w:sz w:val="20"/>
                <w:szCs w:val="20"/>
              </w:rPr>
            </w:pPr>
            <w:r w:rsidRPr="004502B4">
              <w:rPr>
                <w:sz w:val="20"/>
                <w:szCs w:val="20"/>
              </w:rPr>
              <w:t>85</w:t>
            </w:r>
          </w:p>
        </w:tc>
        <w:tc>
          <w:tcPr>
            <w:tcW w:w="780"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5D16927" w14:textId="77777777" w:rsidR="00043C12" w:rsidRPr="004502B4" w:rsidRDefault="00043C12" w:rsidP="007C692E">
            <w:pPr>
              <w:contextualSpacing/>
              <w:jc w:val="center"/>
              <w:rPr>
                <w:sz w:val="20"/>
                <w:szCs w:val="20"/>
              </w:rPr>
            </w:pPr>
            <w:r w:rsidRPr="004502B4">
              <w:rPr>
                <w:sz w:val="20"/>
                <w:szCs w:val="20"/>
              </w:rPr>
              <w:t xml:space="preserve">1 582 866 </w:t>
            </w:r>
          </w:p>
        </w:tc>
      </w:tr>
      <w:tr w:rsidR="00043C12" w:rsidRPr="004502B4" w14:paraId="459AECE1" w14:textId="77777777" w:rsidTr="004502B4">
        <w:trPr>
          <w:gridAfter w:val="1"/>
          <w:wAfter w:w="172" w:type="pct"/>
          <w:trHeight w:val="398"/>
        </w:trPr>
        <w:tc>
          <w:tcPr>
            <w:tcW w:w="29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88ACC89" w14:textId="77777777" w:rsidR="00043C12" w:rsidRPr="004502B4" w:rsidRDefault="00043C12" w:rsidP="007C692E">
            <w:pPr>
              <w:contextualSpacing/>
              <w:jc w:val="both"/>
              <w:rPr>
                <w:sz w:val="20"/>
                <w:szCs w:val="20"/>
              </w:rPr>
            </w:pPr>
            <w:r w:rsidRPr="004502B4">
              <w:rPr>
                <w:sz w:val="20"/>
                <w:szCs w:val="20"/>
              </w:rPr>
              <w:t>PJ3</w:t>
            </w:r>
          </w:p>
        </w:tc>
        <w:tc>
          <w:tcPr>
            <w:tcW w:w="8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D59F9F" w14:textId="77777777" w:rsidR="00043C12" w:rsidRPr="004502B4" w:rsidRDefault="00043C12" w:rsidP="007C692E">
            <w:pPr>
              <w:contextualSpacing/>
              <w:jc w:val="both"/>
              <w:rPr>
                <w:sz w:val="20"/>
                <w:szCs w:val="20"/>
              </w:rPr>
            </w:pPr>
            <w:r w:rsidRPr="004502B4">
              <w:rPr>
                <w:sz w:val="20"/>
                <w:szCs w:val="20"/>
              </w:rPr>
              <w:t>3. rezultāts</w:t>
            </w:r>
          </w:p>
        </w:tc>
        <w:tc>
          <w:tcPr>
            <w:tcW w:w="656" w:type="pct"/>
            <w:tcBorders>
              <w:top w:val="nil"/>
              <w:left w:val="nil"/>
              <w:bottom w:val="single" w:sz="8" w:space="0" w:color="auto"/>
              <w:right w:val="single" w:sz="8" w:space="0" w:color="auto"/>
            </w:tcBorders>
            <w:shd w:val="clear" w:color="auto" w:fill="DBE5F1" w:themeFill="accent1" w:themeFillTint="33"/>
            <w:tcMar>
              <w:top w:w="0" w:type="dxa"/>
              <w:left w:w="108" w:type="dxa"/>
              <w:bottom w:w="0" w:type="dxa"/>
              <w:right w:w="108" w:type="dxa"/>
            </w:tcMar>
            <w:vAlign w:val="center"/>
            <w:hideMark/>
          </w:tcPr>
          <w:p w14:paraId="4159A0B4" w14:textId="77777777" w:rsidR="00043C12" w:rsidRPr="004502B4" w:rsidRDefault="00043C12" w:rsidP="007C692E">
            <w:pPr>
              <w:contextualSpacing/>
              <w:jc w:val="center"/>
              <w:rPr>
                <w:sz w:val="20"/>
                <w:szCs w:val="20"/>
              </w:rPr>
            </w:pPr>
            <w:r w:rsidRPr="004502B4">
              <w:rPr>
                <w:sz w:val="20"/>
                <w:szCs w:val="20"/>
              </w:rPr>
              <w:t xml:space="preserve">0 </w:t>
            </w:r>
          </w:p>
        </w:tc>
        <w:tc>
          <w:tcPr>
            <w:tcW w:w="731" w:type="pct"/>
            <w:tcBorders>
              <w:top w:val="nil"/>
              <w:left w:val="nil"/>
              <w:bottom w:val="single" w:sz="8" w:space="0" w:color="auto"/>
              <w:right w:val="single" w:sz="8" w:space="0" w:color="auto"/>
            </w:tcBorders>
            <w:shd w:val="clear" w:color="auto" w:fill="DBE5F1" w:themeFill="accent1" w:themeFillTint="33"/>
            <w:tcMar>
              <w:top w:w="0" w:type="dxa"/>
              <w:left w:w="108" w:type="dxa"/>
              <w:bottom w:w="0" w:type="dxa"/>
              <w:right w:w="108" w:type="dxa"/>
            </w:tcMar>
            <w:vAlign w:val="center"/>
          </w:tcPr>
          <w:p w14:paraId="267702AB" w14:textId="77777777" w:rsidR="00043C12" w:rsidRPr="004502B4" w:rsidRDefault="00043C12" w:rsidP="007C692E">
            <w:pPr>
              <w:contextualSpacing/>
              <w:rPr>
                <w:sz w:val="20"/>
                <w:szCs w:val="20"/>
              </w:rPr>
            </w:pPr>
            <w:r w:rsidRPr="004502B4">
              <w:rPr>
                <w:sz w:val="20"/>
                <w:szCs w:val="20"/>
              </w:rPr>
              <w:t xml:space="preserve">5 474 482 </w:t>
            </w:r>
          </w:p>
        </w:tc>
        <w:tc>
          <w:tcPr>
            <w:tcW w:w="753"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EAE1577" w14:textId="77777777" w:rsidR="00043C12" w:rsidRPr="004502B4" w:rsidRDefault="00043C12" w:rsidP="007C692E">
            <w:pPr>
              <w:contextualSpacing/>
              <w:jc w:val="center"/>
              <w:rPr>
                <w:sz w:val="20"/>
                <w:szCs w:val="20"/>
              </w:rPr>
            </w:pPr>
            <w:r w:rsidRPr="004502B4">
              <w:rPr>
                <w:sz w:val="20"/>
                <w:szCs w:val="20"/>
              </w:rPr>
              <w:t xml:space="preserve">5 474 482 </w:t>
            </w:r>
          </w:p>
        </w:tc>
        <w:tc>
          <w:tcPr>
            <w:tcW w:w="758" w:type="pct"/>
            <w:tcBorders>
              <w:top w:val="nil"/>
              <w:left w:val="nil"/>
              <w:bottom w:val="single" w:sz="8" w:space="0" w:color="auto"/>
              <w:right w:val="single" w:sz="8" w:space="0" w:color="auto"/>
            </w:tcBorders>
            <w:shd w:val="clear" w:color="auto" w:fill="DBE5F1" w:themeFill="accent1" w:themeFillTint="33"/>
            <w:tcMar>
              <w:top w:w="0" w:type="dxa"/>
              <w:left w:w="108" w:type="dxa"/>
              <w:bottom w:w="0" w:type="dxa"/>
              <w:right w:w="108" w:type="dxa"/>
            </w:tcMar>
            <w:vAlign w:val="center"/>
          </w:tcPr>
          <w:p w14:paraId="377A4AAD" w14:textId="77777777" w:rsidR="00043C12" w:rsidRPr="004502B4" w:rsidRDefault="00043C12" w:rsidP="007C692E">
            <w:pPr>
              <w:contextualSpacing/>
              <w:jc w:val="center"/>
              <w:rPr>
                <w:sz w:val="20"/>
                <w:szCs w:val="20"/>
              </w:rPr>
            </w:pPr>
            <w:r w:rsidRPr="004502B4">
              <w:rPr>
                <w:sz w:val="20"/>
                <w:szCs w:val="20"/>
              </w:rPr>
              <w:t>85</w:t>
            </w:r>
          </w:p>
        </w:tc>
        <w:tc>
          <w:tcPr>
            <w:tcW w:w="780"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98F9D85" w14:textId="77777777" w:rsidR="00043C12" w:rsidRPr="004502B4" w:rsidRDefault="00043C12" w:rsidP="007C692E">
            <w:pPr>
              <w:contextualSpacing/>
              <w:jc w:val="center"/>
              <w:rPr>
                <w:sz w:val="20"/>
                <w:szCs w:val="20"/>
              </w:rPr>
            </w:pPr>
            <w:r w:rsidRPr="004502B4">
              <w:rPr>
                <w:sz w:val="20"/>
                <w:szCs w:val="20"/>
              </w:rPr>
              <w:t xml:space="preserve">6 440 568 </w:t>
            </w:r>
          </w:p>
        </w:tc>
      </w:tr>
      <w:tr w:rsidR="00043C12" w:rsidRPr="004502B4" w14:paraId="2752BE63" w14:textId="77777777" w:rsidTr="004502B4">
        <w:trPr>
          <w:gridAfter w:val="1"/>
          <w:wAfter w:w="172" w:type="pct"/>
          <w:trHeight w:val="288"/>
        </w:trPr>
        <w:tc>
          <w:tcPr>
            <w:tcW w:w="299"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37E4D5A" w14:textId="77777777" w:rsidR="00043C12" w:rsidRPr="004502B4" w:rsidRDefault="00043C12" w:rsidP="007C692E">
            <w:pPr>
              <w:contextualSpacing/>
              <w:jc w:val="both"/>
              <w:rPr>
                <w:sz w:val="20"/>
                <w:szCs w:val="20"/>
              </w:rPr>
            </w:pPr>
            <w:r w:rsidRPr="004502B4">
              <w:rPr>
                <w:sz w:val="20"/>
                <w:szCs w:val="20"/>
              </w:rPr>
              <w:t> </w:t>
            </w:r>
          </w:p>
        </w:tc>
        <w:tc>
          <w:tcPr>
            <w:tcW w:w="8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6A58D2" w14:textId="77777777" w:rsidR="00043C12" w:rsidRPr="004502B4" w:rsidRDefault="00043C12" w:rsidP="007C692E">
            <w:pPr>
              <w:contextualSpacing/>
              <w:jc w:val="both"/>
              <w:rPr>
                <w:sz w:val="20"/>
                <w:szCs w:val="20"/>
              </w:rPr>
            </w:pPr>
            <w:r w:rsidRPr="004502B4">
              <w:rPr>
                <w:sz w:val="20"/>
                <w:szCs w:val="20"/>
              </w:rPr>
              <w:t xml:space="preserve">Kopā </w:t>
            </w:r>
          </w:p>
        </w:tc>
        <w:tc>
          <w:tcPr>
            <w:tcW w:w="65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DDE7C68" w14:textId="77777777" w:rsidR="00043C12" w:rsidRPr="004502B4" w:rsidRDefault="00043C12" w:rsidP="007C692E">
            <w:pPr>
              <w:contextualSpacing/>
              <w:jc w:val="center"/>
              <w:rPr>
                <w:sz w:val="20"/>
                <w:szCs w:val="20"/>
              </w:rPr>
            </w:pPr>
            <w:r w:rsidRPr="004502B4">
              <w:rPr>
                <w:sz w:val="20"/>
                <w:szCs w:val="20"/>
              </w:rPr>
              <w:t xml:space="preserve">8 500 000 </w:t>
            </w:r>
          </w:p>
        </w:tc>
        <w:tc>
          <w:tcPr>
            <w:tcW w:w="731"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B576F08" w14:textId="77777777" w:rsidR="00043C12" w:rsidRPr="004502B4" w:rsidRDefault="00043C12" w:rsidP="007C692E">
            <w:pPr>
              <w:contextualSpacing/>
              <w:jc w:val="center"/>
              <w:rPr>
                <w:sz w:val="20"/>
                <w:szCs w:val="20"/>
              </w:rPr>
            </w:pPr>
            <w:r w:rsidRPr="004502B4">
              <w:rPr>
                <w:sz w:val="20"/>
                <w:szCs w:val="20"/>
              </w:rPr>
              <w:t xml:space="preserve">6 000 000 </w:t>
            </w:r>
          </w:p>
        </w:tc>
        <w:tc>
          <w:tcPr>
            <w:tcW w:w="753"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44B6A28" w14:textId="77777777" w:rsidR="00043C12" w:rsidRPr="004502B4" w:rsidRDefault="00043C12" w:rsidP="007C692E">
            <w:pPr>
              <w:contextualSpacing/>
              <w:jc w:val="center"/>
              <w:rPr>
                <w:sz w:val="20"/>
                <w:szCs w:val="20"/>
              </w:rPr>
            </w:pPr>
            <w:r w:rsidRPr="004502B4">
              <w:rPr>
                <w:sz w:val="20"/>
                <w:szCs w:val="20"/>
              </w:rPr>
              <w:t xml:space="preserve">14 500 000 </w:t>
            </w:r>
          </w:p>
        </w:tc>
        <w:tc>
          <w:tcPr>
            <w:tcW w:w="7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0C348216" w14:textId="77777777" w:rsidR="00043C12" w:rsidRPr="004502B4" w:rsidRDefault="00043C12" w:rsidP="007C692E">
            <w:pPr>
              <w:contextualSpacing/>
              <w:jc w:val="center"/>
              <w:rPr>
                <w:sz w:val="20"/>
                <w:szCs w:val="20"/>
              </w:rPr>
            </w:pPr>
            <w:r w:rsidRPr="004502B4">
              <w:rPr>
                <w:sz w:val="20"/>
                <w:szCs w:val="20"/>
              </w:rPr>
              <w:t>85</w:t>
            </w:r>
          </w:p>
        </w:tc>
        <w:tc>
          <w:tcPr>
            <w:tcW w:w="780"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56F3BB7" w14:textId="77777777" w:rsidR="00043C12" w:rsidRPr="004502B4" w:rsidRDefault="00043C12" w:rsidP="007C692E">
            <w:pPr>
              <w:contextualSpacing/>
              <w:jc w:val="center"/>
              <w:rPr>
                <w:sz w:val="20"/>
                <w:szCs w:val="20"/>
              </w:rPr>
            </w:pPr>
            <w:r w:rsidRPr="004502B4">
              <w:rPr>
                <w:sz w:val="20"/>
                <w:szCs w:val="20"/>
              </w:rPr>
              <w:t xml:space="preserve">17 058 824 </w:t>
            </w:r>
          </w:p>
        </w:tc>
      </w:tr>
    </w:tbl>
    <w:p w14:paraId="2C5EACD0" w14:textId="3A46D324" w:rsidR="00043C12" w:rsidRPr="000935ED" w:rsidRDefault="00043C12" w:rsidP="00043C12">
      <w:pPr>
        <w:contextualSpacing/>
        <w:rPr>
          <w:sz w:val="28"/>
          <w:szCs w:val="28"/>
          <w:u w:val="single"/>
          <w:lang w:val="en-GB"/>
        </w:rPr>
      </w:pPr>
    </w:p>
    <w:p w14:paraId="4A1EE265" w14:textId="1DE02020" w:rsidR="003A3CCA" w:rsidRPr="000935ED" w:rsidRDefault="003A3CCA" w:rsidP="00043C12">
      <w:pPr>
        <w:contextualSpacing/>
        <w:rPr>
          <w:sz w:val="28"/>
          <w:szCs w:val="28"/>
          <w:u w:val="single"/>
          <w:lang w:val="en-GB"/>
        </w:rPr>
      </w:pPr>
    </w:p>
    <w:p w14:paraId="3A3D2086" w14:textId="561597A9" w:rsidR="003A3CCA" w:rsidRPr="000935ED" w:rsidRDefault="003A3CCA" w:rsidP="00043C12">
      <w:pPr>
        <w:contextualSpacing/>
        <w:rPr>
          <w:sz w:val="28"/>
          <w:szCs w:val="28"/>
          <w:u w:val="single"/>
          <w:lang w:val="en-GB"/>
        </w:rPr>
      </w:pPr>
    </w:p>
    <w:sectPr w:rsidR="003A3CCA" w:rsidRPr="000935ED" w:rsidSect="00043C12">
      <w:pgSz w:w="11907" w:h="16839" w:code="9"/>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5A6CAA" w14:textId="77777777" w:rsidR="00D878AB" w:rsidRDefault="00D878AB">
      <w:r>
        <w:separator/>
      </w:r>
    </w:p>
  </w:endnote>
  <w:endnote w:type="continuationSeparator" w:id="0">
    <w:p w14:paraId="1784DBA4" w14:textId="77777777" w:rsidR="00D878AB" w:rsidRDefault="00D878AB">
      <w:r>
        <w:continuationSeparator/>
      </w:r>
    </w:p>
  </w:endnote>
  <w:endnote w:type="continuationNotice" w:id="1">
    <w:p w14:paraId="743F1071" w14:textId="77777777" w:rsidR="00D878AB" w:rsidRDefault="00D878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Garamond">
    <w:panose1 w:val="02020404030301010803"/>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DokChampa">
    <w:altName w:val="Arial Unicode MS"/>
    <w:panose1 w:val="020B0604020202020204"/>
    <w:charset w:val="00"/>
    <w:family w:val="swiss"/>
    <w:pitch w:val="variable"/>
    <w:sig w:usb0="03000003" w:usb1="00000000" w:usb2="00000000" w:usb3="00000000" w:csb0="00010001" w:csb1="00000000"/>
  </w:font>
  <w:font w:name="Times New Roman,Calibri">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233373" w14:textId="53C79334" w:rsidR="00541B06" w:rsidRDefault="00541B06" w:rsidP="00AB3F17">
    <w:pPr>
      <w:pStyle w:val="Footer"/>
      <w:spacing w:after="0"/>
    </w:pPr>
  </w:p>
  <w:p w14:paraId="3DA2204A" w14:textId="75E6820A" w:rsidR="00ED3ED3" w:rsidRPr="00095D92" w:rsidRDefault="00F11185" w:rsidP="00ED3ED3">
    <w:pPr>
      <w:pStyle w:val="Footer"/>
      <w:spacing w:after="0"/>
      <w:rPr>
        <w:rFonts w:ascii="Times New Roman" w:hAnsi="Times New Roman"/>
        <w:sz w:val="20"/>
        <w:szCs w:val="20"/>
      </w:rPr>
    </w:pPr>
    <w:r>
      <w:rPr>
        <w:rFonts w:ascii="Times New Roman" w:hAnsi="Times New Roman"/>
        <w:sz w:val="20"/>
        <w:szCs w:val="20"/>
      </w:rPr>
      <w:t>IZMrikp_0603</w:t>
    </w:r>
    <w:r w:rsidR="00ED3ED3">
      <w:rPr>
        <w:rFonts w:ascii="Times New Roman" w:hAnsi="Times New Roman"/>
        <w:sz w:val="20"/>
        <w:szCs w:val="20"/>
      </w:rPr>
      <w:t>20_EEZ.NO_koncepcija</w:t>
    </w:r>
  </w:p>
  <w:p w14:paraId="6E88FFD5" w14:textId="39EFBFE9" w:rsidR="000935ED" w:rsidRPr="00095D92" w:rsidRDefault="000935ED" w:rsidP="00ED3ED3">
    <w:pPr>
      <w:pStyle w:val="Footer"/>
      <w:spacing w:after="0"/>
      <w:rPr>
        <w:rFonts w:ascii="Times New Roman" w:hAnsi="Times New Roman"/>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0F7D14" w14:textId="4B50E607" w:rsidR="00095D92" w:rsidRPr="00095D92" w:rsidRDefault="00095D92" w:rsidP="00095D92">
    <w:pPr>
      <w:pStyle w:val="Footer"/>
      <w:spacing w:after="0"/>
      <w:rPr>
        <w:rFonts w:ascii="Times New Roman" w:hAnsi="Times New Roman"/>
        <w:sz w:val="20"/>
        <w:szCs w:val="20"/>
      </w:rPr>
    </w:pPr>
    <w:r w:rsidRPr="00095D92">
      <w:rPr>
        <w:rFonts w:ascii="Times New Roman" w:hAnsi="Times New Roman"/>
        <w:sz w:val="24"/>
        <w:szCs w:val="24"/>
      </w:rPr>
      <w:t xml:space="preserve"> </w:t>
    </w:r>
    <w:r w:rsidR="00F11185">
      <w:rPr>
        <w:rFonts w:ascii="Times New Roman" w:hAnsi="Times New Roman"/>
        <w:sz w:val="20"/>
        <w:szCs w:val="20"/>
      </w:rPr>
      <w:t>IZMrikp_0603</w:t>
    </w:r>
    <w:r w:rsidR="00ED3ED3">
      <w:rPr>
        <w:rFonts w:ascii="Times New Roman" w:hAnsi="Times New Roman"/>
        <w:sz w:val="20"/>
        <w:szCs w:val="20"/>
      </w:rPr>
      <w:t>20_EEZ.NO_koncepcija</w:t>
    </w:r>
  </w:p>
  <w:p w14:paraId="7E1569A2" w14:textId="1CB8D427" w:rsidR="000935ED" w:rsidRPr="000935ED" w:rsidRDefault="000935ED" w:rsidP="003914C3">
    <w:pPr>
      <w:pStyle w:val="Footer"/>
      <w:spacing w:after="0"/>
      <w:rPr>
        <w:rFonts w:ascii="Times New Roman" w:hAnsi="Times New Roman"/>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DB1A10" w14:textId="77777777" w:rsidR="00D878AB" w:rsidRDefault="00D878AB">
      <w:r>
        <w:separator/>
      </w:r>
    </w:p>
  </w:footnote>
  <w:footnote w:type="continuationSeparator" w:id="0">
    <w:p w14:paraId="780F10B8" w14:textId="77777777" w:rsidR="00D878AB" w:rsidRDefault="00D878AB">
      <w:r>
        <w:continuationSeparator/>
      </w:r>
    </w:p>
  </w:footnote>
  <w:footnote w:type="continuationNotice" w:id="1">
    <w:p w14:paraId="5127B658" w14:textId="77777777" w:rsidR="00D878AB" w:rsidRDefault="00D878AB"/>
  </w:footnote>
  <w:footnote w:id="2">
    <w:p w14:paraId="47188107" w14:textId="05C6D4A4" w:rsidR="000935ED" w:rsidRPr="0041145E" w:rsidRDefault="000935ED" w:rsidP="00043C12">
      <w:pPr>
        <w:pStyle w:val="BodyText"/>
        <w:spacing w:after="0"/>
        <w:contextualSpacing/>
        <w:jc w:val="both"/>
        <w:rPr>
          <w:rFonts w:ascii="Times New Roman" w:hAnsi="Times New Roman"/>
        </w:rPr>
      </w:pPr>
      <w:r>
        <w:rPr>
          <w:rStyle w:val="FootnoteReference"/>
          <w:rFonts w:ascii="Times New Roman" w:hAnsi="Times New Roman"/>
          <w:sz w:val="20"/>
          <w:szCs w:val="20"/>
        </w:rPr>
        <w:footnoteRef/>
      </w:r>
      <w:r>
        <w:rPr>
          <w:rFonts w:ascii="Times New Roman" w:hAnsi="Times New Roman"/>
          <w:sz w:val="20"/>
          <w:szCs w:val="20"/>
        </w:rPr>
        <w:t xml:space="preserve"> Inovācijas centrs ir vieta, kur skolotāji, studenti un skolēni var uzlabot savas zināšanas STEM jomās, piedaloties izglītības un mācību programmās, praktiskās darbnīcās, zinātnes un inovāciju popularizēšanas aktivitātēs un citās aktivitātēs, kuru mērķis ir sekmēt zināšanu attīstību STEM jomā.</w:t>
      </w:r>
    </w:p>
  </w:footnote>
  <w:footnote w:id="3">
    <w:p w14:paraId="121ABEBD" w14:textId="77777777" w:rsidR="000935ED" w:rsidRPr="0041145E" w:rsidRDefault="000935ED" w:rsidP="00043C12">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ESAO (Ekonomiskās sadarbības un attīstības organizācijas) Starptautiskās skolēnu novērtēšanas programmas (</w:t>
      </w:r>
      <w:r>
        <w:rPr>
          <w:rFonts w:ascii="Times New Roman" w:hAnsi="Times New Roman"/>
          <w:i/>
        </w:rPr>
        <w:t>PISA</w:t>
      </w:r>
      <w:r>
        <w:rPr>
          <w:rFonts w:ascii="Times New Roman" w:hAnsi="Times New Roman"/>
        </w:rPr>
        <w:t>) 2009., 2012. un 2015. gada pasaules mēroga pētījumi</w:t>
      </w:r>
    </w:p>
  </w:footnote>
  <w:footnote w:id="4">
    <w:p w14:paraId="2714204B" w14:textId="77777777" w:rsidR="000935ED" w:rsidRPr="0041145E" w:rsidRDefault="000935ED" w:rsidP="00043C12">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Plašāka informācija par praktiskajām darbnīcām ir pieejama šeit: https://makezine.com/2013/05/22/the-difference-between-hackerspaces-makerspaces-techshops-and-fablabs/</w:t>
      </w:r>
    </w:p>
  </w:footnote>
  <w:footnote w:id="5">
    <w:p w14:paraId="4A27A999" w14:textId="77777777" w:rsidR="000935ED" w:rsidRPr="0041145E" w:rsidRDefault="000935ED" w:rsidP="00043C12">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https://www.zinoo.lv/home/ un http://www.kurzemesdemocentrs.lv</w:t>
      </w:r>
    </w:p>
  </w:footnote>
  <w:footnote w:id="6">
    <w:p w14:paraId="6EA22FF1" w14:textId="77777777" w:rsidR="000935ED" w:rsidRPr="0041145E" w:rsidRDefault="000935ED" w:rsidP="00043C12">
      <w:pPr>
        <w:pStyle w:val="NormalWeb"/>
        <w:spacing w:before="0" w:beforeAutospacing="0" w:after="0" w:afterAutospacing="0"/>
        <w:rPr>
          <w:sz w:val="20"/>
          <w:szCs w:val="20"/>
        </w:rPr>
      </w:pPr>
      <w:r>
        <w:rPr>
          <w:rStyle w:val="FootnoteReference"/>
          <w:sz w:val="20"/>
          <w:szCs w:val="20"/>
          <w:lang w:val="en-GB"/>
        </w:rPr>
        <w:footnoteRef/>
      </w:r>
      <w:r>
        <w:rPr>
          <w:rStyle w:val="FootnoteReference"/>
        </w:rPr>
        <w:t xml:space="preserve"> </w:t>
      </w:r>
      <w:r>
        <w:rPr>
          <w:sz w:val="20"/>
          <w:szCs w:val="20"/>
        </w:rPr>
        <w:t xml:space="preserve">Ar vārdu "kopīgi" rādītāju kolonnā 1. rezultāta rindā ir saprotams Baltijas un </w:t>
      </w:r>
      <w:proofErr w:type="spellStart"/>
      <w:r>
        <w:rPr>
          <w:sz w:val="20"/>
          <w:szCs w:val="20"/>
        </w:rPr>
        <w:t>donorvalstu</w:t>
      </w:r>
      <w:proofErr w:type="spellEnd"/>
      <w:r>
        <w:rPr>
          <w:sz w:val="20"/>
          <w:szCs w:val="20"/>
        </w:rPr>
        <w:t xml:space="preserve"> kopīgais darbs, kur piedalās vismaz 1 Baltijas valsts un vismaz 1 </w:t>
      </w:r>
      <w:proofErr w:type="spellStart"/>
      <w:r>
        <w:rPr>
          <w:sz w:val="20"/>
          <w:szCs w:val="20"/>
        </w:rPr>
        <w:t>donorvalsts</w:t>
      </w:r>
      <w:proofErr w:type="spellEnd"/>
      <w:r>
        <w:rPr>
          <w:sz w:val="20"/>
          <w:szCs w:val="20"/>
        </w:rPr>
        <w:t xml:space="preserve">. Sasniegumus šiem rādītājiem aprēķina, pamatojoties uz Latvijas projektu iesniedzēju īstenotajiem projektiem. </w:t>
      </w:r>
    </w:p>
  </w:footnote>
  <w:footnote w:id="7">
    <w:p w14:paraId="5F1616D4" w14:textId="77777777" w:rsidR="000935ED" w:rsidRPr="0041145E" w:rsidRDefault="000935ED" w:rsidP="00043C12">
      <w:pPr>
        <w:pStyle w:val="FootnoteText"/>
        <w:spacing w:after="0"/>
        <w:rPr>
          <w:rFonts w:ascii="Times New Roman" w:hAnsi="Times New Roman"/>
        </w:rPr>
      </w:pPr>
      <w:r>
        <w:rPr>
          <w:rStyle w:val="FootnoteReference"/>
          <w:rFonts w:ascii="Times New Roman" w:hAnsi="Times New Roman"/>
        </w:rPr>
        <w:footnoteRef/>
      </w:r>
      <w:r>
        <w:rPr>
          <w:rFonts w:ascii="Times New Roman" w:hAnsi="Times New Roman"/>
        </w:rPr>
        <w:t xml:space="preserve"> Valsts finansējums, ES finansējums vai starptautiskais finansējums (atskaitot ES)</w:t>
      </w:r>
    </w:p>
  </w:footnote>
  <w:footnote w:id="8">
    <w:p w14:paraId="6D769A9B" w14:textId="54BDDF49" w:rsidR="000935ED" w:rsidRPr="0041145E" w:rsidRDefault="000935ED" w:rsidP="00043C12">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Doktoranti un </w:t>
      </w:r>
      <w:proofErr w:type="spellStart"/>
      <w:r>
        <w:rPr>
          <w:rFonts w:ascii="Times New Roman" w:hAnsi="Times New Roman"/>
        </w:rPr>
        <w:t>pēcdoktoranti</w:t>
      </w:r>
      <w:proofErr w:type="spell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9647465"/>
      <w:docPartObj>
        <w:docPartGallery w:val="Page Numbers (Top of Page)"/>
        <w:docPartUnique/>
      </w:docPartObj>
    </w:sdtPr>
    <w:sdtEndPr>
      <w:rPr>
        <w:noProof/>
      </w:rPr>
    </w:sdtEndPr>
    <w:sdtContent>
      <w:p w14:paraId="2D571982" w14:textId="14EEA5D7" w:rsidR="00AB3F17" w:rsidRDefault="00AB3F17">
        <w:pPr>
          <w:pStyle w:val="Header"/>
          <w:jc w:val="center"/>
        </w:pPr>
        <w:r>
          <w:fldChar w:fldCharType="begin"/>
        </w:r>
        <w:r>
          <w:instrText xml:space="preserve"> PAGE   \* MERGEFORMAT </w:instrText>
        </w:r>
        <w:r>
          <w:fldChar w:fldCharType="separate"/>
        </w:r>
        <w:r w:rsidR="00F11185">
          <w:rPr>
            <w:noProof/>
          </w:rPr>
          <w:t>19</w:t>
        </w:r>
        <w:r>
          <w:rPr>
            <w:noProof/>
          </w:rPr>
          <w:fldChar w:fldCharType="end"/>
        </w:r>
      </w:p>
    </w:sdtContent>
  </w:sdt>
  <w:p w14:paraId="52DE1B8F" w14:textId="77777777" w:rsidR="00AB3F17" w:rsidRPr="00095D92" w:rsidRDefault="00AB3F17">
    <w:pPr>
      <w:pStyle w:val="Header"/>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A26DF0" w14:textId="2D687BC9" w:rsidR="00AB3F17" w:rsidRPr="00ED3ED3" w:rsidRDefault="00ED3ED3" w:rsidP="00ED3ED3">
    <w:pPr>
      <w:pStyle w:val="Header"/>
      <w:jc w:val="right"/>
      <w:rPr>
        <w:rFonts w:ascii="Times New Roman" w:hAnsi="Times New Roman"/>
      </w:rPr>
    </w:pPr>
    <w:r w:rsidRPr="00ED3ED3">
      <w:rPr>
        <w:rFonts w:ascii="Times New Roman" w:hAnsi="Times New Roman"/>
      </w:rPr>
      <w:t>Pielikums</w:t>
    </w:r>
  </w:p>
  <w:p w14:paraId="4055F1DA" w14:textId="20E1C35A" w:rsidR="000935ED" w:rsidRPr="003914C3" w:rsidRDefault="000935ED" w:rsidP="003914C3">
    <w:pPr>
      <w:pStyle w:val="Header"/>
      <w:spacing w:after="0"/>
      <w:rPr>
        <w:rFonts w:ascii="Times New Roman" w:hAnsi="Times New Roman"/>
        <w:b/>
        <w:sz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500756"/>
      <w:docPartObj>
        <w:docPartGallery w:val="Page Numbers (Top of Page)"/>
        <w:docPartUnique/>
      </w:docPartObj>
    </w:sdtPr>
    <w:sdtEndPr>
      <w:rPr>
        <w:noProof/>
      </w:rPr>
    </w:sdtEndPr>
    <w:sdtContent>
      <w:p w14:paraId="17D45A5B" w14:textId="61197FB2" w:rsidR="00FB599A" w:rsidRDefault="00FB599A">
        <w:pPr>
          <w:pStyle w:val="Header"/>
          <w:jc w:val="center"/>
        </w:pPr>
        <w:r>
          <w:fldChar w:fldCharType="begin"/>
        </w:r>
        <w:r>
          <w:instrText xml:space="preserve"> PAGE   \* MERGEFORMAT </w:instrText>
        </w:r>
        <w:r>
          <w:fldChar w:fldCharType="separate"/>
        </w:r>
        <w:r w:rsidR="00F11185">
          <w:rPr>
            <w:noProof/>
          </w:rPr>
          <w:t>20</w:t>
        </w:r>
        <w:r>
          <w:rPr>
            <w:noProof/>
          </w:rPr>
          <w:fldChar w:fldCharType="end"/>
        </w:r>
      </w:p>
    </w:sdtContent>
  </w:sdt>
  <w:p w14:paraId="21FE2DEE" w14:textId="77777777" w:rsidR="00FB599A" w:rsidRPr="003914C3" w:rsidRDefault="00FB599A" w:rsidP="003914C3">
    <w:pPr>
      <w:pStyle w:val="Header"/>
      <w:spacing w:after="0"/>
      <w:rPr>
        <w:rFonts w:ascii="Times New Roman" w:hAnsi="Times New Roman"/>
        <w:b/>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6E98194A"/>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43C0779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C5666CC"/>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900"/>
        </w:tabs>
        <w:ind w:left="90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 w15:restartNumberingAfterBreak="0">
    <w:nsid w:val="327B6167"/>
    <w:multiLevelType w:val="hybridMultilevel"/>
    <w:tmpl w:val="E95C1E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2E95433"/>
    <w:multiLevelType w:val="multilevel"/>
    <w:tmpl w:val="57AE1F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E682D7A"/>
    <w:multiLevelType w:val="multilevel"/>
    <w:tmpl w:val="9D149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43D657E"/>
    <w:multiLevelType w:val="multilevel"/>
    <w:tmpl w:val="57AE1F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E9B17F8"/>
    <w:multiLevelType w:val="hybridMultilevel"/>
    <w:tmpl w:val="61DE0EC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628004C9"/>
    <w:multiLevelType w:val="hybridMultilevel"/>
    <w:tmpl w:val="DEAAD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F983114"/>
    <w:multiLevelType w:val="hybridMultilevel"/>
    <w:tmpl w:val="1820E3BC"/>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num w:numId="1">
    <w:abstractNumId w:val="2"/>
  </w:num>
  <w:num w:numId="2">
    <w:abstractNumId w:val="7"/>
  </w:num>
  <w:num w:numId="3">
    <w:abstractNumId w:val="1"/>
  </w:num>
  <w:num w:numId="4">
    <w:abstractNumId w:val="0"/>
  </w:num>
  <w:num w:numId="5">
    <w:abstractNumId w:val="8"/>
  </w:num>
  <w:num w:numId="6">
    <w:abstractNumId w:val="6"/>
  </w:num>
  <w:num w:numId="7">
    <w:abstractNumId w:val="4"/>
  </w:num>
  <w:num w:numId="8">
    <w:abstractNumId w:val="9"/>
  </w:num>
  <w:num w:numId="9">
    <w:abstractNumId w:val="5"/>
  </w:num>
  <w:num w:numId="10">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039"/>
    <w:rsid w:val="000004A2"/>
    <w:rsid w:val="00000BE9"/>
    <w:rsid w:val="00001260"/>
    <w:rsid w:val="00001AD9"/>
    <w:rsid w:val="00002892"/>
    <w:rsid w:val="00002B16"/>
    <w:rsid w:val="00002E9F"/>
    <w:rsid w:val="00003221"/>
    <w:rsid w:val="000037D4"/>
    <w:rsid w:val="00003B78"/>
    <w:rsid w:val="00005170"/>
    <w:rsid w:val="00005DB8"/>
    <w:rsid w:val="000069AA"/>
    <w:rsid w:val="0000745E"/>
    <w:rsid w:val="00007ECD"/>
    <w:rsid w:val="0001265D"/>
    <w:rsid w:val="00012F7B"/>
    <w:rsid w:val="00016F55"/>
    <w:rsid w:val="00017EFB"/>
    <w:rsid w:val="000202C5"/>
    <w:rsid w:val="0002130A"/>
    <w:rsid w:val="000261C6"/>
    <w:rsid w:val="00027007"/>
    <w:rsid w:val="00027258"/>
    <w:rsid w:val="00027AB3"/>
    <w:rsid w:val="0003132B"/>
    <w:rsid w:val="00031858"/>
    <w:rsid w:val="00031BD8"/>
    <w:rsid w:val="000330CE"/>
    <w:rsid w:val="00034254"/>
    <w:rsid w:val="000356C7"/>
    <w:rsid w:val="000374C0"/>
    <w:rsid w:val="0003776C"/>
    <w:rsid w:val="00041E8F"/>
    <w:rsid w:val="00042485"/>
    <w:rsid w:val="00042BB6"/>
    <w:rsid w:val="00043177"/>
    <w:rsid w:val="000438FB"/>
    <w:rsid w:val="00043C12"/>
    <w:rsid w:val="00044123"/>
    <w:rsid w:val="0004416E"/>
    <w:rsid w:val="000457A9"/>
    <w:rsid w:val="00045DB9"/>
    <w:rsid w:val="00046057"/>
    <w:rsid w:val="0004662E"/>
    <w:rsid w:val="0005059F"/>
    <w:rsid w:val="00050621"/>
    <w:rsid w:val="000509A0"/>
    <w:rsid w:val="00050C45"/>
    <w:rsid w:val="000523CC"/>
    <w:rsid w:val="00052526"/>
    <w:rsid w:val="00053C23"/>
    <w:rsid w:val="00053CD5"/>
    <w:rsid w:val="00053D32"/>
    <w:rsid w:val="00055E5A"/>
    <w:rsid w:val="00061C14"/>
    <w:rsid w:val="00062F10"/>
    <w:rsid w:val="00062F13"/>
    <w:rsid w:val="00063196"/>
    <w:rsid w:val="00064645"/>
    <w:rsid w:val="0006469F"/>
    <w:rsid w:val="000652BE"/>
    <w:rsid w:val="00065C22"/>
    <w:rsid w:val="0006628A"/>
    <w:rsid w:val="0006665B"/>
    <w:rsid w:val="000667AE"/>
    <w:rsid w:val="00066990"/>
    <w:rsid w:val="00066DDD"/>
    <w:rsid w:val="00066EAC"/>
    <w:rsid w:val="00066F78"/>
    <w:rsid w:val="000675DE"/>
    <w:rsid w:val="0007078C"/>
    <w:rsid w:val="00071B4E"/>
    <w:rsid w:val="000726E4"/>
    <w:rsid w:val="000731CF"/>
    <w:rsid w:val="00073F80"/>
    <w:rsid w:val="000745A1"/>
    <w:rsid w:val="00075134"/>
    <w:rsid w:val="00076035"/>
    <w:rsid w:val="00077F3E"/>
    <w:rsid w:val="00080816"/>
    <w:rsid w:val="000811E2"/>
    <w:rsid w:val="000813E3"/>
    <w:rsid w:val="00081D59"/>
    <w:rsid w:val="00082E40"/>
    <w:rsid w:val="00083C02"/>
    <w:rsid w:val="00085615"/>
    <w:rsid w:val="0008594D"/>
    <w:rsid w:val="00086220"/>
    <w:rsid w:val="000863CA"/>
    <w:rsid w:val="00086C8C"/>
    <w:rsid w:val="0009035C"/>
    <w:rsid w:val="0009067C"/>
    <w:rsid w:val="00090BBB"/>
    <w:rsid w:val="000919B6"/>
    <w:rsid w:val="000919EA"/>
    <w:rsid w:val="00091C39"/>
    <w:rsid w:val="00091EC8"/>
    <w:rsid w:val="000935ED"/>
    <w:rsid w:val="00093E55"/>
    <w:rsid w:val="000941F4"/>
    <w:rsid w:val="00094227"/>
    <w:rsid w:val="00094266"/>
    <w:rsid w:val="000958DB"/>
    <w:rsid w:val="000959BE"/>
    <w:rsid w:val="000959F7"/>
    <w:rsid w:val="00095D92"/>
    <w:rsid w:val="00095E21"/>
    <w:rsid w:val="000963CF"/>
    <w:rsid w:val="0009659A"/>
    <w:rsid w:val="000A08B4"/>
    <w:rsid w:val="000A11CE"/>
    <w:rsid w:val="000A25CB"/>
    <w:rsid w:val="000A28C1"/>
    <w:rsid w:val="000A537F"/>
    <w:rsid w:val="000A59FC"/>
    <w:rsid w:val="000A68F9"/>
    <w:rsid w:val="000B0D97"/>
    <w:rsid w:val="000B1F0F"/>
    <w:rsid w:val="000B1F83"/>
    <w:rsid w:val="000B2448"/>
    <w:rsid w:val="000B3218"/>
    <w:rsid w:val="000B3811"/>
    <w:rsid w:val="000B3884"/>
    <w:rsid w:val="000B3ED9"/>
    <w:rsid w:val="000B4039"/>
    <w:rsid w:val="000B4212"/>
    <w:rsid w:val="000B4260"/>
    <w:rsid w:val="000B4AB2"/>
    <w:rsid w:val="000B531A"/>
    <w:rsid w:val="000B62F7"/>
    <w:rsid w:val="000B69A0"/>
    <w:rsid w:val="000B7160"/>
    <w:rsid w:val="000C1018"/>
    <w:rsid w:val="000C1CB4"/>
    <w:rsid w:val="000C29C4"/>
    <w:rsid w:val="000C3F40"/>
    <w:rsid w:val="000C4745"/>
    <w:rsid w:val="000C4E4A"/>
    <w:rsid w:val="000C51A9"/>
    <w:rsid w:val="000C74BB"/>
    <w:rsid w:val="000C79F5"/>
    <w:rsid w:val="000C7C2E"/>
    <w:rsid w:val="000D197E"/>
    <w:rsid w:val="000D2198"/>
    <w:rsid w:val="000D28FE"/>
    <w:rsid w:val="000D3A96"/>
    <w:rsid w:val="000D421D"/>
    <w:rsid w:val="000D4ECF"/>
    <w:rsid w:val="000D5C1B"/>
    <w:rsid w:val="000D6DFF"/>
    <w:rsid w:val="000D7969"/>
    <w:rsid w:val="000D7C2F"/>
    <w:rsid w:val="000E0F7B"/>
    <w:rsid w:val="000E2E72"/>
    <w:rsid w:val="000E3580"/>
    <w:rsid w:val="000E4236"/>
    <w:rsid w:val="000E6E0C"/>
    <w:rsid w:val="000E72C6"/>
    <w:rsid w:val="000F0081"/>
    <w:rsid w:val="000F03FF"/>
    <w:rsid w:val="000F071D"/>
    <w:rsid w:val="000F1947"/>
    <w:rsid w:val="000F29BD"/>
    <w:rsid w:val="000F344A"/>
    <w:rsid w:val="000F4F01"/>
    <w:rsid w:val="000F530F"/>
    <w:rsid w:val="000F7771"/>
    <w:rsid w:val="00100650"/>
    <w:rsid w:val="00100C4E"/>
    <w:rsid w:val="00101092"/>
    <w:rsid w:val="00102F67"/>
    <w:rsid w:val="00103A8C"/>
    <w:rsid w:val="001040EC"/>
    <w:rsid w:val="001043AE"/>
    <w:rsid w:val="00104706"/>
    <w:rsid w:val="00104941"/>
    <w:rsid w:val="00104C16"/>
    <w:rsid w:val="00106A84"/>
    <w:rsid w:val="00107F68"/>
    <w:rsid w:val="00110F8F"/>
    <w:rsid w:val="001112AB"/>
    <w:rsid w:val="00111309"/>
    <w:rsid w:val="00112C82"/>
    <w:rsid w:val="00112FA1"/>
    <w:rsid w:val="00113462"/>
    <w:rsid w:val="00114575"/>
    <w:rsid w:val="0011468A"/>
    <w:rsid w:val="00115DFE"/>
    <w:rsid w:val="00117081"/>
    <w:rsid w:val="001173CE"/>
    <w:rsid w:val="001173E5"/>
    <w:rsid w:val="00117CA1"/>
    <w:rsid w:val="00117F6D"/>
    <w:rsid w:val="00120834"/>
    <w:rsid w:val="00121217"/>
    <w:rsid w:val="00122243"/>
    <w:rsid w:val="001238E9"/>
    <w:rsid w:val="00123AEB"/>
    <w:rsid w:val="00124B7B"/>
    <w:rsid w:val="00124E55"/>
    <w:rsid w:val="00125622"/>
    <w:rsid w:val="001264AA"/>
    <w:rsid w:val="00126FAD"/>
    <w:rsid w:val="00130ABC"/>
    <w:rsid w:val="0013287F"/>
    <w:rsid w:val="001332AE"/>
    <w:rsid w:val="0013469E"/>
    <w:rsid w:val="00136E96"/>
    <w:rsid w:val="001372B3"/>
    <w:rsid w:val="0014063F"/>
    <w:rsid w:val="001431B7"/>
    <w:rsid w:val="00143791"/>
    <w:rsid w:val="001440EE"/>
    <w:rsid w:val="00144688"/>
    <w:rsid w:val="00144C26"/>
    <w:rsid w:val="00144C4B"/>
    <w:rsid w:val="0014729A"/>
    <w:rsid w:val="001505BB"/>
    <w:rsid w:val="00150E68"/>
    <w:rsid w:val="00151CA2"/>
    <w:rsid w:val="00151E7E"/>
    <w:rsid w:val="00152614"/>
    <w:rsid w:val="0015537E"/>
    <w:rsid w:val="0015765D"/>
    <w:rsid w:val="00160BB2"/>
    <w:rsid w:val="001613F5"/>
    <w:rsid w:val="00162841"/>
    <w:rsid w:val="00162843"/>
    <w:rsid w:val="00162B2F"/>
    <w:rsid w:val="001655D5"/>
    <w:rsid w:val="001656D7"/>
    <w:rsid w:val="001657E0"/>
    <w:rsid w:val="00165AC9"/>
    <w:rsid w:val="00167578"/>
    <w:rsid w:val="001679F8"/>
    <w:rsid w:val="001702F2"/>
    <w:rsid w:val="0017051F"/>
    <w:rsid w:val="00170BFE"/>
    <w:rsid w:val="00170CD1"/>
    <w:rsid w:val="001713ED"/>
    <w:rsid w:val="00171E64"/>
    <w:rsid w:val="001725EA"/>
    <w:rsid w:val="00173755"/>
    <w:rsid w:val="00173AC2"/>
    <w:rsid w:val="001745EA"/>
    <w:rsid w:val="00174E0B"/>
    <w:rsid w:val="00175190"/>
    <w:rsid w:val="0017718A"/>
    <w:rsid w:val="00177D77"/>
    <w:rsid w:val="00180311"/>
    <w:rsid w:val="00183618"/>
    <w:rsid w:val="00183C3E"/>
    <w:rsid w:val="00184268"/>
    <w:rsid w:val="00186EA9"/>
    <w:rsid w:val="00187510"/>
    <w:rsid w:val="00191509"/>
    <w:rsid w:val="001917C9"/>
    <w:rsid w:val="00191AF3"/>
    <w:rsid w:val="0019261F"/>
    <w:rsid w:val="00195EBF"/>
    <w:rsid w:val="001973E8"/>
    <w:rsid w:val="001978A5"/>
    <w:rsid w:val="001A2065"/>
    <w:rsid w:val="001A2BA6"/>
    <w:rsid w:val="001A2DEE"/>
    <w:rsid w:val="001A3B2B"/>
    <w:rsid w:val="001A409B"/>
    <w:rsid w:val="001A446B"/>
    <w:rsid w:val="001A5909"/>
    <w:rsid w:val="001A5C89"/>
    <w:rsid w:val="001A660B"/>
    <w:rsid w:val="001A7C9A"/>
    <w:rsid w:val="001A7CB3"/>
    <w:rsid w:val="001B0FAD"/>
    <w:rsid w:val="001B13C0"/>
    <w:rsid w:val="001B178C"/>
    <w:rsid w:val="001B2FCE"/>
    <w:rsid w:val="001B36ED"/>
    <w:rsid w:val="001B3BE3"/>
    <w:rsid w:val="001B4BDF"/>
    <w:rsid w:val="001B5220"/>
    <w:rsid w:val="001B5664"/>
    <w:rsid w:val="001B5D4E"/>
    <w:rsid w:val="001B5D7D"/>
    <w:rsid w:val="001B64FA"/>
    <w:rsid w:val="001B7752"/>
    <w:rsid w:val="001B7F43"/>
    <w:rsid w:val="001C0BEB"/>
    <w:rsid w:val="001C0C13"/>
    <w:rsid w:val="001C0C44"/>
    <w:rsid w:val="001C1136"/>
    <w:rsid w:val="001C12E8"/>
    <w:rsid w:val="001C1481"/>
    <w:rsid w:val="001C16C4"/>
    <w:rsid w:val="001C1BC6"/>
    <w:rsid w:val="001C1EEA"/>
    <w:rsid w:val="001C2DB0"/>
    <w:rsid w:val="001C4955"/>
    <w:rsid w:val="001C497C"/>
    <w:rsid w:val="001C65A1"/>
    <w:rsid w:val="001C6B77"/>
    <w:rsid w:val="001C73B8"/>
    <w:rsid w:val="001C742A"/>
    <w:rsid w:val="001D0997"/>
    <w:rsid w:val="001D0DE5"/>
    <w:rsid w:val="001D15C1"/>
    <w:rsid w:val="001D2405"/>
    <w:rsid w:val="001D2BCB"/>
    <w:rsid w:val="001D2E97"/>
    <w:rsid w:val="001D3D34"/>
    <w:rsid w:val="001D4090"/>
    <w:rsid w:val="001D55EC"/>
    <w:rsid w:val="001D6816"/>
    <w:rsid w:val="001E10CE"/>
    <w:rsid w:val="001E19F8"/>
    <w:rsid w:val="001E1AED"/>
    <w:rsid w:val="001E2383"/>
    <w:rsid w:val="001E2D51"/>
    <w:rsid w:val="001E2E56"/>
    <w:rsid w:val="001E3686"/>
    <w:rsid w:val="001E3D36"/>
    <w:rsid w:val="001E4665"/>
    <w:rsid w:val="001E4B66"/>
    <w:rsid w:val="001E4CEC"/>
    <w:rsid w:val="001E5BF6"/>
    <w:rsid w:val="001E70FB"/>
    <w:rsid w:val="001F0DE3"/>
    <w:rsid w:val="001F10B0"/>
    <w:rsid w:val="001F1419"/>
    <w:rsid w:val="001F2B63"/>
    <w:rsid w:val="001F37FC"/>
    <w:rsid w:val="001F39D0"/>
    <w:rsid w:val="001F3E63"/>
    <w:rsid w:val="001F42BA"/>
    <w:rsid w:val="001F4535"/>
    <w:rsid w:val="001F73B1"/>
    <w:rsid w:val="001F7522"/>
    <w:rsid w:val="00200C1A"/>
    <w:rsid w:val="002010C9"/>
    <w:rsid w:val="002015EB"/>
    <w:rsid w:val="002028DF"/>
    <w:rsid w:val="00203196"/>
    <w:rsid w:val="00203DB9"/>
    <w:rsid w:val="00204DC6"/>
    <w:rsid w:val="00204F69"/>
    <w:rsid w:val="002050F9"/>
    <w:rsid w:val="00205FDD"/>
    <w:rsid w:val="002065AB"/>
    <w:rsid w:val="0020678B"/>
    <w:rsid w:val="00206C9F"/>
    <w:rsid w:val="00210340"/>
    <w:rsid w:val="00210C4F"/>
    <w:rsid w:val="00211B43"/>
    <w:rsid w:val="00213512"/>
    <w:rsid w:val="002138E4"/>
    <w:rsid w:val="00213D70"/>
    <w:rsid w:val="00215383"/>
    <w:rsid w:val="00215493"/>
    <w:rsid w:val="00215A3F"/>
    <w:rsid w:val="00216932"/>
    <w:rsid w:val="00216AB8"/>
    <w:rsid w:val="00217DA2"/>
    <w:rsid w:val="00220C1F"/>
    <w:rsid w:val="002217E0"/>
    <w:rsid w:val="00221979"/>
    <w:rsid w:val="00221CB9"/>
    <w:rsid w:val="00221E45"/>
    <w:rsid w:val="00225230"/>
    <w:rsid w:val="0022619E"/>
    <w:rsid w:val="00226B5E"/>
    <w:rsid w:val="002275AE"/>
    <w:rsid w:val="00227C7D"/>
    <w:rsid w:val="00230A75"/>
    <w:rsid w:val="00231CD7"/>
    <w:rsid w:val="00232BF3"/>
    <w:rsid w:val="00233778"/>
    <w:rsid w:val="002339D8"/>
    <w:rsid w:val="0023467B"/>
    <w:rsid w:val="002351E3"/>
    <w:rsid w:val="00235280"/>
    <w:rsid w:val="0023563E"/>
    <w:rsid w:val="002369FD"/>
    <w:rsid w:val="00237B6D"/>
    <w:rsid w:val="00240AA5"/>
    <w:rsid w:val="00241F9F"/>
    <w:rsid w:val="002428BA"/>
    <w:rsid w:val="00242D82"/>
    <w:rsid w:val="0024479B"/>
    <w:rsid w:val="00244DE5"/>
    <w:rsid w:val="0024623C"/>
    <w:rsid w:val="00246770"/>
    <w:rsid w:val="00247F85"/>
    <w:rsid w:val="00250111"/>
    <w:rsid w:val="00250A0E"/>
    <w:rsid w:val="00250ACF"/>
    <w:rsid w:val="002519FC"/>
    <w:rsid w:val="00251B06"/>
    <w:rsid w:val="00252D0B"/>
    <w:rsid w:val="002539EF"/>
    <w:rsid w:val="00253B6D"/>
    <w:rsid w:val="00254310"/>
    <w:rsid w:val="002555F4"/>
    <w:rsid w:val="00255BED"/>
    <w:rsid w:val="002560F1"/>
    <w:rsid w:val="002560FE"/>
    <w:rsid w:val="002615EF"/>
    <w:rsid w:val="00261870"/>
    <w:rsid w:val="00263143"/>
    <w:rsid w:val="00263303"/>
    <w:rsid w:val="002636F7"/>
    <w:rsid w:val="0026370A"/>
    <w:rsid w:val="002645F2"/>
    <w:rsid w:val="00264D04"/>
    <w:rsid w:val="00265104"/>
    <w:rsid w:val="00265665"/>
    <w:rsid w:val="00267B36"/>
    <w:rsid w:val="00270A04"/>
    <w:rsid w:val="00270F75"/>
    <w:rsid w:val="00271132"/>
    <w:rsid w:val="002716B9"/>
    <w:rsid w:val="00271740"/>
    <w:rsid w:val="002739A3"/>
    <w:rsid w:val="002747E5"/>
    <w:rsid w:val="00274BFE"/>
    <w:rsid w:val="002756BF"/>
    <w:rsid w:val="00275F2A"/>
    <w:rsid w:val="00276C8D"/>
    <w:rsid w:val="00277A72"/>
    <w:rsid w:val="002808E5"/>
    <w:rsid w:val="002811A4"/>
    <w:rsid w:val="00281655"/>
    <w:rsid w:val="002816AD"/>
    <w:rsid w:val="00282C45"/>
    <w:rsid w:val="00283C71"/>
    <w:rsid w:val="00283FC5"/>
    <w:rsid w:val="002841F9"/>
    <w:rsid w:val="002849E0"/>
    <w:rsid w:val="00285F98"/>
    <w:rsid w:val="00287A3A"/>
    <w:rsid w:val="00290723"/>
    <w:rsid w:val="0029212B"/>
    <w:rsid w:val="0029299D"/>
    <w:rsid w:val="0029335A"/>
    <w:rsid w:val="0029379A"/>
    <w:rsid w:val="002938B5"/>
    <w:rsid w:val="00294EE2"/>
    <w:rsid w:val="00295015"/>
    <w:rsid w:val="0029516D"/>
    <w:rsid w:val="00295FF7"/>
    <w:rsid w:val="002965D8"/>
    <w:rsid w:val="002970B5"/>
    <w:rsid w:val="002A041D"/>
    <w:rsid w:val="002A0FF1"/>
    <w:rsid w:val="002A24CE"/>
    <w:rsid w:val="002A28B8"/>
    <w:rsid w:val="002A2C06"/>
    <w:rsid w:val="002A35C9"/>
    <w:rsid w:val="002A35DD"/>
    <w:rsid w:val="002A3BED"/>
    <w:rsid w:val="002A40F3"/>
    <w:rsid w:val="002A4585"/>
    <w:rsid w:val="002A56A3"/>
    <w:rsid w:val="002A5F78"/>
    <w:rsid w:val="002A789C"/>
    <w:rsid w:val="002B00FA"/>
    <w:rsid w:val="002B061B"/>
    <w:rsid w:val="002B2877"/>
    <w:rsid w:val="002B2A01"/>
    <w:rsid w:val="002B3238"/>
    <w:rsid w:val="002B4BAC"/>
    <w:rsid w:val="002B51F8"/>
    <w:rsid w:val="002B6BF1"/>
    <w:rsid w:val="002B7943"/>
    <w:rsid w:val="002C097A"/>
    <w:rsid w:val="002C0D86"/>
    <w:rsid w:val="002C127A"/>
    <w:rsid w:val="002C2B80"/>
    <w:rsid w:val="002C3961"/>
    <w:rsid w:val="002C411A"/>
    <w:rsid w:val="002C4451"/>
    <w:rsid w:val="002C5D1B"/>
    <w:rsid w:val="002C689C"/>
    <w:rsid w:val="002C69D9"/>
    <w:rsid w:val="002C6F75"/>
    <w:rsid w:val="002D03C3"/>
    <w:rsid w:val="002D0636"/>
    <w:rsid w:val="002D0FBD"/>
    <w:rsid w:val="002D2122"/>
    <w:rsid w:val="002D2510"/>
    <w:rsid w:val="002D3B5C"/>
    <w:rsid w:val="002D4678"/>
    <w:rsid w:val="002D4BFE"/>
    <w:rsid w:val="002D5B35"/>
    <w:rsid w:val="002D69C9"/>
    <w:rsid w:val="002D7FBE"/>
    <w:rsid w:val="002E024C"/>
    <w:rsid w:val="002E1A64"/>
    <w:rsid w:val="002E1F78"/>
    <w:rsid w:val="002E21A1"/>
    <w:rsid w:val="002E2882"/>
    <w:rsid w:val="002E355D"/>
    <w:rsid w:val="002E37E0"/>
    <w:rsid w:val="002E3D01"/>
    <w:rsid w:val="002E44CA"/>
    <w:rsid w:val="002E45EC"/>
    <w:rsid w:val="002E520F"/>
    <w:rsid w:val="002E5338"/>
    <w:rsid w:val="002E68D7"/>
    <w:rsid w:val="002E78A8"/>
    <w:rsid w:val="002E79FB"/>
    <w:rsid w:val="002F0A99"/>
    <w:rsid w:val="002F1E8D"/>
    <w:rsid w:val="002F3965"/>
    <w:rsid w:val="002F3D56"/>
    <w:rsid w:val="002F3DCF"/>
    <w:rsid w:val="002F476A"/>
    <w:rsid w:val="002F4BBB"/>
    <w:rsid w:val="002F5D74"/>
    <w:rsid w:val="002F63A1"/>
    <w:rsid w:val="002F66E8"/>
    <w:rsid w:val="002F7290"/>
    <w:rsid w:val="0030041C"/>
    <w:rsid w:val="003010FC"/>
    <w:rsid w:val="003013AD"/>
    <w:rsid w:val="00304AD7"/>
    <w:rsid w:val="003057E1"/>
    <w:rsid w:val="00306DAB"/>
    <w:rsid w:val="00307473"/>
    <w:rsid w:val="00310828"/>
    <w:rsid w:val="00312103"/>
    <w:rsid w:val="0031320E"/>
    <w:rsid w:val="00313B88"/>
    <w:rsid w:val="00314299"/>
    <w:rsid w:val="003143DD"/>
    <w:rsid w:val="00314DA5"/>
    <w:rsid w:val="00316A73"/>
    <w:rsid w:val="0031705E"/>
    <w:rsid w:val="003172E4"/>
    <w:rsid w:val="003205A1"/>
    <w:rsid w:val="00320D73"/>
    <w:rsid w:val="003223AA"/>
    <w:rsid w:val="00322675"/>
    <w:rsid w:val="00325091"/>
    <w:rsid w:val="0032640E"/>
    <w:rsid w:val="003273AB"/>
    <w:rsid w:val="003277F1"/>
    <w:rsid w:val="0033382C"/>
    <w:rsid w:val="00334BF9"/>
    <w:rsid w:val="00334C25"/>
    <w:rsid w:val="003350D4"/>
    <w:rsid w:val="003366F8"/>
    <w:rsid w:val="00337323"/>
    <w:rsid w:val="00337ABF"/>
    <w:rsid w:val="0034213E"/>
    <w:rsid w:val="00342FC2"/>
    <w:rsid w:val="0034355D"/>
    <w:rsid w:val="00344591"/>
    <w:rsid w:val="00344BFA"/>
    <w:rsid w:val="00344CB7"/>
    <w:rsid w:val="0035067B"/>
    <w:rsid w:val="0035082E"/>
    <w:rsid w:val="00350C4F"/>
    <w:rsid w:val="0035162A"/>
    <w:rsid w:val="003527CF"/>
    <w:rsid w:val="00352A79"/>
    <w:rsid w:val="0035375C"/>
    <w:rsid w:val="00353C9E"/>
    <w:rsid w:val="00354D75"/>
    <w:rsid w:val="00355056"/>
    <w:rsid w:val="00356489"/>
    <w:rsid w:val="00356EEF"/>
    <w:rsid w:val="00357BC5"/>
    <w:rsid w:val="00357C60"/>
    <w:rsid w:val="00360C7F"/>
    <w:rsid w:val="003612C8"/>
    <w:rsid w:val="003614C5"/>
    <w:rsid w:val="00361BDA"/>
    <w:rsid w:val="003622C2"/>
    <w:rsid w:val="003626F7"/>
    <w:rsid w:val="00364E63"/>
    <w:rsid w:val="0036514D"/>
    <w:rsid w:val="00365D3A"/>
    <w:rsid w:val="0036779C"/>
    <w:rsid w:val="00370224"/>
    <w:rsid w:val="00374311"/>
    <w:rsid w:val="00374334"/>
    <w:rsid w:val="003746F2"/>
    <w:rsid w:val="00374C6A"/>
    <w:rsid w:val="0037656E"/>
    <w:rsid w:val="00376E3B"/>
    <w:rsid w:val="0037709B"/>
    <w:rsid w:val="0037748B"/>
    <w:rsid w:val="00377E2D"/>
    <w:rsid w:val="003803F5"/>
    <w:rsid w:val="00380DB2"/>
    <w:rsid w:val="0038145C"/>
    <w:rsid w:val="0038171B"/>
    <w:rsid w:val="0038220B"/>
    <w:rsid w:val="00382A27"/>
    <w:rsid w:val="00382C8B"/>
    <w:rsid w:val="00383398"/>
    <w:rsid w:val="003840BA"/>
    <w:rsid w:val="00384153"/>
    <w:rsid w:val="00384858"/>
    <w:rsid w:val="00384FE7"/>
    <w:rsid w:val="00386CD5"/>
    <w:rsid w:val="00387A64"/>
    <w:rsid w:val="00390299"/>
    <w:rsid w:val="00390D96"/>
    <w:rsid w:val="003914C3"/>
    <w:rsid w:val="00391A88"/>
    <w:rsid w:val="003929C7"/>
    <w:rsid w:val="00394A89"/>
    <w:rsid w:val="00394B95"/>
    <w:rsid w:val="00394C1D"/>
    <w:rsid w:val="00394C92"/>
    <w:rsid w:val="003951A3"/>
    <w:rsid w:val="00395B34"/>
    <w:rsid w:val="00396087"/>
    <w:rsid w:val="00396ADC"/>
    <w:rsid w:val="00397420"/>
    <w:rsid w:val="00397B93"/>
    <w:rsid w:val="003A0B25"/>
    <w:rsid w:val="003A0CDC"/>
    <w:rsid w:val="003A3181"/>
    <w:rsid w:val="003A3723"/>
    <w:rsid w:val="003A3CCA"/>
    <w:rsid w:val="003A52F9"/>
    <w:rsid w:val="003A5590"/>
    <w:rsid w:val="003A7601"/>
    <w:rsid w:val="003B18CC"/>
    <w:rsid w:val="003B22BB"/>
    <w:rsid w:val="003B2580"/>
    <w:rsid w:val="003B26DD"/>
    <w:rsid w:val="003B433C"/>
    <w:rsid w:val="003B460B"/>
    <w:rsid w:val="003B55BF"/>
    <w:rsid w:val="003B5914"/>
    <w:rsid w:val="003B5F9E"/>
    <w:rsid w:val="003B6613"/>
    <w:rsid w:val="003B66B8"/>
    <w:rsid w:val="003B7055"/>
    <w:rsid w:val="003B77DE"/>
    <w:rsid w:val="003C0236"/>
    <w:rsid w:val="003C2727"/>
    <w:rsid w:val="003C272C"/>
    <w:rsid w:val="003C2BDF"/>
    <w:rsid w:val="003C2DD6"/>
    <w:rsid w:val="003C3B81"/>
    <w:rsid w:val="003C3FF7"/>
    <w:rsid w:val="003C421F"/>
    <w:rsid w:val="003C66A2"/>
    <w:rsid w:val="003C6826"/>
    <w:rsid w:val="003C6B0D"/>
    <w:rsid w:val="003C70FD"/>
    <w:rsid w:val="003C7931"/>
    <w:rsid w:val="003C7E75"/>
    <w:rsid w:val="003D0046"/>
    <w:rsid w:val="003D03EA"/>
    <w:rsid w:val="003D0C77"/>
    <w:rsid w:val="003D15CB"/>
    <w:rsid w:val="003D1A28"/>
    <w:rsid w:val="003D1B16"/>
    <w:rsid w:val="003D1BF6"/>
    <w:rsid w:val="003D1C87"/>
    <w:rsid w:val="003D2638"/>
    <w:rsid w:val="003D306C"/>
    <w:rsid w:val="003D31D9"/>
    <w:rsid w:val="003D400F"/>
    <w:rsid w:val="003D41C4"/>
    <w:rsid w:val="003D4472"/>
    <w:rsid w:val="003D487E"/>
    <w:rsid w:val="003D58EE"/>
    <w:rsid w:val="003D5913"/>
    <w:rsid w:val="003D5A01"/>
    <w:rsid w:val="003D66D1"/>
    <w:rsid w:val="003D77E8"/>
    <w:rsid w:val="003D785B"/>
    <w:rsid w:val="003D7DA7"/>
    <w:rsid w:val="003E0128"/>
    <w:rsid w:val="003E0276"/>
    <w:rsid w:val="003E162D"/>
    <w:rsid w:val="003E2268"/>
    <w:rsid w:val="003E3E3B"/>
    <w:rsid w:val="003E447A"/>
    <w:rsid w:val="003E4741"/>
    <w:rsid w:val="003E4AF1"/>
    <w:rsid w:val="003E4BD8"/>
    <w:rsid w:val="003E66E3"/>
    <w:rsid w:val="003E675E"/>
    <w:rsid w:val="003F0FB0"/>
    <w:rsid w:val="003F134E"/>
    <w:rsid w:val="003F1F26"/>
    <w:rsid w:val="003F337C"/>
    <w:rsid w:val="003F60D5"/>
    <w:rsid w:val="003F6108"/>
    <w:rsid w:val="003F70EF"/>
    <w:rsid w:val="00400544"/>
    <w:rsid w:val="00400A3A"/>
    <w:rsid w:val="004012B2"/>
    <w:rsid w:val="00401FC7"/>
    <w:rsid w:val="004020E2"/>
    <w:rsid w:val="00402D11"/>
    <w:rsid w:val="00402E95"/>
    <w:rsid w:val="00403F0A"/>
    <w:rsid w:val="004042FD"/>
    <w:rsid w:val="004065F2"/>
    <w:rsid w:val="004066C1"/>
    <w:rsid w:val="0040682D"/>
    <w:rsid w:val="00406B0F"/>
    <w:rsid w:val="00406ED1"/>
    <w:rsid w:val="0040701F"/>
    <w:rsid w:val="00407654"/>
    <w:rsid w:val="004076BC"/>
    <w:rsid w:val="0041145E"/>
    <w:rsid w:val="00412F54"/>
    <w:rsid w:val="0041351D"/>
    <w:rsid w:val="004142F6"/>
    <w:rsid w:val="00414531"/>
    <w:rsid w:val="00414692"/>
    <w:rsid w:val="00414F1C"/>
    <w:rsid w:val="00417AA2"/>
    <w:rsid w:val="00420705"/>
    <w:rsid w:val="00420C71"/>
    <w:rsid w:val="004219E5"/>
    <w:rsid w:val="00421D5D"/>
    <w:rsid w:val="00422C98"/>
    <w:rsid w:val="004230AC"/>
    <w:rsid w:val="00423664"/>
    <w:rsid w:val="0042461C"/>
    <w:rsid w:val="004253C5"/>
    <w:rsid w:val="004253C7"/>
    <w:rsid w:val="0042550C"/>
    <w:rsid w:val="004255E6"/>
    <w:rsid w:val="00425834"/>
    <w:rsid w:val="00425ED9"/>
    <w:rsid w:val="00426519"/>
    <w:rsid w:val="00426C90"/>
    <w:rsid w:val="00427400"/>
    <w:rsid w:val="0042776D"/>
    <w:rsid w:val="00427DC8"/>
    <w:rsid w:val="0043204E"/>
    <w:rsid w:val="00432D2E"/>
    <w:rsid w:val="0043371A"/>
    <w:rsid w:val="00433DD4"/>
    <w:rsid w:val="00434458"/>
    <w:rsid w:val="004352D5"/>
    <w:rsid w:val="00436681"/>
    <w:rsid w:val="00437E64"/>
    <w:rsid w:val="00437EB7"/>
    <w:rsid w:val="004405FF"/>
    <w:rsid w:val="004411A7"/>
    <w:rsid w:val="0044153C"/>
    <w:rsid w:val="00443401"/>
    <w:rsid w:val="00443531"/>
    <w:rsid w:val="004437BE"/>
    <w:rsid w:val="00443832"/>
    <w:rsid w:val="00445375"/>
    <w:rsid w:val="004472CD"/>
    <w:rsid w:val="00447414"/>
    <w:rsid w:val="0044760E"/>
    <w:rsid w:val="004502B4"/>
    <w:rsid w:val="004505C9"/>
    <w:rsid w:val="00451DFD"/>
    <w:rsid w:val="00452227"/>
    <w:rsid w:val="004526D9"/>
    <w:rsid w:val="004528A9"/>
    <w:rsid w:val="00452FC6"/>
    <w:rsid w:val="0045392D"/>
    <w:rsid w:val="00454972"/>
    <w:rsid w:val="00454DFE"/>
    <w:rsid w:val="00454EAF"/>
    <w:rsid w:val="00456F2F"/>
    <w:rsid w:val="00457099"/>
    <w:rsid w:val="00460666"/>
    <w:rsid w:val="004611FA"/>
    <w:rsid w:val="00461885"/>
    <w:rsid w:val="00461AA4"/>
    <w:rsid w:val="00461E2F"/>
    <w:rsid w:val="00462672"/>
    <w:rsid w:val="00463A7C"/>
    <w:rsid w:val="004645E7"/>
    <w:rsid w:val="00464AD1"/>
    <w:rsid w:val="004661D0"/>
    <w:rsid w:val="00466BF7"/>
    <w:rsid w:val="00466DAE"/>
    <w:rsid w:val="00467652"/>
    <w:rsid w:val="00467EC3"/>
    <w:rsid w:val="00470066"/>
    <w:rsid w:val="00472428"/>
    <w:rsid w:val="00473FE3"/>
    <w:rsid w:val="00474214"/>
    <w:rsid w:val="00476F3A"/>
    <w:rsid w:val="00480DE5"/>
    <w:rsid w:val="00481FAC"/>
    <w:rsid w:val="004827AA"/>
    <w:rsid w:val="00482E71"/>
    <w:rsid w:val="00482FE2"/>
    <w:rsid w:val="00485071"/>
    <w:rsid w:val="0048520B"/>
    <w:rsid w:val="00485861"/>
    <w:rsid w:val="00485D7B"/>
    <w:rsid w:val="0048645D"/>
    <w:rsid w:val="004864F9"/>
    <w:rsid w:val="00487E1E"/>
    <w:rsid w:val="004901AA"/>
    <w:rsid w:val="00491389"/>
    <w:rsid w:val="0049228B"/>
    <w:rsid w:val="00493B7B"/>
    <w:rsid w:val="00493F24"/>
    <w:rsid w:val="0049453D"/>
    <w:rsid w:val="00494D2B"/>
    <w:rsid w:val="004951BA"/>
    <w:rsid w:val="004958D8"/>
    <w:rsid w:val="00495F44"/>
    <w:rsid w:val="00496BF2"/>
    <w:rsid w:val="00497AD8"/>
    <w:rsid w:val="00497B4A"/>
    <w:rsid w:val="004A007D"/>
    <w:rsid w:val="004A080F"/>
    <w:rsid w:val="004A088C"/>
    <w:rsid w:val="004A0B24"/>
    <w:rsid w:val="004A26DE"/>
    <w:rsid w:val="004A2BC3"/>
    <w:rsid w:val="004A3A51"/>
    <w:rsid w:val="004A3E5E"/>
    <w:rsid w:val="004A3F75"/>
    <w:rsid w:val="004A4036"/>
    <w:rsid w:val="004A4952"/>
    <w:rsid w:val="004A4A00"/>
    <w:rsid w:val="004A5479"/>
    <w:rsid w:val="004A54C3"/>
    <w:rsid w:val="004A63B2"/>
    <w:rsid w:val="004A645D"/>
    <w:rsid w:val="004A71BF"/>
    <w:rsid w:val="004B05AE"/>
    <w:rsid w:val="004B0E20"/>
    <w:rsid w:val="004B18A0"/>
    <w:rsid w:val="004B1BFA"/>
    <w:rsid w:val="004B267E"/>
    <w:rsid w:val="004B36C6"/>
    <w:rsid w:val="004B570C"/>
    <w:rsid w:val="004B595C"/>
    <w:rsid w:val="004B5CF4"/>
    <w:rsid w:val="004B62A7"/>
    <w:rsid w:val="004B6E47"/>
    <w:rsid w:val="004B6F93"/>
    <w:rsid w:val="004B79F2"/>
    <w:rsid w:val="004B7C7D"/>
    <w:rsid w:val="004B7E4D"/>
    <w:rsid w:val="004C0156"/>
    <w:rsid w:val="004C015E"/>
    <w:rsid w:val="004C020B"/>
    <w:rsid w:val="004C1E44"/>
    <w:rsid w:val="004C3512"/>
    <w:rsid w:val="004C3658"/>
    <w:rsid w:val="004C3D22"/>
    <w:rsid w:val="004C4957"/>
    <w:rsid w:val="004C52D4"/>
    <w:rsid w:val="004C6D25"/>
    <w:rsid w:val="004C73F6"/>
    <w:rsid w:val="004C7724"/>
    <w:rsid w:val="004C7EBE"/>
    <w:rsid w:val="004C7FBE"/>
    <w:rsid w:val="004C7FD4"/>
    <w:rsid w:val="004D0C19"/>
    <w:rsid w:val="004D0CE1"/>
    <w:rsid w:val="004D0F55"/>
    <w:rsid w:val="004D16A4"/>
    <w:rsid w:val="004D277D"/>
    <w:rsid w:val="004D278F"/>
    <w:rsid w:val="004D33C5"/>
    <w:rsid w:val="004D40B6"/>
    <w:rsid w:val="004D42A1"/>
    <w:rsid w:val="004D4A28"/>
    <w:rsid w:val="004D7541"/>
    <w:rsid w:val="004D7F5F"/>
    <w:rsid w:val="004E023D"/>
    <w:rsid w:val="004E0F1C"/>
    <w:rsid w:val="004E1501"/>
    <w:rsid w:val="004E186B"/>
    <w:rsid w:val="004E1C77"/>
    <w:rsid w:val="004E233B"/>
    <w:rsid w:val="004E4626"/>
    <w:rsid w:val="004E58ED"/>
    <w:rsid w:val="004E623C"/>
    <w:rsid w:val="004E69C1"/>
    <w:rsid w:val="004E74A9"/>
    <w:rsid w:val="004E76E3"/>
    <w:rsid w:val="004E786F"/>
    <w:rsid w:val="004F1202"/>
    <w:rsid w:val="004F14B6"/>
    <w:rsid w:val="004F1E50"/>
    <w:rsid w:val="004F2547"/>
    <w:rsid w:val="004F2FE4"/>
    <w:rsid w:val="004F304B"/>
    <w:rsid w:val="004F47BA"/>
    <w:rsid w:val="004F49F9"/>
    <w:rsid w:val="004F54CF"/>
    <w:rsid w:val="004F7108"/>
    <w:rsid w:val="0050044D"/>
    <w:rsid w:val="005015EE"/>
    <w:rsid w:val="00501608"/>
    <w:rsid w:val="0050249C"/>
    <w:rsid w:val="0050376D"/>
    <w:rsid w:val="00503E29"/>
    <w:rsid w:val="00505180"/>
    <w:rsid w:val="00505602"/>
    <w:rsid w:val="00505DFE"/>
    <w:rsid w:val="00505F69"/>
    <w:rsid w:val="00506413"/>
    <w:rsid w:val="00510354"/>
    <w:rsid w:val="00511478"/>
    <w:rsid w:val="00511D2B"/>
    <w:rsid w:val="00512B69"/>
    <w:rsid w:val="0051585B"/>
    <w:rsid w:val="00516616"/>
    <w:rsid w:val="00516701"/>
    <w:rsid w:val="00516E82"/>
    <w:rsid w:val="005174C2"/>
    <w:rsid w:val="00517B92"/>
    <w:rsid w:val="00517E88"/>
    <w:rsid w:val="00520D07"/>
    <w:rsid w:val="00520D7F"/>
    <w:rsid w:val="005215C5"/>
    <w:rsid w:val="00521C58"/>
    <w:rsid w:val="0052202A"/>
    <w:rsid w:val="00522821"/>
    <w:rsid w:val="00524004"/>
    <w:rsid w:val="005249D0"/>
    <w:rsid w:val="00525711"/>
    <w:rsid w:val="00525832"/>
    <w:rsid w:val="005265A3"/>
    <w:rsid w:val="00526C73"/>
    <w:rsid w:val="00530242"/>
    <w:rsid w:val="00530B4E"/>
    <w:rsid w:val="00530FF2"/>
    <w:rsid w:val="00532379"/>
    <w:rsid w:val="0053334D"/>
    <w:rsid w:val="005333CF"/>
    <w:rsid w:val="00534161"/>
    <w:rsid w:val="00534B0F"/>
    <w:rsid w:val="00537CD8"/>
    <w:rsid w:val="005407D9"/>
    <w:rsid w:val="00541B06"/>
    <w:rsid w:val="00542AAA"/>
    <w:rsid w:val="0054318B"/>
    <w:rsid w:val="005445EE"/>
    <w:rsid w:val="00545057"/>
    <w:rsid w:val="00545D51"/>
    <w:rsid w:val="00546639"/>
    <w:rsid w:val="0054689D"/>
    <w:rsid w:val="00546C44"/>
    <w:rsid w:val="00546E61"/>
    <w:rsid w:val="00546E87"/>
    <w:rsid w:val="00546EBB"/>
    <w:rsid w:val="00547233"/>
    <w:rsid w:val="005503AD"/>
    <w:rsid w:val="00550C41"/>
    <w:rsid w:val="0055116A"/>
    <w:rsid w:val="005517BB"/>
    <w:rsid w:val="00553139"/>
    <w:rsid w:val="005534D8"/>
    <w:rsid w:val="0055379F"/>
    <w:rsid w:val="0055400F"/>
    <w:rsid w:val="00554A8F"/>
    <w:rsid w:val="00555314"/>
    <w:rsid w:val="00555854"/>
    <w:rsid w:val="00557E45"/>
    <w:rsid w:val="005600BA"/>
    <w:rsid w:val="00560907"/>
    <w:rsid w:val="00560F9B"/>
    <w:rsid w:val="005616C2"/>
    <w:rsid w:val="005624BB"/>
    <w:rsid w:val="00562CB3"/>
    <w:rsid w:val="005646C2"/>
    <w:rsid w:val="00565E2A"/>
    <w:rsid w:val="00566541"/>
    <w:rsid w:val="00566DB8"/>
    <w:rsid w:val="00567212"/>
    <w:rsid w:val="005707CE"/>
    <w:rsid w:val="00570882"/>
    <w:rsid w:val="00570D2B"/>
    <w:rsid w:val="00570E44"/>
    <w:rsid w:val="00571B42"/>
    <w:rsid w:val="00571BDB"/>
    <w:rsid w:val="00571D3C"/>
    <w:rsid w:val="0057225E"/>
    <w:rsid w:val="00572302"/>
    <w:rsid w:val="005724BA"/>
    <w:rsid w:val="00572C30"/>
    <w:rsid w:val="00573017"/>
    <w:rsid w:val="0057384C"/>
    <w:rsid w:val="00573B60"/>
    <w:rsid w:val="00573C76"/>
    <w:rsid w:val="00573CEC"/>
    <w:rsid w:val="005740C9"/>
    <w:rsid w:val="005749BC"/>
    <w:rsid w:val="005753D4"/>
    <w:rsid w:val="0057596B"/>
    <w:rsid w:val="00575A76"/>
    <w:rsid w:val="00575ADD"/>
    <w:rsid w:val="005766D0"/>
    <w:rsid w:val="0058030C"/>
    <w:rsid w:val="005812A3"/>
    <w:rsid w:val="00582087"/>
    <w:rsid w:val="005822F0"/>
    <w:rsid w:val="00582A2C"/>
    <w:rsid w:val="005830AB"/>
    <w:rsid w:val="00585BAB"/>
    <w:rsid w:val="00585BEC"/>
    <w:rsid w:val="00585D5E"/>
    <w:rsid w:val="005864AA"/>
    <w:rsid w:val="00587733"/>
    <w:rsid w:val="0058780B"/>
    <w:rsid w:val="0059276C"/>
    <w:rsid w:val="005933AC"/>
    <w:rsid w:val="005937D4"/>
    <w:rsid w:val="00594DBE"/>
    <w:rsid w:val="00596330"/>
    <w:rsid w:val="00596C92"/>
    <w:rsid w:val="00597ECB"/>
    <w:rsid w:val="005A075B"/>
    <w:rsid w:val="005A0936"/>
    <w:rsid w:val="005A0C28"/>
    <w:rsid w:val="005A11AF"/>
    <w:rsid w:val="005A3636"/>
    <w:rsid w:val="005A4FC6"/>
    <w:rsid w:val="005A57BD"/>
    <w:rsid w:val="005A5D24"/>
    <w:rsid w:val="005A78E2"/>
    <w:rsid w:val="005B0826"/>
    <w:rsid w:val="005B0C20"/>
    <w:rsid w:val="005B176A"/>
    <w:rsid w:val="005B1785"/>
    <w:rsid w:val="005B1CED"/>
    <w:rsid w:val="005B2A8D"/>
    <w:rsid w:val="005B3B45"/>
    <w:rsid w:val="005B3D8F"/>
    <w:rsid w:val="005B4FF2"/>
    <w:rsid w:val="005B62D0"/>
    <w:rsid w:val="005B7041"/>
    <w:rsid w:val="005C0814"/>
    <w:rsid w:val="005C0F8F"/>
    <w:rsid w:val="005C2373"/>
    <w:rsid w:val="005C316A"/>
    <w:rsid w:val="005C40DD"/>
    <w:rsid w:val="005C431F"/>
    <w:rsid w:val="005C4C33"/>
    <w:rsid w:val="005C54F7"/>
    <w:rsid w:val="005C57D1"/>
    <w:rsid w:val="005C5B58"/>
    <w:rsid w:val="005C6A8B"/>
    <w:rsid w:val="005C6BD3"/>
    <w:rsid w:val="005D01C9"/>
    <w:rsid w:val="005D2B2D"/>
    <w:rsid w:val="005D702A"/>
    <w:rsid w:val="005D7323"/>
    <w:rsid w:val="005E17AB"/>
    <w:rsid w:val="005E2F5C"/>
    <w:rsid w:val="005E308C"/>
    <w:rsid w:val="005E3497"/>
    <w:rsid w:val="005E4448"/>
    <w:rsid w:val="005E51C6"/>
    <w:rsid w:val="005E59A2"/>
    <w:rsid w:val="005E5C8B"/>
    <w:rsid w:val="005E5F08"/>
    <w:rsid w:val="005E6309"/>
    <w:rsid w:val="005E67F6"/>
    <w:rsid w:val="005E7D00"/>
    <w:rsid w:val="005F13CA"/>
    <w:rsid w:val="005F201D"/>
    <w:rsid w:val="005F2A7E"/>
    <w:rsid w:val="005F40ED"/>
    <w:rsid w:val="005F4166"/>
    <w:rsid w:val="005F4256"/>
    <w:rsid w:val="005F438C"/>
    <w:rsid w:val="005F47F3"/>
    <w:rsid w:val="005F4ADA"/>
    <w:rsid w:val="005F50D3"/>
    <w:rsid w:val="005F5C63"/>
    <w:rsid w:val="005F5DFC"/>
    <w:rsid w:val="005F7DE0"/>
    <w:rsid w:val="00600DCE"/>
    <w:rsid w:val="006028ED"/>
    <w:rsid w:val="00603695"/>
    <w:rsid w:val="0060438E"/>
    <w:rsid w:val="00605C40"/>
    <w:rsid w:val="00606277"/>
    <w:rsid w:val="00606D7F"/>
    <w:rsid w:val="00607031"/>
    <w:rsid w:val="00607E69"/>
    <w:rsid w:val="0061054D"/>
    <w:rsid w:val="00614802"/>
    <w:rsid w:val="00614883"/>
    <w:rsid w:val="006150D1"/>
    <w:rsid w:val="006157D4"/>
    <w:rsid w:val="00615D7B"/>
    <w:rsid w:val="006166D3"/>
    <w:rsid w:val="00616DE4"/>
    <w:rsid w:val="00617268"/>
    <w:rsid w:val="00617E8E"/>
    <w:rsid w:val="00620402"/>
    <w:rsid w:val="00620680"/>
    <w:rsid w:val="00620F00"/>
    <w:rsid w:val="00621AA7"/>
    <w:rsid w:val="00621BB1"/>
    <w:rsid w:val="00623962"/>
    <w:rsid w:val="006256D1"/>
    <w:rsid w:val="00625CF0"/>
    <w:rsid w:val="00626069"/>
    <w:rsid w:val="00632A96"/>
    <w:rsid w:val="00633957"/>
    <w:rsid w:val="00633970"/>
    <w:rsid w:val="00634DDF"/>
    <w:rsid w:val="0063573A"/>
    <w:rsid w:val="00635812"/>
    <w:rsid w:val="00635C0C"/>
    <w:rsid w:val="00635D4B"/>
    <w:rsid w:val="00636B58"/>
    <w:rsid w:val="00640274"/>
    <w:rsid w:val="00640741"/>
    <w:rsid w:val="00640B5A"/>
    <w:rsid w:val="006417AA"/>
    <w:rsid w:val="00641BAF"/>
    <w:rsid w:val="00641F02"/>
    <w:rsid w:val="00642096"/>
    <w:rsid w:val="0064275A"/>
    <w:rsid w:val="00642AD5"/>
    <w:rsid w:val="00642D32"/>
    <w:rsid w:val="0064318D"/>
    <w:rsid w:val="00644102"/>
    <w:rsid w:val="00644AE4"/>
    <w:rsid w:val="00645E59"/>
    <w:rsid w:val="00647429"/>
    <w:rsid w:val="00647935"/>
    <w:rsid w:val="00650243"/>
    <w:rsid w:val="006505C3"/>
    <w:rsid w:val="006509CD"/>
    <w:rsid w:val="0065154F"/>
    <w:rsid w:val="006536B6"/>
    <w:rsid w:val="00654DA6"/>
    <w:rsid w:val="006576FC"/>
    <w:rsid w:val="006611CE"/>
    <w:rsid w:val="00662C37"/>
    <w:rsid w:val="0066321E"/>
    <w:rsid w:val="00663BE3"/>
    <w:rsid w:val="00664E08"/>
    <w:rsid w:val="00665A95"/>
    <w:rsid w:val="006661C3"/>
    <w:rsid w:val="00667077"/>
    <w:rsid w:val="00667C77"/>
    <w:rsid w:val="00667E7B"/>
    <w:rsid w:val="0067046A"/>
    <w:rsid w:val="00670DA5"/>
    <w:rsid w:val="00672B32"/>
    <w:rsid w:val="00673932"/>
    <w:rsid w:val="0067432D"/>
    <w:rsid w:val="006766AA"/>
    <w:rsid w:val="00680093"/>
    <w:rsid w:val="006806C8"/>
    <w:rsid w:val="00680888"/>
    <w:rsid w:val="00680B72"/>
    <w:rsid w:val="00680EBD"/>
    <w:rsid w:val="00681FA9"/>
    <w:rsid w:val="006821AF"/>
    <w:rsid w:val="00682260"/>
    <w:rsid w:val="0068232E"/>
    <w:rsid w:val="00682660"/>
    <w:rsid w:val="00683112"/>
    <w:rsid w:val="0068363F"/>
    <w:rsid w:val="00683E2D"/>
    <w:rsid w:val="0068521C"/>
    <w:rsid w:val="006860A1"/>
    <w:rsid w:val="006904F5"/>
    <w:rsid w:val="0069133E"/>
    <w:rsid w:val="006924D1"/>
    <w:rsid w:val="00692954"/>
    <w:rsid w:val="00692E7F"/>
    <w:rsid w:val="006948ED"/>
    <w:rsid w:val="00695FA1"/>
    <w:rsid w:val="006964DA"/>
    <w:rsid w:val="00696659"/>
    <w:rsid w:val="00696CAC"/>
    <w:rsid w:val="00696D84"/>
    <w:rsid w:val="006A07C4"/>
    <w:rsid w:val="006A19DA"/>
    <w:rsid w:val="006A2089"/>
    <w:rsid w:val="006A21D8"/>
    <w:rsid w:val="006A3260"/>
    <w:rsid w:val="006A417F"/>
    <w:rsid w:val="006A52C9"/>
    <w:rsid w:val="006A5A2E"/>
    <w:rsid w:val="006A62F8"/>
    <w:rsid w:val="006A6874"/>
    <w:rsid w:val="006A68BF"/>
    <w:rsid w:val="006A6FCC"/>
    <w:rsid w:val="006B02C0"/>
    <w:rsid w:val="006B0770"/>
    <w:rsid w:val="006B1869"/>
    <w:rsid w:val="006B188E"/>
    <w:rsid w:val="006B348D"/>
    <w:rsid w:val="006B455C"/>
    <w:rsid w:val="006B4642"/>
    <w:rsid w:val="006B6399"/>
    <w:rsid w:val="006B66EB"/>
    <w:rsid w:val="006B67C9"/>
    <w:rsid w:val="006B6F46"/>
    <w:rsid w:val="006B7B14"/>
    <w:rsid w:val="006C0542"/>
    <w:rsid w:val="006C1411"/>
    <w:rsid w:val="006C1A7B"/>
    <w:rsid w:val="006C1F6B"/>
    <w:rsid w:val="006C247B"/>
    <w:rsid w:val="006C30A8"/>
    <w:rsid w:val="006C33D6"/>
    <w:rsid w:val="006C3BA9"/>
    <w:rsid w:val="006C526C"/>
    <w:rsid w:val="006C53C0"/>
    <w:rsid w:val="006C5D00"/>
    <w:rsid w:val="006C6176"/>
    <w:rsid w:val="006C6446"/>
    <w:rsid w:val="006C6AF2"/>
    <w:rsid w:val="006C7BCC"/>
    <w:rsid w:val="006D1175"/>
    <w:rsid w:val="006D1331"/>
    <w:rsid w:val="006D239F"/>
    <w:rsid w:val="006D293B"/>
    <w:rsid w:val="006D6344"/>
    <w:rsid w:val="006D64AD"/>
    <w:rsid w:val="006D75B0"/>
    <w:rsid w:val="006E0170"/>
    <w:rsid w:val="006E137E"/>
    <w:rsid w:val="006E1FEB"/>
    <w:rsid w:val="006E2EF9"/>
    <w:rsid w:val="006E30E6"/>
    <w:rsid w:val="006E3111"/>
    <w:rsid w:val="006E3125"/>
    <w:rsid w:val="006E36E8"/>
    <w:rsid w:val="006E4167"/>
    <w:rsid w:val="006E42B2"/>
    <w:rsid w:val="006E4A88"/>
    <w:rsid w:val="006E4DD3"/>
    <w:rsid w:val="006E5D3A"/>
    <w:rsid w:val="006E7090"/>
    <w:rsid w:val="006E7A16"/>
    <w:rsid w:val="006E7E91"/>
    <w:rsid w:val="006F067B"/>
    <w:rsid w:val="006F17CB"/>
    <w:rsid w:val="006F20DA"/>
    <w:rsid w:val="006F273D"/>
    <w:rsid w:val="006F2D04"/>
    <w:rsid w:val="006F3026"/>
    <w:rsid w:val="006F5389"/>
    <w:rsid w:val="006F6249"/>
    <w:rsid w:val="006F6D41"/>
    <w:rsid w:val="006F74EF"/>
    <w:rsid w:val="00700ABB"/>
    <w:rsid w:val="00700B17"/>
    <w:rsid w:val="00700B5C"/>
    <w:rsid w:val="00701998"/>
    <w:rsid w:val="00702C73"/>
    <w:rsid w:val="00702C92"/>
    <w:rsid w:val="007033BB"/>
    <w:rsid w:val="00703934"/>
    <w:rsid w:val="00703CE8"/>
    <w:rsid w:val="007046D0"/>
    <w:rsid w:val="00704EC4"/>
    <w:rsid w:val="00705037"/>
    <w:rsid w:val="007075E0"/>
    <w:rsid w:val="00707D18"/>
    <w:rsid w:val="00710669"/>
    <w:rsid w:val="00710C07"/>
    <w:rsid w:val="00712856"/>
    <w:rsid w:val="00713646"/>
    <w:rsid w:val="00713B32"/>
    <w:rsid w:val="00714B82"/>
    <w:rsid w:val="007163E5"/>
    <w:rsid w:val="0071658B"/>
    <w:rsid w:val="00716E03"/>
    <w:rsid w:val="00717D35"/>
    <w:rsid w:val="00717D57"/>
    <w:rsid w:val="00720C37"/>
    <w:rsid w:val="0072182C"/>
    <w:rsid w:val="007230E7"/>
    <w:rsid w:val="00724291"/>
    <w:rsid w:val="007242CF"/>
    <w:rsid w:val="007244D0"/>
    <w:rsid w:val="00724876"/>
    <w:rsid w:val="00724A5B"/>
    <w:rsid w:val="007256B2"/>
    <w:rsid w:val="00725796"/>
    <w:rsid w:val="00726FE6"/>
    <w:rsid w:val="00727A2D"/>
    <w:rsid w:val="00730879"/>
    <w:rsid w:val="007317E8"/>
    <w:rsid w:val="007318E6"/>
    <w:rsid w:val="00731EE1"/>
    <w:rsid w:val="00732A9C"/>
    <w:rsid w:val="00732ED2"/>
    <w:rsid w:val="00733870"/>
    <w:rsid w:val="00733B6B"/>
    <w:rsid w:val="00733E74"/>
    <w:rsid w:val="007345AF"/>
    <w:rsid w:val="007346E1"/>
    <w:rsid w:val="007353E4"/>
    <w:rsid w:val="0073622B"/>
    <w:rsid w:val="007367F2"/>
    <w:rsid w:val="00736DE1"/>
    <w:rsid w:val="00740168"/>
    <w:rsid w:val="00741BA8"/>
    <w:rsid w:val="00742F6F"/>
    <w:rsid w:val="007432CF"/>
    <w:rsid w:val="00745C31"/>
    <w:rsid w:val="00745E85"/>
    <w:rsid w:val="0074614B"/>
    <w:rsid w:val="00746AB2"/>
    <w:rsid w:val="007501ED"/>
    <w:rsid w:val="0075130B"/>
    <w:rsid w:val="00752A1E"/>
    <w:rsid w:val="00752F16"/>
    <w:rsid w:val="00753A24"/>
    <w:rsid w:val="00753BFB"/>
    <w:rsid w:val="0075415D"/>
    <w:rsid w:val="00754DA6"/>
    <w:rsid w:val="0075544E"/>
    <w:rsid w:val="00755628"/>
    <w:rsid w:val="0075568B"/>
    <w:rsid w:val="00755A68"/>
    <w:rsid w:val="00755BA2"/>
    <w:rsid w:val="007576C8"/>
    <w:rsid w:val="00757891"/>
    <w:rsid w:val="007614E9"/>
    <w:rsid w:val="007630E6"/>
    <w:rsid w:val="0076312B"/>
    <w:rsid w:val="0076434B"/>
    <w:rsid w:val="007645C9"/>
    <w:rsid w:val="00764C30"/>
    <w:rsid w:val="007653D7"/>
    <w:rsid w:val="00766D9F"/>
    <w:rsid w:val="00767128"/>
    <w:rsid w:val="00767379"/>
    <w:rsid w:val="00770CC6"/>
    <w:rsid w:val="00770D59"/>
    <w:rsid w:val="00771A2E"/>
    <w:rsid w:val="00771F65"/>
    <w:rsid w:val="00772180"/>
    <w:rsid w:val="007721EA"/>
    <w:rsid w:val="00772403"/>
    <w:rsid w:val="00772EE4"/>
    <w:rsid w:val="00773698"/>
    <w:rsid w:val="00773D63"/>
    <w:rsid w:val="007745FC"/>
    <w:rsid w:val="00774876"/>
    <w:rsid w:val="00774F31"/>
    <w:rsid w:val="007757E1"/>
    <w:rsid w:val="00775C4D"/>
    <w:rsid w:val="00776037"/>
    <w:rsid w:val="00776F37"/>
    <w:rsid w:val="0078027A"/>
    <w:rsid w:val="00780C3F"/>
    <w:rsid w:val="00780E9B"/>
    <w:rsid w:val="00781495"/>
    <w:rsid w:val="0078190C"/>
    <w:rsid w:val="00782473"/>
    <w:rsid w:val="00783C4B"/>
    <w:rsid w:val="007843C7"/>
    <w:rsid w:val="00784E71"/>
    <w:rsid w:val="00785805"/>
    <w:rsid w:val="00786E0D"/>
    <w:rsid w:val="007909CF"/>
    <w:rsid w:val="00790AF3"/>
    <w:rsid w:val="00791A92"/>
    <w:rsid w:val="00791E2F"/>
    <w:rsid w:val="007924F9"/>
    <w:rsid w:val="00792D1E"/>
    <w:rsid w:val="00793C66"/>
    <w:rsid w:val="00793C7C"/>
    <w:rsid w:val="007941F4"/>
    <w:rsid w:val="00794A49"/>
    <w:rsid w:val="00794E3B"/>
    <w:rsid w:val="00795EA5"/>
    <w:rsid w:val="00796E78"/>
    <w:rsid w:val="007A01E4"/>
    <w:rsid w:val="007A06C0"/>
    <w:rsid w:val="007A0C64"/>
    <w:rsid w:val="007A1803"/>
    <w:rsid w:val="007A2251"/>
    <w:rsid w:val="007A2CAF"/>
    <w:rsid w:val="007A3F15"/>
    <w:rsid w:val="007A47E5"/>
    <w:rsid w:val="007A4AE0"/>
    <w:rsid w:val="007A6CC0"/>
    <w:rsid w:val="007A7BAB"/>
    <w:rsid w:val="007B0F11"/>
    <w:rsid w:val="007B292D"/>
    <w:rsid w:val="007B2E25"/>
    <w:rsid w:val="007B5CBD"/>
    <w:rsid w:val="007B72B6"/>
    <w:rsid w:val="007B7A74"/>
    <w:rsid w:val="007C08E9"/>
    <w:rsid w:val="007C0E50"/>
    <w:rsid w:val="007C17BF"/>
    <w:rsid w:val="007C3AF1"/>
    <w:rsid w:val="007C449B"/>
    <w:rsid w:val="007C4A5E"/>
    <w:rsid w:val="007C5BFF"/>
    <w:rsid w:val="007C5EC3"/>
    <w:rsid w:val="007C6157"/>
    <w:rsid w:val="007C6187"/>
    <w:rsid w:val="007C6354"/>
    <w:rsid w:val="007C692E"/>
    <w:rsid w:val="007C75CD"/>
    <w:rsid w:val="007D1266"/>
    <w:rsid w:val="007D3081"/>
    <w:rsid w:val="007D3A41"/>
    <w:rsid w:val="007D7DB4"/>
    <w:rsid w:val="007E00ED"/>
    <w:rsid w:val="007E39EF"/>
    <w:rsid w:val="007E3B9C"/>
    <w:rsid w:val="007E622E"/>
    <w:rsid w:val="007E7B39"/>
    <w:rsid w:val="007F0143"/>
    <w:rsid w:val="007F0A0B"/>
    <w:rsid w:val="007F1C64"/>
    <w:rsid w:val="007F33F3"/>
    <w:rsid w:val="007F3596"/>
    <w:rsid w:val="007F5737"/>
    <w:rsid w:val="007F5B2D"/>
    <w:rsid w:val="007F7E1C"/>
    <w:rsid w:val="00803926"/>
    <w:rsid w:val="00804B1C"/>
    <w:rsid w:val="00806DED"/>
    <w:rsid w:val="00807E5C"/>
    <w:rsid w:val="00810825"/>
    <w:rsid w:val="00810889"/>
    <w:rsid w:val="00811649"/>
    <w:rsid w:val="00811713"/>
    <w:rsid w:val="00811BDA"/>
    <w:rsid w:val="00812277"/>
    <w:rsid w:val="0081239C"/>
    <w:rsid w:val="00813115"/>
    <w:rsid w:val="00815CC3"/>
    <w:rsid w:val="00816464"/>
    <w:rsid w:val="008168E0"/>
    <w:rsid w:val="008169B0"/>
    <w:rsid w:val="00817909"/>
    <w:rsid w:val="00817C2F"/>
    <w:rsid w:val="00820881"/>
    <w:rsid w:val="0082187D"/>
    <w:rsid w:val="00822108"/>
    <w:rsid w:val="0082340C"/>
    <w:rsid w:val="00823C00"/>
    <w:rsid w:val="00823C1F"/>
    <w:rsid w:val="00823E21"/>
    <w:rsid w:val="00824EB1"/>
    <w:rsid w:val="0082524B"/>
    <w:rsid w:val="00825340"/>
    <w:rsid w:val="00825382"/>
    <w:rsid w:val="008259D4"/>
    <w:rsid w:val="00825EA1"/>
    <w:rsid w:val="008311D2"/>
    <w:rsid w:val="00831B2C"/>
    <w:rsid w:val="00834670"/>
    <w:rsid w:val="00834900"/>
    <w:rsid w:val="008349BB"/>
    <w:rsid w:val="008352B5"/>
    <w:rsid w:val="00835359"/>
    <w:rsid w:val="008358AE"/>
    <w:rsid w:val="00835F83"/>
    <w:rsid w:val="00840180"/>
    <w:rsid w:val="008405D2"/>
    <w:rsid w:val="00840924"/>
    <w:rsid w:val="00841724"/>
    <w:rsid w:val="00841ACC"/>
    <w:rsid w:val="00841B80"/>
    <w:rsid w:val="008423DD"/>
    <w:rsid w:val="00842DCF"/>
    <w:rsid w:val="00843642"/>
    <w:rsid w:val="0084422D"/>
    <w:rsid w:val="008445A1"/>
    <w:rsid w:val="00845E9A"/>
    <w:rsid w:val="0084745F"/>
    <w:rsid w:val="0084752C"/>
    <w:rsid w:val="00847DC7"/>
    <w:rsid w:val="00850643"/>
    <w:rsid w:val="00852292"/>
    <w:rsid w:val="00852915"/>
    <w:rsid w:val="00852BB4"/>
    <w:rsid w:val="00854B4F"/>
    <w:rsid w:val="008551DD"/>
    <w:rsid w:val="00855703"/>
    <w:rsid w:val="0085660E"/>
    <w:rsid w:val="00856C4C"/>
    <w:rsid w:val="00856D53"/>
    <w:rsid w:val="00861B7D"/>
    <w:rsid w:val="00861B84"/>
    <w:rsid w:val="0086281C"/>
    <w:rsid w:val="008634F8"/>
    <w:rsid w:val="00863EBA"/>
    <w:rsid w:val="0086706F"/>
    <w:rsid w:val="0086794F"/>
    <w:rsid w:val="00871075"/>
    <w:rsid w:val="00871DA8"/>
    <w:rsid w:val="00871F1F"/>
    <w:rsid w:val="00872381"/>
    <w:rsid w:val="008725BB"/>
    <w:rsid w:val="008729FF"/>
    <w:rsid w:val="00872E1C"/>
    <w:rsid w:val="00873E1D"/>
    <w:rsid w:val="00874D25"/>
    <w:rsid w:val="00875861"/>
    <w:rsid w:val="00875D72"/>
    <w:rsid w:val="0087795A"/>
    <w:rsid w:val="00877B22"/>
    <w:rsid w:val="0088046C"/>
    <w:rsid w:val="0088192F"/>
    <w:rsid w:val="00882E5E"/>
    <w:rsid w:val="008834C0"/>
    <w:rsid w:val="00883A00"/>
    <w:rsid w:val="008851B0"/>
    <w:rsid w:val="008853AA"/>
    <w:rsid w:val="00885D0A"/>
    <w:rsid w:val="008866C6"/>
    <w:rsid w:val="008879FD"/>
    <w:rsid w:val="008901F1"/>
    <w:rsid w:val="00890421"/>
    <w:rsid w:val="00890A3D"/>
    <w:rsid w:val="00890C2B"/>
    <w:rsid w:val="00891369"/>
    <w:rsid w:val="00891BA2"/>
    <w:rsid w:val="00891D26"/>
    <w:rsid w:val="008924CE"/>
    <w:rsid w:val="00894152"/>
    <w:rsid w:val="00895041"/>
    <w:rsid w:val="00895AD3"/>
    <w:rsid w:val="00895F08"/>
    <w:rsid w:val="00896574"/>
    <w:rsid w:val="008A1D6E"/>
    <w:rsid w:val="008A2E8C"/>
    <w:rsid w:val="008A4AB1"/>
    <w:rsid w:val="008A4B1C"/>
    <w:rsid w:val="008A51F0"/>
    <w:rsid w:val="008A5210"/>
    <w:rsid w:val="008A53E0"/>
    <w:rsid w:val="008A567C"/>
    <w:rsid w:val="008A780B"/>
    <w:rsid w:val="008B2C71"/>
    <w:rsid w:val="008B2CA3"/>
    <w:rsid w:val="008B37CF"/>
    <w:rsid w:val="008B37EA"/>
    <w:rsid w:val="008B7300"/>
    <w:rsid w:val="008B774F"/>
    <w:rsid w:val="008B7A45"/>
    <w:rsid w:val="008B7BA8"/>
    <w:rsid w:val="008C0B99"/>
    <w:rsid w:val="008C1C9A"/>
    <w:rsid w:val="008C3958"/>
    <w:rsid w:val="008C3A39"/>
    <w:rsid w:val="008C4B5D"/>
    <w:rsid w:val="008C5366"/>
    <w:rsid w:val="008C557B"/>
    <w:rsid w:val="008C65DF"/>
    <w:rsid w:val="008D0486"/>
    <w:rsid w:val="008D0B29"/>
    <w:rsid w:val="008D1129"/>
    <w:rsid w:val="008D1928"/>
    <w:rsid w:val="008D2730"/>
    <w:rsid w:val="008D3872"/>
    <w:rsid w:val="008D4930"/>
    <w:rsid w:val="008D4B13"/>
    <w:rsid w:val="008D4D17"/>
    <w:rsid w:val="008D5160"/>
    <w:rsid w:val="008D52EF"/>
    <w:rsid w:val="008D5BE4"/>
    <w:rsid w:val="008D5D66"/>
    <w:rsid w:val="008D6C24"/>
    <w:rsid w:val="008D6E77"/>
    <w:rsid w:val="008E0017"/>
    <w:rsid w:val="008E004E"/>
    <w:rsid w:val="008E0863"/>
    <w:rsid w:val="008E09AB"/>
    <w:rsid w:val="008E262D"/>
    <w:rsid w:val="008E270C"/>
    <w:rsid w:val="008E6ABA"/>
    <w:rsid w:val="008F158A"/>
    <w:rsid w:val="008F1936"/>
    <w:rsid w:val="008F1E0C"/>
    <w:rsid w:val="008F24E3"/>
    <w:rsid w:val="008F2C45"/>
    <w:rsid w:val="008F2C5F"/>
    <w:rsid w:val="008F2CF2"/>
    <w:rsid w:val="008F2E91"/>
    <w:rsid w:val="008F5252"/>
    <w:rsid w:val="008F63DB"/>
    <w:rsid w:val="008F7CFE"/>
    <w:rsid w:val="0090001F"/>
    <w:rsid w:val="009003C2"/>
    <w:rsid w:val="00900861"/>
    <w:rsid w:val="00902C7A"/>
    <w:rsid w:val="009030DE"/>
    <w:rsid w:val="00904073"/>
    <w:rsid w:val="00905F8D"/>
    <w:rsid w:val="00905FA2"/>
    <w:rsid w:val="00906D99"/>
    <w:rsid w:val="00907456"/>
    <w:rsid w:val="00907635"/>
    <w:rsid w:val="00907C32"/>
    <w:rsid w:val="009106B5"/>
    <w:rsid w:val="0091250B"/>
    <w:rsid w:val="00912676"/>
    <w:rsid w:val="00913138"/>
    <w:rsid w:val="0091332D"/>
    <w:rsid w:val="00913FD9"/>
    <w:rsid w:val="009141D0"/>
    <w:rsid w:val="009148F0"/>
    <w:rsid w:val="00914B2F"/>
    <w:rsid w:val="00916A9E"/>
    <w:rsid w:val="009208E8"/>
    <w:rsid w:val="00921811"/>
    <w:rsid w:val="009220D7"/>
    <w:rsid w:val="00922440"/>
    <w:rsid w:val="00923A8A"/>
    <w:rsid w:val="00923A9F"/>
    <w:rsid w:val="009243CD"/>
    <w:rsid w:val="00924D9C"/>
    <w:rsid w:val="00924ECF"/>
    <w:rsid w:val="00925300"/>
    <w:rsid w:val="00926BC6"/>
    <w:rsid w:val="009278C5"/>
    <w:rsid w:val="00930775"/>
    <w:rsid w:val="00930C5F"/>
    <w:rsid w:val="009313F4"/>
    <w:rsid w:val="00931C11"/>
    <w:rsid w:val="00931C3E"/>
    <w:rsid w:val="00932F83"/>
    <w:rsid w:val="00933B23"/>
    <w:rsid w:val="009352CB"/>
    <w:rsid w:val="00935311"/>
    <w:rsid w:val="00935935"/>
    <w:rsid w:val="00942A95"/>
    <w:rsid w:val="00943909"/>
    <w:rsid w:val="009464DC"/>
    <w:rsid w:val="00946903"/>
    <w:rsid w:val="00947F84"/>
    <w:rsid w:val="00952802"/>
    <w:rsid w:val="00952896"/>
    <w:rsid w:val="0095309F"/>
    <w:rsid w:val="009536C4"/>
    <w:rsid w:val="009553CE"/>
    <w:rsid w:val="00961543"/>
    <w:rsid w:val="00961AF3"/>
    <w:rsid w:val="00961F37"/>
    <w:rsid w:val="009621C5"/>
    <w:rsid w:val="00962478"/>
    <w:rsid w:val="00962A0E"/>
    <w:rsid w:val="00962A50"/>
    <w:rsid w:val="00962AAB"/>
    <w:rsid w:val="009640DC"/>
    <w:rsid w:val="009645C4"/>
    <w:rsid w:val="009646B5"/>
    <w:rsid w:val="009651BF"/>
    <w:rsid w:val="009651D5"/>
    <w:rsid w:val="009656AD"/>
    <w:rsid w:val="009660C6"/>
    <w:rsid w:val="00966250"/>
    <w:rsid w:val="00972F93"/>
    <w:rsid w:val="00974076"/>
    <w:rsid w:val="0097453C"/>
    <w:rsid w:val="00975BE1"/>
    <w:rsid w:val="00976619"/>
    <w:rsid w:val="00977155"/>
    <w:rsid w:val="009773E2"/>
    <w:rsid w:val="009777BB"/>
    <w:rsid w:val="0098022B"/>
    <w:rsid w:val="00980AB2"/>
    <w:rsid w:val="00981AE9"/>
    <w:rsid w:val="00981C64"/>
    <w:rsid w:val="00982226"/>
    <w:rsid w:val="009823CD"/>
    <w:rsid w:val="009827F4"/>
    <w:rsid w:val="00982C44"/>
    <w:rsid w:val="00982FF7"/>
    <w:rsid w:val="009838D1"/>
    <w:rsid w:val="00983E3A"/>
    <w:rsid w:val="00983E5B"/>
    <w:rsid w:val="00983FB7"/>
    <w:rsid w:val="00986076"/>
    <w:rsid w:val="00986130"/>
    <w:rsid w:val="0098678D"/>
    <w:rsid w:val="00986E5F"/>
    <w:rsid w:val="009875E8"/>
    <w:rsid w:val="00992D36"/>
    <w:rsid w:val="009931BE"/>
    <w:rsid w:val="0099396B"/>
    <w:rsid w:val="00995C0B"/>
    <w:rsid w:val="00996963"/>
    <w:rsid w:val="009A01EC"/>
    <w:rsid w:val="009A055B"/>
    <w:rsid w:val="009A1CB8"/>
    <w:rsid w:val="009A3F72"/>
    <w:rsid w:val="009A6B24"/>
    <w:rsid w:val="009A75F9"/>
    <w:rsid w:val="009B0B6F"/>
    <w:rsid w:val="009B3130"/>
    <w:rsid w:val="009B3995"/>
    <w:rsid w:val="009B4DCD"/>
    <w:rsid w:val="009B6718"/>
    <w:rsid w:val="009B6E58"/>
    <w:rsid w:val="009B7190"/>
    <w:rsid w:val="009C1CAD"/>
    <w:rsid w:val="009C2106"/>
    <w:rsid w:val="009C25F9"/>
    <w:rsid w:val="009C2831"/>
    <w:rsid w:val="009C33AC"/>
    <w:rsid w:val="009C3580"/>
    <w:rsid w:val="009C496A"/>
    <w:rsid w:val="009C525E"/>
    <w:rsid w:val="009C673E"/>
    <w:rsid w:val="009D2931"/>
    <w:rsid w:val="009D39C5"/>
    <w:rsid w:val="009D436A"/>
    <w:rsid w:val="009D64D3"/>
    <w:rsid w:val="009D6C2E"/>
    <w:rsid w:val="009D72FE"/>
    <w:rsid w:val="009D7632"/>
    <w:rsid w:val="009D79DB"/>
    <w:rsid w:val="009E16D4"/>
    <w:rsid w:val="009E47D7"/>
    <w:rsid w:val="009E5E79"/>
    <w:rsid w:val="009E6D7C"/>
    <w:rsid w:val="009E7CF7"/>
    <w:rsid w:val="009F1937"/>
    <w:rsid w:val="009F2B78"/>
    <w:rsid w:val="009F2BC1"/>
    <w:rsid w:val="009F48C9"/>
    <w:rsid w:val="009F4AE5"/>
    <w:rsid w:val="009F4B28"/>
    <w:rsid w:val="009F510A"/>
    <w:rsid w:val="009F5364"/>
    <w:rsid w:val="009F6866"/>
    <w:rsid w:val="009F6889"/>
    <w:rsid w:val="009F71D0"/>
    <w:rsid w:val="009F7236"/>
    <w:rsid w:val="009F77F7"/>
    <w:rsid w:val="00A00369"/>
    <w:rsid w:val="00A01554"/>
    <w:rsid w:val="00A030BD"/>
    <w:rsid w:val="00A05107"/>
    <w:rsid w:val="00A056A7"/>
    <w:rsid w:val="00A05848"/>
    <w:rsid w:val="00A05B68"/>
    <w:rsid w:val="00A05ECC"/>
    <w:rsid w:val="00A0722B"/>
    <w:rsid w:val="00A07585"/>
    <w:rsid w:val="00A10065"/>
    <w:rsid w:val="00A11B29"/>
    <w:rsid w:val="00A132C7"/>
    <w:rsid w:val="00A13354"/>
    <w:rsid w:val="00A135FB"/>
    <w:rsid w:val="00A13623"/>
    <w:rsid w:val="00A14F1E"/>
    <w:rsid w:val="00A16218"/>
    <w:rsid w:val="00A163AB"/>
    <w:rsid w:val="00A1698B"/>
    <w:rsid w:val="00A16C5F"/>
    <w:rsid w:val="00A17423"/>
    <w:rsid w:val="00A1798C"/>
    <w:rsid w:val="00A210D6"/>
    <w:rsid w:val="00A213E5"/>
    <w:rsid w:val="00A2443A"/>
    <w:rsid w:val="00A24A21"/>
    <w:rsid w:val="00A24FC8"/>
    <w:rsid w:val="00A25F73"/>
    <w:rsid w:val="00A26F47"/>
    <w:rsid w:val="00A27251"/>
    <w:rsid w:val="00A276E3"/>
    <w:rsid w:val="00A305FE"/>
    <w:rsid w:val="00A32D3A"/>
    <w:rsid w:val="00A32E6F"/>
    <w:rsid w:val="00A3442F"/>
    <w:rsid w:val="00A37FE7"/>
    <w:rsid w:val="00A4027F"/>
    <w:rsid w:val="00A4039C"/>
    <w:rsid w:val="00A41817"/>
    <w:rsid w:val="00A41EA9"/>
    <w:rsid w:val="00A4253F"/>
    <w:rsid w:val="00A442DD"/>
    <w:rsid w:val="00A44BCF"/>
    <w:rsid w:val="00A457B5"/>
    <w:rsid w:val="00A45944"/>
    <w:rsid w:val="00A4609E"/>
    <w:rsid w:val="00A47885"/>
    <w:rsid w:val="00A50E9D"/>
    <w:rsid w:val="00A5154A"/>
    <w:rsid w:val="00A52636"/>
    <w:rsid w:val="00A52A6F"/>
    <w:rsid w:val="00A5373C"/>
    <w:rsid w:val="00A53A3A"/>
    <w:rsid w:val="00A563A6"/>
    <w:rsid w:val="00A5797C"/>
    <w:rsid w:val="00A57EA4"/>
    <w:rsid w:val="00A57F90"/>
    <w:rsid w:val="00A606C9"/>
    <w:rsid w:val="00A61F6C"/>
    <w:rsid w:val="00A63FFF"/>
    <w:rsid w:val="00A64A56"/>
    <w:rsid w:val="00A66905"/>
    <w:rsid w:val="00A67240"/>
    <w:rsid w:val="00A70140"/>
    <w:rsid w:val="00A708C7"/>
    <w:rsid w:val="00A70ACA"/>
    <w:rsid w:val="00A71798"/>
    <w:rsid w:val="00A71F1D"/>
    <w:rsid w:val="00A72717"/>
    <w:rsid w:val="00A736DF"/>
    <w:rsid w:val="00A739DC"/>
    <w:rsid w:val="00A74C8C"/>
    <w:rsid w:val="00A74DE5"/>
    <w:rsid w:val="00A755E7"/>
    <w:rsid w:val="00A75831"/>
    <w:rsid w:val="00A75E3C"/>
    <w:rsid w:val="00A77CCF"/>
    <w:rsid w:val="00A77DEC"/>
    <w:rsid w:val="00A80B79"/>
    <w:rsid w:val="00A8187D"/>
    <w:rsid w:val="00A81A30"/>
    <w:rsid w:val="00A82947"/>
    <w:rsid w:val="00A82AFD"/>
    <w:rsid w:val="00A8339B"/>
    <w:rsid w:val="00A839F0"/>
    <w:rsid w:val="00A86E71"/>
    <w:rsid w:val="00A87690"/>
    <w:rsid w:val="00A879A8"/>
    <w:rsid w:val="00A90395"/>
    <w:rsid w:val="00A917F4"/>
    <w:rsid w:val="00A924A9"/>
    <w:rsid w:val="00A92720"/>
    <w:rsid w:val="00A94866"/>
    <w:rsid w:val="00A94D23"/>
    <w:rsid w:val="00A94E90"/>
    <w:rsid w:val="00A95B85"/>
    <w:rsid w:val="00A9622B"/>
    <w:rsid w:val="00A96E77"/>
    <w:rsid w:val="00A96EC9"/>
    <w:rsid w:val="00AA14EE"/>
    <w:rsid w:val="00AA1956"/>
    <w:rsid w:val="00AA319A"/>
    <w:rsid w:val="00AA3612"/>
    <w:rsid w:val="00AA3CB6"/>
    <w:rsid w:val="00AA49CA"/>
    <w:rsid w:val="00AA50D1"/>
    <w:rsid w:val="00AA5D11"/>
    <w:rsid w:val="00AA6782"/>
    <w:rsid w:val="00AA7FAF"/>
    <w:rsid w:val="00AB1B52"/>
    <w:rsid w:val="00AB261A"/>
    <w:rsid w:val="00AB3F17"/>
    <w:rsid w:val="00AB55A4"/>
    <w:rsid w:val="00AB57B7"/>
    <w:rsid w:val="00AB72AF"/>
    <w:rsid w:val="00AB78D5"/>
    <w:rsid w:val="00AC11C8"/>
    <w:rsid w:val="00AC13AD"/>
    <w:rsid w:val="00AC18FD"/>
    <w:rsid w:val="00AC2E23"/>
    <w:rsid w:val="00AC3DF1"/>
    <w:rsid w:val="00AC3FD7"/>
    <w:rsid w:val="00AC478B"/>
    <w:rsid w:val="00AC5409"/>
    <w:rsid w:val="00AC5E75"/>
    <w:rsid w:val="00AC6604"/>
    <w:rsid w:val="00AC7861"/>
    <w:rsid w:val="00AC7A8C"/>
    <w:rsid w:val="00AC7D6F"/>
    <w:rsid w:val="00AC7EE2"/>
    <w:rsid w:val="00AD1E0E"/>
    <w:rsid w:val="00AD3557"/>
    <w:rsid w:val="00AD3E03"/>
    <w:rsid w:val="00AD4F09"/>
    <w:rsid w:val="00AD559C"/>
    <w:rsid w:val="00AD58B2"/>
    <w:rsid w:val="00AD5B98"/>
    <w:rsid w:val="00AD7704"/>
    <w:rsid w:val="00AD7754"/>
    <w:rsid w:val="00AD791C"/>
    <w:rsid w:val="00AD7A30"/>
    <w:rsid w:val="00AD7D08"/>
    <w:rsid w:val="00AD7F5D"/>
    <w:rsid w:val="00AE0894"/>
    <w:rsid w:val="00AE0CF6"/>
    <w:rsid w:val="00AE1530"/>
    <w:rsid w:val="00AE4429"/>
    <w:rsid w:val="00AE480D"/>
    <w:rsid w:val="00AE56EA"/>
    <w:rsid w:val="00AE5C94"/>
    <w:rsid w:val="00AE60CA"/>
    <w:rsid w:val="00AE67BF"/>
    <w:rsid w:val="00AE70B0"/>
    <w:rsid w:val="00AE7C07"/>
    <w:rsid w:val="00AF0336"/>
    <w:rsid w:val="00AF08EA"/>
    <w:rsid w:val="00AF121D"/>
    <w:rsid w:val="00AF151B"/>
    <w:rsid w:val="00AF153E"/>
    <w:rsid w:val="00AF16E6"/>
    <w:rsid w:val="00AF1E97"/>
    <w:rsid w:val="00AF243E"/>
    <w:rsid w:val="00AF2D05"/>
    <w:rsid w:val="00AF58BF"/>
    <w:rsid w:val="00AF63DE"/>
    <w:rsid w:val="00AF6AF8"/>
    <w:rsid w:val="00AF760B"/>
    <w:rsid w:val="00B00322"/>
    <w:rsid w:val="00B012BC"/>
    <w:rsid w:val="00B0167B"/>
    <w:rsid w:val="00B022C6"/>
    <w:rsid w:val="00B02B85"/>
    <w:rsid w:val="00B036F5"/>
    <w:rsid w:val="00B04CB7"/>
    <w:rsid w:val="00B0507B"/>
    <w:rsid w:val="00B057DA"/>
    <w:rsid w:val="00B05C3C"/>
    <w:rsid w:val="00B0627F"/>
    <w:rsid w:val="00B11965"/>
    <w:rsid w:val="00B11CAE"/>
    <w:rsid w:val="00B1247E"/>
    <w:rsid w:val="00B132E0"/>
    <w:rsid w:val="00B13A5A"/>
    <w:rsid w:val="00B13F5D"/>
    <w:rsid w:val="00B153B0"/>
    <w:rsid w:val="00B15424"/>
    <w:rsid w:val="00B15470"/>
    <w:rsid w:val="00B16222"/>
    <w:rsid w:val="00B17621"/>
    <w:rsid w:val="00B177F9"/>
    <w:rsid w:val="00B20225"/>
    <w:rsid w:val="00B20B09"/>
    <w:rsid w:val="00B20D76"/>
    <w:rsid w:val="00B21BA4"/>
    <w:rsid w:val="00B22207"/>
    <w:rsid w:val="00B222F8"/>
    <w:rsid w:val="00B22446"/>
    <w:rsid w:val="00B2269E"/>
    <w:rsid w:val="00B255E2"/>
    <w:rsid w:val="00B259F0"/>
    <w:rsid w:val="00B25FD6"/>
    <w:rsid w:val="00B26562"/>
    <w:rsid w:val="00B26E8C"/>
    <w:rsid w:val="00B27E9B"/>
    <w:rsid w:val="00B27FF5"/>
    <w:rsid w:val="00B30CFD"/>
    <w:rsid w:val="00B317D9"/>
    <w:rsid w:val="00B31D56"/>
    <w:rsid w:val="00B330F0"/>
    <w:rsid w:val="00B348E5"/>
    <w:rsid w:val="00B352ED"/>
    <w:rsid w:val="00B35376"/>
    <w:rsid w:val="00B35562"/>
    <w:rsid w:val="00B355E0"/>
    <w:rsid w:val="00B36120"/>
    <w:rsid w:val="00B36499"/>
    <w:rsid w:val="00B37794"/>
    <w:rsid w:val="00B37A49"/>
    <w:rsid w:val="00B40ADE"/>
    <w:rsid w:val="00B41706"/>
    <w:rsid w:val="00B424D2"/>
    <w:rsid w:val="00B42AF2"/>
    <w:rsid w:val="00B43E2D"/>
    <w:rsid w:val="00B44003"/>
    <w:rsid w:val="00B44D7D"/>
    <w:rsid w:val="00B45690"/>
    <w:rsid w:val="00B463EA"/>
    <w:rsid w:val="00B47FBA"/>
    <w:rsid w:val="00B50504"/>
    <w:rsid w:val="00B507D7"/>
    <w:rsid w:val="00B5086C"/>
    <w:rsid w:val="00B534D6"/>
    <w:rsid w:val="00B53F92"/>
    <w:rsid w:val="00B54C0F"/>
    <w:rsid w:val="00B552E2"/>
    <w:rsid w:val="00B554BE"/>
    <w:rsid w:val="00B5671F"/>
    <w:rsid w:val="00B56B46"/>
    <w:rsid w:val="00B60EC3"/>
    <w:rsid w:val="00B612B1"/>
    <w:rsid w:val="00B61397"/>
    <w:rsid w:val="00B61ABD"/>
    <w:rsid w:val="00B62E04"/>
    <w:rsid w:val="00B6330D"/>
    <w:rsid w:val="00B63359"/>
    <w:rsid w:val="00B6387E"/>
    <w:rsid w:val="00B63A09"/>
    <w:rsid w:val="00B63B09"/>
    <w:rsid w:val="00B63D3A"/>
    <w:rsid w:val="00B6438E"/>
    <w:rsid w:val="00B6464F"/>
    <w:rsid w:val="00B651D0"/>
    <w:rsid w:val="00B670C8"/>
    <w:rsid w:val="00B67412"/>
    <w:rsid w:val="00B70CBB"/>
    <w:rsid w:val="00B7126C"/>
    <w:rsid w:val="00B715A1"/>
    <w:rsid w:val="00B71FF1"/>
    <w:rsid w:val="00B72465"/>
    <w:rsid w:val="00B72657"/>
    <w:rsid w:val="00B72EAE"/>
    <w:rsid w:val="00B7430D"/>
    <w:rsid w:val="00B74449"/>
    <w:rsid w:val="00B74E2F"/>
    <w:rsid w:val="00B75664"/>
    <w:rsid w:val="00B76D2B"/>
    <w:rsid w:val="00B76ED6"/>
    <w:rsid w:val="00B80C41"/>
    <w:rsid w:val="00B80D05"/>
    <w:rsid w:val="00B8194E"/>
    <w:rsid w:val="00B81B51"/>
    <w:rsid w:val="00B82919"/>
    <w:rsid w:val="00B8294C"/>
    <w:rsid w:val="00B831E4"/>
    <w:rsid w:val="00B8347C"/>
    <w:rsid w:val="00B83E42"/>
    <w:rsid w:val="00B840D9"/>
    <w:rsid w:val="00B84F70"/>
    <w:rsid w:val="00B85D08"/>
    <w:rsid w:val="00B86184"/>
    <w:rsid w:val="00B86856"/>
    <w:rsid w:val="00B86A06"/>
    <w:rsid w:val="00B926C3"/>
    <w:rsid w:val="00B9374D"/>
    <w:rsid w:val="00B93A97"/>
    <w:rsid w:val="00B94A50"/>
    <w:rsid w:val="00B9515E"/>
    <w:rsid w:val="00B955F0"/>
    <w:rsid w:val="00B958E1"/>
    <w:rsid w:val="00B96749"/>
    <w:rsid w:val="00B97293"/>
    <w:rsid w:val="00B97446"/>
    <w:rsid w:val="00B97757"/>
    <w:rsid w:val="00B97804"/>
    <w:rsid w:val="00B97EAE"/>
    <w:rsid w:val="00BA0F63"/>
    <w:rsid w:val="00BA111D"/>
    <w:rsid w:val="00BA2E87"/>
    <w:rsid w:val="00BA3F0A"/>
    <w:rsid w:val="00BA457E"/>
    <w:rsid w:val="00BA5A20"/>
    <w:rsid w:val="00BA6194"/>
    <w:rsid w:val="00BA66B3"/>
    <w:rsid w:val="00BB10CE"/>
    <w:rsid w:val="00BB292C"/>
    <w:rsid w:val="00BB3429"/>
    <w:rsid w:val="00BB34E4"/>
    <w:rsid w:val="00BB41CA"/>
    <w:rsid w:val="00BB51D6"/>
    <w:rsid w:val="00BB6BB3"/>
    <w:rsid w:val="00BB7B33"/>
    <w:rsid w:val="00BB7BE6"/>
    <w:rsid w:val="00BC036A"/>
    <w:rsid w:val="00BC103A"/>
    <w:rsid w:val="00BC12E7"/>
    <w:rsid w:val="00BC3DC5"/>
    <w:rsid w:val="00BC43A0"/>
    <w:rsid w:val="00BC46D9"/>
    <w:rsid w:val="00BC475A"/>
    <w:rsid w:val="00BC4A8E"/>
    <w:rsid w:val="00BC7B3C"/>
    <w:rsid w:val="00BC7DF6"/>
    <w:rsid w:val="00BD012C"/>
    <w:rsid w:val="00BD044F"/>
    <w:rsid w:val="00BD1E06"/>
    <w:rsid w:val="00BD4C28"/>
    <w:rsid w:val="00BD4E63"/>
    <w:rsid w:val="00BD5206"/>
    <w:rsid w:val="00BD5B3E"/>
    <w:rsid w:val="00BD6442"/>
    <w:rsid w:val="00BD7750"/>
    <w:rsid w:val="00BD77F9"/>
    <w:rsid w:val="00BE0882"/>
    <w:rsid w:val="00BE0B27"/>
    <w:rsid w:val="00BE10A5"/>
    <w:rsid w:val="00BE1147"/>
    <w:rsid w:val="00BE2B1C"/>
    <w:rsid w:val="00BE2EE9"/>
    <w:rsid w:val="00BE35E2"/>
    <w:rsid w:val="00BE35FD"/>
    <w:rsid w:val="00BE3AEE"/>
    <w:rsid w:val="00BE3E6B"/>
    <w:rsid w:val="00BE4480"/>
    <w:rsid w:val="00BE4530"/>
    <w:rsid w:val="00BE4CC4"/>
    <w:rsid w:val="00BE54C7"/>
    <w:rsid w:val="00BE5B3F"/>
    <w:rsid w:val="00BE6CA7"/>
    <w:rsid w:val="00BE7CD4"/>
    <w:rsid w:val="00BF16DC"/>
    <w:rsid w:val="00BF2F1C"/>
    <w:rsid w:val="00BF36BE"/>
    <w:rsid w:val="00BF3963"/>
    <w:rsid w:val="00BF5421"/>
    <w:rsid w:val="00BF57B5"/>
    <w:rsid w:val="00BF59F2"/>
    <w:rsid w:val="00BF5D53"/>
    <w:rsid w:val="00BF639D"/>
    <w:rsid w:val="00BF6B68"/>
    <w:rsid w:val="00C0026E"/>
    <w:rsid w:val="00C003CF"/>
    <w:rsid w:val="00C00914"/>
    <w:rsid w:val="00C00BAF"/>
    <w:rsid w:val="00C01565"/>
    <w:rsid w:val="00C01A0D"/>
    <w:rsid w:val="00C01AF2"/>
    <w:rsid w:val="00C01D79"/>
    <w:rsid w:val="00C01EAD"/>
    <w:rsid w:val="00C03CF8"/>
    <w:rsid w:val="00C0493A"/>
    <w:rsid w:val="00C04A27"/>
    <w:rsid w:val="00C068B6"/>
    <w:rsid w:val="00C074A6"/>
    <w:rsid w:val="00C077B2"/>
    <w:rsid w:val="00C07A1A"/>
    <w:rsid w:val="00C11314"/>
    <w:rsid w:val="00C11870"/>
    <w:rsid w:val="00C11AC1"/>
    <w:rsid w:val="00C1454C"/>
    <w:rsid w:val="00C164F8"/>
    <w:rsid w:val="00C16F97"/>
    <w:rsid w:val="00C170BE"/>
    <w:rsid w:val="00C17D6E"/>
    <w:rsid w:val="00C20673"/>
    <w:rsid w:val="00C2166F"/>
    <w:rsid w:val="00C2210E"/>
    <w:rsid w:val="00C225F4"/>
    <w:rsid w:val="00C23DBF"/>
    <w:rsid w:val="00C23E9B"/>
    <w:rsid w:val="00C240CE"/>
    <w:rsid w:val="00C24339"/>
    <w:rsid w:val="00C248B1"/>
    <w:rsid w:val="00C256CA"/>
    <w:rsid w:val="00C278CC"/>
    <w:rsid w:val="00C30622"/>
    <w:rsid w:val="00C32D64"/>
    <w:rsid w:val="00C32DE4"/>
    <w:rsid w:val="00C3459B"/>
    <w:rsid w:val="00C34FD6"/>
    <w:rsid w:val="00C354B1"/>
    <w:rsid w:val="00C40324"/>
    <w:rsid w:val="00C407F3"/>
    <w:rsid w:val="00C40E8B"/>
    <w:rsid w:val="00C416D1"/>
    <w:rsid w:val="00C41A10"/>
    <w:rsid w:val="00C42435"/>
    <w:rsid w:val="00C43317"/>
    <w:rsid w:val="00C4658E"/>
    <w:rsid w:val="00C469C6"/>
    <w:rsid w:val="00C46E0E"/>
    <w:rsid w:val="00C46FFA"/>
    <w:rsid w:val="00C51432"/>
    <w:rsid w:val="00C51D90"/>
    <w:rsid w:val="00C53815"/>
    <w:rsid w:val="00C53AEE"/>
    <w:rsid w:val="00C54CBD"/>
    <w:rsid w:val="00C55788"/>
    <w:rsid w:val="00C55AC3"/>
    <w:rsid w:val="00C57020"/>
    <w:rsid w:val="00C5724C"/>
    <w:rsid w:val="00C60D79"/>
    <w:rsid w:val="00C60EBE"/>
    <w:rsid w:val="00C62490"/>
    <w:rsid w:val="00C62C09"/>
    <w:rsid w:val="00C6300B"/>
    <w:rsid w:val="00C6430E"/>
    <w:rsid w:val="00C645CD"/>
    <w:rsid w:val="00C651CB"/>
    <w:rsid w:val="00C659BA"/>
    <w:rsid w:val="00C661BC"/>
    <w:rsid w:val="00C66959"/>
    <w:rsid w:val="00C712EF"/>
    <w:rsid w:val="00C725E0"/>
    <w:rsid w:val="00C72C9C"/>
    <w:rsid w:val="00C73965"/>
    <w:rsid w:val="00C742EB"/>
    <w:rsid w:val="00C76926"/>
    <w:rsid w:val="00C77D3D"/>
    <w:rsid w:val="00C8251C"/>
    <w:rsid w:val="00C83322"/>
    <w:rsid w:val="00C83458"/>
    <w:rsid w:val="00C83AC9"/>
    <w:rsid w:val="00C8737E"/>
    <w:rsid w:val="00C90A9B"/>
    <w:rsid w:val="00C90DC5"/>
    <w:rsid w:val="00C9237D"/>
    <w:rsid w:val="00C92FDB"/>
    <w:rsid w:val="00C940D6"/>
    <w:rsid w:val="00CA0165"/>
    <w:rsid w:val="00CA019E"/>
    <w:rsid w:val="00CA071F"/>
    <w:rsid w:val="00CA1459"/>
    <w:rsid w:val="00CA268C"/>
    <w:rsid w:val="00CA292E"/>
    <w:rsid w:val="00CA29A2"/>
    <w:rsid w:val="00CA4452"/>
    <w:rsid w:val="00CA6EB2"/>
    <w:rsid w:val="00CA7E24"/>
    <w:rsid w:val="00CB1797"/>
    <w:rsid w:val="00CB1BFC"/>
    <w:rsid w:val="00CB1D95"/>
    <w:rsid w:val="00CB263C"/>
    <w:rsid w:val="00CB2BF1"/>
    <w:rsid w:val="00CB3445"/>
    <w:rsid w:val="00CB40AE"/>
    <w:rsid w:val="00CB588C"/>
    <w:rsid w:val="00CB6EE0"/>
    <w:rsid w:val="00CB7255"/>
    <w:rsid w:val="00CB76A0"/>
    <w:rsid w:val="00CC090B"/>
    <w:rsid w:val="00CC10F6"/>
    <w:rsid w:val="00CC13C3"/>
    <w:rsid w:val="00CC2989"/>
    <w:rsid w:val="00CC29CC"/>
    <w:rsid w:val="00CC404B"/>
    <w:rsid w:val="00CC485A"/>
    <w:rsid w:val="00CC497F"/>
    <w:rsid w:val="00CC64F1"/>
    <w:rsid w:val="00CD0167"/>
    <w:rsid w:val="00CD226A"/>
    <w:rsid w:val="00CD349C"/>
    <w:rsid w:val="00CD39F0"/>
    <w:rsid w:val="00CD4BD3"/>
    <w:rsid w:val="00CD4F59"/>
    <w:rsid w:val="00CD5A0E"/>
    <w:rsid w:val="00CD6D71"/>
    <w:rsid w:val="00CD75CF"/>
    <w:rsid w:val="00CD78B3"/>
    <w:rsid w:val="00CE07A3"/>
    <w:rsid w:val="00CE0832"/>
    <w:rsid w:val="00CE0E43"/>
    <w:rsid w:val="00CE1444"/>
    <w:rsid w:val="00CE22C9"/>
    <w:rsid w:val="00CE2B4E"/>
    <w:rsid w:val="00CE2F54"/>
    <w:rsid w:val="00CE3172"/>
    <w:rsid w:val="00CE33FB"/>
    <w:rsid w:val="00CE405F"/>
    <w:rsid w:val="00CE47B7"/>
    <w:rsid w:val="00CE5985"/>
    <w:rsid w:val="00CE6B81"/>
    <w:rsid w:val="00CF133E"/>
    <w:rsid w:val="00CF133F"/>
    <w:rsid w:val="00CF1597"/>
    <w:rsid w:val="00CF2036"/>
    <w:rsid w:val="00CF259D"/>
    <w:rsid w:val="00CF2800"/>
    <w:rsid w:val="00CF2B68"/>
    <w:rsid w:val="00CF3164"/>
    <w:rsid w:val="00CF3522"/>
    <w:rsid w:val="00CF58AC"/>
    <w:rsid w:val="00CF5D28"/>
    <w:rsid w:val="00CF6D88"/>
    <w:rsid w:val="00CF739F"/>
    <w:rsid w:val="00CF7A2E"/>
    <w:rsid w:val="00D008BD"/>
    <w:rsid w:val="00D012BB"/>
    <w:rsid w:val="00D03B8B"/>
    <w:rsid w:val="00D03FED"/>
    <w:rsid w:val="00D04230"/>
    <w:rsid w:val="00D0531D"/>
    <w:rsid w:val="00D06025"/>
    <w:rsid w:val="00D073AF"/>
    <w:rsid w:val="00D114EE"/>
    <w:rsid w:val="00D116D3"/>
    <w:rsid w:val="00D12220"/>
    <w:rsid w:val="00D153B5"/>
    <w:rsid w:val="00D15DCF"/>
    <w:rsid w:val="00D1631A"/>
    <w:rsid w:val="00D1790A"/>
    <w:rsid w:val="00D17D91"/>
    <w:rsid w:val="00D20811"/>
    <w:rsid w:val="00D21632"/>
    <w:rsid w:val="00D21A61"/>
    <w:rsid w:val="00D2240E"/>
    <w:rsid w:val="00D2312C"/>
    <w:rsid w:val="00D237BC"/>
    <w:rsid w:val="00D254B2"/>
    <w:rsid w:val="00D25C33"/>
    <w:rsid w:val="00D26A18"/>
    <w:rsid w:val="00D274A8"/>
    <w:rsid w:val="00D3051C"/>
    <w:rsid w:val="00D305EC"/>
    <w:rsid w:val="00D31094"/>
    <w:rsid w:val="00D313B3"/>
    <w:rsid w:val="00D31A7C"/>
    <w:rsid w:val="00D31C70"/>
    <w:rsid w:val="00D31CE6"/>
    <w:rsid w:val="00D33CB8"/>
    <w:rsid w:val="00D34645"/>
    <w:rsid w:val="00D37924"/>
    <w:rsid w:val="00D37EAB"/>
    <w:rsid w:val="00D402AF"/>
    <w:rsid w:val="00D405EB"/>
    <w:rsid w:val="00D41FD2"/>
    <w:rsid w:val="00D42A45"/>
    <w:rsid w:val="00D44508"/>
    <w:rsid w:val="00D451A3"/>
    <w:rsid w:val="00D45434"/>
    <w:rsid w:val="00D454DA"/>
    <w:rsid w:val="00D46B05"/>
    <w:rsid w:val="00D47035"/>
    <w:rsid w:val="00D47574"/>
    <w:rsid w:val="00D47AD6"/>
    <w:rsid w:val="00D47F27"/>
    <w:rsid w:val="00D501DD"/>
    <w:rsid w:val="00D505EC"/>
    <w:rsid w:val="00D508B3"/>
    <w:rsid w:val="00D5102B"/>
    <w:rsid w:val="00D52D05"/>
    <w:rsid w:val="00D53CCA"/>
    <w:rsid w:val="00D547B7"/>
    <w:rsid w:val="00D5516B"/>
    <w:rsid w:val="00D553F9"/>
    <w:rsid w:val="00D56737"/>
    <w:rsid w:val="00D608DF"/>
    <w:rsid w:val="00D6142D"/>
    <w:rsid w:val="00D614F3"/>
    <w:rsid w:val="00D61C57"/>
    <w:rsid w:val="00D61FA6"/>
    <w:rsid w:val="00D620B4"/>
    <w:rsid w:val="00D62591"/>
    <w:rsid w:val="00D6477A"/>
    <w:rsid w:val="00D6516B"/>
    <w:rsid w:val="00D651A0"/>
    <w:rsid w:val="00D65556"/>
    <w:rsid w:val="00D669E4"/>
    <w:rsid w:val="00D66F56"/>
    <w:rsid w:val="00D670A3"/>
    <w:rsid w:val="00D7042D"/>
    <w:rsid w:val="00D7060E"/>
    <w:rsid w:val="00D708C7"/>
    <w:rsid w:val="00D719D9"/>
    <w:rsid w:val="00D71E7A"/>
    <w:rsid w:val="00D72E5C"/>
    <w:rsid w:val="00D7420A"/>
    <w:rsid w:val="00D74F00"/>
    <w:rsid w:val="00D75929"/>
    <w:rsid w:val="00D764F5"/>
    <w:rsid w:val="00D76B29"/>
    <w:rsid w:val="00D8015F"/>
    <w:rsid w:val="00D8142D"/>
    <w:rsid w:val="00D81E2D"/>
    <w:rsid w:val="00D82F71"/>
    <w:rsid w:val="00D84317"/>
    <w:rsid w:val="00D8472E"/>
    <w:rsid w:val="00D84900"/>
    <w:rsid w:val="00D84F06"/>
    <w:rsid w:val="00D866B9"/>
    <w:rsid w:val="00D86D9C"/>
    <w:rsid w:val="00D87738"/>
    <w:rsid w:val="00D878AB"/>
    <w:rsid w:val="00D90147"/>
    <w:rsid w:val="00D9035A"/>
    <w:rsid w:val="00D90DDB"/>
    <w:rsid w:val="00D914E3"/>
    <w:rsid w:val="00D93D77"/>
    <w:rsid w:val="00D94960"/>
    <w:rsid w:val="00D94ECC"/>
    <w:rsid w:val="00D963E4"/>
    <w:rsid w:val="00D966E5"/>
    <w:rsid w:val="00D976C9"/>
    <w:rsid w:val="00D977FF"/>
    <w:rsid w:val="00DA1353"/>
    <w:rsid w:val="00DA1EE6"/>
    <w:rsid w:val="00DA2142"/>
    <w:rsid w:val="00DA2EA5"/>
    <w:rsid w:val="00DA306C"/>
    <w:rsid w:val="00DA40E3"/>
    <w:rsid w:val="00DA4303"/>
    <w:rsid w:val="00DA4307"/>
    <w:rsid w:val="00DA57C4"/>
    <w:rsid w:val="00DA5FC3"/>
    <w:rsid w:val="00DA659C"/>
    <w:rsid w:val="00DB0C49"/>
    <w:rsid w:val="00DB208A"/>
    <w:rsid w:val="00DB3E40"/>
    <w:rsid w:val="00DB45E2"/>
    <w:rsid w:val="00DB463B"/>
    <w:rsid w:val="00DB48BB"/>
    <w:rsid w:val="00DB49B8"/>
    <w:rsid w:val="00DB57FA"/>
    <w:rsid w:val="00DB5F21"/>
    <w:rsid w:val="00DB6C45"/>
    <w:rsid w:val="00DB7781"/>
    <w:rsid w:val="00DB7D8C"/>
    <w:rsid w:val="00DC0C21"/>
    <w:rsid w:val="00DC34E5"/>
    <w:rsid w:val="00DC384E"/>
    <w:rsid w:val="00DC4871"/>
    <w:rsid w:val="00DC4C46"/>
    <w:rsid w:val="00DD0226"/>
    <w:rsid w:val="00DD099B"/>
    <w:rsid w:val="00DD1093"/>
    <w:rsid w:val="00DD17F5"/>
    <w:rsid w:val="00DD23AB"/>
    <w:rsid w:val="00DD2778"/>
    <w:rsid w:val="00DD2BA3"/>
    <w:rsid w:val="00DD3B94"/>
    <w:rsid w:val="00DD47DD"/>
    <w:rsid w:val="00DD4DBE"/>
    <w:rsid w:val="00DD5308"/>
    <w:rsid w:val="00DD67B0"/>
    <w:rsid w:val="00DE0A49"/>
    <w:rsid w:val="00DE12A7"/>
    <w:rsid w:val="00DE2B28"/>
    <w:rsid w:val="00DE40FA"/>
    <w:rsid w:val="00DE45A2"/>
    <w:rsid w:val="00DE587D"/>
    <w:rsid w:val="00DE5C2A"/>
    <w:rsid w:val="00DE7C5A"/>
    <w:rsid w:val="00DE7C5C"/>
    <w:rsid w:val="00DE7D5B"/>
    <w:rsid w:val="00DF0055"/>
    <w:rsid w:val="00DF1E5A"/>
    <w:rsid w:val="00DF3974"/>
    <w:rsid w:val="00DF3CAA"/>
    <w:rsid w:val="00DF49A6"/>
    <w:rsid w:val="00DF6F06"/>
    <w:rsid w:val="00DF775E"/>
    <w:rsid w:val="00DF7BBE"/>
    <w:rsid w:val="00E01358"/>
    <w:rsid w:val="00E020AC"/>
    <w:rsid w:val="00E02DCF"/>
    <w:rsid w:val="00E04B08"/>
    <w:rsid w:val="00E05E8A"/>
    <w:rsid w:val="00E070B0"/>
    <w:rsid w:val="00E105AD"/>
    <w:rsid w:val="00E11A74"/>
    <w:rsid w:val="00E11DFE"/>
    <w:rsid w:val="00E13DFC"/>
    <w:rsid w:val="00E14531"/>
    <w:rsid w:val="00E14D65"/>
    <w:rsid w:val="00E14DFC"/>
    <w:rsid w:val="00E15E6C"/>
    <w:rsid w:val="00E165A4"/>
    <w:rsid w:val="00E20522"/>
    <w:rsid w:val="00E20E28"/>
    <w:rsid w:val="00E21DCB"/>
    <w:rsid w:val="00E2228A"/>
    <w:rsid w:val="00E23AB0"/>
    <w:rsid w:val="00E245CE"/>
    <w:rsid w:val="00E24615"/>
    <w:rsid w:val="00E24C79"/>
    <w:rsid w:val="00E24F90"/>
    <w:rsid w:val="00E25CDD"/>
    <w:rsid w:val="00E26845"/>
    <w:rsid w:val="00E3022C"/>
    <w:rsid w:val="00E307EA"/>
    <w:rsid w:val="00E30B1B"/>
    <w:rsid w:val="00E313BA"/>
    <w:rsid w:val="00E3142B"/>
    <w:rsid w:val="00E31C86"/>
    <w:rsid w:val="00E31DEA"/>
    <w:rsid w:val="00E32A00"/>
    <w:rsid w:val="00E346C9"/>
    <w:rsid w:val="00E34E62"/>
    <w:rsid w:val="00E35710"/>
    <w:rsid w:val="00E3611A"/>
    <w:rsid w:val="00E36901"/>
    <w:rsid w:val="00E36FCD"/>
    <w:rsid w:val="00E37323"/>
    <w:rsid w:val="00E376B7"/>
    <w:rsid w:val="00E37FE6"/>
    <w:rsid w:val="00E4189B"/>
    <w:rsid w:val="00E41C59"/>
    <w:rsid w:val="00E42E9F"/>
    <w:rsid w:val="00E4302D"/>
    <w:rsid w:val="00E437E0"/>
    <w:rsid w:val="00E442A1"/>
    <w:rsid w:val="00E44363"/>
    <w:rsid w:val="00E47064"/>
    <w:rsid w:val="00E529DE"/>
    <w:rsid w:val="00E55D08"/>
    <w:rsid w:val="00E56240"/>
    <w:rsid w:val="00E56BBA"/>
    <w:rsid w:val="00E57203"/>
    <w:rsid w:val="00E608CE"/>
    <w:rsid w:val="00E60DB5"/>
    <w:rsid w:val="00E60EFE"/>
    <w:rsid w:val="00E61122"/>
    <w:rsid w:val="00E6146A"/>
    <w:rsid w:val="00E62AED"/>
    <w:rsid w:val="00E62C8A"/>
    <w:rsid w:val="00E63C1A"/>
    <w:rsid w:val="00E64400"/>
    <w:rsid w:val="00E6492C"/>
    <w:rsid w:val="00E65322"/>
    <w:rsid w:val="00E658BA"/>
    <w:rsid w:val="00E669AB"/>
    <w:rsid w:val="00E67099"/>
    <w:rsid w:val="00E6725C"/>
    <w:rsid w:val="00E6794E"/>
    <w:rsid w:val="00E67C1B"/>
    <w:rsid w:val="00E718F7"/>
    <w:rsid w:val="00E72200"/>
    <w:rsid w:val="00E72CB7"/>
    <w:rsid w:val="00E72EBD"/>
    <w:rsid w:val="00E73078"/>
    <w:rsid w:val="00E74226"/>
    <w:rsid w:val="00E762E6"/>
    <w:rsid w:val="00E76421"/>
    <w:rsid w:val="00E76C18"/>
    <w:rsid w:val="00E7790C"/>
    <w:rsid w:val="00E80075"/>
    <w:rsid w:val="00E80470"/>
    <w:rsid w:val="00E80A2A"/>
    <w:rsid w:val="00E8181C"/>
    <w:rsid w:val="00E83497"/>
    <w:rsid w:val="00E84CAC"/>
    <w:rsid w:val="00E84F7A"/>
    <w:rsid w:val="00E863B9"/>
    <w:rsid w:val="00E8666C"/>
    <w:rsid w:val="00E86797"/>
    <w:rsid w:val="00E86BCE"/>
    <w:rsid w:val="00E87C95"/>
    <w:rsid w:val="00E904BE"/>
    <w:rsid w:val="00E90AB0"/>
    <w:rsid w:val="00E917FD"/>
    <w:rsid w:val="00E91D68"/>
    <w:rsid w:val="00E92115"/>
    <w:rsid w:val="00E932D4"/>
    <w:rsid w:val="00E93887"/>
    <w:rsid w:val="00E95D7B"/>
    <w:rsid w:val="00E9694F"/>
    <w:rsid w:val="00E97DF7"/>
    <w:rsid w:val="00EA2F33"/>
    <w:rsid w:val="00EA391B"/>
    <w:rsid w:val="00EA4D5A"/>
    <w:rsid w:val="00EA6D55"/>
    <w:rsid w:val="00EA6DBE"/>
    <w:rsid w:val="00EB0ED8"/>
    <w:rsid w:val="00EB175C"/>
    <w:rsid w:val="00EB194F"/>
    <w:rsid w:val="00EB1BBE"/>
    <w:rsid w:val="00EB1F7B"/>
    <w:rsid w:val="00EB279D"/>
    <w:rsid w:val="00EB4370"/>
    <w:rsid w:val="00EB65B2"/>
    <w:rsid w:val="00EB7897"/>
    <w:rsid w:val="00EB7D88"/>
    <w:rsid w:val="00EC131D"/>
    <w:rsid w:val="00EC22C7"/>
    <w:rsid w:val="00EC2473"/>
    <w:rsid w:val="00EC2982"/>
    <w:rsid w:val="00EC47C2"/>
    <w:rsid w:val="00EC48CE"/>
    <w:rsid w:val="00EC5645"/>
    <w:rsid w:val="00EC5A44"/>
    <w:rsid w:val="00EC6268"/>
    <w:rsid w:val="00ED0F7D"/>
    <w:rsid w:val="00ED15C0"/>
    <w:rsid w:val="00ED205A"/>
    <w:rsid w:val="00ED22E4"/>
    <w:rsid w:val="00ED3ED3"/>
    <w:rsid w:val="00ED4581"/>
    <w:rsid w:val="00ED4C7E"/>
    <w:rsid w:val="00ED54C9"/>
    <w:rsid w:val="00ED6136"/>
    <w:rsid w:val="00ED6400"/>
    <w:rsid w:val="00ED6789"/>
    <w:rsid w:val="00ED7715"/>
    <w:rsid w:val="00EE0275"/>
    <w:rsid w:val="00EE0E41"/>
    <w:rsid w:val="00EE1C10"/>
    <w:rsid w:val="00EE2E42"/>
    <w:rsid w:val="00EE36E0"/>
    <w:rsid w:val="00EE5296"/>
    <w:rsid w:val="00EE7CAB"/>
    <w:rsid w:val="00EF0DE9"/>
    <w:rsid w:val="00EF10FB"/>
    <w:rsid w:val="00EF1290"/>
    <w:rsid w:val="00EF1C1F"/>
    <w:rsid w:val="00EF1C29"/>
    <w:rsid w:val="00EF2E2B"/>
    <w:rsid w:val="00EF3CFE"/>
    <w:rsid w:val="00EF4217"/>
    <w:rsid w:val="00EF5CF0"/>
    <w:rsid w:val="00EF664D"/>
    <w:rsid w:val="00F00C3F"/>
    <w:rsid w:val="00F00E3C"/>
    <w:rsid w:val="00F05059"/>
    <w:rsid w:val="00F05EBD"/>
    <w:rsid w:val="00F06891"/>
    <w:rsid w:val="00F07503"/>
    <w:rsid w:val="00F076DD"/>
    <w:rsid w:val="00F10BC0"/>
    <w:rsid w:val="00F11185"/>
    <w:rsid w:val="00F111E4"/>
    <w:rsid w:val="00F117CB"/>
    <w:rsid w:val="00F11A2B"/>
    <w:rsid w:val="00F121EA"/>
    <w:rsid w:val="00F12561"/>
    <w:rsid w:val="00F1291F"/>
    <w:rsid w:val="00F13A96"/>
    <w:rsid w:val="00F1515E"/>
    <w:rsid w:val="00F156A8"/>
    <w:rsid w:val="00F15B40"/>
    <w:rsid w:val="00F200E7"/>
    <w:rsid w:val="00F20132"/>
    <w:rsid w:val="00F2022F"/>
    <w:rsid w:val="00F20E6A"/>
    <w:rsid w:val="00F223DD"/>
    <w:rsid w:val="00F2241E"/>
    <w:rsid w:val="00F22C96"/>
    <w:rsid w:val="00F2340C"/>
    <w:rsid w:val="00F27977"/>
    <w:rsid w:val="00F31769"/>
    <w:rsid w:val="00F31FD5"/>
    <w:rsid w:val="00F324AF"/>
    <w:rsid w:val="00F3283E"/>
    <w:rsid w:val="00F32AEC"/>
    <w:rsid w:val="00F347B7"/>
    <w:rsid w:val="00F349CB"/>
    <w:rsid w:val="00F36253"/>
    <w:rsid w:val="00F41251"/>
    <w:rsid w:val="00F41FD4"/>
    <w:rsid w:val="00F42549"/>
    <w:rsid w:val="00F425C7"/>
    <w:rsid w:val="00F42615"/>
    <w:rsid w:val="00F4325B"/>
    <w:rsid w:val="00F435C1"/>
    <w:rsid w:val="00F43A20"/>
    <w:rsid w:val="00F45433"/>
    <w:rsid w:val="00F46641"/>
    <w:rsid w:val="00F51396"/>
    <w:rsid w:val="00F5251C"/>
    <w:rsid w:val="00F54712"/>
    <w:rsid w:val="00F55F8C"/>
    <w:rsid w:val="00F5691F"/>
    <w:rsid w:val="00F61D1B"/>
    <w:rsid w:val="00F6213E"/>
    <w:rsid w:val="00F66BB7"/>
    <w:rsid w:val="00F66FFD"/>
    <w:rsid w:val="00F67531"/>
    <w:rsid w:val="00F67659"/>
    <w:rsid w:val="00F67987"/>
    <w:rsid w:val="00F705E5"/>
    <w:rsid w:val="00F7096E"/>
    <w:rsid w:val="00F72D5A"/>
    <w:rsid w:val="00F72DB2"/>
    <w:rsid w:val="00F72EB9"/>
    <w:rsid w:val="00F73598"/>
    <w:rsid w:val="00F7366B"/>
    <w:rsid w:val="00F73F07"/>
    <w:rsid w:val="00F756B7"/>
    <w:rsid w:val="00F75A87"/>
    <w:rsid w:val="00F75E92"/>
    <w:rsid w:val="00F76878"/>
    <w:rsid w:val="00F77120"/>
    <w:rsid w:val="00F77832"/>
    <w:rsid w:val="00F80067"/>
    <w:rsid w:val="00F81659"/>
    <w:rsid w:val="00F829B3"/>
    <w:rsid w:val="00F84832"/>
    <w:rsid w:val="00F852A4"/>
    <w:rsid w:val="00F855FF"/>
    <w:rsid w:val="00F865CD"/>
    <w:rsid w:val="00F87378"/>
    <w:rsid w:val="00F87DC5"/>
    <w:rsid w:val="00F90287"/>
    <w:rsid w:val="00F90533"/>
    <w:rsid w:val="00F92A4F"/>
    <w:rsid w:val="00F93338"/>
    <w:rsid w:val="00F9349E"/>
    <w:rsid w:val="00F94B27"/>
    <w:rsid w:val="00F94D3D"/>
    <w:rsid w:val="00F95314"/>
    <w:rsid w:val="00F9584F"/>
    <w:rsid w:val="00F9728A"/>
    <w:rsid w:val="00F97483"/>
    <w:rsid w:val="00FA0033"/>
    <w:rsid w:val="00FA1127"/>
    <w:rsid w:val="00FA11E3"/>
    <w:rsid w:val="00FA15B8"/>
    <w:rsid w:val="00FA1FF2"/>
    <w:rsid w:val="00FA2236"/>
    <w:rsid w:val="00FA2618"/>
    <w:rsid w:val="00FA6592"/>
    <w:rsid w:val="00FA6A90"/>
    <w:rsid w:val="00FA6B29"/>
    <w:rsid w:val="00FA6DC9"/>
    <w:rsid w:val="00FA70C8"/>
    <w:rsid w:val="00FA7F0D"/>
    <w:rsid w:val="00FB06F0"/>
    <w:rsid w:val="00FB0793"/>
    <w:rsid w:val="00FB1067"/>
    <w:rsid w:val="00FB10C6"/>
    <w:rsid w:val="00FB1196"/>
    <w:rsid w:val="00FB3D2E"/>
    <w:rsid w:val="00FB5264"/>
    <w:rsid w:val="00FB599A"/>
    <w:rsid w:val="00FB7518"/>
    <w:rsid w:val="00FB7D3C"/>
    <w:rsid w:val="00FC0138"/>
    <w:rsid w:val="00FC0761"/>
    <w:rsid w:val="00FC21BA"/>
    <w:rsid w:val="00FC25C2"/>
    <w:rsid w:val="00FC4524"/>
    <w:rsid w:val="00FC4857"/>
    <w:rsid w:val="00FC6251"/>
    <w:rsid w:val="00FC69D6"/>
    <w:rsid w:val="00FC7921"/>
    <w:rsid w:val="00FC797C"/>
    <w:rsid w:val="00FD191D"/>
    <w:rsid w:val="00FD1C67"/>
    <w:rsid w:val="00FD29A9"/>
    <w:rsid w:val="00FD29E2"/>
    <w:rsid w:val="00FD2EAA"/>
    <w:rsid w:val="00FD3223"/>
    <w:rsid w:val="00FD4083"/>
    <w:rsid w:val="00FD50CB"/>
    <w:rsid w:val="00FD5462"/>
    <w:rsid w:val="00FD5803"/>
    <w:rsid w:val="00FD6644"/>
    <w:rsid w:val="00FD722D"/>
    <w:rsid w:val="00FE3CFF"/>
    <w:rsid w:val="00FE3F56"/>
    <w:rsid w:val="00FE55DD"/>
    <w:rsid w:val="00FE72C0"/>
    <w:rsid w:val="00FF03E5"/>
    <w:rsid w:val="00FF03EE"/>
    <w:rsid w:val="00FF0473"/>
    <w:rsid w:val="00FF055E"/>
    <w:rsid w:val="00FF0E17"/>
    <w:rsid w:val="00FF14B6"/>
    <w:rsid w:val="00FF20FC"/>
    <w:rsid w:val="00FF22CB"/>
    <w:rsid w:val="00FF279C"/>
    <w:rsid w:val="00FF2BC8"/>
    <w:rsid w:val="00FF2C66"/>
    <w:rsid w:val="00FF41E7"/>
    <w:rsid w:val="00FF4D6B"/>
    <w:rsid w:val="00FF578D"/>
    <w:rsid w:val="00FF7E85"/>
  </w:rsids>
  <m:mathPr>
    <m:mathFont m:val="Cambria Math"/>
    <m:brkBin m:val="before"/>
    <m:brkBinSub m:val="--"/>
    <m:smallFrac m:val="0"/>
    <m:dispDef/>
    <m:lMargin m:val="0"/>
    <m:rMargin m:val="0"/>
    <m:defJc m:val="centerGroup"/>
    <m:wrapIndent m:val="1440"/>
    <m:intLim m:val="subSup"/>
    <m:naryLim m:val="undOvr"/>
  </m:mathPr>
  <w:themeFontLang w:val="en-GB" w:eastAsia="ja-JP" w:bidi="lo-L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9B750F"/>
  <w15:docId w15:val="{BB0806CB-5DFB-43B1-82A5-B0B4E0261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3CE8"/>
    <w:rPr>
      <w:sz w:val="24"/>
      <w:szCs w:val="24"/>
      <w:lang w:eastAsia="en-US"/>
    </w:rPr>
  </w:style>
  <w:style w:type="paragraph" w:styleId="Heading1">
    <w:name w:val="heading 1"/>
    <w:basedOn w:val="Normal"/>
    <w:next w:val="Normal"/>
    <w:link w:val="Heading1Char"/>
    <w:qFormat/>
    <w:rsid w:val="00DD17F5"/>
    <w:pPr>
      <w:keepNext/>
      <w:keepLines/>
      <w:numPr>
        <w:numId w:val="1"/>
      </w:numPr>
      <w:spacing w:before="480"/>
      <w:outlineLvl w:val="0"/>
    </w:pPr>
    <w:rPr>
      <w:rFonts w:ascii="Cambria" w:eastAsia="Calibri" w:hAnsi="Cambria"/>
      <w:b/>
      <w:bCs/>
      <w:color w:val="365F91"/>
      <w:sz w:val="28"/>
      <w:szCs w:val="28"/>
    </w:rPr>
  </w:style>
  <w:style w:type="paragraph" w:styleId="Heading2">
    <w:name w:val="heading 2"/>
    <w:basedOn w:val="Normal"/>
    <w:next w:val="Normal"/>
    <w:link w:val="Heading2Char"/>
    <w:qFormat/>
    <w:rsid w:val="00DD17F5"/>
    <w:pPr>
      <w:keepNext/>
      <w:keepLines/>
      <w:numPr>
        <w:ilvl w:val="1"/>
        <w:numId w:val="1"/>
      </w:numPr>
      <w:spacing w:before="200"/>
      <w:outlineLvl w:val="1"/>
    </w:pPr>
    <w:rPr>
      <w:rFonts w:ascii="Cambria" w:eastAsia="Calibri" w:hAnsi="Cambria"/>
      <w:b/>
      <w:bCs/>
      <w:color w:val="4F81BD"/>
      <w:sz w:val="26"/>
      <w:szCs w:val="26"/>
    </w:rPr>
  </w:style>
  <w:style w:type="paragraph" w:styleId="Heading3">
    <w:name w:val="heading 3"/>
    <w:basedOn w:val="Normal"/>
    <w:next w:val="Normal"/>
    <w:link w:val="Heading3Char"/>
    <w:qFormat/>
    <w:rsid w:val="00DD17F5"/>
    <w:pPr>
      <w:keepNext/>
      <w:keepLines/>
      <w:numPr>
        <w:ilvl w:val="2"/>
        <w:numId w:val="1"/>
      </w:numPr>
      <w:spacing w:before="200"/>
      <w:outlineLvl w:val="2"/>
    </w:pPr>
    <w:rPr>
      <w:rFonts w:ascii="Cambria" w:eastAsia="Calibri" w:hAnsi="Cambria"/>
      <w:b/>
      <w:bCs/>
      <w:color w:val="4F81BD"/>
      <w:sz w:val="22"/>
      <w:szCs w:val="22"/>
    </w:rPr>
  </w:style>
  <w:style w:type="paragraph" w:styleId="Heading4">
    <w:name w:val="heading 4"/>
    <w:basedOn w:val="Normal"/>
    <w:next w:val="Normal"/>
    <w:link w:val="Heading4Char"/>
    <w:qFormat/>
    <w:rsid w:val="000B4039"/>
    <w:pPr>
      <w:keepNext/>
      <w:keepLines/>
      <w:numPr>
        <w:ilvl w:val="3"/>
        <w:numId w:val="1"/>
      </w:numPr>
      <w:spacing w:before="200"/>
      <w:outlineLvl w:val="3"/>
    </w:pPr>
    <w:rPr>
      <w:rFonts w:ascii="Cambria" w:eastAsia="Calibri" w:hAnsi="Cambria"/>
      <w:b/>
      <w:bCs/>
      <w:i/>
      <w:iCs/>
      <w:color w:val="4F81BD"/>
      <w:sz w:val="22"/>
      <w:szCs w:val="22"/>
    </w:rPr>
  </w:style>
  <w:style w:type="paragraph" w:styleId="Heading5">
    <w:name w:val="heading 5"/>
    <w:basedOn w:val="Normal"/>
    <w:next w:val="Normal"/>
    <w:qFormat/>
    <w:rsid w:val="00F27977"/>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qFormat/>
    <w:rsid w:val="00F27977"/>
    <w:pPr>
      <w:numPr>
        <w:ilvl w:val="5"/>
        <w:numId w:val="1"/>
      </w:numPr>
      <w:spacing w:before="240" w:after="60"/>
      <w:outlineLvl w:val="5"/>
    </w:pPr>
    <w:rPr>
      <w:b/>
      <w:bCs/>
      <w:sz w:val="22"/>
      <w:szCs w:val="22"/>
    </w:rPr>
  </w:style>
  <w:style w:type="paragraph" w:styleId="Heading7">
    <w:name w:val="heading 7"/>
    <w:basedOn w:val="Normal"/>
    <w:next w:val="Normal"/>
    <w:qFormat/>
    <w:rsid w:val="00F27977"/>
    <w:pPr>
      <w:numPr>
        <w:ilvl w:val="6"/>
        <w:numId w:val="1"/>
      </w:numPr>
      <w:spacing w:before="240" w:after="60"/>
      <w:outlineLvl w:val="6"/>
    </w:pPr>
  </w:style>
  <w:style w:type="paragraph" w:styleId="Heading8">
    <w:name w:val="heading 8"/>
    <w:basedOn w:val="Normal"/>
    <w:next w:val="Normal"/>
    <w:qFormat/>
    <w:rsid w:val="00F27977"/>
    <w:pPr>
      <w:numPr>
        <w:ilvl w:val="7"/>
        <w:numId w:val="1"/>
      </w:numPr>
      <w:spacing w:before="240" w:after="60"/>
      <w:outlineLvl w:val="7"/>
    </w:pPr>
    <w:rPr>
      <w:i/>
      <w:iCs/>
    </w:rPr>
  </w:style>
  <w:style w:type="paragraph" w:styleId="Heading9">
    <w:name w:val="heading 9"/>
    <w:basedOn w:val="Normal"/>
    <w:next w:val="Normal"/>
    <w:qFormat/>
    <w:rsid w:val="00F27977"/>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DD17F5"/>
    <w:rPr>
      <w:rFonts w:ascii="Cambria" w:eastAsia="Calibri" w:hAnsi="Cambria"/>
      <w:b/>
      <w:bCs/>
      <w:color w:val="365F91"/>
      <w:sz w:val="28"/>
      <w:szCs w:val="28"/>
      <w:lang w:eastAsia="en-US"/>
    </w:rPr>
  </w:style>
  <w:style w:type="character" w:customStyle="1" w:styleId="Heading2Char">
    <w:name w:val="Heading 2 Char"/>
    <w:link w:val="Heading2"/>
    <w:locked/>
    <w:rsid w:val="00DD17F5"/>
    <w:rPr>
      <w:rFonts w:ascii="Cambria" w:eastAsia="Calibri" w:hAnsi="Cambria"/>
      <w:b/>
      <w:bCs/>
      <w:color w:val="4F81BD"/>
      <w:sz w:val="26"/>
      <w:szCs w:val="26"/>
      <w:lang w:eastAsia="en-US"/>
    </w:rPr>
  </w:style>
  <w:style w:type="character" w:customStyle="1" w:styleId="Heading3Char">
    <w:name w:val="Heading 3 Char"/>
    <w:link w:val="Heading3"/>
    <w:locked/>
    <w:rsid w:val="00DD17F5"/>
    <w:rPr>
      <w:rFonts w:ascii="Cambria" w:eastAsia="Calibri" w:hAnsi="Cambria"/>
      <w:b/>
      <w:bCs/>
      <w:color w:val="4F81BD"/>
      <w:sz w:val="22"/>
      <w:szCs w:val="22"/>
      <w:lang w:eastAsia="en-US"/>
    </w:rPr>
  </w:style>
  <w:style w:type="character" w:customStyle="1" w:styleId="Heading4Char">
    <w:name w:val="Heading 4 Char"/>
    <w:link w:val="Heading4"/>
    <w:locked/>
    <w:rsid w:val="000B4039"/>
    <w:rPr>
      <w:rFonts w:ascii="Cambria" w:eastAsia="Calibri" w:hAnsi="Cambria"/>
      <w:b/>
      <w:bCs/>
      <w:i/>
      <w:iCs/>
      <w:color w:val="4F81BD"/>
      <w:sz w:val="22"/>
      <w:szCs w:val="22"/>
      <w:lang w:eastAsia="en-US"/>
    </w:rPr>
  </w:style>
  <w:style w:type="paragraph" w:styleId="ListParagraph">
    <w:name w:val="List Paragraph"/>
    <w:aliases w:val="Mummuga loetelu"/>
    <w:basedOn w:val="Normal"/>
    <w:link w:val="ListParagraphChar"/>
    <w:uiPriority w:val="34"/>
    <w:qFormat/>
    <w:rsid w:val="000B4039"/>
    <w:pPr>
      <w:spacing w:after="120"/>
      <w:ind w:left="720"/>
      <w:contextualSpacing/>
    </w:pPr>
    <w:rPr>
      <w:rFonts w:ascii="Calibri" w:hAnsi="Calibri"/>
      <w:sz w:val="22"/>
      <w:szCs w:val="22"/>
    </w:rPr>
  </w:style>
  <w:style w:type="character" w:styleId="CommentReference">
    <w:name w:val="annotation reference"/>
    <w:uiPriority w:val="99"/>
    <w:qFormat/>
    <w:rsid w:val="000B4039"/>
    <w:rPr>
      <w:rFonts w:cs="Times New Roman"/>
      <w:sz w:val="16"/>
      <w:szCs w:val="16"/>
    </w:rPr>
  </w:style>
  <w:style w:type="paragraph" w:customStyle="1" w:styleId="Subsub">
    <w:name w:val="Subsub"/>
    <w:basedOn w:val="Normal"/>
    <w:link w:val="SubsubChar"/>
    <w:rsid w:val="000B4039"/>
    <w:pPr>
      <w:tabs>
        <w:tab w:val="num" w:pos="360"/>
      </w:tabs>
      <w:spacing w:before="120" w:after="120"/>
      <w:ind w:left="360" w:hanging="360"/>
      <w:jc w:val="both"/>
    </w:pPr>
    <w:rPr>
      <w:rFonts w:eastAsia="Calibri"/>
      <w:szCs w:val="22"/>
    </w:rPr>
  </w:style>
  <w:style w:type="character" w:customStyle="1" w:styleId="SubsubChar">
    <w:name w:val="Subsub Char"/>
    <w:link w:val="Subsub"/>
    <w:locked/>
    <w:rsid w:val="000B4039"/>
    <w:rPr>
      <w:rFonts w:eastAsia="Calibri"/>
      <w:sz w:val="24"/>
      <w:szCs w:val="22"/>
      <w:lang w:val="lv-LV" w:eastAsia="en-US" w:bidi="ar-SA"/>
    </w:rPr>
  </w:style>
  <w:style w:type="paragraph" w:styleId="CommentText">
    <w:name w:val="annotation text"/>
    <w:basedOn w:val="Normal"/>
    <w:link w:val="CommentTextChar"/>
    <w:uiPriority w:val="99"/>
    <w:rsid w:val="000B4039"/>
    <w:pPr>
      <w:spacing w:after="120"/>
      <w:jc w:val="both"/>
    </w:pPr>
    <w:rPr>
      <w:rFonts w:ascii="Garamond" w:eastAsia="Calibri" w:hAnsi="Garamond" w:cs="Garamond"/>
      <w:sz w:val="20"/>
      <w:szCs w:val="20"/>
      <w:lang w:eastAsia="da-DK"/>
    </w:rPr>
  </w:style>
  <w:style w:type="character" w:customStyle="1" w:styleId="CommentTextChar">
    <w:name w:val="Comment Text Char"/>
    <w:link w:val="CommentText"/>
    <w:uiPriority w:val="99"/>
    <w:qFormat/>
    <w:locked/>
    <w:rsid w:val="000B4039"/>
    <w:rPr>
      <w:rFonts w:ascii="Garamond" w:eastAsia="Calibri" w:hAnsi="Garamond" w:cs="Garamond"/>
      <w:lang w:val="lv-LV" w:eastAsia="da-DK" w:bidi="ar-SA"/>
    </w:rPr>
  </w:style>
  <w:style w:type="paragraph" w:styleId="BalloonText">
    <w:name w:val="Balloon Text"/>
    <w:basedOn w:val="Normal"/>
    <w:semiHidden/>
    <w:rsid w:val="000B4039"/>
    <w:pPr>
      <w:spacing w:after="120"/>
    </w:pPr>
    <w:rPr>
      <w:rFonts w:ascii="Tahoma" w:hAnsi="Tahoma" w:cs="Tahoma"/>
      <w:sz w:val="16"/>
      <w:szCs w:val="16"/>
    </w:rPr>
  </w:style>
  <w:style w:type="paragraph" w:styleId="TOC1">
    <w:name w:val="toc 1"/>
    <w:basedOn w:val="Normal"/>
    <w:next w:val="Normal"/>
    <w:autoRedefine/>
    <w:uiPriority w:val="39"/>
    <w:qFormat/>
    <w:rsid w:val="00764C30"/>
    <w:pPr>
      <w:spacing w:before="120" w:after="120"/>
    </w:pPr>
    <w:rPr>
      <w:rFonts w:ascii="Calibri" w:hAnsi="Calibri" w:cs="Calibri"/>
      <w:b/>
      <w:bCs/>
      <w:caps/>
      <w:sz w:val="20"/>
      <w:szCs w:val="20"/>
    </w:rPr>
  </w:style>
  <w:style w:type="paragraph" w:styleId="TOC2">
    <w:name w:val="toc 2"/>
    <w:basedOn w:val="Normal"/>
    <w:next w:val="Normal"/>
    <w:autoRedefine/>
    <w:uiPriority w:val="39"/>
    <w:qFormat/>
    <w:rsid w:val="004A54C3"/>
    <w:pPr>
      <w:ind w:left="220"/>
    </w:pPr>
    <w:rPr>
      <w:rFonts w:ascii="Calibri" w:hAnsi="Calibri" w:cs="Calibri"/>
      <w:smallCaps/>
      <w:sz w:val="20"/>
      <w:szCs w:val="20"/>
    </w:rPr>
  </w:style>
  <w:style w:type="paragraph" w:styleId="TOC3">
    <w:name w:val="toc 3"/>
    <w:basedOn w:val="Normal"/>
    <w:next w:val="Normal"/>
    <w:autoRedefine/>
    <w:uiPriority w:val="39"/>
    <w:qFormat/>
    <w:rsid w:val="004A54C3"/>
    <w:pPr>
      <w:ind w:left="440"/>
    </w:pPr>
    <w:rPr>
      <w:rFonts w:ascii="Calibri" w:hAnsi="Calibri" w:cs="Calibri"/>
      <w:i/>
      <w:iCs/>
      <w:sz w:val="20"/>
      <w:szCs w:val="20"/>
    </w:rPr>
  </w:style>
  <w:style w:type="character" w:styleId="Hyperlink">
    <w:name w:val="Hyperlink"/>
    <w:uiPriority w:val="99"/>
    <w:qFormat/>
    <w:rsid w:val="004A54C3"/>
    <w:rPr>
      <w:color w:val="0000FF"/>
      <w:u w:val="single"/>
    </w:rPr>
  </w:style>
  <w:style w:type="table" w:styleId="TableGrid">
    <w:name w:val="Table Grid"/>
    <w:basedOn w:val="TableNormal"/>
    <w:uiPriority w:val="39"/>
    <w:qFormat/>
    <w:rsid w:val="00FD1C67"/>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117081"/>
    <w:pPr>
      <w:jc w:val="left"/>
    </w:pPr>
    <w:rPr>
      <w:rFonts w:ascii="Calibri" w:eastAsia="Times New Roman" w:hAnsi="Calibri" w:cs="Times New Roman"/>
      <w:b/>
      <w:bCs/>
      <w:lang w:eastAsia="en-US"/>
    </w:rPr>
  </w:style>
  <w:style w:type="paragraph" w:customStyle="1" w:styleId="StyleHeading2LatinCalibri14pt">
    <w:name w:val="Style Heading 2 + (Latin) Calibri 14 pt"/>
    <w:basedOn w:val="Heading2"/>
    <w:link w:val="StyleHeading2LatinCalibri14ptChar"/>
    <w:rsid w:val="00AF6AF8"/>
    <w:rPr>
      <w:sz w:val="28"/>
    </w:rPr>
  </w:style>
  <w:style w:type="character" w:customStyle="1" w:styleId="StyleHeading2LatinCalibri14ptChar">
    <w:name w:val="Style Heading 2 + (Latin) Calibri 14 pt Char"/>
    <w:link w:val="StyleHeading2LatinCalibri14pt"/>
    <w:rsid w:val="00AF6AF8"/>
    <w:rPr>
      <w:rFonts w:ascii="Cambria" w:eastAsia="Calibri" w:hAnsi="Cambria"/>
      <w:b/>
      <w:bCs/>
      <w:color w:val="4F81BD"/>
      <w:sz w:val="28"/>
      <w:szCs w:val="26"/>
      <w:lang w:eastAsia="en-US"/>
    </w:rPr>
  </w:style>
  <w:style w:type="character" w:customStyle="1" w:styleId="StyleBold">
    <w:name w:val="Style Bold"/>
    <w:rsid w:val="00AF6AF8"/>
    <w:rPr>
      <w:rFonts w:ascii="Cambria" w:hAnsi="Cambria"/>
      <w:b/>
      <w:bCs/>
    </w:rPr>
  </w:style>
  <w:style w:type="paragraph" w:styleId="Footer">
    <w:name w:val="footer"/>
    <w:basedOn w:val="Normal"/>
    <w:link w:val="FooterChar"/>
    <w:uiPriority w:val="99"/>
    <w:rsid w:val="002970B5"/>
    <w:pPr>
      <w:tabs>
        <w:tab w:val="center" w:pos="4320"/>
        <w:tab w:val="right" w:pos="8640"/>
      </w:tabs>
      <w:spacing w:after="120"/>
    </w:pPr>
    <w:rPr>
      <w:rFonts w:ascii="Calibri" w:hAnsi="Calibri"/>
      <w:sz w:val="22"/>
      <w:szCs w:val="22"/>
    </w:rPr>
  </w:style>
  <w:style w:type="character" w:styleId="PageNumber">
    <w:name w:val="page number"/>
    <w:basedOn w:val="DefaultParagraphFont"/>
    <w:rsid w:val="002970B5"/>
  </w:style>
  <w:style w:type="paragraph" w:styleId="Header">
    <w:name w:val="header"/>
    <w:basedOn w:val="Normal"/>
    <w:link w:val="HeaderChar"/>
    <w:uiPriority w:val="99"/>
    <w:rsid w:val="00357BC5"/>
    <w:pPr>
      <w:tabs>
        <w:tab w:val="center" w:pos="4320"/>
        <w:tab w:val="right" w:pos="8640"/>
      </w:tabs>
      <w:spacing w:after="120"/>
    </w:pPr>
    <w:rPr>
      <w:rFonts w:ascii="Calibri" w:hAnsi="Calibri"/>
      <w:sz w:val="22"/>
      <w:szCs w:val="22"/>
    </w:rPr>
  </w:style>
  <w:style w:type="paragraph" w:styleId="FootnoteText">
    <w:name w:val="footnote text"/>
    <w:aliases w:val="Schriftart: 9 pt,Schriftart: 10 pt,Schriftart: 8 pt,WB-Fußnotentext,WB-Fußnotentext Char Char,WB-Fußnotentext Char,stile 1,Footnote,Footnote1,Footnote2,Footnote3,Footnote4,Footnote5,Footnote6,Footnote7,Footnote8,Footnote9,Footnote10,fn"/>
    <w:basedOn w:val="Normal"/>
    <w:link w:val="FootnoteTextChar"/>
    <w:uiPriority w:val="99"/>
    <w:rsid w:val="003D77E8"/>
    <w:pPr>
      <w:spacing w:after="120"/>
    </w:pPr>
    <w:rPr>
      <w:rFonts w:ascii="Calibri" w:hAnsi="Calibri"/>
      <w:sz w:val="20"/>
      <w:szCs w:val="20"/>
    </w:rPr>
  </w:style>
  <w:style w:type="character" w:styleId="FootnoteReference">
    <w:name w:val="footnote reference"/>
    <w:aliases w:val="BVI fnr,BVI fnr Car Car,BVI fnr Car,BVI fnr Car Car Car Car,BVI fnr Car Car Car Car Char,Odwołanie przypisu,Footnote symbol,Footnote Reference_LVL6,Footnote Reference_LVL61,Footnote Reference_LVL62,Footnote Reference_LVL63,SUPERS"/>
    <w:link w:val="Char2"/>
    <w:uiPriority w:val="99"/>
    <w:rsid w:val="003D77E8"/>
    <w:rPr>
      <w:vertAlign w:val="superscript"/>
    </w:rPr>
  </w:style>
  <w:style w:type="paragraph" w:styleId="TOCHeading">
    <w:name w:val="TOC Heading"/>
    <w:basedOn w:val="Heading1"/>
    <w:next w:val="Normal"/>
    <w:uiPriority w:val="39"/>
    <w:semiHidden/>
    <w:unhideWhenUsed/>
    <w:qFormat/>
    <w:rsid w:val="00050C45"/>
    <w:pPr>
      <w:numPr>
        <w:numId w:val="0"/>
      </w:numPr>
      <w:spacing w:line="276" w:lineRule="auto"/>
      <w:outlineLvl w:val="9"/>
    </w:pPr>
    <w:rPr>
      <w:rFonts w:eastAsia="MS Gothic"/>
      <w:lang w:eastAsia="ja-JP"/>
    </w:rPr>
  </w:style>
  <w:style w:type="paragraph" w:styleId="TOC4">
    <w:name w:val="toc 4"/>
    <w:basedOn w:val="Normal"/>
    <w:next w:val="Normal"/>
    <w:autoRedefine/>
    <w:rsid w:val="00050C45"/>
    <w:pPr>
      <w:ind w:left="660"/>
    </w:pPr>
    <w:rPr>
      <w:rFonts w:ascii="Calibri" w:hAnsi="Calibri" w:cs="Calibri"/>
      <w:sz w:val="18"/>
      <w:szCs w:val="18"/>
    </w:rPr>
  </w:style>
  <w:style w:type="paragraph" w:styleId="TOC5">
    <w:name w:val="toc 5"/>
    <w:basedOn w:val="Normal"/>
    <w:next w:val="Normal"/>
    <w:autoRedefine/>
    <w:rsid w:val="00050C45"/>
    <w:pPr>
      <w:ind w:left="880"/>
    </w:pPr>
    <w:rPr>
      <w:rFonts w:ascii="Calibri" w:hAnsi="Calibri" w:cs="Calibri"/>
      <w:sz w:val="18"/>
      <w:szCs w:val="18"/>
    </w:rPr>
  </w:style>
  <w:style w:type="paragraph" w:styleId="TOC6">
    <w:name w:val="toc 6"/>
    <w:basedOn w:val="Normal"/>
    <w:next w:val="Normal"/>
    <w:autoRedefine/>
    <w:rsid w:val="00050C45"/>
    <w:pPr>
      <w:ind w:left="1100"/>
    </w:pPr>
    <w:rPr>
      <w:rFonts w:ascii="Calibri" w:hAnsi="Calibri" w:cs="Calibri"/>
      <w:sz w:val="18"/>
      <w:szCs w:val="18"/>
    </w:rPr>
  </w:style>
  <w:style w:type="paragraph" w:styleId="TOC7">
    <w:name w:val="toc 7"/>
    <w:basedOn w:val="Normal"/>
    <w:next w:val="Normal"/>
    <w:autoRedefine/>
    <w:rsid w:val="00050C45"/>
    <w:pPr>
      <w:ind w:left="1320"/>
    </w:pPr>
    <w:rPr>
      <w:rFonts w:ascii="Calibri" w:hAnsi="Calibri" w:cs="Calibri"/>
      <w:sz w:val="18"/>
      <w:szCs w:val="18"/>
    </w:rPr>
  </w:style>
  <w:style w:type="paragraph" w:styleId="TOC8">
    <w:name w:val="toc 8"/>
    <w:basedOn w:val="Normal"/>
    <w:next w:val="Normal"/>
    <w:autoRedefine/>
    <w:rsid w:val="00050C45"/>
    <w:pPr>
      <w:ind w:left="1540"/>
    </w:pPr>
    <w:rPr>
      <w:rFonts w:ascii="Calibri" w:hAnsi="Calibri" w:cs="Calibri"/>
      <w:sz w:val="18"/>
      <w:szCs w:val="18"/>
    </w:rPr>
  </w:style>
  <w:style w:type="paragraph" w:styleId="TOC9">
    <w:name w:val="toc 9"/>
    <w:basedOn w:val="Normal"/>
    <w:next w:val="Normal"/>
    <w:autoRedefine/>
    <w:rsid w:val="00050C45"/>
    <w:pPr>
      <w:ind w:left="1760"/>
    </w:pPr>
    <w:rPr>
      <w:rFonts w:ascii="Calibri" w:hAnsi="Calibri" w:cs="Calibri"/>
      <w:sz w:val="18"/>
      <w:szCs w:val="18"/>
    </w:rPr>
  </w:style>
  <w:style w:type="paragraph" w:styleId="NoSpacing">
    <w:name w:val="No Spacing"/>
    <w:link w:val="NoSpacingChar"/>
    <w:uiPriority w:val="1"/>
    <w:qFormat/>
    <w:rsid w:val="00B27FF5"/>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B27FF5"/>
    <w:rPr>
      <w:rFonts w:asciiTheme="minorHAnsi" w:eastAsiaTheme="minorEastAsia" w:hAnsiTheme="minorHAnsi" w:cstheme="minorBidi"/>
      <w:sz w:val="22"/>
      <w:szCs w:val="22"/>
      <w:lang w:val="lv-LV" w:eastAsia="ja-JP"/>
    </w:rPr>
  </w:style>
  <w:style w:type="character" w:customStyle="1" w:styleId="FooterChar">
    <w:name w:val="Footer Char"/>
    <w:basedOn w:val="DefaultParagraphFont"/>
    <w:link w:val="Footer"/>
    <w:uiPriority w:val="99"/>
    <w:rsid w:val="00DE40FA"/>
    <w:rPr>
      <w:rFonts w:ascii="Calibri" w:hAnsi="Calibri"/>
      <w:sz w:val="22"/>
      <w:szCs w:val="22"/>
      <w:lang w:val="lv-LV" w:eastAsia="en-US"/>
    </w:rPr>
  </w:style>
  <w:style w:type="table" w:customStyle="1" w:styleId="TableGrid1">
    <w:name w:val="Table Grid1"/>
    <w:basedOn w:val="TableNormal"/>
    <w:next w:val="TableGrid"/>
    <w:uiPriority w:val="39"/>
    <w:rsid w:val="00AA5D1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962A50"/>
    <w:rPr>
      <w:rFonts w:ascii="Calibri" w:hAnsi="Calibri"/>
      <w:sz w:val="22"/>
      <w:szCs w:val="22"/>
      <w:lang w:val="lv-LV" w:eastAsia="en-US"/>
    </w:rPr>
  </w:style>
  <w:style w:type="paragraph" w:customStyle="1" w:styleId="MoUparagraphs">
    <w:name w:val="MoU paragraphs"/>
    <w:basedOn w:val="Normal"/>
    <w:rsid w:val="007D3A41"/>
    <w:pPr>
      <w:spacing w:before="80" w:after="60" w:line="280" w:lineRule="exact"/>
      <w:jc w:val="both"/>
    </w:pPr>
    <w:rPr>
      <w:rFonts w:ascii="Calibri" w:hAnsi="Calibri"/>
      <w:sz w:val="22"/>
      <w:szCs w:val="22"/>
    </w:rPr>
  </w:style>
  <w:style w:type="character" w:customStyle="1" w:styleId="listcolumnvalue">
    <w:name w:val="listcolumnvalue"/>
    <w:basedOn w:val="DefaultParagraphFont"/>
    <w:rsid w:val="009838D1"/>
  </w:style>
  <w:style w:type="character" w:styleId="Emphasis">
    <w:name w:val="Emphasis"/>
    <w:basedOn w:val="DefaultParagraphFont"/>
    <w:uiPriority w:val="99"/>
    <w:qFormat/>
    <w:rsid w:val="00DB6C45"/>
    <w:rPr>
      <w:rFonts w:cs="Times New Roman"/>
      <w:i/>
    </w:rPr>
  </w:style>
  <w:style w:type="character" w:styleId="Strong">
    <w:name w:val="Strong"/>
    <w:basedOn w:val="DefaultParagraphFont"/>
    <w:uiPriority w:val="22"/>
    <w:qFormat/>
    <w:rsid w:val="00DB6C45"/>
    <w:rPr>
      <w:rFonts w:cs="Times New Roman"/>
      <w:b/>
    </w:rPr>
  </w:style>
  <w:style w:type="paragraph" w:customStyle="1" w:styleId="StyleMoUSub-paragraphsLeft0cmHanging063cm">
    <w:name w:val="Style MoU Sub-paragraphs + Left:  0 cm Hanging:  0.63 cm"/>
    <w:basedOn w:val="Normal"/>
    <w:rsid w:val="00FC0761"/>
    <w:pPr>
      <w:spacing w:before="80" w:after="60" w:line="280" w:lineRule="exact"/>
      <w:ind w:left="357" w:hanging="357"/>
      <w:jc w:val="both"/>
    </w:pPr>
    <w:rPr>
      <w:rFonts w:ascii="Calibri" w:hAnsi="Calibri"/>
      <w:sz w:val="22"/>
      <w:szCs w:val="20"/>
    </w:rPr>
  </w:style>
  <w:style w:type="paragraph" w:customStyle="1" w:styleId="Default">
    <w:name w:val="Default"/>
    <w:rsid w:val="003C6826"/>
    <w:pPr>
      <w:autoSpaceDE w:val="0"/>
      <w:autoSpaceDN w:val="0"/>
      <w:adjustRightInd w:val="0"/>
    </w:pPr>
    <w:rPr>
      <w:rFonts w:ascii="Calibri" w:hAnsi="Calibri" w:cs="Calibri"/>
      <w:color w:val="000000"/>
      <w:sz w:val="24"/>
      <w:szCs w:val="24"/>
      <w:lang w:eastAsia="en-US"/>
    </w:rPr>
  </w:style>
  <w:style w:type="character" w:customStyle="1" w:styleId="ListParagraphChar">
    <w:name w:val="List Paragraph Char"/>
    <w:aliases w:val="Mummuga loetelu Char"/>
    <w:link w:val="ListParagraph"/>
    <w:uiPriority w:val="34"/>
    <w:rsid w:val="003C6826"/>
    <w:rPr>
      <w:rFonts w:ascii="Calibri" w:hAnsi="Calibri"/>
      <w:sz w:val="22"/>
      <w:szCs w:val="22"/>
      <w:lang w:val="lv-LV" w:eastAsia="en-US"/>
    </w:rPr>
  </w:style>
  <w:style w:type="paragraph" w:styleId="NormalWeb">
    <w:name w:val="Normal (Web)"/>
    <w:basedOn w:val="Normal"/>
    <w:uiPriority w:val="99"/>
    <w:unhideWhenUsed/>
    <w:rsid w:val="007D3081"/>
    <w:pPr>
      <w:spacing w:before="100" w:beforeAutospacing="1" w:after="100" w:afterAutospacing="1"/>
    </w:pPr>
    <w:rPr>
      <w:lang w:eastAsia="lt-LT"/>
    </w:rPr>
  </w:style>
  <w:style w:type="character" w:customStyle="1" w:styleId="FootnoteTextChar">
    <w:name w:val="Footnote Text Char"/>
    <w:aliases w:val="Schriftart: 9 pt Char,Schriftart: 10 pt Char,Schriftart: 8 pt Char,WB-Fußnotentext Char1,WB-Fußnotentext Char Char Char,WB-Fußnotentext Char Char1,stile 1 Char,Footnote Char,Footnote1 Char,Footnote2 Char,Footnote3 Char,Footnote4 Char"/>
    <w:basedOn w:val="DefaultParagraphFont"/>
    <w:link w:val="FootnoteText"/>
    <w:uiPriority w:val="99"/>
    <w:rsid w:val="007B72B6"/>
    <w:rPr>
      <w:rFonts w:ascii="Calibri" w:hAnsi="Calibri"/>
      <w:lang w:val="lv-LV" w:eastAsia="en-US"/>
    </w:rPr>
  </w:style>
  <w:style w:type="paragraph" w:customStyle="1" w:styleId="doc-ti">
    <w:name w:val="doc-ti"/>
    <w:basedOn w:val="Normal"/>
    <w:rsid w:val="00842DCF"/>
    <w:pPr>
      <w:spacing w:before="240" w:after="120"/>
      <w:jc w:val="center"/>
    </w:pPr>
    <w:rPr>
      <w:b/>
      <w:bCs/>
    </w:rPr>
  </w:style>
  <w:style w:type="character" w:customStyle="1" w:styleId="hps">
    <w:name w:val="hps"/>
    <w:basedOn w:val="DefaultParagraphFont"/>
    <w:rsid w:val="00DB0C49"/>
  </w:style>
  <w:style w:type="paragraph" w:styleId="List">
    <w:name w:val="List"/>
    <w:basedOn w:val="Normal"/>
    <w:unhideWhenUsed/>
    <w:rsid w:val="0049453D"/>
    <w:pPr>
      <w:spacing w:after="120"/>
      <w:ind w:left="283" w:hanging="283"/>
      <w:contextualSpacing/>
    </w:pPr>
    <w:rPr>
      <w:rFonts w:ascii="Calibri" w:hAnsi="Calibri"/>
      <w:sz w:val="22"/>
      <w:szCs w:val="22"/>
    </w:rPr>
  </w:style>
  <w:style w:type="paragraph" w:styleId="ListBullet">
    <w:name w:val="List Bullet"/>
    <w:basedOn w:val="Normal"/>
    <w:unhideWhenUsed/>
    <w:rsid w:val="0049453D"/>
    <w:pPr>
      <w:numPr>
        <w:numId w:val="3"/>
      </w:numPr>
      <w:spacing w:after="120"/>
      <w:contextualSpacing/>
    </w:pPr>
    <w:rPr>
      <w:rFonts w:ascii="Calibri" w:hAnsi="Calibri"/>
      <w:sz w:val="22"/>
      <w:szCs w:val="22"/>
    </w:rPr>
  </w:style>
  <w:style w:type="paragraph" w:styleId="ListBullet2">
    <w:name w:val="List Bullet 2"/>
    <w:basedOn w:val="Normal"/>
    <w:unhideWhenUsed/>
    <w:rsid w:val="0049453D"/>
    <w:pPr>
      <w:numPr>
        <w:numId w:val="4"/>
      </w:numPr>
      <w:spacing w:after="120"/>
      <w:contextualSpacing/>
    </w:pPr>
    <w:rPr>
      <w:rFonts w:ascii="Calibri" w:hAnsi="Calibri"/>
      <w:sz w:val="22"/>
      <w:szCs w:val="22"/>
    </w:rPr>
  </w:style>
  <w:style w:type="paragraph" w:styleId="Caption">
    <w:name w:val="caption"/>
    <w:basedOn w:val="Normal"/>
    <w:next w:val="Normal"/>
    <w:unhideWhenUsed/>
    <w:qFormat/>
    <w:rsid w:val="0049453D"/>
    <w:pPr>
      <w:spacing w:after="200"/>
    </w:pPr>
    <w:rPr>
      <w:rFonts w:ascii="Calibri" w:hAnsi="Calibri"/>
      <w:b/>
      <w:bCs/>
      <w:color w:val="4F81BD" w:themeColor="accent1"/>
      <w:sz w:val="18"/>
      <w:szCs w:val="18"/>
    </w:rPr>
  </w:style>
  <w:style w:type="paragraph" w:styleId="Title">
    <w:name w:val="Title"/>
    <w:basedOn w:val="Normal"/>
    <w:next w:val="Normal"/>
    <w:link w:val="TitleChar"/>
    <w:qFormat/>
    <w:rsid w:val="0049453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49453D"/>
    <w:rPr>
      <w:rFonts w:asciiTheme="majorHAnsi" w:eastAsiaTheme="majorEastAsia" w:hAnsiTheme="majorHAnsi" w:cstheme="majorBidi"/>
      <w:color w:val="17365D" w:themeColor="text2" w:themeShade="BF"/>
      <w:spacing w:val="5"/>
      <w:kern w:val="28"/>
      <w:sz w:val="52"/>
      <w:szCs w:val="52"/>
      <w:lang w:val="lv-LV" w:eastAsia="en-US"/>
    </w:rPr>
  </w:style>
  <w:style w:type="paragraph" w:styleId="BodyText">
    <w:name w:val="Body Text"/>
    <w:basedOn w:val="Normal"/>
    <w:link w:val="BodyTextChar"/>
    <w:unhideWhenUsed/>
    <w:rsid w:val="0049453D"/>
    <w:pPr>
      <w:spacing w:after="120"/>
    </w:pPr>
    <w:rPr>
      <w:rFonts w:ascii="Calibri" w:hAnsi="Calibri"/>
      <w:sz w:val="22"/>
      <w:szCs w:val="22"/>
    </w:rPr>
  </w:style>
  <w:style w:type="character" w:customStyle="1" w:styleId="BodyTextChar">
    <w:name w:val="Body Text Char"/>
    <w:basedOn w:val="DefaultParagraphFont"/>
    <w:link w:val="BodyText"/>
    <w:rsid w:val="0049453D"/>
    <w:rPr>
      <w:rFonts w:ascii="Calibri" w:hAnsi="Calibri"/>
      <w:sz w:val="22"/>
      <w:szCs w:val="22"/>
      <w:lang w:val="lv-LV" w:eastAsia="en-US"/>
    </w:rPr>
  </w:style>
  <w:style w:type="paragraph" w:customStyle="1" w:styleId="Char2">
    <w:name w:val="Char2"/>
    <w:basedOn w:val="Normal"/>
    <w:link w:val="FootnoteReference"/>
    <w:uiPriority w:val="99"/>
    <w:rsid w:val="002C689C"/>
    <w:pPr>
      <w:spacing w:after="160" w:line="240" w:lineRule="exact"/>
    </w:pPr>
    <w:rPr>
      <w:sz w:val="20"/>
      <w:szCs w:val="20"/>
      <w:vertAlign w:val="superscript"/>
      <w:lang w:eastAsia="en-GB"/>
    </w:rPr>
  </w:style>
  <w:style w:type="table" w:customStyle="1" w:styleId="TableGrid2">
    <w:name w:val="Table Grid2"/>
    <w:basedOn w:val="TableNormal"/>
    <w:next w:val="TableGrid"/>
    <w:uiPriority w:val="39"/>
    <w:rsid w:val="00EA6D5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B76ED6"/>
    <w:pPr>
      <w:spacing w:before="100" w:beforeAutospacing="1" w:after="100" w:afterAutospacing="1"/>
    </w:pPr>
    <w:rPr>
      <w:lang w:eastAsia="en-GB"/>
    </w:rPr>
  </w:style>
  <w:style w:type="paragraph" w:styleId="Revision">
    <w:name w:val="Revision"/>
    <w:hidden/>
    <w:uiPriority w:val="99"/>
    <w:semiHidden/>
    <w:rsid w:val="00AF121D"/>
    <w:rPr>
      <w:rFonts w:ascii="Calibri" w:hAnsi="Calibri"/>
      <w:sz w:val="22"/>
      <w:szCs w:val="22"/>
      <w:lang w:eastAsia="en-US"/>
    </w:rPr>
  </w:style>
  <w:style w:type="character" w:styleId="PlaceholderText">
    <w:name w:val="Placeholder Text"/>
    <w:basedOn w:val="DefaultParagraphFont"/>
    <w:uiPriority w:val="99"/>
    <w:semiHidden/>
    <w:rsid w:val="00855703"/>
    <w:rPr>
      <w:color w:val="808080"/>
    </w:rPr>
  </w:style>
  <w:style w:type="paragraph" w:styleId="HTMLPreformatted">
    <w:name w:val="HTML Preformatted"/>
    <w:basedOn w:val="Normal"/>
    <w:link w:val="HTMLPreformattedChar"/>
    <w:uiPriority w:val="99"/>
    <w:unhideWhenUsed/>
    <w:rsid w:val="00E679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E6794E"/>
    <w:rPr>
      <w:rFonts w:ascii="Courier New" w:hAnsi="Courier New" w:cs="Courier New"/>
      <w:lang w:val="lv-LV" w:eastAsia="en-US"/>
    </w:rPr>
  </w:style>
  <w:style w:type="character" w:styleId="FollowedHyperlink">
    <w:name w:val="FollowedHyperlink"/>
    <w:basedOn w:val="DefaultParagraphFont"/>
    <w:semiHidden/>
    <w:unhideWhenUsed/>
    <w:rsid w:val="002816A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233653">
      <w:bodyDiv w:val="1"/>
      <w:marLeft w:val="0"/>
      <w:marRight w:val="0"/>
      <w:marTop w:val="0"/>
      <w:marBottom w:val="0"/>
      <w:divBdr>
        <w:top w:val="none" w:sz="0" w:space="0" w:color="auto"/>
        <w:left w:val="none" w:sz="0" w:space="0" w:color="auto"/>
        <w:bottom w:val="none" w:sz="0" w:space="0" w:color="auto"/>
        <w:right w:val="none" w:sz="0" w:space="0" w:color="auto"/>
      </w:divBdr>
    </w:div>
    <w:div w:id="77791464">
      <w:bodyDiv w:val="1"/>
      <w:marLeft w:val="0"/>
      <w:marRight w:val="0"/>
      <w:marTop w:val="0"/>
      <w:marBottom w:val="0"/>
      <w:divBdr>
        <w:top w:val="none" w:sz="0" w:space="0" w:color="auto"/>
        <w:left w:val="none" w:sz="0" w:space="0" w:color="auto"/>
        <w:bottom w:val="none" w:sz="0" w:space="0" w:color="auto"/>
        <w:right w:val="none" w:sz="0" w:space="0" w:color="auto"/>
      </w:divBdr>
    </w:div>
    <w:div w:id="78065088">
      <w:bodyDiv w:val="1"/>
      <w:marLeft w:val="0"/>
      <w:marRight w:val="0"/>
      <w:marTop w:val="0"/>
      <w:marBottom w:val="0"/>
      <w:divBdr>
        <w:top w:val="none" w:sz="0" w:space="0" w:color="auto"/>
        <w:left w:val="none" w:sz="0" w:space="0" w:color="auto"/>
        <w:bottom w:val="none" w:sz="0" w:space="0" w:color="auto"/>
        <w:right w:val="none" w:sz="0" w:space="0" w:color="auto"/>
      </w:divBdr>
    </w:div>
    <w:div w:id="85003599">
      <w:bodyDiv w:val="1"/>
      <w:marLeft w:val="0"/>
      <w:marRight w:val="0"/>
      <w:marTop w:val="0"/>
      <w:marBottom w:val="0"/>
      <w:divBdr>
        <w:top w:val="none" w:sz="0" w:space="0" w:color="auto"/>
        <w:left w:val="none" w:sz="0" w:space="0" w:color="auto"/>
        <w:bottom w:val="none" w:sz="0" w:space="0" w:color="auto"/>
        <w:right w:val="none" w:sz="0" w:space="0" w:color="auto"/>
      </w:divBdr>
    </w:div>
    <w:div w:id="86927195">
      <w:bodyDiv w:val="1"/>
      <w:marLeft w:val="0"/>
      <w:marRight w:val="0"/>
      <w:marTop w:val="0"/>
      <w:marBottom w:val="0"/>
      <w:divBdr>
        <w:top w:val="none" w:sz="0" w:space="0" w:color="auto"/>
        <w:left w:val="none" w:sz="0" w:space="0" w:color="auto"/>
        <w:bottom w:val="none" w:sz="0" w:space="0" w:color="auto"/>
        <w:right w:val="none" w:sz="0" w:space="0" w:color="auto"/>
      </w:divBdr>
      <w:divsChild>
        <w:div w:id="8870084">
          <w:marLeft w:val="0"/>
          <w:marRight w:val="0"/>
          <w:marTop w:val="0"/>
          <w:marBottom w:val="0"/>
          <w:divBdr>
            <w:top w:val="none" w:sz="0" w:space="0" w:color="auto"/>
            <w:left w:val="none" w:sz="0" w:space="0" w:color="auto"/>
            <w:bottom w:val="none" w:sz="0" w:space="0" w:color="auto"/>
            <w:right w:val="none" w:sz="0" w:space="0" w:color="auto"/>
          </w:divBdr>
        </w:div>
        <w:div w:id="36050265">
          <w:marLeft w:val="0"/>
          <w:marRight w:val="0"/>
          <w:marTop w:val="0"/>
          <w:marBottom w:val="0"/>
          <w:divBdr>
            <w:top w:val="none" w:sz="0" w:space="0" w:color="auto"/>
            <w:left w:val="none" w:sz="0" w:space="0" w:color="auto"/>
            <w:bottom w:val="none" w:sz="0" w:space="0" w:color="auto"/>
            <w:right w:val="none" w:sz="0" w:space="0" w:color="auto"/>
          </w:divBdr>
        </w:div>
        <w:div w:id="38673408">
          <w:marLeft w:val="0"/>
          <w:marRight w:val="0"/>
          <w:marTop w:val="0"/>
          <w:marBottom w:val="0"/>
          <w:divBdr>
            <w:top w:val="none" w:sz="0" w:space="0" w:color="auto"/>
            <w:left w:val="none" w:sz="0" w:space="0" w:color="auto"/>
            <w:bottom w:val="none" w:sz="0" w:space="0" w:color="auto"/>
            <w:right w:val="none" w:sz="0" w:space="0" w:color="auto"/>
          </w:divBdr>
        </w:div>
        <w:div w:id="118380373">
          <w:marLeft w:val="0"/>
          <w:marRight w:val="0"/>
          <w:marTop w:val="0"/>
          <w:marBottom w:val="0"/>
          <w:divBdr>
            <w:top w:val="none" w:sz="0" w:space="0" w:color="auto"/>
            <w:left w:val="none" w:sz="0" w:space="0" w:color="auto"/>
            <w:bottom w:val="none" w:sz="0" w:space="0" w:color="auto"/>
            <w:right w:val="none" w:sz="0" w:space="0" w:color="auto"/>
          </w:divBdr>
        </w:div>
        <w:div w:id="128325133">
          <w:marLeft w:val="0"/>
          <w:marRight w:val="0"/>
          <w:marTop w:val="0"/>
          <w:marBottom w:val="0"/>
          <w:divBdr>
            <w:top w:val="none" w:sz="0" w:space="0" w:color="auto"/>
            <w:left w:val="none" w:sz="0" w:space="0" w:color="auto"/>
            <w:bottom w:val="none" w:sz="0" w:space="0" w:color="auto"/>
            <w:right w:val="none" w:sz="0" w:space="0" w:color="auto"/>
          </w:divBdr>
        </w:div>
        <w:div w:id="133064203">
          <w:marLeft w:val="0"/>
          <w:marRight w:val="0"/>
          <w:marTop w:val="0"/>
          <w:marBottom w:val="0"/>
          <w:divBdr>
            <w:top w:val="none" w:sz="0" w:space="0" w:color="auto"/>
            <w:left w:val="none" w:sz="0" w:space="0" w:color="auto"/>
            <w:bottom w:val="none" w:sz="0" w:space="0" w:color="auto"/>
            <w:right w:val="none" w:sz="0" w:space="0" w:color="auto"/>
          </w:divBdr>
        </w:div>
        <w:div w:id="204759061">
          <w:marLeft w:val="0"/>
          <w:marRight w:val="0"/>
          <w:marTop w:val="0"/>
          <w:marBottom w:val="0"/>
          <w:divBdr>
            <w:top w:val="none" w:sz="0" w:space="0" w:color="auto"/>
            <w:left w:val="none" w:sz="0" w:space="0" w:color="auto"/>
            <w:bottom w:val="none" w:sz="0" w:space="0" w:color="auto"/>
            <w:right w:val="none" w:sz="0" w:space="0" w:color="auto"/>
          </w:divBdr>
        </w:div>
        <w:div w:id="217281008">
          <w:marLeft w:val="0"/>
          <w:marRight w:val="0"/>
          <w:marTop w:val="0"/>
          <w:marBottom w:val="0"/>
          <w:divBdr>
            <w:top w:val="none" w:sz="0" w:space="0" w:color="auto"/>
            <w:left w:val="none" w:sz="0" w:space="0" w:color="auto"/>
            <w:bottom w:val="none" w:sz="0" w:space="0" w:color="auto"/>
            <w:right w:val="none" w:sz="0" w:space="0" w:color="auto"/>
          </w:divBdr>
        </w:div>
        <w:div w:id="326399048">
          <w:marLeft w:val="0"/>
          <w:marRight w:val="0"/>
          <w:marTop w:val="0"/>
          <w:marBottom w:val="0"/>
          <w:divBdr>
            <w:top w:val="none" w:sz="0" w:space="0" w:color="auto"/>
            <w:left w:val="none" w:sz="0" w:space="0" w:color="auto"/>
            <w:bottom w:val="none" w:sz="0" w:space="0" w:color="auto"/>
            <w:right w:val="none" w:sz="0" w:space="0" w:color="auto"/>
          </w:divBdr>
        </w:div>
        <w:div w:id="335618631">
          <w:marLeft w:val="0"/>
          <w:marRight w:val="0"/>
          <w:marTop w:val="0"/>
          <w:marBottom w:val="0"/>
          <w:divBdr>
            <w:top w:val="none" w:sz="0" w:space="0" w:color="auto"/>
            <w:left w:val="none" w:sz="0" w:space="0" w:color="auto"/>
            <w:bottom w:val="none" w:sz="0" w:space="0" w:color="auto"/>
            <w:right w:val="none" w:sz="0" w:space="0" w:color="auto"/>
          </w:divBdr>
        </w:div>
        <w:div w:id="342129583">
          <w:marLeft w:val="0"/>
          <w:marRight w:val="0"/>
          <w:marTop w:val="0"/>
          <w:marBottom w:val="0"/>
          <w:divBdr>
            <w:top w:val="none" w:sz="0" w:space="0" w:color="auto"/>
            <w:left w:val="none" w:sz="0" w:space="0" w:color="auto"/>
            <w:bottom w:val="none" w:sz="0" w:space="0" w:color="auto"/>
            <w:right w:val="none" w:sz="0" w:space="0" w:color="auto"/>
          </w:divBdr>
        </w:div>
        <w:div w:id="350644759">
          <w:marLeft w:val="0"/>
          <w:marRight w:val="0"/>
          <w:marTop w:val="0"/>
          <w:marBottom w:val="0"/>
          <w:divBdr>
            <w:top w:val="none" w:sz="0" w:space="0" w:color="auto"/>
            <w:left w:val="none" w:sz="0" w:space="0" w:color="auto"/>
            <w:bottom w:val="none" w:sz="0" w:space="0" w:color="auto"/>
            <w:right w:val="none" w:sz="0" w:space="0" w:color="auto"/>
          </w:divBdr>
        </w:div>
        <w:div w:id="363288265">
          <w:marLeft w:val="0"/>
          <w:marRight w:val="0"/>
          <w:marTop w:val="0"/>
          <w:marBottom w:val="0"/>
          <w:divBdr>
            <w:top w:val="none" w:sz="0" w:space="0" w:color="auto"/>
            <w:left w:val="none" w:sz="0" w:space="0" w:color="auto"/>
            <w:bottom w:val="none" w:sz="0" w:space="0" w:color="auto"/>
            <w:right w:val="none" w:sz="0" w:space="0" w:color="auto"/>
          </w:divBdr>
        </w:div>
        <w:div w:id="375394689">
          <w:marLeft w:val="0"/>
          <w:marRight w:val="0"/>
          <w:marTop w:val="0"/>
          <w:marBottom w:val="0"/>
          <w:divBdr>
            <w:top w:val="none" w:sz="0" w:space="0" w:color="auto"/>
            <w:left w:val="none" w:sz="0" w:space="0" w:color="auto"/>
            <w:bottom w:val="none" w:sz="0" w:space="0" w:color="auto"/>
            <w:right w:val="none" w:sz="0" w:space="0" w:color="auto"/>
          </w:divBdr>
        </w:div>
        <w:div w:id="406996110">
          <w:marLeft w:val="0"/>
          <w:marRight w:val="0"/>
          <w:marTop w:val="0"/>
          <w:marBottom w:val="0"/>
          <w:divBdr>
            <w:top w:val="none" w:sz="0" w:space="0" w:color="auto"/>
            <w:left w:val="none" w:sz="0" w:space="0" w:color="auto"/>
            <w:bottom w:val="none" w:sz="0" w:space="0" w:color="auto"/>
            <w:right w:val="none" w:sz="0" w:space="0" w:color="auto"/>
          </w:divBdr>
        </w:div>
        <w:div w:id="434791076">
          <w:marLeft w:val="0"/>
          <w:marRight w:val="0"/>
          <w:marTop w:val="0"/>
          <w:marBottom w:val="0"/>
          <w:divBdr>
            <w:top w:val="none" w:sz="0" w:space="0" w:color="auto"/>
            <w:left w:val="none" w:sz="0" w:space="0" w:color="auto"/>
            <w:bottom w:val="none" w:sz="0" w:space="0" w:color="auto"/>
            <w:right w:val="none" w:sz="0" w:space="0" w:color="auto"/>
          </w:divBdr>
        </w:div>
        <w:div w:id="437989401">
          <w:marLeft w:val="0"/>
          <w:marRight w:val="0"/>
          <w:marTop w:val="0"/>
          <w:marBottom w:val="0"/>
          <w:divBdr>
            <w:top w:val="none" w:sz="0" w:space="0" w:color="auto"/>
            <w:left w:val="none" w:sz="0" w:space="0" w:color="auto"/>
            <w:bottom w:val="none" w:sz="0" w:space="0" w:color="auto"/>
            <w:right w:val="none" w:sz="0" w:space="0" w:color="auto"/>
          </w:divBdr>
        </w:div>
        <w:div w:id="483665766">
          <w:marLeft w:val="0"/>
          <w:marRight w:val="0"/>
          <w:marTop w:val="0"/>
          <w:marBottom w:val="0"/>
          <w:divBdr>
            <w:top w:val="none" w:sz="0" w:space="0" w:color="auto"/>
            <w:left w:val="none" w:sz="0" w:space="0" w:color="auto"/>
            <w:bottom w:val="none" w:sz="0" w:space="0" w:color="auto"/>
            <w:right w:val="none" w:sz="0" w:space="0" w:color="auto"/>
          </w:divBdr>
        </w:div>
        <w:div w:id="609971451">
          <w:marLeft w:val="0"/>
          <w:marRight w:val="0"/>
          <w:marTop w:val="0"/>
          <w:marBottom w:val="0"/>
          <w:divBdr>
            <w:top w:val="none" w:sz="0" w:space="0" w:color="auto"/>
            <w:left w:val="none" w:sz="0" w:space="0" w:color="auto"/>
            <w:bottom w:val="none" w:sz="0" w:space="0" w:color="auto"/>
            <w:right w:val="none" w:sz="0" w:space="0" w:color="auto"/>
          </w:divBdr>
        </w:div>
        <w:div w:id="661347320">
          <w:marLeft w:val="0"/>
          <w:marRight w:val="0"/>
          <w:marTop w:val="0"/>
          <w:marBottom w:val="0"/>
          <w:divBdr>
            <w:top w:val="none" w:sz="0" w:space="0" w:color="auto"/>
            <w:left w:val="none" w:sz="0" w:space="0" w:color="auto"/>
            <w:bottom w:val="none" w:sz="0" w:space="0" w:color="auto"/>
            <w:right w:val="none" w:sz="0" w:space="0" w:color="auto"/>
          </w:divBdr>
        </w:div>
        <w:div w:id="685904792">
          <w:marLeft w:val="0"/>
          <w:marRight w:val="0"/>
          <w:marTop w:val="0"/>
          <w:marBottom w:val="0"/>
          <w:divBdr>
            <w:top w:val="none" w:sz="0" w:space="0" w:color="auto"/>
            <w:left w:val="none" w:sz="0" w:space="0" w:color="auto"/>
            <w:bottom w:val="none" w:sz="0" w:space="0" w:color="auto"/>
            <w:right w:val="none" w:sz="0" w:space="0" w:color="auto"/>
          </w:divBdr>
        </w:div>
        <w:div w:id="752319407">
          <w:marLeft w:val="0"/>
          <w:marRight w:val="0"/>
          <w:marTop w:val="0"/>
          <w:marBottom w:val="0"/>
          <w:divBdr>
            <w:top w:val="none" w:sz="0" w:space="0" w:color="auto"/>
            <w:left w:val="none" w:sz="0" w:space="0" w:color="auto"/>
            <w:bottom w:val="none" w:sz="0" w:space="0" w:color="auto"/>
            <w:right w:val="none" w:sz="0" w:space="0" w:color="auto"/>
          </w:divBdr>
        </w:div>
        <w:div w:id="862330450">
          <w:marLeft w:val="0"/>
          <w:marRight w:val="0"/>
          <w:marTop w:val="0"/>
          <w:marBottom w:val="0"/>
          <w:divBdr>
            <w:top w:val="none" w:sz="0" w:space="0" w:color="auto"/>
            <w:left w:val="none" w:sz="0" w:space="0" w:color="auto"/>
            <w:bottom w:val="none" w:sz="0" w:space="0" w:color="auto"/>
            <w:right w:val="none" w:sz="0" w:space="0" w:color="auto"/>
          </w:divBdr>
        </w:div>
        <w:div w:id="954991799">
          <w:marLeft w:val="0"/>
          <w:marRight w:val="0"/>
          <w:marTop w:val="0"/>
          <w:marBottom w:val="0"/>
          <w:divBdr>
            <w:top w:val="none" w:sz="0" w:space="0" w:color="auto"/>
            <w:left w:val="none" w:sz="0" w:space="0" w:color="auto"/>
            <w:bottom w:val="none" w:sz="0" w:space="0" w:color="auto"/>
            <w:right w:val="none" w:sz="0" w:space="0" w:color="auto"/>
          </w:divBdr>
        </w:div>
        <w:div w:id="1018117233">
          <w:marLeft w:val="0"/>
          <w:marRight w:val="0"/>
          <w:marTop w:val="0"/>
          <w:marBottom w:val="0"/>
          <w:divBdr>
            <w:top w:val="none" w:sz="0" w:space="0" w:color="auto"/>
            <w:left w:val="none" w:sz="0" w:space="0" w:color="auto"/>
            <w:bottom w:val="none" w:sz="0" w:space="0" w:color="auto"/>
            <w:right w:val="none" w:sz="0" w:space="0" w:color="auto"/>
          </w:divBdr>
        </w:div>
        <w:div w:id="1025670500">
          <w:marLeft w:val="0"/>
          <w:marRight w:val="0"/>
          <w:marTop w:val="0"/>
          <w:marBottom w:val="0"/>
          <w:divBdr>
            <w:top w:val="none" w:sz="0" w:space="0" w:color="auto"/>
            <w:left w:val="none" w:sz="0" w:space="0" w:color="auto"/>
            <w:bottom w:val="none" w:sz="0" w:space="0" w:color="auto"/>
            <w:right w:val="none" w:sz="0" w:space="0" w:color="auto"/>
          </w:divBdr>
        </w:div>
        <w:div w:id="1029262448">
          <w:marLeft w:val="0"/>
          <w:marRight w:val="0"/>
          <w:marTop w:val="0"/>
          <w:marBottom w:val="0"/>
          <w:divBdr>
            <w:top w:val="none" w:sz="0" w:space="0" w:color="auto"/>
            <w:left w:val="none" w:sz="0" w:space="0" w:color="auto"/>
            <w:bottom w:val="none" w:sz="0" w:space="0" w:color="auto"/>
            <w:right w:val="none" w:sz="0" w:space="0" w:color="auto"/>
          </w:divBdr>
        </w:div>
        <w:div w:id="1088112824">
          <w:marLeft w:val="0"/>
          <w:marRight w:val="0"/>
          <w:marTop w:val="0"/>
          <w:marBottom w:val="0"/>
          <w:divBdr>
            <w:top w:val="none" w:sz="0" w:space="0" w:color="auto"/>
            <w:left w:val="none" w:sz="0" w:space="0" w:color="auto"/>
            <w:bottom w:val="none" w:sz="0" w:space="0" w:color="auto"/>
            <w:right w:val="none" w:sz="0" w:space="0" w:color="auto"/>
          </w:divBdr>
        </w:div>
        <w:div w:id="1089471782">
          <w:marLeft w:val="0"/>
          <w:marRight w:val="0"/>
          <w:marTop w:val="0"/>
          <w:marBottom w:val="0"/>
          <w:divBdr>
            <w:top w:val="none" w:sz="0" w:space="0" w:color="auto"/>
            <w:left w:val="none" w:sz="0" w:space="0" w:color="auto"/>
            <w:bottom w:val="none" w:sz="0" w:space="0" w:color="auto"/>
            <w:right w:val="none" w:sz="0" w:space="0" w:color="auto"/>
          </w:divBdr>
        </w:div>
        <w:div w:id="1269314832">
          <w:marLeft w:val="0"/>
          <w:marRight w:val="0"/>
          <w:marTop w:val="0"/>
          <w:marBottom w:val="0"/>
          <w:divBdr>
            <w:top w:val="none" w:sz="0" w:space="0" w:color="auto"/>
            <w:left w:val="none" w:sz="0" w:space="0" w:color="auto"/>
            <w:bottom w:val="none" w:sz="0" w:space="0" w:color="auto"/>
            <w:right w:val="none" w:sz="0" w:space="0" w:color="auto"/>
          </w:divBdr>
        </w:div>
        <w:div w:id="1296448840">
          <w:marLeft w:val="0"/>
          <w:marRight w:val="0"/>
          <w:marTop w:val="0"/>
          <w:marBottom w:val="0"/>
          <w:divBdr>
            <w:top w:val="none" w:sz="0" w:space="0" w:color="auto"/>
            <w:left w:val="none" w:sz="0" w:space="0" w:color="auto"/>
            <w:bottom w:val="none" w:sz="0" w:space="0" w:color="auto"/>
            <w:right w:val="none" w:sz="0" w:space="0" w:color="auto"/>
          </w:divBdr>
        </w:div>
        <w:div w:id="1347560861">
          <w:marLeft w:val="0"/>
          <w:marRight w:val="0"/>
          <w:marTop w:val="0"/>
          <w:marBottom w:val="0"/>
          <w:divBdr>
            <w:top w:val="none" w:sz="0" w:space="0" w:color="auto"/>
            <w:left w:val="none" w:sz="0" w:space="0" w:color="auto"/>
            <w:bottom w:val="none" w:sz="0" w:space="0" w:color="auto"/>
            <w:right w:val="none" w:sz="0" w:space="0" w:color="auto"/>
          </w:divBdr>
        </w:div>
        <w:div w:id="1381788108">
          <w:marLeft w:val="0"/>
          <w:marRight w:val="0"/>
          <w:marTop w:val="0"/>
          <w:marBottom w:val="0"/>
          <w:divBdr>
            <w:top w:val="none" w:sz="0" w:space="0" w:color="auto"/>
            <w:left w:val="none" w:sz="0" w:space="0" w:color="auto"/>
            <w:bottom w:val="none" w:sz="0" w:space="0" w:color="auto"/>
            <w:right w:val="none" w:sz="0" w:space="0" w:color="auto"/>
          </w:divBdr>
        </w:div>
        <w:div w:id="1440224878">
          <w:marLeft w:val="0"/>
          <w:marRight w:val="0"/>
          <w:marTop w:val="0"/>
          <w:marBottom w:val="0"/>
          <w:divBdr>
            <w:top w:val="none" w:sz="0" w:space="0" w:color="auto"/>
            <w:left w:val="none" w:sz="0" w:space="0" w:color="auto"/>
            <w:bottom w:val="none" w:sz="0" w:space="0" w:color="auto"/>
            <w:right w:val="none" w:sz="0" w:space="0" w:color="auto"/>
          </w:divBdr>
        </w:div>
        <w:div w:id="1487091781">
          <w:marLeft w:val="0"/>
          <w:marRight w:val="0"/>
          <w:marTop w:val="0"/>
          <w:marBottom w:val="0"/>
          <w:divBdr>
            <w:top w:val="none" w:sz="0" w:space="0" w:color="auto"/>
            <w:left w:val="none" w:sz="0" w:space="0" w:color="auto"/>
            <w:bottom w:val="none" w:sz="0" w:space="0" w:color="auto"/>
            <w:right w:val="none" w:sz="0" w:space="0" w:color="auto"/>
          </w:divBdr>
        </w:div>
        <w:div w:id="1521434850">
          <w:marLeft w:val="0"/>
          <w:marRight w:val="0"/>
          <w:marTop w:val="0"/>
          <w:marBottom w:val="0"/>
          <w:divBdr>
            <w:top w:val="none" w:sz="0" w:space="0" w:color="auto"/>
            <w:left w:val="none" w:sz="0" w:space="0" w:color="auto"/>
            <w:bottom w:val="none" w:sz="0" w:space="0" w:color="auto"/>
            <w:right w:val="none" w:sz="0" w:space="0" w:color="auto"/>
          </w:divBdr>
        </w:div>
        <w:div w:id="1558123630">
          <w:marLeft w:val="0"/>
          <w:marRight w:val="0"/>
          <w:marTop w:val="0"/>
          <w:marBottom w:val="0"/>
          <w:divBdr>
            <w:top w:val="none" w:sz="0" w:space="0" w:color="auto"/>
            <w:left w:val="none" w:sz="0" w:space="0" w:color="auto"/>
            <w:bottom w:val="none" w:sz="0" w:space="0" w:color="auto"/>
            <w:right w:val="none" w:sz="0" w:space="0" w:color="auto"/>
          </w:divBdr>
        </w:div>
        <w:div w:id="1647903407">
          <w:marLeft w:val="0"/>
          <w:marRight w:val="0"/>
          <w:marTop w:val="0"/>
          <w:marBottom w:val="0"/>
          <w:divBdr>
            <w:top w:val="none" w:sz="0" w:space="0" w:color="auto"/>
            <w:left w:val="none" w:sz="0" w:space="0" w:color="auto"/>
            <w:bottom w:val="none" w:sz="0" w:space="0" w:color="auto"/>
            <w:right w:val="none" w:sz="0" w:space="0" w:color="auto"/>
          </w:divBdr>
        </w:div>
        <w:div w:id="1754935520">
          <w:marLeft w:val="0"/>
          <w:marRight w:val="0"/>
          <w:marTop w:val="0"/>
          <w:marBottom w:val="0"/>
          <w:divBdr>
            <w:top w:val="none" w:sz="0" w:space="0" w:color="auto"/>
            <w:left w:val="none" w:sz="0" w:space="0" w:color="auto"/>
            <w:bottom w:val="none" w:sz="0" w:space="0" w:color="auto"/>
            <w:right w:val="none" w:sz="0" w:space="0" w:color="auto"/>
          </w:divBdr>
        </w:div>
        <w:div w:id="1924755040">
          <w:marLeft w:val="0"/>
          <w:marRight w:val="0"/>
          <w:marTop w:val="0"/>
          <w:marBottom w:val="0"/>
          <w:divBdr>
            <w:top w:val="none" w:sz="0" w:space="0" w:color="auto"/>
            <w:left w:val="none" w:sz="0" w:space="0" w:color="auto"/>
            <w:bottom w:val="none" w:sz="0" w:space="0" w:color="auto"/>
            <w:right w:val="none" w:sz="0" w:space="0" w:color="auto"/>
          </w:divBdr>
        </w:div>
        <w:div w:id="1990330465">
          <w:marLeft w:val="0"/>
          <w:marRight w:val="0"/>
          <w:marTop w:val="0"/>
          <w:marBottom w:val="0"/>
          <w:divBdr>
            <w:top w:val="none" w:sz="0" w:space="0" w:color="auto"/>
            <w:left w:val="none" w:sz="0" w:space="0" w:color="auto"/>
            <w:bottom w:val="none" w:sz="0" w:space="0" w:color="auto"/>
            <w:right w:val="none" w:sz="0" w:space="0" w:color="auto"/>
          </w:divBdr>
        </w:div>
        <w:div w:id="2055887601">
          <w:marLeft w:val="0"/>
          <w:marRight w:val="0"/>
          <w:marTop w:val="0"/>
          <w:marBottom w:val="0"/>
          <w:divBdr>
            <w:top w:val="none" w:sz="0" w:space="0" w:color="auto"/>
            <w:left w:val="none" w:sz="0" w:space="0" w:color="auto"/>
            <w:bottom w:val="none" w:sz="0" w:space="0" w:color="auto"/>
            <w:right w:val="none" w:sz="0" w:space="0" w:color="auto"/>
          </w:divBdr>
        </w:div>
        <w:div w:id="2059280633">
          <w:marLeft w:val="0"/>
          <w:marRight w:val="0"/>
          <w:marTop w:val="0"/>
          <w:marBottom w:val="0"/>
          <w:divBdr>
            <w:top w:val="none" w:sz="0" w:space="0" w:color="auto"/>
            <w:left w:val="none" w:sz="0" w:space="0" w:color="auto"/>
            <w:bottom w:val="none" w:sz="0" w:space="0" w:color="auto"/>
            <w:right w:val="none" w:sz="0" w:space="0" w:color="auto"/>
          </w:divBdr>
        </w:div>
        <w:div w:id="2082943614">
          <w:marLeft w:val="0"/>
          <w:marRight w:val="0"/>
          <w:marTop w:val="0"/>
          <w:marBottom w:val="0"/>
          <w:divBdr>
            <w:top w:val="none" w:sz="0" w:space="0" w:color="auto"/>
            <w:left w:val="none" w:sz="0" w:space="0" w:color="auto"/>
            <w:bottom w:val="none" w:sz="0" w:space="0" w:color="auto"/>
            <w:right w:val="none" w:sz="0" w:space="0" w:color="auto"/>
          </w:divBdr>
        </w:div>
        <w:div w:id="2094886819">
          <w:marLeft w:val="0"/>
          <w:marRight w:val="0"/>
          <w:marTop w:val="0"/>
          <w:marBottom w:val="0"/>
          <w:divBdr>
            <w:top w:val="none" w:sz="0" w:space="0" w:color="auto"/>
            <w:left w:val="none" w:sz="0" w:space="0" w:color="auto"/>
            <w:bottom w:val="none" w:sz="0" w:space="0" w:color="auto"/>
            <w:right w:val="none" w:sz="0" w:space="0" w:color="auto"/>
          </w:divBdr>
        </w:div>
        <w:div w:id="2106539320">
          <w:marLeft w:val="0"/>
          <w:marRight w:val="0"/>
          <w:marTop w:val="0"/>
          <w:marBottom w:val="0"/>
          <w:divBdr>
            <w:top w:val="none" w:sz="0" w:space="0" w:color="auto"/>
            <w:left w:val="none" w:sz="0" w:space="0" w:color="auto"/>
            <w:bottom w:val="none" w:sz="0" w:space="0" w:color="auto"/>
            <w:right w:val="none" w:sz="0" w:space="0" w:color="auto"/>
          </w:divBdr>
        </w:div>
        <w:div w:id="2113893875">
          <w:marLeft w:val="0"/>
          <w:marRight w:val="0"/>
          <w:marTop w:val="0"/>
          <w:marBottom w:val="0"/>
          <w:divBdr>
            <w:top w:val="none" w:sz="0" w:space="0" w:color="auto"/>
            <w:left w:val="none" w:sz="0" w:space="0" w:color="auto"/>
            <w:bottom w:val="none" w:sz="0" w:space="0" w:color="auto"/>
            <w:right w:val="none" w:sz="0" w:space="0" w:color="auto"/>
          </w:divBdr>
        </w:div>
        <w:div w:id="2121993770">
          <w:marLeft w:val="0"/>
          <w:marRight w:val="0"/>
          <w:marTop w:val="0"/>
          <w:marBottom w:val="0"/>
          <w:divBdr>
            <w:top w:val="none" w:sz="0" w:space="0" w:color="auto"/>
            <w:left w:val="none" w:sz="0" w:space="0" w:color="auto"/>
            <w:bottom w:val="none" w:sz="0" w:space="0" w:color="auto"/>
            <w:right w:val="none" w:sz="0" w:space="0" w:color="auto"/>
          </w:divBdr>
        </w:div>
      </w:divsChild>
    </w:div>
    <w:div w:id="123473809">
      <w:bodyDiv w:val="1"/>
      <w:marLeft w:val="0"/>
      <w:marRight w:val="0"/>
      <w:marTop w:val="0"/>
      <w:marBottom w:val="0"/>
      <w:divBdr>
        <w:top w:val="none" w:sz="0" w:space="0" w:color="auto"/>
        <w:left w:val="none" w:sz="0" w:space="0" w:color="auto"/>
        <w:bottom w:val="none" w:sz="0" w:space="0" w:color="auto"/>
        <w:right w:val="none" w:sz="0" w:space="0" w:color="auto"/>
      </w:divBdr>
    </w:div>
    <w:div w:id="160656077">
      <w:bodyDiv w:val="1"/>
      <w:marLeft w:val="0"/>
      <w:marRight w:val="0"/>
      <w:marTop w:val="0"/>
      <w:marBottom w:val="0"/>
      <w:divBdr>
        <w:top w:val="none" w:sz="0" w:space="0" w:color="auto"/>
        <w:left w:val="none" w:sz="0" w:space="0" w:color="auto"/>
        <w:bottom w:val="none" w:sz="0" w:space="0" w:color="auto"/>
        <w:right w:val="none" w:sz="0" w:space="0" w:color="auto"/>
      </w:divBdr>
    </w:div>
    <w:div w:id="164707435">
      <w:bodyDiv w:val="1"/>
      <w:marLeft w:val="0"/>
      <w:marRight w:val="0"/>
      <w:marTop w:val="0"/>
      <w:marBottom w:val="0"/>
      <w:divBdr>
        <w:top w:val="none" w:sz="0" w:space="0" w:color="auto"/>
        <w:left w:val="none" w:sz="0" w:space="0" w:color="auto"/>
        <w:bottom w:val="none" w:sz="0" w:space="0" w:color="auto"/>
        <w:right w:val="none" w:sz="0" w:space="0" w:color="auto"/>
      </w:divBdr>
    </w:div>
    <w:div w:id="183717753">
      <w:bodyDiv w:val="1"/>
      <w:marLeft w:val="0"/>
      <w:marRight w:val="0"/>
      <w:marTop w:val="0"/>
      <w:marBottom w:val="0"/>
      <w:divBdr>
        <w:top w:val="none" w:sz="0" w:space="0" w:color="auto"/>
        <w:left w:val="none" w:sz="0" w:space="0" w:color="auto"/>
        <w:bottom w:val="none" w:sz="0" w:space="0" w:color="auto"/>
        <w:right w:val="none" w:sz="0" w:space="0" w:color="auto"/>
      </w:divBdr>
    </w:div>
    <w:div w:id="254635227">
      <w:bodyDiv w:val="1"/>
      <w:marLeft w:val="0"/>
      <w:marRight w:val="0"/>
      <w:marTop w:val="0"/>
      <w:marBottom w:val="0"/>
      <w:divBdr>
        <w:top w:val="none" w:sz="0" w:space="0" w:color="auto"/>
        <w:left w:val="none" w:sz="0" w:space="0" w:color="auto"/>
        <w:bottom w:val="none" w:sz="0" w:space="0" w:color="auto"/>
        <w:right w:val="none" w:sz="0" w:space="0" w:color="auto"/>
      </w:divBdr>
    </w:div>
    <w:div w:id="369962281">
      <w:bodyDiv w:val="1"/>
      <w:marLeft w:val="0"/>
      <w:marRight w:val="0"/>
      <w:marTop w:val="0"/>
      <w:marBottom w:val="0"/>
      <w:divBdr>
        <w:top w:val="none" w:sz="0" w:space="0" w:color="auto"/>
        <w:left w:val="none" w:sz="0" w:space="0" w:color="auto"/>
        <w:bottom w:val="none" w:sz="0" w:space="0" w:color="auto"/>
        <w:right w:val="none" w:sz="0" w:space="0" w:color="auto"/>
      </w:divBdr>
    </w:div>
    <w:div w:id="418140540">
      <w:bodyDiv w:val="1"/>
      <w:marLeft w:val="0"/>
      <w:marRight w:val="0"/>
      <w:marTop w:val="0"/>
      <w:marBottom w:val="0"/>
      <w:divBdr>
        <w:top w:val="none" w:sz="0" w:space="0" w:color="auto"/>
        <w:left w:val="none" w:sz="0" w:space="0" w:color="auto"/>
        <w:bottom w:val="none" w:sz="0" w:space="0" w:color="auto"/>
        <w:right w:val="none" w:sz="0" w:space="0" w:color="auto"/>
      </w:divBdr>
    </w:div>
    <w:div w:id="432869529">
      <w:bodyDiv w:val="1"/>
      <w:marLeft w:val="0"/>
      <w:marRight w:val="0"/>
      <w:marTop w:val="0"/>
      <w:marBottom w:val="0"/>
      <w:divBdr>
        <w:top w:val="none" w:sz="0" w:space="0" w:color="auto"/>
        <w:left w:val="none" w:sz="0" w:space="0" w:color="auto"/>
        <w:bottom w:val="none" w:sz="0" w:space="0" w:color="auto"/>
        <w:right w:val="none" w:sz="0" w:space="0" w:color="auto"/>
      </w:divBdr>
    </w:div>
    <w:div w:id="442656977">
      <w:bodyDiv w:val="1"/>
      <w:marLeft w:val="0"/>
      <w:marRight w:val="0"/>
      <w:marTop w:val="0"/>
      <w:marBottom w:val="0"/>
      <w:divBdr>
        <w:top w:val="none" w:sz="0" w:space="0" w:color="auto"/>
        <w:left w:val="none" w:sz="0" w:space="0" w:color="auto"/>
        <w:bottom w:val="none" w:sz="0" w:space="0" w:color="auto"/>
        <w:right w:val="none" w:sz="0" w:space="0" w:color="auto"/>
      </w:divBdr>
    </w:div>
    <w:div w:id="508839431">
      <w:bodyDiv w:val="1"/>
      <w:marLeft w:val="0"/>
      <w:marRight w:val="0"/>
      <w:marTop w:val="0"/>
      <w:marBottom w:val="0"/>
      <w:divBdr>
        <w:top w:val="none" w:sz="0" w:space="0" w:color="auto"/>
        <w:left w:val="none" w:sz="0" w:space="0" w:color="auto"/>
        <w:bottom w:val="none" w:sz="0" w:space="0" w:color="auto"/>
        <w:right w:val="none" w:sz="0" w:space="0" w:color="auto"/>
      </w:divBdr>
    </w:div>
    <w:div w:id="525561736">
      <w:bodyDiv w:val="1"/>
      <w:marLeft w:val="0"/>
      <w:marRight w:val="0"/>
      <w:marTop w:val="0"/>
      <w:marBottom w:val="0"/>
      <w:divBdr>
        <w:top w:val="none" w:sz="0" w:space="0" w:color="auto"/>
        <w:left w:val="none" w:sz="0" w:space="0" w:color="auto"/>
        <w:bottom w:val="none" w:sz="0" w:space="0" w:color="auto"/>
        <w:right w:val="none" w:sz="0" w:space="0" w:color="auto"/>
      </w:divBdr>
    </w:div>
    <w:div w:id="626085910">
      <w:bodyDiv w:val="1"/>
      <w:marLeft w:val="0"/>
      <w:marRight w:val="0"/>
      <w:marTop w:val="0"/>
      <w:marBottom w:val="0"/>
      <w:divBdr>
        <w:top w:val="none" w:sz="0" w:space="0" w:color="auto"/>
        <w:left w:val="none" w:sz="0" w:space="0" w:color="auto"/>
        <w:bottom w:val="none" w:sz="0" w:space="0" w:color="auto"/>
        <w:right w:val="none" w:sz="0" w:space="0" w:color="auto"/>
      </w:divBdr>
    </w:div>
    <w:div w:id="639268701">
      <w:bodyDiv w:val="1"/>
      <w:marLeft w:val="0"/>
      <w:marRight w:val="0"/>
      <w:marTop w:val="0"/>
      <w:marBottom w:val="0"/>
      <w:divBdr>
        <w:top w:val="none" w:sz="0" w:space="0" w:color="auto"/>
        <w:left w:val="none" w:sz="0" w:space="0" w:color="auto"/>
        <w:bottom w:val="none" w:sz="0" w:space="0" w:color="auto"/>
        <w:right w:val="none" w:sz="0" w:space="0" w:color="auto"/>
      </w:divBdr>
    </w:div>
    <w:div w:id="644287019">
      <w:bodyDiv w:val="1"/>
      <w:marLeft w:val="0"/>
      <w:marRight w:val="0"/>
      <w:marTop w:val="0"/>
      <w:marBottom w:val="0"/>
      <w:divBdr>
        <w:top w:val="none" w:sz="0" w:space="0" w:color="auto"/>
        <w:left w:val="none" w:sz="0" w:space="0" w:color="auto"/>
        <w:bottom w:val="none" w:sz="0" w:space="0" w:color="auto"/>
        <w:right w:val="none" w:sz="0" w:space="0" w:color="auto"/>
      </w:divBdr>
    </w:div>
    <w:div w:id="678854382">
      <w:bodyDiv w:val="1"/>
      <w:marLeft w:val="0"/>
      <w:marRight w:val="0"/>
      <w:marTop w:val="0"/>
      <w:marBottom w:val="0"/>
      <w:divBdr>
        <w:top w:val="none" w:sz="0" w:space="0" w:color="auto"/>
        <w:left w:val="none" w:sz="0" w:space="0" w:color="auto"/>
        <w:bottom w:val="none" w:sz="0" w:space="0" w:color="auto"/>
        <w:right w:val="none" w:sz="0" w:space="0" w:color="auto"/>
      </w:divBdr>
    </w:div>
    <w:div w:id="742870743">
      <w:bodyDiv w:val="1"/>
      <w:marLeft w:val="0"/>
      <w:marRight w:val="0"/>
      <w:marTop w:val="0"/>
      <w:marBottom w:val="0"/>
      <w:divBdr>
        <w:top w:val="none" w:sz="0" w:space="0" w:color="auto"/>
        <w:left w:val="none" w:sz="0" w:space="0" w:color="auto"/>
        <w:bottom w:val="none" w:sz="0" w:space="0" w:color="auto"/>
        <w:right w:val="none" w:sz="0" w:space="0" w:color="auto"/>
      </w:divBdr>
    </w:div>
    <w:div w:id="743603612">
      <w:bodyDiv w:val="1"/>
      <w:marLeft w:val="0"/>
      <w:marRight w:val="0"/>
      <w:marTop w:val="0"/>
      <w:marBottom w:val="0"/>
      <w:divBdr>
        <w:top w:val="none" w:sz="0" w:space="0" w:color="auto"/>
        <w:left w:val="none" w:sz="0" w:space="0" w:color="auto"/>
        <w:bottom w:val="none" w:sz="0" w:space="0" w:color="auto"/>
        <w:right w:val="none" w:sz="0" w:space="0" w:color="auto"/>
      </w:divBdr>
    </w:div>
    <w:div w:id="745567489">
      <w:bodyDiv w:val="1"/>
      <w:marLeft w:val="0"/>
      <w:marRight w:val="0"/>
      <w:marTop w:val="0"/>
      <w:marBottom w:val="0"/>
      <w:divBdr>
        <w:top w:val="none" w:sz="0" w:space="0" w:color="auto"/>
        <w:left w:val="none" w:sz="0" w:space="0" w:color="auto"/>
        <w:bottom w:val="none" w:sz="0" w:space="0" w:color="auto"/>
        <w:right w:val="none" w:sz="0" w:space="0" w:color="auto"/>
      </w:divBdr>
    </w:div>
    <w:div w:id="761728600">
      <w:bodyDiv w:val="1"/>
      <w:marLeft w:val="0"/>
      <w:marRight w:val="0"/>
      <w:marTop w:val="0"/>
      <w:marBottom w:val="0"/>
      <w:divBdr>
        <w:top w:val="none" w:sz="0" w:space="0" w:color="auto"/>
        <w:left w:val="none" w:sz="0" w:space="0" w:color="auto"/>
        <w:bottom w:val="none" w:sz="0" w:space="0" w:color="auto"/>
        <w:right w:val="none" w:sz="0" w:space="0" w:color="auto"/>
      </w:divBdr>
    </w:div>
    <w:div w:id="828449372">
      <w:bodyDiv w:val="1"/>
      <w:marLeft w:val="0"/>
      <w:marRight w:val="0"/>
      <w:marTop w:val="0"/>
      <w:marBottom w:val="0"/>
      <w:divBdr>
        <w:top w:val="none" w:sz="0" w:space="0" w:color="auto"/>
        <w:left w:val="none" w:sz="0" w:space="0" w:color="auto"/>
        <w:bottom w:val="none" w:sz="0" w:space="0" w:color="auto"/>
        <w:right w:val="none" w:sz="0" w:space="0" w:color="auto"/>
      </w:divBdr>
    </w:div>
    <w:div w:id="833838416">
      <w:bodyDiv w:val="1"/>
      <w:marLeft w:val="0"/>
      <w:marRight w:val="0"/>
      <w:marTop w:val="0"/>
      <w:marBottom w:val="0"/>
      <w:divBdr>
        <w:top w:val="none" w:sz="0" w:space="0" w:color="auto"/>
        <w:left w:val="none" w:sz="0" w:space="0" w:color="auto"/>
        <w:bottom w:val="none" w:sz="0" w:space="0" w:color="auto"/>
        <w:right w:val="none" w:sz="0" w:space="0" w:color="auto"/>
      </w:divBdr>
    </w:div>
    <w:div w:id="910426638">
      <w:bodyDiv w:val="1"/>
      <w:marLeft w:val="0"/>
      <w:marRight w:val="0"/>
      <w:marTop w:val="0"/>
      <w:marBottom w:val="0"/>
      <w:divBdr>
        <w:top w:val="none" w:sz="0" w:space="0" w:color="auto"/>
        <w:left w:val="none" w:sz="0" w:space="0" w:color="auto"/>
        <w:bottom w:val="none" w:sz="0" w:space="0" w:color="auto"/>
        <w:right w:val="none" w:sz="0" w:space="0" w:color="auto"/>
      </w:divBdr>
    </w:div>
    <w:div w:id="930552074">
      <w:bodyDiv w:val="1"/>
      <w:marLeft w:val="0"/>
      <w:marRight w:val="0"/>
      <w:marTop w:val="0"/>
      <w:marBottom w:val="0"/>
      <w:divBdr>
        <w:top w:val="none" w:sz="0" w:space="0" w:color="auto"/>
        <w:left w:val="none" w:sz="0" w:space="0" w:color="auto"/>
        <w:bottom w:val="none" w:sz="0" w:space="0" w:color="auto"/>
        <w:right w:val="none" w:sz="0" w:space="0" w:color="auto"/>
      </w:divBdr>
    </w:div>
    <w:div w:id="982730358">
      <w:bodyDiv w:val="1"/>
      <w:marLeft w:val="0"/>
      <w:marRight w:val="0"/>
      <w:marTop w:val="0"/>
      <w:marBottom w:val="0"/>
      <w:divBdr>
        <w:top w:val="none" w:sz="0" w:space="0" w:color="auto"/>
        <w:left w:val="none" w:sz="0" w:space="0" w:color="auto"/>
        <w:bottom w:val="none" w:sz="0" w:space="0" w:color="auto"/>
        <w:right w:val="none" w:sz="0" w:space="0" w:color="auto"/>
      </w:divBdr>
    </w:div>
    <w:div w:id="1122529224">
      <w:bodyDiv w:val="1"/>
      <w:marLeft w:val="0"/>
      <w:marRight w:val="0"/>
      <w:marTop w:val="0"/>
      <w:marBottom w:val="0"/>
      <w:divBdr>
        <w:top w:val="none" w:sz="0" w:space="0" w:color="auto"/>
        <w:left w:val="none" w:sz="0" w:space="0" w:color="auto"/>
        <w:bottom w:val="none" w:sz="0" w:space="0" w:color="auto"/>
        <w:right w:val="none" w:sz="0" w:space="0" w:color="auto"/>
      </w:divBdr>
    </w:div>
    <w:div w:id="1136484347">
      <w:bodyDiv w:val="1"/>
      <w:marLeft w:val="0"/>
      <w:marRight w:val="0"/>
      <w:marTop w:val="0"/>
      <w:marBottom w:val="0"/>
      <w:divBdr>
        <w:top w:val="none" w:sz="0" w:space="0" w:color="auto"/>
        <w:left w:val="none" w:sz="0" w:space="0" w:color="auto"/>
        <w:bottom w:val="none" w:sz="0" w:space="0" w:color="auto"/>
        <w:right w:val="none" w:sz="0" w:space="0" w:color="auto"/>
      </w:divBdr>
    </w:div>
    <w:div w:id="1156383088">
      <w:bodyDiv w:val="1"/>
      <w:marLeft w:val="0"/>
      <w:marRight w:val="0"/>
      <w:marTop w:val="0"/>
      <w:marBottom w:val="0"/>
      <w:divBdr>
        <w:top w:val="none" w:sz="0" w:space="0" w:color="auto"/>
        <w:left w:val="none" w:sz="0" w:space="0" w:color="auto"/>
        <w:bottom w:val="none" w:sz="0" w:space="0" w:color="auto"/>
        <w:right w:val="none" w:sz="0" w:space="0" w:color="auto"/>
      </w:divBdr>
    </w:div>
    <w:div w:id="1173036669">
      <w:bodyDiv w:val="1"/>
      <w:marLeft w:val="0"/>
      <w:marRight w:val="0"/>
      <w:marTop w:val="0"/>
      <w:marBottom w:val="0"/>
      <w:divBdr>
        <w:top w:val="none" w:sz="0" w:space="0" w:color="auto"/>
        <w:left w:val="none" w:sz="0" w:space="0" w:color="auto"/>
        <w:bottom w:val="none" w:sz="0" w:space="0" w:color="auto"/>
        <w:right w:val="none" w:sz="0" w:space="0" w:color="auto"/>
      </w:divBdr>
    </w:div>
    <w:div w:id="1229537135">
      <w:bodyDiv w:val="1"/>
      <w:marLeft w:val="0"/>
      <w:marRight w:val="0"/>
      <w:marTop w:val="0"/>
      <w:marBottom w:val="0"/>
      <w:divBdr>
        <w:top w:val="none" w:sz="0" w:space="0" w:color="auto"/>
        <w:left w:val="none" w:sz="0" w:space="0" w:color="auto"/>
        <w:bottom w:val="none" w:sz="0" w:space="0" w:color="auto"/>
        <w:right w:val="none" w:sz="0" w:space="0" w:color="auto"/>
      </w:divBdr>
    </w:div>
    <w:div w:id="1287783173">
      <w:bodyDiv w:val="1"/>
      <w:marLeft w:val="0"/>
      <w:marRight w:val="0"/>
      <w:marTop w:val="0"/>
      <w:marBottom w:val="0"/>
      <w:divBdr>
        <w:top w:val="none" w:sz="0" w:space="0" w:color="auto"/>
        <w:left w:val="none" w:sz="0" w:space="0" w:color="auto"/>
        <w:bottom w:val="none" w:sz="0" w:space="0" w:color="auto"/>
        <w:right w:val="none" w:sz="0" w:space="0" w:color="auto"/>
      </w:divBdr>
    </w:div>
    <w:div w:id="1295215200">
      <w:bodyDiv w:val="1"/>
      <w:marLeft w:val="0"/>
      <w:marRight w:val="0"/>
      <w:marTop w:val="0"/>
      <w:marBottom w:val="0"/>
      <w:divBdr>
        <w:top w:val="none" w:sz="0" w:space="0" w:color="auto"/>
        <w:left w:val="none" w:sz="0" w:space="0" w:color="auto"/>
        <w:bottom w:val="none" w:sz="0" w:space="0" w:color="auto"/>
        <w:right w:val="none" w:sz="0" w:space="0" w:color="auto"/>
      </w:divBdr>
    </w:div>
    <w:div w:id="1301614506">
      <w:bodyDiv w:val="1"/>
      <w:marLeft w:val="0"/>
      <w:marRight w:val="0"/>
      <w:marTop w:val="0"/>
      <w:marBottom w:val="0"/>
      <w:divBdr>
        <w:top w:val="none" w:sz="0" w:space="0" w:color="auto"/>
        <w:left w:val="none" w:sz="0" w:space="0" w:color="auto"/>
        <w:bottom w:val="none" w:sz="0" w:space="0" w:color="auto"/>
        <w:right w:val="none" w:sz="0" w:space="0" w:color="auto"/>
      </w:divBdr>
    </w:div>
    <w:div w:id="1343817884">
      <w:bodyDiv w:val="1"/>
      <w:marLeft w:val="0"/>
      <w:marRight w:val="0"/>
      <w:marTop w:val="0"/>
      <w:marBottom w:val="0"/>
      <w:divBdr>
        <w:top w:val="none" w:sz="0" w:space="0" w:color="auto"/>
        <w:left w:val="none" w:sz="0" w:space="0" w:color="auto"/>
        <w:bottom w:val="none" w:sz="0" w:space="0" w:color="auto"/>
        <w:right w:val="none" w:sz="0" w:space="0" w:color="auto"/>
      </w:divBdr>
    </w:div>
    <w:div w:id="1360886776">
      <w:bodyDiv w:val="1"/>
      <w:marLeft w:val="0"/>
      <w:marRight w:val="0"/>
      <w:marTop w:val="0"/>
      <w:marBottom w:val="0"/>
      <w:divBdr>
        <w:top w:val="none" w:sz="0" w:space="0" w:color="auto"/>
        <w:left w:val="none" w:sz="0" w:space="0" w:color="auto"/>
        <w:bottom w:val="none" w:sz="0" w:space="0" w:color="auto"/>
        <w:right w:val="none" w:sz="0" w:space="0" w:color="auto"/>
      </w:divBdr>
    </w:div>
    <w:div w:id="1402412929">
      <w:bodyDiv w:val="1"/>
      <w:marLeft w:val="0"/>
      <w:marRight w:val="0"/>
      <w:marTop w:val="0"/>
      <w:marBottom w:val="0"/>
      <w:divBdr>
        <w:top w:val="none" w:sz="0" w:space="0" w:color="auto"/>
        <w:left w:val="none" w:sz="0" w:space="0" w:color="auto"/>
        <w:bottom w:val="none" w:sz="0" w:space="0" w:color="auto"/>
        <w:right w:val="none" w:sz="0" w:space="0" w:color="auto"/>
      </w:divBdr>
    </w:div>
    <w:div w:id="1410343494">
      <w:bodyDiv w:val="1"/>
      <w:marLeft w:val="0"/>
      <w:marRight w:val="0"/>
      <w:marTop w:val="0"/>
      <w:marBottom w:val="0"/>
      <w:divBdr>
        <w:top w:val="none" w:sz="0" w:space="0" w:color="auto"/>
        <w:left w:val="none" w:sz="0" w:space="0" w:color="auto"/>
        <w:bottom w:val="none" w:sz="0" w:space="0" w:color="auto"/>
        <w:right w:val="none" w:sz="0" w:space="0" w:color="auto"/>
      </w:divBdr>
      <w:divsChild>
        <w:div w:id="35471136">
          <w:marLeft w:val="0"/>
          <w:marRight w:val="0"/>
          <w:marTop w:val="0"/>
          <w:marBottom w:val="0"/>
          <w:divBdr>
            <w:top w:val="none" w:sz="0" w:space="0" w:color="auto"/>
            <w:left w:val="none" w:sz="0" w:space="0" w:color="auto"/>
            <w:bottom w:val="none" w:sz="0" w:space="0" w:color="auto"/>
            <w:right w:val="none" w:sz="0" w:space="0" w:color="auto"/>
          </w:divBdr>
        </w:div>
        <w:div w:id="103119959">
          <w:marLeft w:val="0"/>
          <w:marRight w:val="0"/>
          <w:marTop w:val="0"/>
          <w:marBottom w:val="0"/>
          <w:divBdr>
            <w:top w:val="none" w:sz="0" w:space="0" w:color="auto"/>
            <w:left w:val="none" w:sz="0" w:space="0" w:color="auto"/>
            <w:bottom w:val="none" w:sz="0" w:space="0" w:color="auto"/>
            <w:right w:val="none" w:sz="0" w:space="0" w:color="auto"/>
          </w:divBdr>
        </w:div>
        <w:div w:id="285047096">
          <w:marLeft w:val="0"/>
          <w:marRight w:val="0"/>
          <w:marTop w:val="0"/>
          <w:marBottom w:val="0"/>
          <w:divBdr>
            <w:top w:val="none" w:sz="0" w:space="0" w:color="auto"/>
            <w:left w:val="none" w:sz="0" w:space="0" w:color="auto"/>
            <w:bottom w:val="none" w:sz="0" w:space="0" w:color="auto"/>
            <w:right w:val="none" w:sz="0" w:space="0" w:color="auto"/>
          </w:divBdr>
        </w:div>
        <w:div w:id="848371160">
          <w:marLeft w:val="0"/>
          <w:marRight w:val="0"/>
          <w:marTop w:val="0"/>
          <w:marBottom w:val="0"/>
          <w:divBdr>
            <w:top w:val="none" w:sz="0" w:space="0" w:color="auto"/>
            <w:left w:val="none" w:sz="0" w:space="0" w:color="auto"/>
            <w:bottom w:val="none" w:sz="0" w:space="0" w:color="auto"/>
            <w:right w:val="none" w:sz="0" w:space="0" w:color="auto"/>
          </w:divBdr>
        </w:div>
        <w:div w:id="1293554996">
          <w:marLeft w:val="0"/>
          <w:marRight w:val="0"/>
          <w:marTop w:val="0"/>
          <w:marBottom w:val="0"/>
          <w:divBdr>
            <w:top w:val="none" w:sz="0" w:space="0" w:color="auto"/>
            <w:left w:val="none" w:sz="0" w:space="0" w:color="auto"/>
            <w:bottom w:val="none" w:sz="0" w:space="0" w:color="auto"/>
            <w:right w:val="none" w:sz="0" w:space="0" w:color="auto"/>
          </w:divBdr>
        </w:div>
        <w:div w:id="1366179655">
          <w:marLeft w:val="0"/>
          <w:marRight w:val="0"/>
          <w:marTop w:val="0"/>
          <w:marBottom w:val="0"/>
          <w:divBdr>
            <w:top w:val="none" w:sz="0" w:space="0" w:color="auto"/>
            <w:left w:val="none" w:sz="0" w:space="0" w:color="auto"/>
            <w:bottom w:val="none" w:sz="0" w:space="0" w:color="auto"/>
            <w:right w:val="none" w:sz="0" w:space="0" w:color="auto"/>
          </w:divBdr>
        </w:div>
        <w:div w:id="2050109392">
          <w:marLeft w:val="0"/>
          <w:marRight w:val="0"/>
          <w:marTop w:val="0"/>
          <w:marBottom w:val="0"/>
          <w:divBdr>
            <w:top w:val="none" w:sz="0" w:space="0" w:color="auto"/>
            <w:left w:val="none" w:sz="0" w:space="0" w:color="auto"/>
            <w:bottom w:val="none" w:sz="0" w:space="0" w:color="auto"/>
            <w:right w:val="none" w:sz="0" w:space="0" w:color="auto"/>
          </w:divBdr>
        </w:div>
      </w:divsChild>
    </w:div>
    <w:div w:id="1463231029">
      <w:bodyDiv w:val="1"/>
      <w:marLeft w:val="0"/>
      <w:marRight w:val="0"/>
      <w:marTop w:val="0"/>
      <w:marBottom w:val="0"/>
      <w:divBdr>
        <w:top w:val="none" w:sz="0" w:space="0" w:color="auto"/>
        <w:left w:val="none" w:sz="0" w:space="0" w:color="auto"/>
        <w:bottom w:val="none" w:sz="0" w:space="0" w:color="auto"/>
        <w:right w:val="none" w:sz="0" w:space="0" w:color="auto"/>
      </w:divBdr>
    </w:div>
    <w:div w:id="1529105101">
      <w:bodyDiv w:val="1"/>
      <w:marLeft w:val="0"/>
      <w:marRight w:val="0"/>
      <w:marTop w:val="0"/>
      <w:marBottom w:val="0"/>
      <w:divBdr>
        <w:top w:val="none" w:sz="0" w:space="0" w:color="auto"/>
        <w:left w:val="none" w:sz="0" w:space="0" w:color="auto"/>
        <w:bottom w:val="none" w:sz="0" w:space="0" w:color="auto"/>
        <w:right w:val="none" w:sz="0" w:space="0" w:color="auto"/>
      </w:divBdr>
      <w:divsChild>
        <w:div w:id="1440099140">
          <w:marLeft w:val="0"/>
          <w:marRight w:val="0"/>
          <w:marTop w:val="0"/>
          <w:marBottom w:val="0"/>
          <w:divBdr>
            <w:top w:val="none" w:sz="0" w:space="0" w:color="auto"/>
            <w:left w:val="none" w:sz="0" w:space="0" w:color="auto"/>
            <w:bottom w:val="none" w:sz="0" w:space="0" w:color="auto"/>
            <w:right w:val="none" w:sz="0" w:space="0" w:color="auto"/>
          </w:divBdr>
          <w:divsChild>
            <w:div w:id="10690919">
              <w:marLeft w:val="0"/>
              <w:marRight w:val="0"/>
              <w:marTop w:val="0"/>
              <w:marBottom w:val="0"/>
              <w:divBdr>
                <w:top w:val="none" w:sz="0" w:space="0" w:color="auto"/>
                <w:left w:val="none" w:sz="0" w:space="0" w:color="auto"/>
                <w:bottom w:val="none" w:sz="0" w:space="0" w:color="auto"/>
                <w:right w:val="none" w:sz="0" w:space="0" w:color="auto"/>
              </w:divBdr>
            </w:div>
            <w:div w:id="18243673">
              <w:marLeft w:val="0"/>
              <w:marRight w:val="0"/>
              <w:marTop w:val="0"/>
              <w:marBottom w:val="0"/>
              <w:divBdr>
                <w:top w:val="none" w:sz="0" w:space="0" w:color="auto"/>
                <w:left w:val="none" w:sz="0" w:space="0" w:color="auto"/>
                <w:bottom w:val="none" w:sz="0" w:space="0" w:color="auto"/>
                <w:right w:val="none" w:sz="0" w:space="0" w:color="auto"/>
              </w:divBdr>
            </w:div>
            <w:div w:id="82652543">
              <w:marLeft w:val="0"/>
              <w:marRight w:val="0"/>
              <w:marTop w:val="0"/>
              <w:marBottom w:val="0"/>
              <w:divBdr>
                <w:top w:val="none" w:sz="0" w:space="0" w:color="auto"/>
                <w:left w:val="none" w:sz="0" w:space="0" w:color="auto"/>
                <w:bottom w:val="none" w:sz="0" w:space="0" w:color="auto"/>
                <w:right w:val="none" w:sz="0" w:space="0" w:color="auto"/>
              </w:divBdr>
            </w:div>
            <w:div w:id="125004404">
              <w:marLeft w:val="0"/>
              <w:marRight w:val="0"/>
              <w:marTop w:val="0"/>
              <w:marBottom w:val="0"/>
              <w:divBdr>
                <w:top w:val="none" w:sz="0" w:space="0" w:color="auto"/>
                <w:left w:val="none" w:sz="0" w:space="0" w:color="auto"/>
                <w:bottom w:val="none" w:sz="0" w:space="0" w:color="auto"/>
                <w:right w:val="none" w:sz="0" w:space="0" w:color="auto"/>
              </w:divBdr>
            </w:div>
            <w:div w:id="158161223">
              <w:marLeft w:val="0"/>
              <w:marRight w:val="0"/>
              <w:marTop w:val="0"/>
              <w:marBottom w:val="0"/>
              <w:divBdr>
                <w:top w:val="none" w:sz="0" w:space="0" w:color="auto"/>
                <w:left w:val="none" w:sz="0" w:space="0" w:color="auto"/>
                <w:bottom w:val="none" w:sz="0" w:space="0" w:color="auto"/>
                <w:right w:val="none" w:sz="0" w:space="0" w:color="auto"/>
              </w:divBdr>
            </w:div>
            <w:div w:id="167600419">
              <w:marLeft w:val="0"/>
              <w:marRight w:val="0"/>
              <w:marTop w:val="0"/>
              <w:marBottom w:val="0"/>
              <w:divBdr>
                <w:top w:val="none" w:sz="0" w:space="0" w:color="auto"/>
                <w:left w:val="none" w:sz="0" w:space="0" w:color="auto"/>
                <w:bottom w:val="none" w:sz="0" w:space="0" w:color="auto"/>
                <w:right w:val="none" w:sz="0" w:space="0" w:color="auto"/>
              </w:divBdr>
            </w:div>
            <w:div w:id="192152429">
              <w:marLeft w:val="0"/>
              <w:marRight w:val="0"/>
              <w:marTop w:val="0"/>
              <w:marBottom w:val="0"/>
              <w:divBdr>
                <w:top w:val="none" w:sz="0" w:space="0" w:color="auto"/>
                <w:left w:val="none" w:sz="0" w:space="0" w:color="auto"/>
                <w:bottom w:val="none" w:sz="0" w:space="0" w:color="auto"/>
                <w:right w:val="none" w:sz="0" w:space="0" w:color="auto"/>
              </w:divBdr>
            </w:div>
            <w:div w:id="196747715">
              <w:marLeft w:val="0"/>
              <w:marRight w:val="0"/>
              <w:marTop w:val="0"/>
              <w:marBottom w:val="0"/>
              <w:divBdr>
                <w:top w:val="none" w:sz="0" w:space="0" w:color="auto"/>
                <w:left w:val="none" w:sz="0" w:space="0" w:color="auto"/>
                <w:bottom w:val="none" w:sz="0" w:space="0" w:color="auto"/>
                <w:right w:val="none" w:sz="0" w:space="0" w:color="auto"/>
              </w:divBdr>
            </w:div>
            <w:div w:id="239683824">
              <w:marLeft w:val="0"/>
              <w:marRight w:val="0"/>
              <w:marTop w:val="0"/>
              <w:marBottom w:val="0"/>
              <w:divBdr>
                <w:top w:val="none" w:sz="0" w:space="0" w:color="auto"/>
                <w:left w:val="none" w:sz="0" w:space="0" w:color="auto"/>
                <w:bottom w:val="none" w:sz="0" w:space="0" w:color="auto"/>
                <w:right w:val="none" w:sz="0" w:space="0" w:color="auto"/>
              </w:divBdr>
            </w:div>
            <w:div w:id="293101317">
              <w:marLeft w:val="0"/>
              <w:marRight w:val="0"/>
              <w:marTop w:val="0"/>
              <w:marBottom w:val="0"/>
              <w:divBdr>
                <w:top w:val="none" w:sz="0" w:space="0" w:color="auto"/>
                <w:left w:val="none" w:sz="0" w:space="0" w:color="auto"/>
                <w:bottom w:val="none" w:sz="0" w:space="0" w:color="auto"/>
                <w:right w:val="none" w:sz="0" w:space="0" w:color="auto"/>
              </w:divBdr>
            </w:div>
            <w:div w:id="324432395">
              <w:marLeft w:val="0"/>
              <w:marRight w:val="0"/>
              <w:marTop w:val="0"/>
              <w:marBottom w:val="0"/>
              <w:divBdr>
                <w:top w:val="none" w:sz="0" w:space="0" w:color="auto"/>
                <w:left w:val="none" w:sz="0" w:space="0" w:color="auto"/>
                <w:bottom w:val="none" w:sz="0" w:space="0" w:color="auto"/>
                <w:right w:val="none" w:sz="0" w:space="0" w:color="auto"/>
              </w:divBdr>
            </w:div>
            <w:div w:id="350574816">
              <w:marLeft w:val="0"/>
              <w:marRight w:val="0"/>
              <w:marTop w:val="0"/>
              <w:marBottom w:val="0"/>
              <w:divBdr>
                <w:top w:val="none" w:sz="0" w:space="0" w:color="auto"/>
                <w:left w:val="none" w:sz="0" w:space="0" w:color="auto"/>
                <w:bottom w:val="none" w:sz="0" w:space="0" w:color="auto"/>
                <w:right w:val="none" w:sz="0" w:space="0" w:color="auto"/>
              </w:divBdr>
            </w:div>
            <w:div w:id="363215950">
              <w:marLeft w:val="0"/>
              <w:marRight w:val="0"/>
              <w:marTop w:val="0"/>
              <w:marBottom w:val="0"/>
              <w:divBdr>
                <w:top w:val="none" w:sz="0" w:space="0" w:color="auto"/>
                <w:left w:val="none" w:sz="0" w:space="0" w:color="auto"/>
                <w:bottom w:val="none" w:sz="0" w:space="0" w:color="auto"/>
                <w:right w:val="none" w:sz="0" w:space="0" w:color="auto"/>
              </w:divBdr>
            </w:div>
            <w:div w:id="383527961">
              <w:marLeft w:val="0"/>
              <w:marRight w:val="0"/>
              <w:marTop w:val="0"/>
              <w:marBottom w:val="0"/>
              <w:divBdr>
                <w:top w:val="none" w:sz="0" w:space="0" w:color="auto"/>
                <w:left w:val="none" w:sz="0" w:space="0" w:color="auto"/>
                <w:bottom w:val="none" w:sz="0" w:space="0" w:color="auto"/>
                <w:right w:val="none" w:sz="0" w:space="0" w:color="auto"/>
              </w:divBdr>
            </w:div>
            <w:div w:id="407993831">
              <w:marLeft w:val="0"/>
              <w:marRight w:val="0"/>
              <w:marTop w:val="0"/>
              <w:marBottom w:val="0"/>
              <w:divBdr>
                <w:top w:val="none" w:sz="0" w:space="0" w:color="auto"/>
                <w:left w:val="none" w:sz="0" w:space="0" w:color="auto"/>
                <w:bottom w:val="none" w:sz="0" w:space="0" w:color="auto"/>
                <w:right w:val="none" w:sz="0" w:space="0" w:color="auto"/>
              </w:divBdr>
            </w:div>
            <w:div w:id="412968766">
              <w:marLeft w:val="0"/>
              <w:marRight w:val="0"/>
              <w:marTop w:val="0"/>
              <w:marBottom w:val="0"/>
              <w:divBdr>
                <w:top w:val="none" w:sz="0" w:space="0" w:color="auto"/>
                <w:left w:val="none" w:sz="0" w:space="0" w:color="auto"/>
                <w:bottom w:val="none" w:sz="0" w:space="0" w:color="auto"/>
                <w:right w:val="none" w:sz="0" w:space="0" w:color="auto"/>
              </w:divBdr>
            </w:div>
            <w:div w:id="422723892">
              <w:marLeft w:val="0"/>
              <w:marRight w:val="0"/>
              <w:marTop w:val="0"/>
              <w:marBottom w:val="0"/>
              <w:divBdr>
                <w:top w:val="none" w:sz="0" w:space="0" w:color="auto"/>
                <w:left w:val="none" w:sz="0" w:space="0" w:color="auto"/>
                <w:bottom w:val="none" w:sz="0" w:space="0" w:color="auto"/>
                <w:right w:val="none" w:sz="0" w:space="0" w:color="auto"/>
              </w:divBdr>
            </w:div>
            <w:div w:id="456727619">
              <w:marLeft w:val="0"/>
              <w:marRight w:val="0"/>
              <w:marTop w:val="0"/>
              <w:marBottom w:val="0"/>
              <w:divBdr>
                <w:top w:val="none" w:sz="0" w:space="0" w:color="auto"/>
                <w:left w:val="none" w:sz="0" w:space="0" w:color="auto"/>
                <w:bottom w:val="none" w:sz="0" w:space="0" w:color="auto"/>
                <w:right w:val="none" w:sz="0" w:space="0" w:color="auto"/>
              </w:divBdr>
            </w:div>
            <w:div w:id="473526584">
              <w:marLeft w:val="0"/>
              <w:marRight w:val="0"/>
              <w:marTop w:val="0"/>
              <w:marBottom w:val="0"/>
              <w:divBdr>
                <w:top w:val="none" w:sz="0" w:space="0" w:color="auto"/>
                <w:left w:val="none" w:sz="0" w:space="0" w:color="auto"/>
                <w:bottom w:val="none" w:sz="0" w:space="0" w:color="auto"/>
                <w:right w:val="none" w:sz="0" w:space="0" w:color="auto"/>
              </w:divBdr>
            </w:div>
            <w:div w:id="511190523">
              <w:marLeft w:val="0"/>
              <w:marRight w:val="0"/>
              <w:marTop w:val="0"/>
              <w:marBottom w:val="0"/>
              <w:divBdr>
                <w:top w:val="none" w:sz="0" w:space="0" w:color="auto"/>
                <w:left w:val="none" w:sz="0" w:space="0" w:color="auto"/>
                <w:bottom w:val="none" w:sz="0" w:space="0" w:color="auto"/>
                <w:right w:val="none" w:sz="0" w:space="0" w:color="auto"/>
              </w:divBdr>
            </w:div>
            <w:div w:id="574440380">
              <w:marLeft w:val="0"/>
              <w:marRight w:val="0"/>
              <w:marTop w:val="0"/>
              <w:marBottom w:val="0"/>
              <w:divBdr>
                <w:top w:val="none" w:sz="0" w:space="0" w:color="auto"/>
                <w:left w:val="none" w:sz="0" w:space="0" w:color="auto"/>
                <w:bottom w:val="none" w:sz="0" w:space="0" w:color="auto"/>
                <w:right w:val="none" w:sz="0" w:space="0" w:color="auto"/>
              </w:divBdr>
            </w:div>
            <w:div w:id="678390078">
              <w:marLeft w:val="0"/>
              <w:marRight w:val="0"/>
              <w:marTop w:val="0"/>
              <w:marBottom w:val="0"/>
              <w:divBdr>
                <w:top w:val="none" w:sz="0" w:space="0" w:color="auto"/>
                <w:left w:val="none" w:sz="0" w:space="0" w:color="auto"/>
                <w:bottom w:val="none" w:sz="0" w:space="0" w:color="auto"/>
                <w:right w:val="none" w:sz="0" w:space="0" w:color="auto"/>
              </w:divBdr>
            </w:div>
            <w:div w:id="722408313">
              <w:marLeft w:val="0"/>
              <w:marRight w:val="0"/>
              <w:marTop w:val="0"/>
              <w:marBottom w:val="0"/>
              <w:divBdr>
                <w:top w:val="none" w:sz="0" w:space="0" w:color="auto"/>
                <w:left w:val="none" w:sz="0" w:space="0" w:color="auto"/>
                <w:bottom w:val="none" w:sz="0" w:space="0" w:color="auto"/>
                <w:right w:val="none" w:sz="0" w:space="0" w:color="auto"/>
              </w:divBdr>
            </w:div>
            <w:div w:id="737242962">
              <w:marLeft w:val="0"/>
              <w:marRight w:val="0"/>
              <w:marTop w:val="0"/>
              <w:marBottom w:val="0"/>
              <w:divBdr>
                <w:top w:val="none" w:sz="0" w:space="0" w:color="auto"/>
                <w:left w:val="none" w:sz="0" w:space="0" w:color="auto"/>
                <w:bottom w:val="none" w:sz="0" w:space="0" w:color="auto"/>
                <w:right w:val="none" w:sz="0" w:space="0" w:color="auto"/>
              </w:divBdr>
            </w:div>
            <w:div w:id="738407147">
              <w:marLeft w:val="0"/>
              <w:marRight w:val="0"/>
              <w:marTop w:val="0"/>
              <w:marBottom w:val="0"/>
              <w:divBdr>
                <w:top w:val="none" w:sz="0" w:space="0" w:color="auto"/>
                <w:left w:val="none" w:sz="0" w:space="0" w:color="auto"/>
                <w:bottom w:val="none" w:sz="0" w:space="0" w:color="auto"/>
                <w:right w:val="none" w:sz="0" w:space="0" w:color="auto"/>
              </w:divBdr>
            </w:div>
            <w:div w:id="753403786">
              <w:marLeft w:val="0"/>
              <w:marRight w:val="0"/>
              <w:marTop w:val="0"/>
              <w:marBottom w:val="0"/>
              <w:divBdr>
                <w:top w:val="none" w:sz="0" w:space="0" w:color="auto"/>
                <w:left w:val="none" w:sz="0" w:space="0" w:color="auto"/>
                <w:bottom w:val="none" w:sz="0" w:space="0" w:color="auto"/>
                <w:right w:val="none" w:sz="0" w:space="0" w:color="auto"/>
              </w:divBdr>
            </w:div>
            <w:div w:id="756101810">
              <w:marLeft w:val="0"/>
              <w:marRight w:val="0"/>
              <w:marTop w:val="0"/>
              <w:marBottom w:val="0"/>
              <w:divBdr>
                <w:top w:val="none" w:sz="0" w:space="0" w:color="auto"/>
                <w:left w:val="none" w:sz="0" w:space="0" w:color="auto"/>
                <w:bottom w:val="none" w:sz="0" w:space="0" w:color="auto"/>
                <w:right w:val="none" w:sz="0" w:space="0" w:color="auto"/>
              </w:divBdr>
            </w:div>
            <w:div w:id="765929170">
              <w:marLeft w:val="0"/>
              <w:marRight w:val="0"/>
              <w:marTop w:val="0"/>
              <w:marBottom w:val="0"/>
              <w:divBdr>
                <w:top w:val="none" w:sz="0" w:space="0" w:color="auto"/>
                <w:left w:val="none" w:sz="0" w:space="0" w:color="auto"/>
                <w:bottom w:val="none" w:sz="0" w:space="0" w:color="auto"/>
                <w:right w:val="none" w:sz="0" w:space="0" w:color="auto"/>
              </w:divBdr>
            </w:div>
            <w:div w:id="789010890">
              <w:marLeft w:val="0"/>
              <w:marRight w:val="0"/>
              <w:marTop w:val="0"/>
              <w:marBottom w:val="0"/>
              <w:divBdr>
                <w:top w:val="none" w:sz="0" w:space="0" w:color="auto"/>
                <w:left w:val="none" w:sz="0" w:space="0" w:color="auto"/>
                <w:bottom w:val="none" w:sz="0" w:space="0" w:color="auto"/>
                <w:right w:val="none" w:sz="0" w:space="0" w:color="auto"/>
              </w:divBdr>
            </w:div>
            <w:div w:id="791242353">
              <w:marLeft w:val="0"/>
              <w:marRight w:val="0"/>
              <w:marTop w:val="0"/>
              <w:marBottom w:val="0"/>
              <w:divBdr>
                <w:top w:val="none" w:sz="0" w:space="0" w:color="auto"/>
                <w:left w:val="none" w:sz="0" w:space="0" w:color="auto"/>
                <w:bottom w:val="none" w:sz="0" w:space="0" w:color="auto"/>
                <w:right w:val="none" w:sz="0" w:space="0" w:color="auto"/>
              </w:divBdr>
            </w:div>
            <w:div w:id="823086210">
              <w:marLeft w:val="0"/>
              <w:marRight w:val="0"/>
              <w:marTop w:val="0"/>
              <w:marBottom w:val="0"/>
              <w:divBdr>
                <w:top w:val="none" w:sz="0" w:space="0" w:color="auto"/>
                <w:left w:val="none" w:sz="0" w:space="0" w:color="auto"/>
                <w:bottom w:val="none" w:sz="0" w:space="0" w:color="auto"/>
                <w:right w:val="none" w:sz="0" w:space="0" w:color="auto"/>
              </w:divBdr>
            </w:div>
            <w:div w:id="834884627">
              <w:marLeft w:val="0"/>
              <w:marRight w:val="0"/>
              <w:marTop w:val="0"/>
              <w:marBottom w:val="0"/>
              <w:divBdr>
                <w:top w:val="none" w:sz="0" w:space="0" w:color="auto"/>
                <w:left w:val="none" w:sz="0" w:space="0" w:color="auto"/>
                <w:bottom w:val="none" w:sz="0" w:space="0" w:color="auto"/>
                <w:right w:val="none" w:sz="0" w:space="0" w:color="auto"/>
              </w:divBdr>
            </w:div>
            <w:div w:id="865945378">
              <w:marLeft w:val="0"/>
              <w:marRight w:val="0"/>
              <w:marTop w:val="0"/>
              <w:marBottom w:val="0"/>
              <w:divBdr>
                <w:top w:val="none" w:sz="0" w:space="0" w:color="auto"/>
                <w:left w:val="none" w:sz="0" w:space="0" w:color="auto"/>
                <w:bottom w:val="none" w:sz="0" w:space="0" w:color="auto"/>
                <w:right w:val="none" w:sz="0" w:space="0" w:color="auto"/>
              </w:divBdr>
            </w:div>
            <w:div w:id="902570090">
              <w:marLeft w:val="0"/>
              <w:marRight w:val="0"/>
              <w:marTop w:val="0"/>
              <w:marBottom w:val="0"/>
              <w:divBdr>
                <w:top w:val="none" w:sz="0" w:space="0" w:color="auto"/>
                <w:left w:val="none" w:sz="0" w:space="0" w:color="auto"/>
                <w:bottom w:val="none" w:sz="0" w:space="0" w:color="auto"/>
                <w:right w:val="none" w:sz="0" w:space="0" w:color="auto"/>
              </w:divBdr>
            </w:div>
            <w:div w:id="916591656">
              <w:marLeft w:val="0"/>
              <w:marRight w:val="0"/>
              <w:marTop w:val="0"/>
              <w:marBottom w:val="0"/>
              <w:divBdr>
                <w:top w:val="none" w:sz="0" w:space="0" w:color="auto"/>
                <w:left w:val="none" w:sz="0" w:space="0" w:color="auto"/>
                <w:bottom w:val="none" w:sz="0" w:space="0" w:color="auto"/>
                <w:right w:val="none" w:sz="0" w:space="0" w:color="auto"/>
              </w:divBdr>
            </w:div>
            <w:div w:id="973104050">
              <w:marLeft w:val="0"/>
              <w:marRight w:val="0"/>
              <w:marTop w:val="0"/>
              <w:marBottom w:val="0"/>
              <w:divBdr>
                <w:top w:val="none" w:sz="0" w:space="0" w:color="auto"/>
                <w:left w:val="none" w:sz="0" w:space="0" w:color="auto"/>
                <w:bottom w:val="none" w:sz="0" w:space="0" w:color="auto"/>
                <w:right w:val="none" w:sz="0" w:space="0" w:color="auto"/>
              </w:divBdr>
            </w:div>
            <w:div w:id="1008874346">
              <w:marLeft w:val="0"/>
              <w:marRight w:val="0"/>
              <w:marTop w:val="0"/>
              <w:marBottom w:val="0"/>
              <w:divBdr>
                <w:top w:val="none" w:sz="0" w:space="0" w:color="auto"/>
                <w:left w:val="none" w:sz="0" w:space="0" w:color="auto"/>
                <w:bottom w:val="none" w:sz="0" w:space="0" w:color="auto"/>
                <w:right w:val="none" w:sz="0" w:space="0" w:color="auto"/>
              </w:divBdr>
            </w:div>
            <w:div w:id="1018657298">
              <w:marLeft w:val="0"/>
              <w:marRight w:val="0"/>
              <w:marTop w:val="0"/>
              <w:marBottom w:val="0"/>
              <w:divBdr>
                <w:top w:val="none" w:sz="0" w:space="0" w:color="auto"/>
                <w:left w:val="none" w:sz="0" w:space="0" w:color="auto"/>
                <w:bottom w:val="none" w:sz="0" w:space="0" w:color="auto"/>
                <w:right w:val="none" w:sz="0" w:space="0" w:color="auto"/>
              </w:divBdr>
            </w:div>
            <w:div w:id="1021013265">
              <w:marLeft w:val="0"/>
              <w:marRight w:val="0"/>
              <w:marTop w:val="0"/>
              <w:marBottom w:val="0"/>
              <w:divBdr>
                <w:top w:val="none" w:sz="0" w:space="0" w:color="auto"/>
                <w:left w:val="none" w:sz="0" w:space="0" w:color="auto"/>
                <w:bottom w:val="none" w:sz="0" w:space="0" w:color="auto"/>
                <w:right w:val="none" w:sz="0" w:space="0" w:color="auto"/>
              </w:divBdr>
            </w:div>
            <w:div w:id="1071972402">
              <w:marLeft w:val="0"/>
              <w:marRight w:val="0"/>
              <w:marTop w:val="0"/>
              <w:marBottom w:val="0"/>
              <w:divBdr>
                <w:top w:val="none" w:sz="0" w:space="0" w:color="auto"/>
                <w:left w:val="none" w:sz="0" w:space="0" w:color="auto"/>
                <w:bottom w:val="none" w:sz="0" w:space="0" w:color="auto"/>
                <w:right w:val="none" w:sz="0" w:space="0" w:color="auto"/>
              </w:divBdr>
            </w:div>
            <w:div w:id="1073434237">
              <w:marLeft w:val="0"/>
              <w:marRight w:val="0"/>
              <w:marTop w:val="0"/>
              <w:marBottom w:val="0"/>
              <w:divBdr>
                <w:top w:val="none" w:sz="0" w:space="0" w:color="auto"/>
                <w:left w:val="none" w:sz="0" w:space="0" w:color="auto"/>
                <w:bottom w:val="none" w:sz="0" w:space="0" w:color="auto"/>
                <w:right w:val="none" w:sz="0" w:space="0" w:color="auto"/>
              </w:divBdr>
            </w:div>
            <w:div w:id="1083069500">
              <w:marLeft w:val="0"/>
              <w:marRight w:val="0"/>
              <w:marTop w:val="0"/>
              <w:marBottom w:val="0"/>
              <w:divBdr>
                <w:top w:val="none" w:sz="0" w:space="0" w:color="auto"/>
                <w:left w:val="none" w:sz="0" w:space="0" w:color="auto"/>
                <w:bottom w:val="none" w:sz="0" w:space="0" w:color="auto"/>
                <w:right w:val="none" w:sz="0" w:space="0" w:color="auto"/>
              </w:divBdr>
            </w:div>
            <w:div w:id="1092823490">
              <w:marLeft w:val="0"/>
              <w:marRight w:val="0"/>
              <w:marTop w:val="0"/>
              <w:marBottom w:val="0"/>
              <w:divBdr>
                <w:top w:val="none" w:sz="0" w:space="0" w:color="auto"/>
                <w:left w:val="none" w:sz="0" w:space="0" w:color="auto"/>
                <w:bottom w:val="none" w:sz="0" w:space="0" w:color="auto"/>
                <w:right w:val="none" w:sz="0" w:space="0" w:color="auto"/>
              </w:divBdr>
            </w:div>
            <w:div w:id="1182933241">
              <w:marLeft w:val="0"/>
              <w:marRight w:val="0"/>
              <w:marTop w:val="0"/>
              <w:marBottom w:val="0"/>
              <w:divBdr>
                <w:top w:val="none" w:sz="0" w:space="0" w:color="auto"/>
                <w:left w:val="none" w:sz="0" w:space="0" w:color="auto"/>
                <w:bottom w:val="none" w:sz="0" w:space="0" w:color="auto"/>
                <w:right w:val="none" w:sz="0" w:space="0" w:color="auto"/>
              </w:divBdr>
            </w:div>
            <w:div w:id="1216042988">
              <w:marLeft w:val="0"/>
              <w:marRight w:val="0"/>
              <w:marTop w:val="0"/>
              <w:marBottom w:val="0"/>
              <w:divBdr>
                <w:top w:val="none" w:sz="0" w:space="0" w:color="auto"/>
                <w:left w:val="none" w:sz="0" w:space="0" w:color="auto"/>
                <w:bottom w:val="none" w:sz="0" w:space="0" w:color="auto"/>
                <w:right w:val="none" w:sz="0" w:space="0" w:color="auto"/>
              </w:divBdr>
            </w:div>
            <w:div w:id="1348171473">
              <w:marLeft w:val="0"/>
              <w:marRight w:val="0"/>
              <w:marTop w:val="0"/>
              <w:marBottom w:val="0"/>
              <w:divBdr>
                <w:top w:val="none" w:sz="0" w:space="0" w:color="auto"/>
                <w:left w:val="none" w:sz="0" w:space="0" w:color="auto"/>
                <w:bottom w:val="none" w:sz="0" w:space="0" w:color="auto"/>
                <w:right w:val="none" w:sz="0" w:space="0" w:color="auto"/>
              </w:divBdr>
            </w:div>
            <w:div w:id="1355619113">
              <w:marLeft w:val="0"/>
              <w:marRight w:val="0"/>
              <w:marTop w:val="0"/>
              <w:marBottom w:val="0"/>
              <w:divBdr>
                <w:top w:val="none" w:sz="0" w:space="0" w:color="auto"/>
                <w:left w:val="none" w:sz="0" w:space="0" w:color="auto"/>
                <w:bottom w:val="none" w:sz="0" w:space="0" w:color="auto"/>
                <w:right w:val="none" w:sz="0" w:space="0" w:color="auto"/>
              </w:divBdr>
            </w:div>
            <w:div w:id="1446391145">
              <w:marLeft w:val="0"/>
              <w:marRight w:val="0"/>
              <w:marTop w:val="0"/>
              <w:marBottom w:val="0"/>
              <w:divBdr>
                <w:top w:val="none" w:sz="0" w:space="0" w:color="auto"/>
                <w:left w:val="none" w:sz="0" w:space="0" w:color="auto"/>
                <w:bottom w:val="none" w:sz="0" w:space="0" w:color="auto"/>
                <w:right w:val="none" w:sz="0" w:space="0" w:color="auto"/>
              </w:divBdr>
            </w:div>
            <w:div w:id="1512715353">
              <w:marLeft w:val="0"/>
              <w:marRight w:val="0"/>
              <w:marTop w:val="0"/>
              <w:marBottom w:val="0"/>
              <w:divBdr>
                <w:top w:val="none" w:sz="0" w:space="0" w:color="auto"/>
                <w:left w:val="none" w:sz="0" w:space="0" w:color="auto"/>
                <w:bottom w:val="none" w:sz="0" w:space="0" w:color="auto"/>
                <w:right w:val="none" w:sz="0" w:space="0" w:color="auto"/>
              </w:divBdr>
            </w:div>
            <w:div w:id="1654942236">
              <w:marLeft w:val="0"/>
              <w:marRight w:val="0"/>
              <w:marTop w:val="0"/>
              <w:marBottom w:val="0"/>
              <w:divBdr>
                <w:top w:val="none" w:sz="0" w:space="0" w:color="auto"/>
                <w:left w:val="none" w:sz="0" w:space="0" w:color="auto"/>
                <w:bottom w:val="none" w:sz="0" w:space="0" w:color="auto"/>
                <w:right w:val="none" w:sz="0" w:space="0" w:color="auto"/>
              </w:divBdr>
            </w:div>
            <w:div w:id="1678383703">
              <w:marLeft w:val="0"/>
              <w:marRight w:val="0"/>
              <w:marTop w:val="0"/>
              <w:marBottom w:val="0"/>
              <w:divBdr>
                <w:top w:val="none" w:sz="0" w:space="0" w:color="auto"/>
                <w:left w:val="none" w:sz="0" w:space="0" w:color="auto"/>
                <w:bottom w:val="none" w:sz="0" w:space="0" w:color="auto"/>
                <w:right w:val="none" w:sz="0" w:space="0" w:color="auto"/>
              </w:divBdr>
            </w:div>
            <w:div w:id="1698117557">
              <w:marLeft w:val="0"/>
              <w:marRight w:val="0"/>
              <w:marTop w:val="0"/>
              <w:marBottom w:val="0"/>
              <w:divBdr>
                <w:top w:val="none" w:sz="0" w:space="0" w:color="auto"/>
                <w:left w:val="none" w:sz="0" w:space="0" w:color="auto"/>
                <w:bottom w:val="none" w:sz="0" w:space="0" w:color="auto"/>
                <w:right w:val="none" w:sz="0" w:space="0" w:color="auto"/>
              </w:divBdr>
            </w:div>
            <w:div w:id="1853689263">
              <w:marLeft w:val="0"/>
              <w:marRight w:val="0"/>
              <w:marTop w:val="0"/>
              <w:marBottom w:val="0"/>
              <w:divBdr>
                <w:top w:val="none" w:sz="0" w:space="0" w:color="auto"/>
                <w:left w:val="none" w:sz="0" w:space="0" w:color="auto"/>
                <w:bottom w:val="none" w:sz="0" w:space="0" w:color="auto"/>
                <w:right w:val="none" w:sz="0" w:space="0" w:color="auto"/>
              </w:divBdr>
            </w:div>
            <w:div w:id="1934780995">
              <w:marLeft w:val="0"/>
              <w:marRight w:val="0"/>
              <w:marTop w:val="0"/>
              <w:marBottom w:val="0"/>
              <w:divBdr>
                <w:top w:val="none" w:sz="0" w:space="0" w:color="auto"/>
                <w:left w:val="none" w:sz="0" w:space="0" w:color="auto"/>
                <w:bottom w:val="none" w:sz="0" w:space="0" w:color="auto"/>
                <w:right w:val="none" w:sz="0" w:space="0" w:color="auto"/>
              </w:divBdr>
            </w:div>
            <w:div w:id="1967153237">
              <w:marLeft w:val="0"/>
              <w:marRight w:val="0"/>
              <w:marTop w:val="0"/>
              <w:marBottom w:val="0"/>
              <w:divBdr>
                <w:top w:val="none" w:sz="0" w:space="0" w:color="auto"/>
                <w:left w:val="none" w:sz="0" w:space="0" w:color="auto"/>
                <w:bottom w:val="none" w:sz="0" w:space="0" w:color="auto"/>
                <w:right w:val="none" w:sz="0" w:space="0" w:color="auto"/>
              </w:divBdr>
            </w:div>
            <w:div w:id="2013679256">
              <w:marLeft w:val="0"/>
              <w:marRight w:val="0"/>
              <w:marTop w:val="0"/>
              <w:marBottom w:val="0"/>
              <w:divBdr>
                <w:top w:val="none" w:sz="0" w:space="0" w:color="auto"/>
                <w:left w:val="none" w:sz="0" w:space="0" w:color="auto"/>
                <w:bottom w:val="none" w:sz="0" w:space="0" w:color="auto"/>
                <w:right w:val="none" w:sz="0" w:space="0" w:color="auto"/>
              </w:divBdr>
            </w:div>
            <w:div w:id="2042823958">
              <w:marLeft w:val="0"/>
              <w:marRight w:val="0"/>
              <w:marTop w:val="0"/>
              <w:marBottom w:val="0"/>
              <w:divBdr>
                <w:top w:val="none" w:sz="0" w:space="0" w:color="auto"/>
                <w:left w:val="none" w:sz="0" w:space="0" w:color="auto"/>
                <w:bottom w:val="none" w:sz="0" w:space="0" w:color="auto"/>
                <w:right w:val="none" w:sz="0" w:space="0" w:color="auto"/>
              </w:divBdr>
            </w:div>
            <w:div w:id="2064669506">
              <w:marLeft w:val="0"/>
              <w:marRight w:val="0"/>
              <w:marTop w:val="0"/>
              <w:marBottom w:val="0"/>
              <w:divBdr>
                <w:top w:val="none" w:sz="0" w:space="0" w:color="auto"/>
                <w:left w:val="none" w:sz="0" w:space="0" w:color="auto"/>
                <w:bottom w:val="none" w:sz="0" w:space="0" w:color="auto"/>
                <w:right w:val="none" w:sz="0" w:space="0" w:color="auto"/>
              </w:divBdr>
            </w:div>
            <w:div w:id="211015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141061">
      <w:bodyDiv w:val="1"/>
      <w:marLeft w:val="0"/>
      <w:marRight w:val="0"/>
      <w:marTop w:val="0"/>
      <w:marBottom w:val="0"/>
      <w:divBdr>
        <w:top w:val="none" w:sz="0" w:space="0" w:color="auto"/>
        <w:left w:val="none" w:sz="0" w:space="0" w:color="auto"/>
        <w:bottom w:val="none" w:sz="0" w:space="0" w:color="auto"/>
        <w:right w:val="none" w:sz="0" w:space="0" w:color="auto"/>
      </w:divBdr>
    </w:div>
    <w:div w:id="1582564210">
      <w:bodyDiv w:val="1"/>
      <w:marLeft w:val="0"/>
      <w:marRight w:val="0"/>
      <w:marTop w:val="0"/>
      <w:marBottom w:val="0"/>
      <w:divBdr>
        <w:top w:val="none" w:sz="0" w:space="0" w:color="auto"/>
        <w:left w:val="none" w:sz="0" w:space="0" w:color="auto"/>
        <w:bottom w:val="none" w:sz="0" w:space="0" w:color="auto"/>
        <w:right w:val="none" w:sz="0" w:space="0" w:color="auto"/>
      </w:divBdr>
    </w:div>
    <w:div w:id="1597903773">
      <w:bodyDiv w:val="1"/>
      <w:marLeft w:val="0"/>
      <w:marRight w:val="0"/>
      <w:marTop w:val="0"/>
      <w:marBottom w:val="0"/>
      <w:divBdr>
        <w:top w:val="none" w:sz="0" w:space="0" w:color="auto"/>
        <w:left w:val="none" w:sz="0" w:space="0" w:color="auto"/>
        <w:bottom w:val="none" w:sz="0" w:space="0" w:color="auto"/>
        <w:right w:val="none" w:sz="0" w:space="0" w:color="auto"/>
      </w:divBdr>
    </w:div>
    <w:div w:id="1686519408">
      <w:bodyDiv w:val="1"/>
      <w:marLeft w:val="0"/>
      <w:marRight w:val="0"/>
      <w:marTop w:val="0"/>
      <w:marBottom w:val="0"/>
      <w:divBdr>
        <w:top w:val="none" w:sz="0" w:space="0" w:color="auto"/>
        <w:left w:val="none" w:sz="0" w:space="0" w:color="auto"/>
        <w:bottom w:val="none" w:sz="0" w:space="0" w:color="auto"/>
        <w:right w:val="none" w:sz="0" w:space="0" w:color="auto"/>
      </w:divBdr>
    </w:div>
    <w:div w:id="1730692132">
      <w:bodyDiv w:val="1"/>
      <w:marLeft w:val="0"/>
      <w:marRight w:val="0"/>
      <w:marTop w:val="0"/>
      <w:marBottom w:val="0"/>
      <w:divBdr>
        <w:top w:val="none" w:sz="0" w:space="0" w:color="auto"/>
        <w:left w:val="none" w:sz="0" w:space="0" w:color="auto"/>
        <w:bottom w:val="none" w:sz="0" w:space="0" w:color="auto"/>
        <w:right w:val="none" w:sz="0" w:space="0" w:color="auto"/>
      </w:divBdr>
    </w:div>
    <w:div w:id="1747069511">
      <w:bodyDiv w:val="1"/>
      <w:marLeft w:val="0"/>
      <w:marRight w:val="0"/>
      <w:marTop w:val="0"/>
      <w:marBottom w:val="0"/>
      <w:divBdr>
        <w:top w:val="none" w:sz="0" w:space="0" w:color="auto"/>
        <w:left w:val="none" w:sz="0" w:space="0" w:color="auto"/>
        <w:bottom w:val="none" w:sz="0" w:space="0" w:color="auto"/>
        <w:right w:val="none" w:sz="0" w:space="0" w:color="auto"/>
      </w:divBdr>
    </w:div>
    <w:div w:id="1756707155">
      <w:bodyDiv w:val="1"/>
      <w:marLeft w:val="0"/>
      <w:marRight w:val="0"/>
      <w:marTop w:val="0"/>
      <w:marBottom w:val="0"/>
      <w:divBdr>
        <w:top w:val="none" w:sz="0" w:space="0" w:color="auto"/>
        <w:left w:val="none" w:sz="0" w:space="0" w:color="auto"/>
        <w:bottom w:val="none" w:sz="0" w:space="0" w:color="auto"/>
        <w:right w:val="none" w:sz="0" w:space="0" w:color="auto"/>
      </w:divBdr>
    </w:div>
    <w:div w:id="1757172292">
      <w:bodyDiv w:val="1"/>
      <w:marLeft w:val="0"/>
      <w:marRight w:val="0"/>
      <w:marTop w:val="0"/>
      <w:marBottom w:val="0"/>
      <w:divBdr>
        <w:top w:val="none" w:sz="0" w:space="0" w:color="auto"/>
        <w:left w:val="none" w:sz="0" w:space="0" w:color="auto"/>
        <w:bottom w:val="none" w:sz="0" w:space="0" w:color="auto"/>
        <w:right w:val="none" w:sz="0" w:space="0" w:color="auto"/>
      </w:divBdr>
    </w:div>
    <w:div w:id="1881630815">
      <w:bodyDiv w:val="1"/>
      <w:marLeft w:val="0"/>
      <w:marRight w:val="0"/>
      <w:marTop w:val="0"/>
      <w:marBottom w:val="0"/>
      <w:divBdr>
        <w:top w:val="none" w:sz="0" w:space="0" w:color="auto"/>
        <w:left w:val="none" w:sz="0" w:space="0" w:color="auto"/>
        <w:bottom w:val="none" w:sz="0" w:space="0" w:color="auto"/>
        <w:right w:val="none" w:sz="0" w:space="0" w:color="auto"/>
      </w:divBdr>
    </w:div>
    <w:div w:id="1918976674">
      <w:bodyDiv w:val="1"/>
      <w:marLeft w:val="0"/>
      <w:marRight w:val="0"/>
      <w:marTop w:val="0"/>
      <w:marBottom w:val="0"/>
      <w:divBdr>
        <w:top w:val="none" w:sz="0" w:space="0" w:color="auto"/>
        <w:left w:val="none" w:sz="0" w:space="0" w:color="auto"/>
        <w:bottom w:val="none" w:sz="0" w:space="0" w:color="auto"/>
        <w:right w:val="none" w:sz="0" w:space="0" w:color="auto"/>
      </w:divBdr>
    </w:div>
    <w:div w:id="2001344191">
      <w:bodyDiv w:val="1"/>
      <w:marLeft w:val="0"/>
      <w:marRight w:val="0"/>
      <w:marTop w:val="0"/>
      <w:marBottom w:val="0"/>
      <w:divBdr>
        <w:top w:val="none" w:sz="0" w:space="0" w:color="auto"/>
        <w:left w:val="none" w:sz="0" w:space="0" w:color="auto"/>
        <w:bottom w:val="none" w:sz="0" w:space="0" w:color="auto"/>
        <w:right w:val="none" w:sz="0" w:space="0" w:color="auto"/>
      </w:divBdr>
      <w:divsChild>
        <w:div w:id="172301507">
          <w:marLeft w:val="0"/>
          <w:marRight w:val="0"/>
          <w:marTop w:val="0"/>
          <w:marBottom w:val="0"/>
          <w:divBdr>
            <w:top w:val="none" w:sz="0" w:space="0" w:color="auto"/>
            <w:left w:val="none" w:sz="0" w:space="0" w:color="auto"/>
            <w:bottom w:val="none" w:sz="0" w:space="0" w:color="auto"/>
            <w:right w:val="none" w:sz="0" w:space="0" w:color="auto"/>
          </w:divBdr>
        </w:div>
        <w:div w:id="564604307">
          <w:marLeft w:val="0"/>
          <w:marRight w:val="0"/>
          <w:marTop w:val="0"/>
          <w:marBottom w:val="0"/>
          <w:divBdr>
            <w:top w:val="none" w:sz="0" w:space="0" w:color="auto"/>
            <w:left w:val="none" w:sz="0" w:space="0" w:color="auto"/>
            <w:bottom w:val="none" w:sz="0" w:space="0" w:color="auto"/>
            <w:right w:val="none" w:sz="0" w:space="0" w:color="auto"/>
          </w:divBdr>
        </w:div>
        <w:div w:id="655915831">
          <w:marLeft w:val="0"/>
          <w:marRight w:val="0"/>
          <w:marTop w:val="0"/>
          <w:marBottom w:val="0"/>
          <w:divBdr>
            <w:top w:val="none" w:sz="0" w:space="0" w:color="auto"/>
            <w:left w:val="none" w:sz="0" w:space="0" w:color="auto"/>
            <w:bottom w:val="none" w:sz="0" w:space="0" w:color="auto"/>
            <w:right w:val="none" w:sz="0" w:space="0" w:color="auto"/>
          </w:divBdr>
        </w:div>
        <w:div w:id="858154584">
          <w:marLeft w:val="0"/>
          <w:marRight w:val="0"/>
          <w:marTop w:val="0"/>
          <w:marBottom w:val="0"/>
          <w:divBdr>
            <w:top w:val="none" w:sz="0" w:space="0" w:color="auto"/>
            <w:left w:val="none" w:sz="0" w:space="0" w:color="auto"/>
            <w:bottom w:val="none" w:sz="0" w:space="0" w:color="auto"/>
            <w:right w:val="none" w:sz="0" w:space="0" w:color="auto"/>
          </w:divBdr>
        </w:div>
        <w:div w:id="1547335793">
          <w:marLeft w:val="0"/>
          <w:marRight w:val="0"/>
          <w:marTop w:val="0"/>
          <w:marBottom w:val="0"/>
          <w:divBdr>
            <w:top w:val="none" w:sz="0" w:space="0" w:color="auto"/>
            <w:left w:val="none" w:sz="0" w:space="0" w:color="auto"/>
            <w:bottom w:val="none" w:sz="0" w:space="0" w:color="auto"/>
            <w:right w:val="none" w:sz="0" w:space="0" w:color="auto"/>
          </w:divBdr>
        </w:div>
        <w:div w:id="1839535676">
          <w:marLeft w:val="0"/>
          <w:marRight w:val="0"/>
          <w:marTop w:val="0"/>
          <w:marBottom w:val="0"/>
          <w:divBdr>
            <w:top w:val="none" w:sz="0" w:space="0" w:color="auto"/>
            <w:left w:val="none" w:sz="0" w:space="0" w:color="auto"/>
            <w:bottom w:val="none" w:sz="0" w:space="0" w:color="auto"/>
            <w:right w:val="none" w:sz="0" w:space="0" w:color="auto"/>
          </w:divBdr>
        </w:div>
        <w:div w:id="1938974251">
          <w:marLeft w:val="0"/>
          <w:marRight w:val="0"/>
          <w:marTop w:val="0"/>
          <w:marBottom w:val="0"/>
          <w:divBdr>
            <w:top w:val="none" w:sz="0" w:space="0" w:color="auto"/>
            <w:left w:val="none" w:sz="0" w:space="0" w:color="auto"/>
            <w:bottom w:val="none" w:sz="0" w:space="0" w:color="auto"/>
            <w:right w:val="none" w:sz="0" w:space="0" w:color="auto"/>
          </w:divBdr>
        </w:div>
      </w:divsChild>
    </w:div>
    <w:div w:id="2047172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eneficiaryState xmlns="e14ef0e2-0d44-4b36-b550-b52c2d58b12f">9</BeneficiaryState>
    <DocumentCategory xmlns="e14ef0e2-0d44-4b36-b550-b52c2d58b12f">73</DocumentCategory>
    <DPP xmlns="e14ef0e2-0d44-4b36-b550-b52c2d58b12f" xsi:nil="true"/>
    <ContentCategory xmlns="e14ef0e2-0d44-4b36-b550-b52c2d58b12f">284</ContentCategory>
    <ProgrammeArea xmlns="e14ef0e2-0d44-4b36-b550-b52c2d58b12f">
      <Value>40</Value>
    </ProgrammeArea>
    <RootCategory xmlns="e14ef0e2-0d44-4b36-b550-b52c2d58b12f">8</RootCategory>
    <KeywordMoU xmlns="e14ef0e2-0d44-4b36-b550-b52c2d58b12f">No keyword</KeywordMoU>
    <ProgrammeCode xmlns="e14ef0e2-0d44-4b36-b550-b52c2d58b12f">78</ProgrammeCode>
    <ProgrammeCodes xmlns="e14ef0e2-0d44-4b36-b550-b52c2d58b12f" xsi:nil="true"/>
    <Keyword_x0020_concept_x0020_note xmlns="e14ef0e2-0d44-4b36-b550-b52c2d58b12f">No keyword</Keyword_x0020_concept_x0020_note>
    <Year xmlns="e14ef0e2-0d44-4b36-b550-b52c2d58b12f">2018</Year>
  </documentManagement>
</p:properties>
</file>

<file path=customXml/item3.xml><?xml version="1.0" encoding="utf-8"?>
<ct:contentTypeSchema xmlns:ct="http://schemas.microsoft.com/office/2006/metadata/contentType" xmlns:ma="http://schemas.microsoft.com/office/2006/metadata/properties/metaAttributes" ct:_="" ma:_="" ma:contentTypeName="Standard Document" ma:contentTypeID="0x0101009A1BA2047EC6A1448C3A3272A65CBE99009F2A1AFECD4B94449B443D709935F4CA" ma:contentTypeVersion="18" ma:contentTypeDescription="" ma:contentTypeScope="" ma:versionID="9ef8e7313ec7e71db43cb5d4f9270bec">
  <xsd:schema xmlns:xsd="http://www.w3.org/2001/XMLSchema" xmlns:xs="http://www.w3.org/2001/XMLSchema" xmlns:p="http://schemas.microsoft.com/office/2006/metadata/properties" xmlns:ns2="e14ef0e2-0d44-4b36-b550-b52c2d58b12f" targetNamespace="http://schemas.microsoft.com/office/2006/metadata/properties" ma:root="true" ma:fieldsID="196f6d18fd460430ae1db16aad6bb5c2" ns2:_="">
    <xsd:import namespace="e14ef0e2-0d44-4b36-b550-b52c2d58b12f"/>
    <xsd:element name="properties">
      <xsd:complexType>
        <xsd:sequence>
          <xsd:element name="documentManagement">
            <xsd:complexType>
              <xsd:all>
                <xsd:element ref="ns2:RootCategory"/>
                <xsd:element ref="ns2:DocumentCategory"/>
                <xsd:element ref="ns2:ContentCategory"/>
                <xsd:element ref="ns2:ProgrammeArea" minOccurs="0"/>
                <xsd:element ref="ns2:BeneficiaryState"/>
                <xsd:element ref="ns2:ProgrammeCodes" minOccurs="0"/>
                <xsd:element ref="ns2:ProgrammeCode" minOccurs="0"/>
                <xsd:element ref="ns2:KeywordMoU" minOccurs="0"/>
                <xsd:element ref="ns2:Keyword_x0020_concept_x0020_note" minOccurs="0"/>
                <xsd:element ref="ns2:DPP" minOccurs="0"/>
                <xsd:element ref="ns2:ProgrammeArea_x003a_Priority_x0020_Sector" minOccurs="0"/>
                <xsd:element ref="ns2:SharedWithUsers" minOccurs="0"/>
                <xsd:element ref="ns2: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4ef0e2-0d44-4b36-b550-b52c2d58b12f" elementFormDefault="qualified">
    <xsd:import namespace="http://schemas.microsoft.com/office/2006/documentManagement/types"/>
    <xsd:import namespace="http://schemas.microsoft.com/office/infopath/2007/PartnerControls"/>
    <xsd:element name="RootCategory" ma:index="2" ma:displayName="Root Category" ma:indexed="true" ma:list="{73677b2d-c630-4636-83c0-37e7ff17694d}" ma:internalName="RootCategory" ma:readOnly="false" ma:showField="Title" ma:web="e14ef0e2-0d44-4b36-b550-b52c2d58b12f">
      <xsd:simpleType>
        <xsd:restriction base="dms:Lookup"/>
      </xsd:simpleType>
    </xsd:element>
    <xsd:element name="DocumentCategory" ma:index="3" ma:displayName="Document Category" ma:indexed="true" ma:list="{4b0cd59f-3d57-441d-9a9c-dafb53b70da0}" ma:internalName="DocumentCategory" ma:showField="Title" ma:web="e14ef0e2-0d44-4b36-b550-b52c2d58b12f">
      <xsd:simpleType>
        <xsd:restriction base="dms:Lookup"/>
      </xsd:simpleType>
    </xsd:element>
    <xsd:element name="ContentCategory" ma:index="4" ma:displayName="Content Category" ma:indexed="true" ma:list="{d8dab0ec-03e9-4751-81c3-be0f5ff11e47}" ma:internalName="ContentCategory" ma:showField="Title" ma:web="e14ef0e2-0d44-4b36-b550-b52c2d58b12f">
      <xsd:simpleType>
        <xsd:restriction base="dms:Lookup"/>
      </xsd:simpleType>
    </xsd:element>
    <xsd:element name="ProgrammeArea" ma:index="5" nillable="true" ma:displayName="Programme Area" ma:list="{7b5165ac-6e44-4689-8fcc-5e8ce120b836}" ma:internalName="ProgrammeArea" ma:readOnly="false" ma:showField="Programme_x0020_Area" ma:web="e14ef0e2-0d44-4b36-b550-b52c2d58b12f">
      <xsd:complexType>
        <xsd:complexContent>
          <xsd:extension base="dms:MultiChoiceLookup">
            <xsd:sequence>
              <xsd:element name="Value" type="dms:Lookup" maxOccurs="unbounded" minOccurs="0" nillable="true"/>
            </xsd:sequence>
          </xsd:extension>
        </xsd:complexContent>
      </xsd:complexType>
    </xsd:element>
    <xsd:element name="BeneficiaryState" ma:index="6" ma:displayName="Beneficiary State" ma:list="{346958b8-75d2-43ca-852e-479523c59083}" ma:internalName="BeneficiaryState" ma:readOnly="false" ma:showField="Title" ma:web="e14ef0e2-0d44-4b36-b550-b52c2d58b12f">
      <xsd:simpleType>
        <xsd:restriction base="dms:Lookup"/>
      </xsd:simpleType>
    </xsd:element>
    <xsd:element name="ProgrammeCodes" ma:index="7" nillable="true" ma:displayName="Programme Codes" ma:list="{975a580f-6b1a-4014-90c3-099b5db6a6c8}" ma:internalName="ProgrammeCodes" ma:showField="Title" ma:web="e14ef0e2-0d44-4b36-b550-b52c2d58b12f">
      <xsd:simpleType>
        <xsd:restriction base="dms:Unknown"/>
      </xsd:simpleType>
    </xsd:element>
    <xsd:element name="ProgrammeCode" ma:index="8" nillable="true" ma:displayName="Programme Code" ma:list="{975a580f-6b1a-4014-90c3-099b5db6a6c8}" ma:internalName="ProgrammeCode" ma:showField="Title" ma:web="e14ef0e2-0d44-4b36-b550-b52c2d58b12f">
      <xsd:simpleType>
        <xsd:restriction base="dms:Lookup"/>
      </xsd:simpleType>
    </xsd:element>
    <xsd:element name="KeywordMoU" ma:index="9" nillable="true" ma:displayName="Keyword MoU" ma:default="No keyword" ma:format="Dropdown" ma:internalName="KeywordMoU">
      <xsd:simpleType>
        <xsd:restriction base="dms:Choice">
          <xsd:enumeration value="No keyword"/>
          <xsd:enumeration value="Background documents"/>
          <xsd:enumeration value="Expert meetings and non-papers"/>
          <xsd:enumeration value="Financial tables"/>
          <xsd:enumeration value="Amendment"/>
          <xsd:enumeration value="MoU meetings"/>
          <xsd:enumeration value="MoU text"/>
          <xsd:enumeration value="FOR MIGRATION"/>
        </xsd:restriction>
      </xsd:simpleType>
    </xsd:element>
    <xsd:element name="Keyword_x0020_concept_x0020_note" ma:index="10" nillable="true" ma:displayName="Keyword concept note" ma:default="No keyword" ma:format="Dropdown" ma:internalName="Keyword_x0020_concept_x0020_note0">
      <xsd:simpleType>
        <xsd:restriction base="dms:Choice">
          <xsd:enumeration value="No keyword"/>
          <xsd:enumeration value="Background document"/>
          <xsd:enumeration value="Concept note development"/>
          <xsd:enumeration value="Implementation planning"/>
          <xsd:enumeration value="Kick-off meetings"/>
          <xsd:enumeration value="Programme planning meetings"/>
          <xsd:enumeration value="Programme strategy meetings"/>
          <xsd:enumeration value="Results framework"/>
          <xsd:enumeration value="Stakeholder consultations"/>
        </xsd:restriction>
      </xsd:simpleType>
    </xsd:element>
    <xsd:element name="DPP" ma:index="11" nillable="true" ma:displayName="DPP" ma:list="{f6bfef7e-d3b6-4f62-9791-ec30831d2ff2}" ma:internalName="DPP" ma:readOnly="false" ma:showField="Title" ma:web="e14ef0e2-0d44-4b36-b550-b52c2d58b12f">
      <xsd:simpleType>
        <xsd:restriction base="dms:Unknown"/>
      </xsd:simpleType>
    </xsd:element>
    <xsd:element name="ProgrammeArea_x003a_Priority_x0020_Sector" ma:index="12" nillable="true" ma:displayName="ProgrammeArea:Priority Sector" ma:list="{7b5165ac-6e44-4689-8fcc-5e8ce120b836}" ma:internalName="ProgrammeArea_x003A_Priority_x0020_Sector" ma:readOnly="true" ma:showField="Priority_x0020_Sector" ma:web="e14ef0e2-0d44-4b36-b550-b52c2d58b12f">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Year" ma:index="20" nillable="true" ma:displayName="Year" ma:default="2018" ma:format="Dropdown" ma:internalName="Year">
      <xsd:simpleType>
        <xsd:restriction base="dms:Choice">
          <xsd:enumeration value="2019"/>
          <xsd:enumeration value="2018"/>
          <xsd:enumeration value="2017"/>
          <xsd:enumeration value="2016"/>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E237BF-99B7-4E48-BCD0-B327F29DD780}">
  <ds:schemaRefs>
    <ds:schemaRef ds:uri="http://schemas.microsoft.com/sharepoint/v3/contenttype/forms"/>
  </ds:schemaRefs>
</ds:datastoreItem>
</file>

<file path=customXml/itemProps2.xml><?xml version="1.0" encoding="utf-8"?>
<ds:datastoreItem xmlns:ds="http://schemas.openxmlformats.org/officeDocument/2006/customXml" ds:itemID="{C61BF32E-2488-46F5-80B1-274919C4BBD1}">
  <ds:schemaRefs>
    <ds:schemaRef ds:uri="http://schemas.microsoft.com/office/2006/metadata/properties"/>
    <ds:schemaRef ds:uri="http://schemas.microsoft.com/office/infopath/2007/PartnerControls"/>
    <ds:schemaRef ds:uri="e14ef0e2-0d44-4b36-b550-b52c2d58b12f"/>
  </ds:schemaRefs>
</ds:datastoreItem>
</file>

<file path=customXml/itemProps3.xml><?xml version="1.0" encoding="utf-8"?>
<ds:datastoreItem xmlns:ds="http://schemas.openxmlformats.org/officeDocument/2006/customXml" ds:itemID="{BF178F04-21B6-460C-AD1B-923658723D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4ef0e2-0d44-4b36-b550-b52c2d58b1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27857F-789B-4E0A-856F-C6C8819A4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31143</Words>
  <Characters>17752</Characters>
  <Application>Microsoft Office Word</Application>
  <DocSecurity>0</DocSecurity>
  <Lines>147</Lines>
  <Paragraphs>97</Paragraphs>
  <ScaleCrop>false</ScaleCrop>
  <HeadingPairs>
    <vt:vector size="8" baseType="variant">
      <vt:variant>
        <vt:lpstr>Title</vt:lpstr>
      </vt:variant>
      <vt:variant>
        <vt:i4>1</vt:i4>
      </vt:variant>
      <vt:variant>
        <vt:lpstr>Nosaukums</vt:lpstr>
      </vt:variant>
      <vt:variant>
        <vt:i4>1</vt:i4>
      </vt:variant>
      <vt:variant>
        <vt:lpstr>Pealkiri</vt:lpstr>
      </vt:variant>
      <vt:variant>
        <vt:i4>1</vt:i4>
      </vt:variant>
      <vt:variant>
        <vt:lpstr>Tittel</vt:lpstr>
      </vt:variant>
      <vt:variant>
        <vt:i4>1</vt:i4>
      </vt:variant>
    </vt:vector>
  </HeadingPairs>
  <TitlesOfParts>
    <vt:vector size="4" baseType="lpstr">
      <vt:lpstr/>
      <vt:lpstr/>
      <vt:lpstr/>
      <vt:lpstr/>
    </vt:vector>
  </TitlesOfParts>
  <Company/>
  <LinksUpToDate>false</LinksUpToDate>
  <CharactersWithSpaces>48798</CharactersWithSpaces>
  <SharedDoc>false</SharedDoc>
  <HLinks>
    <vt:vector size="270" baseType="variant">
      <vt:variant>
        <vt:i4>4718619</vt:i4>
      </vt:variant>
      <vt:variant>
        <vt:i4>264</vt:i4>
      </vt:variant>
      <vt:variant>
        <vt:i4>0</vt:i4>
      </vt:variant>
      <vt:variant>
        <vt:i4>5</vt:i4>
      </vt:variant>
      <vt:variant>
        <vt:lpwstr>http://www.eeagrants.org/</vt:lpwstr>
      </vt:variant>
      <vt:variant>
        <vt:lpwstr/>
      </vt:variant>
      <vt:variant>
        <vt:i4>5046388</vt:i4>
      </vt:variant>
      <vt:variant>
        <vt:i4>261</vt:i4>
      </vt:variant>
      <vt:variant>
        <vt:i4>0</vt:i4>
      </vt:variant>
      <vt:variant>
        <vt:i4>5</vt:i4>
      </vt:variant>
      <vt:variant>
        <vt:lpwstr>mailto:reporting@efta.int</vt:lpwstr>
      </vt:variant>
      <vt:variant>
        <vt:lpwstr/>
      </vt:variant>
      <vt:variant>
        <vt:i4>1638457</vt:i4>
      </vt:variant>
      <vt:variant>
        <vt:i4>254</vt:i4>
      </vt:variant>
      <vt:variant>
        <vt:i4>0</vt:i4>
      </vt:variant>
      <vt:variant>
        <vt:i4>5</vt:i4>
      </vt:variant>
      <vt:variant>
        <vt:lpwstr/>
      </vt:variant>
      <vt:variant>
        <vt:lpwstr>_Toc314572980</vt:lpwstr>
      </vt:variant>
      <vt:variant>
        <vt:i4>1441849</vt:i4>
      </vt:variant>
      <vt:variant>
        <vt:i4>248</vt:i4>
      </vt:variant>
      <vt:variant>
        <vt:i4>0</vt:i4>
      </vt:variant>
      <vt:variant>
        <vt:i4>5</vt:i4>
      </vt:variant>
      <vt:variant>
        <vt:lpwstr/>
      </vt:variant>
      <vt:variant>
        <vt:lpwstr>_Toc314572979</vt:lpwstr>
      </vt:variant>
      <vt:variant>
        <vt:i4>1441849</vt:i4>
      </vt:variant>
      <vt:variant>
        <vt:i4>242</vt:i4>
      </vt:variant>
      <vt:variant>
        <vt:i4>0</vt:i4>
      </vt:variant>
      <vt:variant>
        <vt:i4>5</vt:i4>
      </vt:variant>
      <vt:variant>
        <vt:lpwstr/>
      </vt:variant>
      <vt:variant>
        <vt:lpwstr>_Toc314572978</vt:lpwstr>
      </vt:variant>
      <vt:variant>
        <vt:i4>1441849</vt:i4>
      </vt:variant>
      <vt:variant>
        <vt:i4>236</vt:i4>
      </vt:variant>
      <vt:variant>
        <vt:i4>0</vt:i4>
      </vt:variant>
      <vt:variant>
        <vt:i4>5</vt:i4>
      </vt:variant>
      <vt:variant>
        <vt:lpwstr/>
      </vt:variant>
      <vt:variant>
        <vt:lpwstr>_Toc314572977</vt:lpwstr>
      </vt:variant>
      <vt:variant>
        <vt:i4>1441849</vt:i4>
      </vt:variant>
      <vt:variant>
        <vt:i4>230</vt:i4>
      </vt:variant>
      <vt:variant>
        <vt:i4>0</vt:i4>
      </vt:variant>
      <vt:variant>
        <vt:i4>5</vt:i4>
      </vt:variant>
      <vt:variant>
        <vt:lpwstr/>
      </vt:variant>
      <vt:variant>
        <vt:lpwstr>_Toc314572976</vt:lpwstr>
      </vt:variant>
      <vt:variant>
        <vt:i4>1441849</vt:i4>
      </vt:variant>
      <vt:variant>
        <vt:i4>224</vt:i4>
      </vt:variant>
      <vt:variant>
        <vt:i4>0</vt:i4>
      </vt:variant>
      <vt:variant>
        <vt:i4>5</vt:i4>
      </vt:variant>
      <vt:variant>
        <vt:lpwstr/>
      </vt:variant>
      <vt:variant>
        <vt:lpwstr>_Toc314572975</vt:lpwstr>
      </vt:variant>
      <vt:variant>
        <vt:i4>1441849</vt:i4>
      </vt:variant>
      <vt:variant>
        <vt:i4>218</vt:i4>
      </vt:variant>
      <vt:variant>
        <vt:i4>0</vt:i4>
      </vt:variant>
      <vt:variant>
        <vt:i4>5</vt:i4>
      </vt:variant>
      <vt:variant>
        <vt:lpwstr/>
      </vt:variant>
      <vt:variant>
        <vt:lpwstr>_Toc314572974</vt:lpwstr>
      </vt:variant>
      <vt:variant>
        <vt:i4>1441849</vt:i4>
      </vt:variant>
      <vt:variant>
        <vt:i4>212</vt:i4>
      </vt:variant>
      <vt:variant>
        <vt:i4>0</vt:i4>
      </vt:variant>
      <vt:variant>
        <vt:i4>5</vt:i4>
      </vt:variant>
      <vt:variant>
        <vt:lpwstr/>
      </vt:variant>
      <vt:variant>
        <vt:lpwstr>_Toc314572973</vt:lpwstr>
      </vt:variant>
      <vt:variant>
        <vt:i4>1441849</vt:i4>
      </vt:variant>
      <vt:variant>
        <vt:i4>206</vt:i4>
      </vt:variant>
      <vt:variant>
        <vt:i4>0</vt:i4>
      </vt:variant>
      <vt:variant>
        <vt:i4>5</vt:i4>
      </vt:variant>
      <vt:variant>
        <vt:lpwstr/>
      </vt:variant>
      <vt:variant>
        <vt:lpwstr>_Toc314572972</vt:lpwstr>
      </vt:variant>
      <vt:variant>
        <vt:i4>1441849</vt:i4>
      </vt:variant>
      <vt:variant>
        <vt:i4>200</vt:i4>
      </vt:variant>
      <vt:variant>
        <vt:i4>0</vt:i4>
      </vt:variant>
      <vt:variant>
        <vt:i4>5</vt:i4>
      </vt:variant>
      <vt:variant>
        <vt:lpwstr/>
      </vt:variant>
      <vt:variant>
        <vt:lpwstr>_Toc314572971</vt:lpwstr>
      </vt:variant>
      <vt:variant>
        <vt:i4>1441849</vt:i4>
      </vt:variant>
      <vt:variant>
        <vt:i4>194</vt:i4>
      </vt:variant>
      <vt:variant>
        <vt:i4>0</vt:i4>
      </vt:variant>
      <vt:variant>
        <vt:i4>5</vt:i4>
      </vt:variant>
      <vt:variant>
        <vt:lpwstr/>
      </vt:variant>
      <vt:variant>
        <vt:lpwstr>_Toc314572970</vt:lpwstr>
      </vt:variant>
      <vt:variant>
        <vt:i4>1507385</vt:i4>
      </vt:variant>
      <vt:variant>
        <vt:i4>188</vt:i4>
      </vt:variant>
      <vt:variant>
        <vt:i4>0</vt:i4>
      </vt:variant>
      <vt:variant>
        <vt:i4>5</vt:i4>
      </vt:variant>
      <vt:variant>
        <vt:lpwstr/>
      </vt:variant>
      <vt:variant>
        <vt:lpwstr>_Toc314572969</vt:lpwstr>
      </vt:variant>
      <vt:variant>
        <vt:i4>1507385</vt:i4>
      </vt:variant>
      <vt:variant>
        <vt:i4>182</vt:i4>
      </vt:variant>
      <vt:variant>
        <vt:i4>0</vt:i4>
      </vt:variant>
      <vt:variant>
        <vt:i4>5</vt:i4>
      </vt:variant>
      <vt:variant>
        <vt:lpwstr/>
      </vt:variant>
      <vt:variant>
        <vt:lpwstr>_Toc314572968</vt:lpwstr>
      </vt:variant>
      <vt:variant>
        <vt:i4>1507385</vt:i4>
      </vt:variant>
      <vt:variant>
        <vt:i4>176</vt:i4>
      </vt:variant>
      <vt:variant>
        <vt:i4>0</vt:i4>
      </vt:variant>
      <vt:variant>
        <vt:i4>5</vt:i4>
      </vt:variant>
      <vt:variant>
        <vt:lpwstr/>
      </vt:variant>
      <vt:variant>
        <vt:lpwstr>_Toc314572967</vt:lpwstr>
      </vt:variant>
      <vt:variant>
        <vt:i4>1507385</vt:i4>
      </vt:variant>
      <vt:variant>
        <vt:i4>170</vt:i4>
      </vt:variant>
      <vt:variant>
        <vt:i4>0</vt:i4>
      </vt:variant>
      <vt:variant>
        <vt:i4>5</vt:i4>
      </vt:variant>
      <vt:variant>
        <vt:lpwstr/>
      </vt:variant>
      <vt:variant>
        <vt:lpwstr>_Toc314572966</vt:lpwstr>
      </vt:variant>
      <vt:variant>
        <vt:i4>1507385</vt:i4>
      </vt:variant>
      <vt:variant>
        <vt:i4>164</vt:i4>
      </vt:variant>
      <vt:variant>
        <vt:i4>0</vt:i4>
      </vt:variant>
      <vt:variant>
        <vt:i4>5</vt:i4>
      </vt:variant>
      <vt:variant>
        <vt:lpwstr/>
      </vt:variant>
      <vt:variant>
        <vt:lpwstr>_Toc314572965</vt:lpwstr>
      </vt:variant>
      <vt:variant>
        <vt:i4>1507385</vt:i4>
      </vt:variant>
      <vt:variant>
        <vt:i4>158</vt:i4>
      </vt:variant>
      <vt:variant>
        <vt:i4>0</vt:i4>
      </vt:variant>
      <vt:variant>
        <vt:i4>5</vt:i4>
      </vt:variant>
      <vt:variant>
        <vt:lpwstr/>
      </vt:variant>
      <vt:variant>
        <vt:lpwstr>_Toc314572964</vt:lpwstr>
      </vt:variant>
      <vt:variant>
        <vt:i4>1507385</vt:i4>
      </vt:variant>
      <vt:variant>
        <vt:i4>152</vt:i4>
      </vt:variant>
      <vt:variant>
        <vt:i4>0</vt:i4>
      </vt:variant>
      <vt:variant>
        <vt:i4>5</vt:i4>
      </vt:variant>
      <vt:variant>
        <vt:lpwstr/>
      </vt:variant>
      <vt:variant>
        <vt:lpwstr>_Toc314572963</vt:lpwstr>
      </vt:variant>
      <vt:variant>
        <vt:i4>1507385</vt:i4>
      </vt:variant>
      <vt:variant>
        <vt:i4>146</vt:i4>
      </vt:variant>
      <vt:variant>
        <vt:i4>0</vt:i4>
      </vt:variant>
      <vt:variant>
        <vt:i4>5</vt:i4>
      </vt:variant>
      <vt:variant>
        <vt:lpwstr/>
      </vt:variant>
      <vt:variant>
        <vt:lpwstr>_Toc314572962</vt:lpwstr>
      </vt:variant>
      <vt:variant>
        <vt:i4>1507385</vt:i4>
      </vt:variant>
      <vt:variant>
        <vt:i4>140</vt:i4>
      </vt:variant>
      <vt:variant>
        <vt:i4>0</vt:i4>
      </vt:variant>
      <vt:variant>
        <vt:i4>5</vt:i4>
      </vt:variant>
      <vt:variant>
        <vt:lpwstr/>
      </vt:variant>
      <vt:variant>
        <vt:lpwstr>_Toc314572961</vt:lpwstr>
      </vt:variant>
      <vt:variant>
        <vt:i4>1507385</vt:i4>
      </vt:variant>
      <vt:variant>
        <vt:i4>134</vt:i4>
      </vt:variant>
      <vt:variant>
        <vt:i4>0</vt:i4>
      </vt:variant>
      <vt:variant>
        <vt:i4>5</vt:i4>
      </vt:variant>
      <vt:variant>
        <vt:lpwstr/>
      </vt:variant>
      <vt:variant>
        <vt:lpwstr>_Toc314572960</vt:lpwstr>
      </vt:variant>
      <vt:variant>
        <vt:i4>1310777</vt:i4>
      </vt:variant>
      <vt:variant>
        <vt:i4>128</vt:i4>
      </vt:variant>
      <vt:variant>
        <vt:i4>0</vt:i4>
      </vt:variant>
      <vt:variant>
        <vt:i4>5</vt:i4>
      </vt:variant>
      <vt:variant>
        <vt:lpwstr/>
      </vt:variant>
      <vt:variant>
        <vt:lpwstr>_Toc314572959</vt:lpwstr>
      </vt:variant>
      <vt:variant>
        <vt:i4>1310777</vt:i4>
      </vt:variant>
      <vt:variant>
        <vt:i4>122</vt:i4>
      </vt:variant>
      <vt:variant>
        <vt:i4>0</vt:i4>
      </vt:variant>
      <vt:variant>
        <vt:i4>5</vt:i4>
      </vt:variant>
      <vt:variant>
        <vt:lpwstr/>
      </vt:variant>
      <vt:variant>
        <vt:lpwstr>_Toc314572957</vt:lpwstr>
      </vt:variant>
      <vt:variant>
        <vt:i4>1310777</vt:i4>
      </vt:variant>
      <vt:variant>
        <vt:i4>116</vt:i4>
      </vt:variant>
      <vt:variant>
        <vt:i4>0</vt:i4>
      </vt:variant>
      <vt:variant>
        <vt:i4>5</vt:i4>
      </vt:variant>
      <vt:variant>
        <vt:lpwstr/>
      </vt:variant>
      <vt:variant>
        <vt:lpwstr>_Toc314572956</vt:lpwstr>
      </vt:variant>
      <vt:variant>
        <vt:i4>1310777</vt:i4>
      </vt:variant>
      <vt:variant>
        <vt:i4>110</vt:i4>
      </vt:variant>
      <vt:variant>
        <vt:i4>0</vt:i4>
      </vt:variant>
      <vt:variant>
        <vt:i4>5</vt:i4>
      </vt:variant>
      <vt:variant>
        <vt:lpwstr/>
      </vt:variant>
      <vt:variant>
        <vt:lpwstr>_Toc314572955</vt:lpwstr>
      </vt:variant>
      <vt:variant>
        <vt:i4>1310777</vt:i4>
      </vt:variant>
      <vt:variant>
        <vt:i4>104</vt:i4>
      </vt:variant>
      <vt:variant>
        <vt:i4>0</vt:i4>
      </vt:variant>
      <vt:variant>
        <vt:i4>5</vt:i4>
      </vt:variant>
      <vt:variant>
        <vt:lpwstr/>
      </vt:variant>
      <vt:variant>
        <vt:lpwstr>_Toc314572954</vt:lpwstr>
      </vt:variant>
      <vt:variant>
        <vt:i4>1310777</vt:i4>
      </vt:variant>
      <vt:variant>
        <vt:i4>98</vt:i4>
      </vt:variant>
      <vt:variant>
        <vt:i4>0</vt:i4>
      </vt:variant>
      <vt:variant>
        <vt:i4>5</vt:i4>
      </vt:variant>
      <vt:variant>
        <vt:lpwstr/>
      </vt:variant>
      <vt:variant>
        <vt:lpwstr>_Toc314572953</vt:lpwstr>
      </vt:variant>
      <vt:variant>
        <vt:i4>1310777</vt:i4>
      </vt:variant>
      <vt:variant>
        <vt:i4>92</vt:i4>
      </vt:variant>
      <vt:variant>
        <vt:i4>0</vt:i4>
      </vt:variant>
      <vt:variant>
        <vt:i4>5</vt:i4>
      </vt:variant>
      <vt:variant>
        <vt:lpwstr/>
      </vt:variant>
      <vt:variant>
        <vt:lpwstr>_Toc314572952</vt:lpwstr>
      </vt:variant>
      <vt:variant>
        <vt:i4>1310777</vt:i4>
      </vt:variant>
      <vt:variant>
        <vt:i4>86</vt:i4>
      </vt:variant>
      <vt:variant>
        <vt:i4>0</vt:i4>
      </vt:variant>
      <vt:variant>
        <vt:i4>5</vt:i4>
      </vt:variant>
      <vt:variant>
        <vt:lpwstr/>
      </vt:variant>
      <vt:variant>
        <vt:lpwstr>_Toc314572951</vt:lpwstr>
      </vt:variant>
      <vt:variant>
        <vt:i4>1310777</vt:i4>
      </vt:variant>
      <vt:variant>
        <vt:i4>80</vt:i4>
      </vt:variant>
      <vt:variant>
        <vt:i4>0</vt:i4>
      </vt:variant>
      <vt:variant>
        <vt:i4>5</vt:i4>
      </vt:variant>
      <vt:variant>
        <vt:lpwstr/>
      </vt:variant>
      <vt:variant>
        <vt:lpwstr>_Toc314572950</vt:lpwstr>
      </vt:variant>
      <vt:variant>
        <vt:i4>1376313</vt:i4>
      </vt:variant>
      <vt:variant>
        <vt:i4>74</vt:i4>
      </vt:variant>
      <vt:variant>
        <vt:i4>0</vt:i4>
      </vt:variant>
      <vt:variant>
        <vt:i4>5</vt:i4>
      </vt:variant>
      <vt:variant>
        <vt:lpwstr/>
      </vt:variant>
      <vt:variant>
        <vt:lpwstr>_Toc314572949</vt:lpwstr>
      </vt:variant>
      <vt:variant>
        <vt:i4>1376313</vt:i4>
      </vt:variant>
      <vt:variant>
        <vt:i4>68</vt:i4>
      </vt:variant>
      <vt:variant>
        <vt:i4>0</vt:i4>
      </vt:variant>
      <vt:variant>
        <vt:i4>5</vt:i4>
      </vt:variant>
      <vt:variant>
        <vt:lpwstr/>
      </vt:variant>
      <vt:variant>
        <vt:lpwstr>_Toc314572948</vt:lpwstr>
      </vt:variant>
      <vt:variant>
        <vt:i4>1376313</vt:i4>
      </vt:variant>
      <vt:variant>
        <vt:i4>62</vt:i4>
      </vt:variant>
      <vt:variant>
        <vt:i4>0</vt:i4>
      </vt:variant>
      <vt:variant>
        <vt:i4>5</vt:i4>
      </vt:variant>
      <vt:variant>
        <vt:lpwstr/>
      </vt:variant>
      <vt:variant>
        <vt:lpwstr>_Toc314572947</vt:lpwstr>
      </vt:variant>
      <vt:variant>
        <vt:i4>1376313</vt:i4>
      </vt:variant>
      <vt:variant>
        <vt:i4>56</vt:i4>
      </vt:variant>
      <vt:variant>
        <vt:i4>0</vt:i4>
      </vt:variant>
      <vt:variant>
        <vt:i4>5</vt:i4>
      </vt:variant>
      <vt:variant>
        <vt:lpwstr/>
      </vt:variant>
      <vt:variant>
        <vt:lpwstr>_Toc314572946</vt:lpwstr>
      </vt:variant>
      <vt:variant>
        <vt:i4>1376313</vt:i4>
      </vt:variant>
      <vt:variant>
        <vt:i4>50</vt:i4>
      </vt:variant>
      <vt:variant>
        <vt:i4>0</vt:i4>
      </vt:variant>
      <vt:variant>
        <vt:i4>5</vt:i4>
      </vt:variant>
      <vt:variant>
        <vt:lpwstr/>
      </vt:variant>
      <vt:variant>
        <vt:lpwstr>_Toc314572945</vt:lpwstr>
      </vt:variant>
      <vt:variant>
        <vt:i4>1376313</vt:i4>
      </vt:variant>
      <vt:variant>
        <vt:i4>44</vt:i4>
      </vt:variant>
      <vt:variant>
        <vt:i4>0</vt:i4>
      </vt:variant>
      <vt:variant>
        <vt:i4>5</vt:i4>
      </vt:variant>
      <vt:variant>
        <vt:lpwstr/>
      </vt:variant>
      <vt:variant>
        <vt:lpwstr>_Toc314572944</vt:lpwstr>
      </vt:variant>
      <vt:variant>
        <vt:i4>1376313</vt:i4>
      </vt:variant>
      <vt:variant>
        <vt:i4>38</vt:i4>
      </vt:variant>
      <vt:variant>
        <vt:i4>0</vt:i4>
      </vt:variant>
      <vt:variant>
        <vt:i4>5</vt:i4>
      </vt:variant>
      <vt:variant>
        <vt:lpwstr/>
      </vt:variant>
      <vt:variant>
        <vt:lpwstr>_Toc314572943</vt:lpwstr>
      </vt:variant>
      <vt:variant>
        <vt:i4>1376313</vt:i4>
      </vt:variant>
      <vt:variant>
        <vt:i4>32</vt:i4>
      </vt:variant>
      <vt:variant>
        <vt:i4>0</vt:i4>
      </vt:variant>
      <vt:variant>
        <vt:i4>5</vt:i4>
      </vt:variant>
      <vt:variant>
        <vt:lpwstr/>
      </vt:variant>
      <vt:variant>
        <vt:lpwstr>_Toc314572942</vt:lpwstr>
      </vt:variant>
      <vt:variant>
        <vt:i4>1376313</vt:i4>
      </vt:variant>
      <vt:variant>
        <vt:i4>26</vt:i4>
      </vt:variant>
      <vt:variant>
        <vt:i4>0</vt:i4>
      </vt:variant>
      <vt:variant>
        <vt:i4>5</vt:i4>
      </vt:variant>
      <vt:variant>
        <vt:lpwstr/>
      </vt:variant>
      <vt:variant>
        <vt:lpwstr>_Toc314572941</vt:lpwstr>
      </vt:variant>
      <vt:variant>
        <vt:i4>1376313</vt:i4>
      </vt:variant>
      <vt:variant>
        <vt:i4>20</vt:i4>
      </vt:variant>
      <vt:variant>
        <vt:i4>0</vt:i4>
      </vt:variant>
      <vt:variant>
        <vt:i4>5</vt:i4>
      </vt:variant>
      <vt:variant>
        <vt:lpwstr/>
      </vt:variant>
      <vt:variant>
        <vt:lpwstr>_Toc314572940</vt:lpwstr>
      </vt:variant>
      <vt:variant>
        <vt:i4>1179705</vt:i4>
      </vt:variant>
      <vt:variant>
        <vt:i4>14</vt:i4>
      </vt:variant>
      <vt:variant>
        <vt:i4>0</vt:i4>
      </vt:variant>
      <vt:variant>
        <vt:i4>5</vt:i4>
      </vt:variant>
      <vt:variant>
        <vt:lpwstr/>
      </vt:variant>
      <vt:variant>
        <vt:lpwstr>_Toc314572939</vt:lpwstr>
      </vt:variant>
      <vt:variant>
        <vt:i4>1179705</vt:i4>
      </vt:variant>
      <vt:variant>
        <vt:i4>8</vt:i4>
      </vt:variant>
      <vt:variant>
        <vt:i4>0</vt:i4>
      </vt:variant>
      <vt:variant>
        <vt:i4>5</vt:i4>
      </vt:variant>
      <vt:variant>
        <vt:lpwstr/>
      </vt:variant>
      <vt:variant>
        <vt:lpwstr>_Toc314572938</vt:lpwstr>
      </vt:variant>
      <vt:variant>
        <vt:i4>1179705</vt:i4>
      </vt:variant>
      <vt:variant>
        <vt:i4>2</vt:i4>
      </vt:variant>
      <vt:variant>
        <vt:i4>0</vt:i4>
      </vt:variant>
      <vt:variant>
        <vt:i4>5</vt:i4>
      </vt:variant>
      <vt:variant>
        <vt:lpwstr/>
      </vt:variant>
      <vt:variant>
        <vt:lpwstr>_Toc314572937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CLAVIEZ Cecilie</dc:creator>
  <cp:keywords/>
  <dc:description/>
  <cp:lastModifiedBy>Anita Depkovska</cp:lastModifiedBy>
  <cp:revision>2</cp:revision>
  <cp:lastPrinted>2019-01-14T07:17:00Z</cp:lastPrinted>
  <dcterms:created xsi:type="dcterms:W3CDTF">2020-03-06T12:25:00Z</dcterms:created>
  <dcterms:modified xsi:type="dcterms:W3CDTF">2020-03-06T12:25:00Z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0x0101009A1BA2047EC6A1448C3A3272A65CBE99009F2A1AFECD4B94449B443D709935F4CA</vt:lpwstr>
  </property>
  <property fmtid="{D5CDD505-2E9C-101B-9397-08002B2CF9AE}" pid="3" name="BeneficiaryState">
    <vt:lpwstr>9</vt:lpwstr>
  </property>
  <property fmtid="{D5CDD505-2E9C-101B-9397-08002B2CF9AE}" pid="4" name="DocumentCategory">
    <vt:lpwstr>73</vt:lpwstr>
  </property>
  <property fmtid="{D5CDD505-2E9C-101B-9397-08002B2CF9AE}" pid="5" name="DPP">
    <vt:lpwstr/>
  </property>
  <property fmtid="{D5CDD505-2E9C-101B-9397-08002B2CF9AE}" pid="6" name="ContentCategory">
    <vt:lpwstr>284</vt:lpwstr>
  </property>
  <property fmtid="{D5CDD505-2E9C-101B-9397-08002B2CF9AE}" pid="7" name="ProgrammeArea">
    <vt:lpwstr>40;#</vt:lpwstr>
  </property>
  <property fmtid="{D5CDD505-2E9C-101B-9397-08002B2CF9AE}" pid="8" name="RootCategory">
    <vt:lpwstr>8</vt:lpwstr>
  </property>
  <property fmtid="{D5CDD505-2E9C-101B-9397-08002B2CF9AE}" pid="9" name="KeywordMoU">
    <vt:lpwstr>No keyword</vt:lpwstr>
  </property>
  <property fmtid="{D5CDD505-2E9C-101B-9397-08002B2CF9AE}" pid="10" name="ProgrammeCode">
    <vt:lpwstr>78</vt:lpwstr>
  </property>
  <property fmtid="{D5CDD505-2E9C-101B-9397-08002B2CF9AE}" pid="11" name="ProgrammeCodes">
    <vt:lpwstr/>
  </property>
  <property fmtid="{D5CDD505-2E9C-101B-9397-08002B2CF9AE}" pid="12" name="Keyword concept note0">
    <vt:lpwstr>No keyword</vt:lpwstr>
  </property>
  <property fmtid="{D5CDD505-2E9C-101B-9397-08002B2CF9AE}" pid="13" name="Year">
    <vt:lpwstr>2018</vt:lpwstr>
  </property>
</Properties>
</file>