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378B0" w:rsidR="00513461" w:rsidP="00DD48AB" w:rsidRDefault="00513461">
      <w:pPr>
        <w:pStyle w:val="naisf"/>
        <w:spacing w:before="0" w:after="0"/>
        <w:ind w:firstLine="0"/>
        <w:jc w:val="center"/>
        <w:rPr>
          <w:b/>
          <w:bCs/>
          <w:sz w:val="22"/>
          <w:szCs w:val="22"/>
        </w:rPr>
      </w:pPr>
      <w:r w:rsidRPr="008378B0">
        <w:rPr>
          <w:b/>
          <w:bCs/>
          <w:sz w:val="22"/>
          <w:szCs w:val="22"/>
        </w:rPr>
        <w:t>Izziņa par atzinumos sniegtajiem iebildumiem</w:t>
      </w:r>
    </w:p>
    <w:p w:rsidRPr="008378B0" w:rsidR="00F37CAA" w:rsidP="00F37CAA" w:rsidRDefault="00F37CAA">
      <w:pPr>
        <w:jc w:val="center"/>
        <w:rPr>
          <w:b/>
          <w:iCs/>
          <w:sz w:val="22"/>
          <w:szCs w:val="22"/>
        </w:rPr>
      </w:pPr>
      <w:r w:rsidRPr="008378B0">
        <w:rPr>
          <w:b/>
          <w:iCs/>
          <w:sz w:val="22"/>
          <w:szCs w:val="22"/>
        </w:rPr>
        <w:t xml:space="preserve">par </w:t>
      </w:r>
      <w:r w:rsidR="008378B0">
        <w:rPr>
          <w:b/>
          <w:iCs/>
          <w:sz w:val="22"/>
          <w:szCs w:val="22"/>
        </w:rPr>
        <w:t>informatīvo ziņojumu „</w:t>
      </w:r>
      <w:r w:rsidRPr="008378B0">
        <w:rPr>
          <w:b/>
          <w:iCs/>
          <w:sz w:val="22"/>
          <w:szCs w:val="22"/>
        </w:rPr>
        <w:t xml:space="preserve">Par atbalsta risinājumiem Covid-19 krīzes radīto negatīvo </w:t>
      </w:r>
      <w:r w:rsidR="008378B0">
        <w:rPr>
          <w:b/>
          <w:iCs/>
          <w:sz w:val="22"/>
          <w:szCs w:val="22"/>
        </w:rPr>
        <w:t>seku mazināšanai mediju nozarei”</w:t>
      </w:r>
    </w:p>
    <w:p w:rsidRPr="008378B0" w:rsidR="00513461" w:rsidP="00DD48AB" w:rsidRDefault="00513461">
      <w:pPr>
        <w:pStyle w:val="naisf"/>
        <w:spacing w:before="0" w:after="0"/>
        <w:ind w:firstLine="0"/>
        <w:rPr>
          <w:b/>
          <w:sz w:val="22"/>
          <w:szCs w:val="22"/>
        </w:rPr>
      </w:pPr>
    </w:p>
    <w:p w:rsidRPr="008378B0" w:rsidR="001B26F0" w:rsidP="00DD48AB" w:rsidRDefault="001B26F0">
      <w:pPr>
        <w:pStyle w:val="naisf"/>
        <w:spacing w:before="0" w:after="0"/>
        <w:ind w:firstLine="0"/>
        <w:jc w:val="center"/>
        <w:rPr>
          <w:b/>
          <w:sz w:val="22"/>
          <w:szCs w:val="22"/>
        </w:rPr>
      </w:pPr>
      <w:r w:rsidRPr="008378B0">
        <w:rPr>
          <w:b/>
          <w:sz w:val="22"/>
          <w:szCs w:val="22"/>
        </w:rPr>
        <w:t>I. Jautājumi, par kuriem saskaņošanā vienošanās nav panākta</w:t>
      </w:r>
    </w:p>
    <w:p w:rsidRPr="008378B0" w:rsidR="001B26F0" w:rsidP="00DD48AB"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8378B0"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8378B0" w:rsidR="001B26F0" w:rsidP="00DD48AB" w:rsidRDefault="001B26F0">
            <w:pPr>
              <w:pStyle w:val="naisc"/>
              <w:spacing w:before="0" w:after="0"/>
            </w:pPr>
            <w:r w:rsidRPr="008378B0">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8378B0" w:rsidR="001B26F0" w:rsidP="00DD48AB" w:rsidRDefault="001B26F0">
            <w:pPr>
              <w:pStyle w:val="naisc"/>
              <w:spacing w:before="0" w:after="0"/>
              <w:ind w:firstLine="12"/>
            </w:pPr>
            <w:r w:rsidRPr="008378B0">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8378B0" w:rsidR="001B26F0" w:rsidP="00DD48AB" w:rsidRDefault="001B26F0">
            <w:pPr>
              <w:pStyle w:val="naisc"/>
              <w:spacing w:before="0" w:after="0"/>
              <w:ind w:right="3"/>
            </w:pPr>
            <w:r w:rsidRPr="008378B0">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8378B0" w:rsidR="001B26F0" w:rsidP="00DD48AB" w:rsidRDefault="001B26F0">
            <w:pPr>
              <w:pStyle w:val="naisc"/>
              <w:spacing w:before="0" w:after="0"/>
              <w:ind w:firstLine="21"/>
            </w:pPr>
            <w:r w:rsidRPr="008378B0">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8378B0" w:rsidR="001B26F0" w:rsidP="00DD48AB" w:rsidRDefault="001B26F0">
            <w:pPr>
              <w:jc w:val="center"/>
            </w:pPr>
            <w:r w:rsidRPr="008378B0">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8378B0" w:rsidR="001B26F0" w:rsidP="00DD48AB" w:rsidRDefault="001B26F0">
            <w:pPr>
              <w:jc w:val="center"/>
            </w:pPr>
            <w:r w:rsidRPr="008378B0">
              <w:rPr>
                <w:sz w:val="22"/>
                <w:szCs w:val="22"/>
              </w:rPr>
              <w:t>Projekta attiecīgā punkta (panta) galīgā redakcija</w:t>
            </w:r>
          </w:p>
        </w:tc>
      </w:tr>
      <w:tr w:rsidRPr="008378B0"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8378B0" w:rsidR="00513461" w:rsidP="00DD48AB" w:rsidRDefault="00513461">
            <w:pPr>
              <w:pStyle w:val="naisc"/>
              <w:spacing w:before="0" w:after="0"/>
            </w:pPr>
            <w:r w:rsidRPr="008378B0">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8378B0" w:rsidR="00513461" w:rsidP="00DD48AB" w:rsidRDefault="00513461">
            <w:pPr>
              <w:pStyle w:val="naisc"/>
              <w:spacing w:before="0" w:after="0"/>
              <w:ind w:firstLine="12"/>
            </w:pPr>
            <w:r w:rsidRPr="008378B0">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8378B0" w:rsidR="00513461" w:rsidP="00DD48AB" w:rsidRDefault="00513461">
            <w:pPr>
              <w:pStyle w:val="naisc"/>
              <w:spacing w:before="0" w:after="0"/>
            </w:pPr>
            <w:r w:rsidRPr="008378B0">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8378B0" w:rsidR="00513461" w:rsidP="00DD48AB" w:rsidRDefault="00513461">
            <w:pPr>
              <w:pStyle w:val="naisc"/>
              <w:spacing w:before="0" w:after="0"/>
            </w:pPr>
            <w:r w:rsidRPr="008378B0">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8378B0" w:rsidR="00513461" w:rsidP="00DD48AB" w:rsidRDefault="00513461">
            <w:pPr>
              <w:jc w:val="center"/>
            </w:pPr>
            <w:r w:rsidRPr="008378B0">
              <w:rPr>
                <w:sz w:val="22"/>
                <w:szCs w:val="22"/>
              </w:rPr>
              <w:t>5</w:t>
            </w:r>
          </w:p>
        </w:tc>
        <w:tc>
          <w:tcPr>
            <w:tcW w:w="925" w:type="pct"/>
            <w:tcBorders>
              <w:top w:val="single" w:color="auto" w:sz="4" w:space="0"/>
              <w:left w:val="single" w:color="auto" w:sz="4" w:space="0"/>
              <w:bottom w:val="single" w:color="auto" w:sz="4" w:space="0"/>
            </w:tcBorders>
          </w:tcPr>
          <w:p w:rsidRPr="008378B0" w:rsidR="00513461" w:rsidP="00DD48AB" w:rsidRDefault="00513461">
            <w:pPr>
              <w:jc w:val="center"/>
            </w:pPr>
            <w:r w:rsidRPr="008378B0">
              <w:rPr>
                <w:sz w:val="22"/>
                <w:szCs w:val="22"/>
              </w:rPr>
              <w:t>6</w:t>
            </w:r>
          </w:p>
        </w:tc>
      </w:tr>
      <w:tr w:rsidRPr="008378B0"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8378B0" w:rsidR="00024B7C" w:rsidP="00DD48AB" w:rsidRDefault="00024B7C">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8378B0" w:rsidR="00024B7C" w:rsidP="00DD48AB" w:rsidRDefault="00024B7C">
            <w:pPr>
              <w:pStyle w:val="naisc"/>
              <w:spacing w:before="0" w:after="0"/>
              <w:ind w:firstLine="12"/>
            </w:pPr>
          </w:p>
        </w:tc>
        <w:tc>
          <w:tcPr>
            <w:tcW w:w="1096" w:type="pct"/>
            <w:tcBorders>
              <w:top w:val="single" w:color="000000" w:sz="6" w:space="0"/>
              <w:left w:val="single" w:color="000000" w:sz="6" w:space="0"/>
              <w:bottom w:val="single" w:color="000000" w:sz="6" w:space="0"/>
              <w:right w:val="single" w:color="000000" w:sz="6" w:space="0"/>
            </w:tcBorders>
          </w:tcPr>
          <w:p w:rsidRPr="008378B0" w:rsidR="00024B7C" w:rsidP="00DD48AB" w:rsidRDefault="00024B7C">
            <w:pPr>
              <w:pStyle w:val="naisc"/>
              <w:spacing w:before="0" w:after="0"/>
            </w:pPr>
          </w:p>
        </w:tc>
        <w:tc>
          <w:tcPr>
            <w:tcW w:w="997" w:type="pct"/>
            <w:tcBorders>
              <w:top w:val="single" w:color="000000" w:sz="6" w:space="0"/>
              <w:left w:val="single" w:color="000000" w:sz="6" w:space="0"/>
              <w:bottom w:val="single" w:color="000000" w:sz="6" w:space="0"/>
              <w:right w:val="single" w:color="000000" w:sz="6" w:space="0"/>
            </w:tcBorders>
          </w:tcPr>
          <w:p w:rsidRPr="008378B0" w:rsidR="00024B7C" w:rsidP="00DD48AB" w:rsidRDefault="00024B7C">
            <w:pPr>
              <w:pStyle w:val="naisc"/>
              <w:spacing w:before="0" w:after="0"/>
            </w:pPr>
          </w:p>
        </w:tc>
        <w:tc>
          <w:tcPr>
            <w:tcW w:w="847" w:type="pct"/>
            <w:tcBorders>
              <w:top w:val="single" w:color="auto" w:sz="4" w:space="0"/>
              <w:left w:val="single" w:color="auto" w:sz="4" w:space="0"/>
              <w:bottom w:val="single" w:color="auto" w:sz="4" w:space="0"/>
              <w:right w:val="single" w:color="auto" w:sz="4" w:space="0"/>
            </w:tcBorders>
          </w:tcPr>
          <w:p w:rsidRPr="008378B0" w:rsidR="00024B7C" w:rsidP="00DD48AB" w:rsidRDefault="00024B7C">
            <w:pPr>
              <w:jc w:val="center"/>
            </w:pPr>
          </w:p>
        </w:tc>
        <w:tc>
          <w:tcPr>
            <w:tcW w:w="925" w:type="pct"/>
            <w:tcBorders>
              <w:top w:val="single" w:color="auto" w:sz="4" w:space="0"/>
              <w:left w:val="single" w:color="auto" w:sz="4" w:space="0"/>
              <w:bottom w:val="single" w:color="auto" w:sz="4" w:space="0"/>
              <w:right w:val="single" w:color="auto" w:sz="4" w:space="0"/>
            </w:tcBorders>
          </w:tcPr>
          <w:p w:rsidRPr="008378B0" w:rsidR="00024B7C" w:rsidP="00DD48AB" w:rsidRDefault="00024B7C">
            <w:pPr>
              <w:jc w:val="center"/>
            </w:pPr>
          </w:p>
        </w:tc>
      </w:tr>
    </w:tbl>
    <w:p w:rsidRPr="008378B0" w:rsidR="00105FA6" w:rsidP="00DD48AB" w:rsidRDefault="00105FA6">
      <w:pPr>
        <w:pStyle w:val="naisf"/>
        <w:spacing w:before="0" w:after="0"/>
        <w:ind w:firstLine="0"/>
        <w:rPr>
          <w:sz w:val="22"/>
          <w:szCs w:val="22"/>
        </w:rPr>
      </w:pPr>
    </w:p>
    <w:p w:rsidRPr="008378B0" w:rsidR="001B26F0" w:rsidP="00DD48AB" w:rsidRDefault="00513461">
      <w:pPr>
        <w:pStyle w:val="naisf"/>
        <w:spacing w:before="0" w:after="0"/>
        <w:ind w:firstLine="0"/>
        <w:rPr>
          <w:b/>
          <w:sz w:val="22"/>
          <w:szCs w:val="22"/>
        </w:rPr>
      </w:pPr>
      <w:r w:rsidRPr="008378B0">
        <w:rPr>
          <w:b/>
          <w:sz w:val="22"/>
          <w:szCs w:val="22"/>
        </w:rPr>
        <w:t>  </w:t>
      </w:r>
      <w:r w:rsidRPr="008378B0" w:rsidR="001B26F0">
        <w:rPr>
          <w:b/>
          <w:sz w:val="22"/>
          <w:szCs w:val="22"/>
        </w:rPr>
        <w:t>Informācija par elektronisko saskaņošanu:</w:t>
      </w:r>
    </w:p>
    <w:p w:rsidRPr="008378B0" w:rsidR="001B26F0" w:rsidP="00DD48AB" w:rsidRDefault="001B26F0">
      <w:pPr>
        <w:pStyle w:val="naisf"/>
        <w:spacing w:before="0" w:after="0"/>
        <w:ind w:firstLine="0"/>
        <w:rPr>
          <w:sz w:val="22"/>
          <w:szCs w:val="22"/>
        </w:rPr>
      </w:pPr>
    </w:p>
    <w:tbl>
      <w:tblPr>
        <w:tblW w:w="14283" w:type="dxa"/>
        <w:tblLayout w:type="fixed"/>
        <w:tblLook w:val="00A0"/>
      </w:tblPr>
      <w:tblGrid>
        <w:gridCol w:w="14283"/>
      </w:tblGrid>
      <w:tr w:rsidRPr="008378B0" w:rsidR="001B26F0" w:rsidTr="00C26192">
        <w:trPr>
          <w:trHeight w:val="2916"/>
        </w:trPr>
        <w:tc>
          <w:tcPr>
            <w:tcW w:w="14283" w:type="dxa"/>
          </w:tcPr>
          <w:tbl>
            <w:tblPr>
              <w:tblW w:w="14787" w:type="dxa"/>
              <w:tblLayout w:type="fixed"/>
              <w:tblLook w:val="00A0"/>
            </w:tblPr>
            <w:tblGrid>
              <w:gridCol w:w="5386"/>
              <w:gridCol w:w="8789"/>
              <w:gridCol w:w="612"/>
            </w:tblGrid>
            <w:tr w:rsidRPr="008378B0" w:rsidR="001B26F0" w:rsidTr="00DD48AB">
              <w:trPr>
                <w:gridAfter w:val="1"/>
                <w:wAfter w:w="612" w:type="dxa"/>
              </w:trPr>
              <w:tc>
                <w:tcPr>
                  <w:tcW w:w="5386" w:type="dxa"/>
                </w:tcPr>
                <w:p w:rsidRPr="008378B0" w:rsidR="001B26F0" w:rsidP="00DD48AB" w:rsidRDefault="001B26F0">
                  <w:pPr>
                    <w:pStyle w:val="naisf"/>
                    <w:spacing w:before="0" w:after="0"/>
                    <w:ind w:firstLine="0"/>
                  </w:pPr>
                  <w:r w:rsidRPr="008378B0">
                    <w:rPr>
                      <w:sz w:val="22"/>
                      <w:szCs w:val="22"/>
                    </w:rPr>
                    <w:t>Datums:</w:t>
                  </w:r>
                </w:p>
              </w:tc>
              <w:tc>
                <w:tcPr>
                  <w:tcW w:w="8789" w:type="dxa"/>
                  <w:tcBorders>
                    <w:bottom w:val="single" w:color="auto" w:sz="4" w:space="0"/>
                  </w:tcBorders>
                  <w:shd w:val="clear" w:color="auto" w:fill="auto"/>
                </w:tcPr>
                <w:p w:rsidRPr="008378B0" w:rsidR="007542C3" w:rsidP="002D1C54" w:rsidRDefault="00C07B2C">
                  <w:pPr>
                    <w:pStyle w:val="ParastaisWeb"/>
                    <w:spacing w:before="0" w:beforeAutospacing="0" w:after="0" w:afterAutospacing="0"/>
                    <w:jc w:val="both"/>
                  </w:pPr>
                  <w:r w:rsidRPr="008378B0">
                    <w:rPr>
                      <w:sz w:val="22"/>
                      <w:szCs w:val="22"/>
                    </w:rPr>
                    <w:t>20</w:t>
                  </w:r>
                  <w:r w:rsidRPr="008378B0" w:rsidR="00E7326C">
                    <w:rPr>
                      <w:sz w:val="22"/>
                      <w:szCs w:val="22"/>
                    </w:rPr>
                    <w:t>20</w:t>
                  </w:r>
                  <w:r w:rsidRPr="008378B0">
                    <w:rPr>
                      <w:sz w:val="22"/>
                      <w:szCs w:val="22"/>
                    </w:rPr>
                    <w:t>.</w:t>
                  </w:r>
                  <w:r w:rsidRPr="008378B0" w:rsidR="00E44204">
                    <w:rPr>
                      <w:sz w:val="22"/>
                      <w:szCs w:val="22"/>
                    </w:rPr>
                    <w:t xml:space="preserve">gada </w:t>
                  </w:r>
                  <w:r w:rsidRPr="008378B0" w:rsidR="00A3499D">
                    <w:rPr>
                      <w:sz w:val="22"/>
                      <w:szCs w:val="22"/>
                    </w:rPr>
                    <w:t>6</w:t>
                  </w:r>
                  <w:r w:rsidRPr="008378B0" w:rsidR="00724A52">
                    <w:rPr>
                      <w:sz w:val="22"/>
                      <w:szCs w:val="22"/>
                    </w:rPr>
                    <w:t>.aprīlī</w:t>
                  </w:r>
                </w:p>
              </w:tc>
            </w:tr>
            <w:tr w:rsidRPr="008378B0" w:rsidR="001B26F0" w:rsidTr="00DD48AB">
              <w:trPr>
                <w:gridAfter w:val="1"/>
                <w:wAfter w:w="612" w:type="dxa"/>
              </w:trPr>
              <w:tc>
                <w:tcPr>
                  <w:tcW w:w="5386" w:type="dxa"/>
                </w:tcPr>
                <w:p w:rsidRPr="008378B0" w:rsidR="001B26F0" w:rsidP="00DD48AB" w:rsidRDefault="001B26F0">
                  <w:pPr>
                    <w:pStyle w:val="naisf"/>
                    <w:spacing w:before="0" w:after="0"/>
                    <w:ind w:firstLine="0"/>
                  </w:pPr>
                </w:p>
              </w:tc>
              <w:tc>
                <w:tcPr>
                  <w:tcW w:w="8789" w:type="dxa"/>
                  <w:tcBorders>
                    <w:top w:val="single" w:color="auto" w:sz="4" w:space="0"/>
                  </w:tcBorders>
                </w:tcPr>
                <w:p w:rsidRPr="008378B0" w:rsidR="001B26F0" w:rsidP="00DD48AB" w:rsidRDefault="001B26F0">
                  <w:pPr>
                    <w:pStyle w:val="ParastaisWeb"/>
                    <w:spacing w:before="0" w:beforeAutospacing="0" w:after="0" w:afterAutospacing="0"/>
                  </w:pPr>
                </w:p>
              </w:tc>
            </w:tr>
            <w:tr w:rsidRPr="008378B0" w:rsidR="001B26F0" w:rsidTr="00DD48AB">
              <w:trPr>
                <w:gridAfter w:val="1"/>
                <w:wAfter w:w="612" w:type="dxa"/>
              </w:trPr>
              <w:tc>
                <w:tcPr>
                  <w:tcW w:w="5386" w:type="dxa"/>
                </w:tcPr>
                <w:p w:rsidRPr="008378B0" w:rsidR="001B26F0" w:rsidP="00DD48AB" w:rsidRDefault="001B26F0">
                  <w:pPr>
                    <w:pStyle w:val="naiskr"/>
                    <w:spacing w:before="0" w:after="0"/>
                  </w:pPr>
                  <w:r w:rsidRPr="008378B0">
                    <w:rPr>
                      <w:sz w:val="22"/>
                      <w:szCs w:val="22"/>
                    </w:rPr>
                    <w:t>Saskaņošanas dalībnieki:</w:t>
                  </w:r>
                </w:p>
              </w:tc>
              <w:tc>
                <w:tcPr>
                  <w:tcW w:w="8789" w:type="dxa"/>
                  <w:tcBorders>
                    <w:bottom w:val="single" w:color="auto" w:sz="4" w:space="0"/>
                  </w:tcBorders>
                </w:tcPr>
                <w:p w:rsidRPr="008378B0" w:rsidR="001B26F0" w:rsidP="00F37CAA" w:rsidRDefault="001C38A4">
                  <w:pPr>
                    <w:jc w:val="both"/>
                  </w:pPr>
                  <w:r w:rsidRPr="008378B0">
                    <w:rPr>
                      <w:sz w:val="22"/>
                      <w:szCs w:val="22"/>
                    </w:rPr>
                    <w:t xml:space="preserve">Tieslietu ministrija, </w:t>
                  </w:r>
                  <w:r w:rsidRPr="008378B0" w:rsidR="00C26192">
                    <w:rPr>
                      <w:sz w:val="22"/>
                      <w:szCs w:val="22"/>
                    </w:rPr>
                    <w:t>Finanšu ministrija</w:t>
                  </w:r>
                </w:p>
              </w:tc>
            </w:tr>
            <w:tr w:rsidRPr="008378B0" w:rsidR="001B26F0" w:rsidTr="00DD48AB">
              <w:trPr>
                <w:trHeight w:val="185"/>
              </w:trPr>
              <w:tc>
                <w:tcPr>
                  <w:tcW w:w="5386" w:type="dxa"/>
                </w:tcPr>
                <w:p w:rsidRPr="008378B0" w:rsidR="001B26F0" w:rsidP="00DD48AB" w:rsidRDefault="001B26F0">
                  <w:pPr>
                    <w:pStyle w:val="naiskr"/>
                    <w:spacing w:before="0" w:after="0"/>
                  </w:pPr>
                </w:p>
              </w:tc>
              <w:tc>
                <w:tcPr>
                  <w:tcW w:w="9401" w:type="dxa"/>
                  <w:gridSpan w:val="2"/>
                </w:tcPr>
                <w:p w:rsidRPr="008378B0" w:rsidR="001B26F0" w:rsidP="00DD48AB" w:rsidRDefault="001B26F0">
                  <w:pPr>
                    <w:ind w:right="-483"/>
                  </w:pPr>
                </w:p>
              </w:tc>
            </w:tr>
            <w:tr w:rsidRPr="008378B0" w:rsidR="001B26F0" w:rsidTr="00DD48AB">
              <w:tc>
                <w:tcPr>
                  <w:tcW w:w="5386" w:type="dxa"/>
                  <w:tcBorders>
                    <w:top w:val="nil"/>
                    <w:left w:val="nil"/>
                    <w:bottom w:val="nil"/>
                    <w:right w:val="nil"/>
                  </w:tcBorders>
                </w:tcPr>
                <w:p w:rsidRPr="008378B0" w:rsidR="001B26F0" w:rsidP="00DD48AB" w:rsidRDefault="001B26F0">
                  <w:pPr>
                    <w:pStyle w:val="naiskr"/>
                    <w:spacing w:before="0" w:after="0"/>
                  </w:pPr>
                  <w:r w:rsidRPr="008378B0">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8378B0" w:rsidR="001B26F0" w:rsidP="00DD48AB" w:rsidRDefault="001C38A4">
                  <w:pPr>
                    <w:ind w:right="1779"/>
                    <w:jc w:val="both"/>
                  </w:pPr>
                  <w:r w:rsidRPr="008378B0">
                    <w:rPr>
                      <w:sz w:val="22"/>
                      <w:szCs w:val="22"/>
                    </w:rPr>
                    <w:t>Tieslietu ministrija</w:t>
                  </w:r>
                  <w:r w:rsidRPr="008378B0" w:rsidR="00724A52">
                    <w:rPr>
                      <w:sz w:val="22"/>
                      <w:szCs w:val="22"/>
                    </w:rPr>
                    <w:t>, Finanšu ministrija</w:t>
                  </w:r>
                </w:p>
              </w:tc>
            </w:tr>
            <w:tr w:rsidRPr="008378B0" w:rsidR="001B26F0" w:rsidTr="00DD48AB">
              <w:tc>
                <w:tcPr>
                  <w:tcW w:w="5386" w:type="dxa"/>
                  <w:tcBorders>
                    <w:top w:val="nil"/>
                    <w:left w:val="nil"/>
                    <w:right w:val="nil"/>
                  </w:tcBorders>
                </w:tcPr>
                <w:p w:rsidRPr="008378B0" w:rsidR="001B26F0" w:rsidP="00DD48AB" w:rsidRDefault="001B26F0">
                  <w:pPr>
                    <w:pStyle w:val="naiskr"/>
                    <w:spacing w:before="0" w:after="0"/>
                  </w:pPr>
                </w:p>
              </w:tc>
              <w:tc>
                <w:tcPr>
                  <w:tcW w:w="9401" w:type="dxa"/>
                  <w:gridSpan w:val="2"/>
                  <w:tcBorders>
                    <w:top w:val="single" w:color="auto" w:sz="4" w:space="0"/>
                    <w:left w:val="nil"/>
                    <w:right w:val="nil"/>
                  </w:tcBorders>
                  <w:vAlign w:val="bottom"/>
                </w:tcPr>
                <w:p w:rsidRPr="008378B0" w:rsidR="001B26F0" w:rsidP="00DD48AB" w:rsidRDefault="001B26F0">
                  <w:pPr>
                    <w:ind w:right="-483"/>
                  </w:pPr>
                </w:p>
              </w:tc>
            </w:tr>
            <w:tr w:rsidRPr="008378B0" w:rsidR="00C26192" w:rsidTr="00DD48AB">
              <w:trPr>
                <w:gridAfter w:val="1"/>
                <w:wAfter w:w="612" w:type="dxa"/>
                <w:trHeight w:val="735"/>
              </w:trPr>
              <w:tc>
                <w:tcPr>
                  <w:tcW w:w="5386" w:type="dxa"/>
                  <w:hideMark/>
                </w:tcPr>
                <w:p w:rsidRPr="008378B0" w:rsidR="00C26192" w:rsidP="00DD48AB" w:rsidRDefault="00C26192">
                  <w:pPr>
                    <w:pStyle w:val="naiskr"/>
                    <w:spacing w:before="0" w:after="0"/>
                    <w:ind w:right="500"/>
                    <w:rPr>
                      <w:lang w:eastAsia="en-US"/>
                    </w:rPr>
                  </w:pPr>
                  <w:r w:rsidRPr="008378B0">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8378B0" w:rsidR="00C26192" w:rsidP="00DD48AB" w:rsidRDefault="00C26192">
                  <w:pPr>
                    <w:pStyle w:val="naiskr"/>
                    <w:spacing w:before="0" w:after="0"/>
                    <w:ind w:right="500" w:firstLine="720"/>
                    <w:rPr>
                      <w:lang w:eastAsia="en-US"/>
                    </w:rPr>
                  </w:pPr>
                </w:p>
              </w:tc>
            </w:tr>
          </w:tbl>
          <w:p w:rsidRPr="008378B0" w:rsidR="001B26F0" w:rsidP="00DD48AB" w:rsidRDefault="001B26F0">
            <w:pPr>
              <w:pStyle w:val="naisf"/>
              <w:spacing w:before="0" w:after="0"/>
              <w:ind w:firstLine="0"/>
            </w:pPr>
          </w:p>
        </w:tc>
      </w:tr>
    </w:tbl>
    <w:p w:rsidR="00C26192" w:rsidP="00DD48AB" w:rsidRDefault="00C26192">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00F111D6" w:rsidP="00DD48AB" w:rsidRDefault="00F111D6">
      <w:pPr>
        <w:pStyle w:val="naisf"/>
        <w:spacing w:before="0" w:after="0"/>
        <w:ind w:firstLine="0"/>
        <w:jc w:val="center"/>
        <w:rPr>
          <w:b/>
          <w:sz w:val="22"/>
          <w:szCs w:val="22"/>
        </w:rPr>
      </w:pPr>
    </w:p>
    <w:p w:rsidRPr="008378B0" w:rsidR="00F111D6" w:rsidP="00DD48AB" w:rsidRDefault="00F111D6">
      <w:pPr>
        <w:pStyle w:val="naisf"/>
        <w:spacing w:before="0" w:after="0"/>
        <w:ind w:firstLine="0"/>
        <w:jc w:val="center"/>
        <w:rPr>
          <w:b/>
          <w:sz w:val="22"/>
          <w:szCs w:val="22"/>
        </w:rPr>
      </w:pPr>
    </w:p>
    <w:p w:rsidRPr="008378B0" w:rsidR="00C8468F" w:rsidP="00DD48AB" w:rsidRDefault="00C8468F">
      <w:pPr>
        <w:pStyle w:val="naisf"/>
        <w:spacing w:before="0" w:after="0"/>
        <w:ind w:firstLine="0"/>
        <w:jc w:val="center"/>
        <w:rPr>
          <w:b/>
          <w:sz w:val="22"/>
          <w:szCs w:val="22"/>
        </w:rPr>
      </w:pPr>
      <w:r w:rsidRPr="008378B0">
        <w:rPr>
          <w:b/>
          <w:sz w:val="22"/>
          <w:szCs w:val="22"/>
        </w:rPr>
        <w:lastRenderedPageBreak/>
        <w:t>II. Jautājumi, par kuriem saskaņošanā vienošanās ir panākta</w:t>
      </w:r>
    </w:p>
    <w:p w:rsidRPr="008378B0" w:rsidR="00C8468F" w:rsidP="00DD48AB"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896"/>
        <w:gridCol w:w="3427"/>
        <w:gridCol w:w="3476"/>
        <w:gridCol w:w="3188"/>
        <w:gridCol w:w="3234"/>
      </w:tblGrid>
      <w:tr w:rsidRPr="008378B0" w:rsidR="00513461" w:rsidTr="00F27C23">
        <w:tc>
          <w:tcPr>
            <w:tcW w:w="315" w:type="pct"/>
            <w:tcBorders>
              <w:top w:val="single" w:color="000000" w:sz="6" w:space="0"/>
              <w:left w:val="single" w:color="000000" w:sz="6" w:space="0"/>
              <w:bottom w:val="single" w:color="000000" w:sz="6" w:space="0"/>
              <w:right w:val="single" w:color="000000" w:sz="6" w:space="0"/>
            </w:tcBorders>
            <w:vAlign w:val="center"/>
          </w:tcPr>
          <w:p w:rsidRPr="008378B0" w:rsidR="00C8468F" w:rsidP="00DD48AB" w:rsidRDefault="00C8468F">
            <w:pPr>
              <w:pStyle w:val="naisc"/>
              <w:spacing w:before="0" w:after="0"/>
            </w:pPr>
            <w:proofErr w:type="spellStart"/>
            <w:r w:rsidRPr="008378B0">
              <w:rPr>
                <w:sz w:val="22"/>
                <w:szCs w:val="22"/>
              </w:rPr>
              <w:t>Nr.p.k</w:t>
            </w:r>
            <w:proofErr w:type="spellEnd"/>
            <w:r w:rsidRPr="008378B0">
              <w:rPr>
                <w:sz w:val="22"/>
                <w:szCs w:val="22"/>
              </w:rPr>
              <w:t>.</w:t>
            </w:r>
          </w:p>
        </w:tc>
        <w:tc>
          <w:tcPr>
            <w:tcW w:w="1205" w:type="pct"/>
            <w:tcBorders>
              <w:top w:val="single" w:color="000000" w:sz="6" w:space="0"/>
              <w:left w:val="single" w:color="000000" w:sz="6" w:space="0"/>
              <w:bottom w:val="single" w:color="000000" w:sz="6" w:space="0"/>
              <w:right w:val="single" w:color="000000" w:sz="6" w:space="0"/>
            </w:tcBorders>
            <w:vAlign w:val="center"/>
          </w:tcPr>
          <w:p w:rsidRPr="008378B0" w:rsidR="00C8468F" w:rsidP="00DD48AB" w:rsidRDefault="00C8468F">
            <w:pPr>
              <w:pStyle w:val="naisc"/>
              <w:spacing w:before="0" w:after="0"/>
              <w:ind w:firstLine="12"/>
            </w:pPr>
            <w:r w:rsidRPr="008378B0">
              <w:rPr>
                <w:sz w:val="22"/>
                <w:szCs w:val="22"/>
              </w:rPr>
              <w:t>Saskaņošanai nosūtītā projekta redakcija (konkrēta punkta (panta) redakcija)</w:t>
            </w:r>
          </w:p>
        </w:tc>
        <w:tc>
          <w:tcPr>
            <w:tcW w:w="1222" w:type="pct"/>
            <w:tcBorders>
              <w:top w:val="single" w:color="000000" w:sz="6" w:space="0"/>
              <w:left w:val="single" w:color="000000" w:sz="6" w:space="0"/>
              <w:bottom w:val="single" w:color="000000" w:sz="6" w:space="0"/>
              <w:right w:val="single" w:color="000000" w:sz="6" w:space="0"/>
            </w:tcBorders>
            <w:vAlign w:val="center"/>
          </w:tcPr>
          <w:p w:rsidRPr="008378B0" w:rsidR="00C8468F" w:rsidP="00DD48AB" w:rsidRDefault="00C8468F">
            <w:pPr>
              <w:pStyle w:val="naisc"/>
              <w:spacing w:before="0" w:after="0"/>
              <w:ind w:right="3"/>
            </w:pPr>
            <w:r w:rsidRPr="008378B0">
              <w:rPr>
                <w:sz w:val="22"/>
                <w:szCs w:val="22"/>
              </w:rPr>
              <w:t>Atzinumā norādītais ministrijas (citas institūcijas) iebildums, kā arī saskaņošanā papildus izteiktais iebildums par projekta konkrēto punktu (pantu)</w:t>
            </w:r>
          </w:p>
        </w:tc>
        <w:tc>
          <w:tcPr>
            <w:tcW w:w="1121" w:type="pct"/>
            <w:tcBorders>
              <w:top w:val="single" w:color="000000" w:sz="6" w:space="0"/>
              <w:left w:val="single" w:color="000000" w:sz="6" w:space="0"/>
              <w:bottom w:val="single" w:color="000000" w:sz="6" w:space="0"/>
              <w:right w:val="single" w:color="000000" w:sz="6" w:space="0"/>
            </w:tcBorders>
            <w:vAlign w:val="center"/>
          </w:tcPr>
          <w:p w:rsidRPr="008378B0" w:rsidR="00C8468F" w:rsidP="00DD48AB" w:rsidRDefault="00C8468F">
            <w:pPr>
              <w:pStyle w:val="naisc"/>
              <w:spacing w:before="0" w:after="0"/>
              <w:ind w:firstLine="21"/>
            </w:pPr>
            <w:r w:rsidRPr="008378B0">
              <w:rPr>
                <w:sz w:val="22"/>
                <w:szCs w:val="22"/>
              </w:rPr>
              <w:t>Atbildīgās ministrijas norāde par to, ka iebildums ir ņemts vērā, vai informācija par saskaņošanā panākto alternatīvo risinājumu</w:t>
            </w:r>
          </w:p>
        </w:tc>
        <w:tc>
          <w:tcPr>
            <w:tcW w:w="1137" w:type="pct"/>
            <w:tcBorders>
              <w:top w:val="single" w:color="auto" w:sz="4" w:space="0"/>
              <w:left w:val="single" w:color="auto" w:sz="4" w:space="0"/>
              <w:bottom w:val="single" w:color="auto" w:sz="4" w:space="0"/>
            </w:tcBorders>
            <w:vAlign w:val="center"/>
          </w:tcPr>
          <w:p w:rsidRPr="008378B0" w:rsidR="00C8468F" w:rsidP="00DD48AB" w:rsidRDefault="00C8468F">
            <w:pPr>
              <w:jc w:val="center"/>
            </w:pPr>
            <w:r w:rsidRPr="008378B0">
              <w:rPr>
                <w:sz w:val="22"/>
                <w:szCs w:val="22"/>
              </w:rPr>
              <w:t>Projekta attiecīgā punkta (panta) galīgā redakcija</w:t>
            </w:r>
          </w:p>
        </w:tc>
      </w:tr>
      <w:tr w:rsidRPr="008378B0" w:rsidR="00513461" w:rsidTr="00F27C23">
        <w:trPr>
          <w:trHeight w:val="65"/>
        </w:trPr>
        <w:tc>
          <w:tcPr>
            <w:tcW w:w="315" w:type="pct"/>
            <w:tcBorders>
              <w:top w:val="single" w:color="000000" w:sz="6" w:space="0"/>
              <w:left w:val="single" w:color="000000" w:sz="6" w:space="0"/>
              <w:bottom w:val="single" w:color="000000" w:sz="6" w:space="0"/>
              <w:right w:val="single" w:color="000000" w:sz="6" w:space="0"/>
            </w:tcBorders>
          </w:tcPr>
          <w:p w:rsidRPr="008378B0" w:rsidR="00C8468F" w:rsidP="00DD48AB" w:rsidRDefault="00C8468F">
            <w:pPr>
              <w:pStyle w:val="naisc"/>
              <w:spacing w:before="0" w:after="0"/>
            </w:pPr>
            <w:r w:rsidRPr="008378B0">
              <w:rPr>
                <w:sz w:val="22"/>
                <w:szCs w:val="22"/>
              </w:rPr>
              <w:t>1</w:t>
            </w:r>
          </w:p>
        </w:tc>
        <w:tc>
          <w:tcPr>
            <w:tcW w:w="1205" w:type="pct"/>
            <w:tcBorders>
              <w:top w:val="single" w:color="000000" w:sz="6" w:space="0"/>
              <w:left w:val="single" w:color="000000" w:sz="6" w:space="0"/>
              <w:bottom w:val="single" w:color="000000" w:sz="6" w:space="0"/>
              <w:right w:val="single" w:color="000000" w:sz="6" w:space="0"/>
            </w:tcBorders>
          </w:tcPr>
          <w:p w:rsidRPr="008378B0" w:rsidR="00C8468F" w:rsidP="00DD48AB" w:rsidRDefault="00C8468F">
            <w:pPr>
              <w:pStyle w:val="naisc"/>
              <w:spacing w:before="0" w:after="0"/>
            </w:pPr>
            <w:r w:rsidRPr="008378B0">
              <w:rPr>
                <w:sz w:val="22"/>
                <w:szCs w:val="22"/>
              </w:rPr>
              <w:t>2</w:t>
            </w:r>
          </w:p>
        </w:tc>
        <w:tc>
          <w:tcPr>
            <w:tcW w:w="1222" w:type="pct"/>
            <w:tcBorders>
              <w:top w:val="single" w:color="000000" w:sz="6" w:space="0"/>
              <w:left w:val="single" w:color="000000" w:sz="6" w:space="0"/>
              <w:bottom w:val="single" w:color="000000" w:sz="6" w:space="0"/>
              <w:right w:val="single" w:color="000000" w:sz="6" w:space="0"/>
            </w:tcBorders>
          </w:tcPr>
          <w:p w:rsidRPr="008378B0" w:rsidR="00C8468F" w:rsidP="00DD48AB" w:rsidRDefault="00C8468F">
            <w:pPr>
              <w:pStyle w:val="naisc"/>
              <w:spacing w:before="0" w:after="0"/>
            </w:pPr>
            <w:r w:rsidRPr="008378B0">
              <w:rPr>
                <w:sz w:val="22"/>
                <w:szCs w:val="22"/>
              </w:rPr>
              <w:t>3</w:t>
            </w:r>
          </w:p>
        </w:tc>
        <w:tc>
          <w:tcPr>
            <w:tcW w:w="1121" w:type="pct"/>
            <w:tcBorders>
              <w:top w:val="single" w:color="000000" w:sz="6" w:space="0"/>
              <w:left w:val="single" w:color="000000" w:sz="6" w:space="0"/>
              <w:bottom w:val="single" w:color="auto" w:sz="4" w:space="0"/>
              <w:right w:val="single" w:color="000000" w:sz="6" w:space="0"/>
            </w:tcBorders>
          </w:tcPr>
          <w:p w:rsidRPr="008378B0" w:rsidR="00C8468F" w:rsidP="00DD48AB" w:rsidRDefault="00C8468F">
            <w:pPr>
              <w:pStyle w:val="naisc"/>
              <w:spacing w:before="0" w:after="0"/>
            </w:pPr>
            <w:r w:rsidRPr="008378B0">
              <w:rPr>
                <w:sz w:val="22"/>
                <w:szCs w:val="22"/>
              </w:rPr>
              <w:t>4</w:t>
            </w:r>
          </w:p>
        </w:tc>
        <w:tc>
          <w:tcPr>
            <w:tcW w:w="1137" w:type="pct"/>
            <w:tcBorders>
              <w:top w:val="single" w:color="auto" w:sz="4" w:space="0"/>
              <w:left w:val="single" w:color="auto" w:sz="4" w:space="0"/>
              <w:bottom w:val="single" w:color="auto" w:sz="4" w:space="0"/>
            </w:tcBorders>
          </w:tcPr>
          <w:p w:rsidRPr="008378B0" w:rsidR="00C8468F" w:rsidP="00DD48AB" w:rsidRDefault="00C8468F">
            <w:pPr>
              <w:jc w:val="center"/>
            </w:pPr>
            <w:r w:rsidRPr="008378B0">
              <w:rPr>
                <w:sz w:val="22"/>
                <w:szCs w:val="22"/>
              </w:rPr>
              <w:t>5</w:t>
            </w:r>
          </w:p>
        </w:tc>
      </w:tr>
      <w:tr w:rsidRPr="008378B0" w:rsidR="009157CF" w:rsidTr="00F27C23">
        <w:trPr>
          <w:trHeight w:val="371"/>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9157CF" w:rsidP="00724A52" w:rsidRDefault="009157CF">
            <w:pPr>
              <w:pStyle w:val="naisc"/>
              <w:numPr>
                <w:ilvl w:val="0"/>
                <w:numId w:val="34"/>
              </w:numPr>
              <w:tabs>
                <w:tab w:val="left" w:pos="284"/>
              </w:tabs>
              <w:spacing w:before="0" w:after="0"/>
              <w:ind w:left="142" w:hanging="142"/>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CD49D3" w:rsidRDefault="008378B0">
            <w:pPr>
              <w:jc w:val="both"/>
            </w:pPr>
            <w:r>
              <w:rPr>
                <w:sz w:val="22"/>
                <w:szCs w:val="22"/>
              </w:rPr>
              <w:t>Informatīvais ziņojums</w:t>
            </w:r>
            <w:r w:rsidRPr="008378B0">
              <w:rPr>
                <w:sz w:val="22"/>
                <w:szCs w:val="22"/>
              </w:rPr>
              <w:t xml:space="preserve"> „Par atbalsta risinājumiem Covid-19 krīzes radīto negatīvo seku mazināšanai mediju nozarei”</w:t>
            </w:r>
            <w:r>
              <w:rPr>
                <w:sz w:val="22"/>
                <w:szCs w:val="22"/>
              </w:rPr>
              <w:t xml:space="preserve"> (turpmāk – informatīvais ziņojums)</w:t>
            </w:r>
            <w:r w:rsidRPr="008378B0" w:rsidR="0043635C">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6B0D7D" w:rsidP="00DD48AB" w:rsidRDefault="00F37CAA">
            <w:pPr>
              <w:pStyle w:val="naisc"/>
              <w:spacing w:before="0" w:after="0"/>
              <w:jc w:val="both"/>
              <w:rPr>
                <w:b/>
              </w:rPr>
            </w:pPr>
            <w:r w:rsidRPr="008378B0">
              <w:rPr>
                <w:b/>
                <w:sz w:val="22"/>
                <w:szCs w:val="22"/>
              </w:rPr>
              <w:t>Finanšu</w:t>
            </w:r>
            <w:r w:rsidRPr="008378B0" w:rsidR="00611897">
              <w:rPr>
                <w:b/>
                <w:sz w:val="22"/>
                <w:szCs w:val="22"/>
              </w:rPr>
              <w:t xml:space="preserve"> ministrija</w:t>
            </w:r>
            <w:r w:rsidRPr="008378B0" w:rsidR="006B0D7D">
              <w:rPr>
                <w:b/>
                <w:sz w:val="22"/>
                <w:szCs w:val="22"/>
              </w:rPr>
              <w:t>:</w:t>
            </w:r>
          </w:p>
          <w:p w:rsidRPr="008378B0" w:rsidR="009157CF" w:rsidP="00C53A4E" w:rsidRDefault="00C53A4E">
            <w:pPr>
              <w:jc w:val="both"/>
            </w:pPr>
            <w:r w:rsidRPr="008378B0">
              <w:rPr>
                <w:sz w:val="22"/>
                <w:szCs w:val="22"/>
              </w:rPr>
              <w:t>Norādām, ka informatīvais ziņojums ir saistīts ar Kultūras ministrijas sagatavoto MK rīkojuma projektu “Par finanšu līdzekļu piešķiršanu no valsts budžeta programmas “Līdzekļi neparedzētiem gadījumiem”” (Kultūras ministrijas šā gada 3.aprīļa vēstule Nr.5.1-3/635), tādējādi tas ir precizējams atbilstoši Finanšu ministrijas izteiktajiem iebildumiem par minēto rīkojuma projektu un tam pievienoto sākotnējās ietekmes novērtējuma ziņojumu (anotāciju).</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8F2BB4" w:rsidP="00DD48AB" w:rsidRDefault="008F2BB4">
            <w:pPr>
              <w:widowControl w:val="0"/>
              <w:autoSpaceDE w:val="0"/>
              <w:autoSpaceDN w:val="0"/>
              <w:adjustRightInd w:val="0"/>
              <w:jc w:val="center"/>
              <w:rPr>
                <w:b/>
                <w:bCs/>
              </w:rPr>
            </w:pPr>
            <w:r w:rsidRPr="008378B0">
              <w:rPr>
                <w:b/>
                <w:bCs/>
                <w:sz w:val="22"/>
                <w:szCs w:val="22"/>
              </w:rPr>
              <w:t>Ņemts vērā</w:t>
            </w:r>
          </w:p>
        </w:tc>
        <w:tc>
          <w:tcPr>
            <w:tcW w:w="1137" w:type="pct"/>
            <w:tcBorders>
              <w:top w:val="single" w:color="auto" w:sz="4" w:space="0"/>
              <w:left w:val="single" w:color="auto" w:sz="4" w:space="0"/>
              <w:bottom w:val="single" w:color="auto" w:sz="4" w:space="0"/>
            </w:tcBorders>
            <w:shd w:val="clear" w:color="auto" w:fill="auto"/>
          </w:tcPr>
          <w:p w:rsidRPr="008378B0" w:rsidR="002C4C74" w:rsidP="00DD48AB" w:rsidRDefault="008378B0">
            <w:pPr>
              <w:jc w:val="both"/>
            </w:pPr>
            <w:r>
              <w:rPr>
                <w:sz w:val="22"/>
                <w:szCs w:val="22"/>
              </w:rPr>
              <w:t>Precizēts informatīvais ziņojums</w:t>
            </w:r>
            <w:r w:rsidRPr="008378B0" w:rsidR="007B6BC8">
              <w:rPr>
                <w:sz w:val="22"/>
                <w:szCs w:val="22"/>
              </w:rPr>
              <w:t>.</w:t>
            </w:r>
          </w:p>
          <w:p w:rsidRPr="008378B0" w:rsidR="00DD48AB" w:rsidP="00DD48AB" w:rsidRDefault="00DD48AB">
            <w:pPr>
              <w:jc w:val="both"/>
            </w:pPr>
          </w:p>
          <w:p w:rsidRPr="008378B0" w:rsidR="00DD48AB" w:rsidP="00DD48AB" w:rsidRDefault="00DD48AB">
            <w:pPr>
              <w:jc w:val="both"/>
            </w:pPr>
          </w:p>
        </w:tc>
      </w:tr>
      <w:tr w:rsidRPr="008378B0" w:rsidR="00985128" w:rsidTr="00F27C23">
        <w:trPr>
          <w:trHeight w:val="371"/>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985128" w:rsidP="00724A52" w:rsidRDefault="00985128">
            <w:pPr>
              <w:pStyle w:val="naisc"/>
              <w:numPr>
                <w:ilvl w:val="0"/>
                <w:numId w:val="34"/>
              </w:numPr>
              <w:tabs>
                <w:tab w:val="left" w:pos="284"/>
              </w:tabs>
              <w:spacing w:before="0" w:after="0"/>
              <w:ind w:left="142" w:hanging="142"/>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985128" w:rsidP="00B256A4" w:rsidRDefault="008378B0">
            <w:pPr>
              <w:jc w:val="both"/>
            </w:pPr>
            <w:r>
              <w:rPr>
                <w:sz w:val="22"/>
                <w:szCs w:val="22"/>
              </w:rPr>
              <w:t>Informatīvais ziņojums</w:t>
            </w:r>
            <w:r w:rsidRPr="008378B0" w:rsidR="0043635C">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985128" w:rsidP="00DD48AB" w:rsidRDefault="00F37CAA">
            <w:pPr>
              <w:tabs>
                <w:tab w:val="left" w:pos="993"/>
              </w:tabs>
              <w:jc w:val="both"/>
              <w:rPr>
                <w:b/>
                <w:bCs/>
              </w:rPr>
            </w:pPr>
            <w:r w:rsidRPr="008378B0">
              <w:rPr>
                <w:b/>
                <w:bCs/>
                <w:sz w:val="22"/>
                <w:szCs w:val="22"/>
              </w:rPr>
              <w:t xml:space="preserve">Finanšu </w:t>
            </w:r>
            <w:r w:rsidRPr="008378B0" w:rsidR="00985128">
              <w:rPr>
                <w:b/>
                <w:bCs/>
                <w:sz w:val="22"/>
                <w:szCs w:val="22"/>
              </w:rPr>
              <w:t>ministrija:</w:t>
            </w:r>
          </w:p>
          <w:p w:rsidRPr="008378B0" w:rsidR="00A36218" w:rsidP="00F37CAA" w:rsidRDefault="00CE586A">
            <w:pPr>
              <w:pStyle w:val="naisf"/>
              <w:spacing w:before="0" w:after="0"/>
              <w:ind w:firstLine="0"/>
              <w:rPr>
                <w:bCs/>
              </w:rPr>
            </w:pPr>
            <w:r w:rsidRPr="008378B0">
              <w:rPr>
                <w:sz w:val="22"/>
                <w:szCs w:val="22"/>
              </w:rPr>
              <w:t xml:space="preserve">Ievērojot MK protokollēmuma projekta “Par finanšu līdzekļu piešķiršanu no valsts budžeta programmas „Līdzekļi neparedzētiem gadījumiem” 1.punktā paredzēto, lūdzam papildināt informatīvo ziņojumu ar skaidrojumu, kā tiks nodrošināta šajā punktā paredzētā publisko līdzekļu piešķiršana saimnieciskās darbības veicējiem. Vēršam uzmanību, ka plānotie darījumi </w:t>
            </w:r>
            <w:r w:rsidRPr="008378B0">
              <w:rPr>
                <w:sz w:val="22"/>
                <w:szCs w:val="22"/>
              </w:rPr>
              <w:lastRenderedPageBreak/>
              <w:t xml:space="preserve">atbilst tirgus nosacījumiem, tādējādi izslēdzot komercdarbības atbalsta sniegšanas risku, ja potenciālie pakalpojumu sniedzēji tiek izvēlēti konkurenci nodrošinošā, pārredzamā, nediskriminējošā un beznosacījumu konkursa procedūrā, kas atbilst publiskā iepirkuma principiem. Ja minētie principi netiek nodrošināti, tad NEPLP darbojas kā komercdarbības atbalsta piešķīrējs un attiecīgi tai jānodrošina komercdarbības atbalsta kontroles normu piemērošana. Vienlaikus ievērojot informatīvajā ziņojumā norādīto: “Finansējuma mērķis ir atbalsts televīziju un radio izdevumu segšanai sabiedriski nozīmīga, redakcionāli neatkarīga </w:t>
            </w:r>
            <w:proofErr w:type="spellStart"/>
            <w:r w:rsidRPr="008378B0">
              <w:rPr>
                <w:sz w:val="22"/>
                <w:szCs w:val="22"/>
              </w:rPr>
              <w:t>oriģinālsatura</w:t>
            </w:r>
            <w:proofErr w:type="spellEnd"/>
            <w:r w:rsidRPr="008378B0">
              <w:rPr>
                <w:sz w:val="22"/>
                <w:szCs w:val="22"/>
              </w:rPr>
              <w:t xml:space="preserve"> veidošanas turpināšanai ārkārtējas situācijas apstākļos”, izsakām šaubas, ka plānoto pasākumu varēs realizēt konkurenci nodrošinošā, pārredzamā, nediskriminējošā un beznosacījumu konkursa procedūrā, kas atbilst publiskā iepirkuma principiem. Aicinām Kultūras ministriju un NEPLP ieviest plānoto pasākumu saskaņā ar Eiropas Komisijas 2013.gada 18.decembra Regula (ES) Nr. 1407/2013 par Līguma par Eiropas Savienības darbību 107. un 108.panta piemērošanu </w:t>
            </w:r>
            <w:proofErr w:type="spellStart"/>
            <w:r w:rsidRPr="008378B0">
              <w:rPr>
                <w:sz w:val="22"/>
                <w:szCs w:val="22"/>
              </w:rPr>
              <w:t>de</w:t>
            </w:r>
            <w:proofErr w:type="spellEnd"/>
            <w:r w:rsidRPr="008378B0">
              <w:rPr>
                <w:sz w:val="22"/>
                <w:szCs w:val="22"/>
              </w:rPr>
              <w:t xml:space="preserve"> </w:t>
            </w:r>
            <w:proofErr w:type="spellStart"/>
            <w:r w:rsidRPr="008378B0">
              <w:rPr>
                <w:sz w:val="22"/>
                <w:szCs w:val="22"/>
              </w:rPr>
              <w:t>minimis</w:t>
            </w:r>
            <w:proofErr w:type="spellEnd"/>
            <w:r w:rsidRPr="008378B0">
              <w:rPr>
                <w:sz w:val="22"/>
                <w:szCs w:val="22"/>
              </w:rPr>
              <w:t xml:space="preserve"> atbalstam (turpmāk - Komisijas regula Nr. </w:t>
            </w:r>
            <w:r w:rsidRPr="008378B0">
              <w:rPr>
                <w:sz w:val="22"/>
                <w:szCs w:val="22"/>
              </w:rPr>
              <w:lastRenderedPageBreak/>
              <w:t>1407/2013) vai 2020.gada 19.marta Komisijas paziņojums “Pagaidu regulējums valsts atbalsta pasākumiem, ar ko atbalsta ekonomiku pašreizējā Covid-19 uzliesmojuma situācijā” (turpmāk – Pagaidu regulējums). Vēršam uzmanību, ka pasākums, kas ieviests saskaņā ar Pagaidu regulējumu var tikt ieviests tikai pēc tam, kad tiks saņemts saskaņojums no Eiropas Komisijas</w:t>
            </w:r>
            <w:r w:rsidRPr="008378B0" w:rsidR="008F2BB4">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985128" w:rsidP="00B256A4" w:rsidRDefault="00384F96">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E1032A" w:rsidP="00DD48AB" w:rsidRDefault="008378B0">
            <w:pPr>
              <w:jc w:val="both"/>
            </w:pPr>
            <w:r>
              <w:rPr>
                <w:sz w:val="22"/>
                <w:szCs w:val="22"/>
              </w:rPr>
              <w:t>I</w:t>
            </w:r>
            <w:r w:rsidRPr="008378B0" w:rsidR="00364198">
              <w:rPr>
                <w:sz w:val="22"/>
                <w:szCs w:val="22"/>
              </w:rPr>
              <w:t>nformatīvais ziņojums</w:t>
            </w:r>
            <w:r>
              <w:rPr>
                <w:sz w:val="22"/>
                <w:szCs w:val="22"/>
              </w:rPr>
              <w:t xml:space="preserve"> p</w:t>
            </w:r>
            <w:r w:rsidRPr="008378B0">
              <w:rPr>
                <w:sz w:val="22"/>
                <w:szCs w:val="22"/>
              </w:rPr>
              <w:t>apildināts</w:t>
            </w:r>
            <w:r>
              <w:rPr>
                <w:sz w:val="22"/>
                <w:szCs w:val="22"/>
              </w:rPr>
              <w:t xml:space="preserve"> ar šādu informāciju</w:t>
            </w:r>
            <w:r w:rsidRPr="008378B0" w:rsidR="00364198">
              <w:rPr>
                <w:sz w:val="22"/>
                <w:szCs w:val="22"/>
              </w:rPr>
              <w:t>:</w:t>
            </w:r>
          </w:p>
          <w:p w:rsidRPr="008378B0" w:rsidR="008378B0" w:rsidP="00DD48AB" w:rsidRDefault="008378B0">
            <w:pPr>
              <w:jc w:val="both"/>
            </w:pPr>
          </w:p>
          <w:p w:rsidR="008378B0" w:rsidP="008378B0" w:rsidRDefault="00364198">
            <w:pPr>
              <w:jc w:val="both"/>
            </w:pPr>
            <w:r w:rsidRPr="008378B0">
              <w:rPr>
                <w:sz w:val="22"/>
                <w:szCs w:val="22"/>
              </w:rPr>
              <w:t>„</w:t>
            </w:r>
            <w:r w:rsidRPr="008378B0">
              <w:rPr>
                <w:iCs/>
                <w:sz w:val="22"/>
                <w:szCs w:val="22"/>
              </w:rPr>
              <w:t>Attiecībā uz atbilstību valsts atbalsta regulējumam f</w:t>
            </w:r>
            <w:r w:rsidRPr="008378B0">
              <w:rPr>
                <w:sz w:val="22"/>
                <w:szCs w:val="22"/>
              </w:rPr>
              <w:t xml:space="preserve">inansējums </w:t>
            </w:r>
            <w:r w:rsidRPr="008378B0">
              <w:rPr>
                <w:bCs/>
                <w:sz w:val="22"/>
                <w:szCs w:val="22"/>
              </w:rPr>
              <w:t>komerciālajiem elektroniskajiem plašsaziņas līdzekļiem</w:t>
            </w:r>
            <w:r w:rsidRPr="008378B0">
              <w:rPr>
                <w:sz w:val="22"/>
                <w:szCs w:val="22"/>
              </w:rPr>
              <w:t xml:space="preserve"> un satura veidošanai drukātajos medijos un komerciālos interneta ziņu portālos tiks piešķirts, potenciālos pakalpojumu sniedzējus izvēlētos konkurenci nodrošinošā, pārredzamā, nediskriminējošā un </w:t>
            </w:r>
            <w:r w:rsidRPr="008378B0">
              <w:rPr>
                <w:sz w:val="22"/>
                <w:szCs w:val="22"/>
              </w:rPr>
              <w:lastRenderedPageBreak/>
              <w:t>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krīzē cietušajiem elektroniskajiem medijiem veikt resursu ietilpīga, sabiedrības dažādām interesēm atbilstoša satura ražošanu.</w:t>
            </w:r>
          </w:p>
          <w:p w:rsidRPr="008378B0" w:rsidR="00364198" w:rsidP="008378B0" w:rsidRDefault="00364198">
            <w:pPr>
              <w:ind w:firstLine="353"/>
              <w:jc w:val="both"/>
            </w:pPr>
            <w:r w:rsidRPr="008378B0">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Komisijas lēmumu Nr.2012/21</w:t>
            </w:r>
            <w:r w:rsidR="008378B0">
              <w:rPr>
                <w:sz w:val="22"/>
                <w:szCs w:val="22"/>
              </w:rPr>
              <w:t>/ES („</w:t>
            </w:r>
            <w:r w:rsidRPr="008378B0">
              <w:rPr>
                <w:sz w:val="22"/>
                <w:szCs w:val="22"/>
              </w:rPr>
              <w:t xml:space="preserve">Par Līguma par </w:t>
            </w:r>
            <w:r w:rsidR="008378B0">
              <w:rPr>
                <w:sz w:val="22"/>
                <w:szCs w:val="22"/>
              </w:rPr>
              <w:t>Eiropas Savienības darbību 106.panta 2.</w:t>
            </w:r>
            <w:r w:rsidRPr="008378B0">
              <w:rPr>
                <w:sz w:val="22"/>
                <w:szCs w:val="22"/>
              </w:rPr>
              <w:t>punkta piemērošanu valsts atbalstam attiecībā uz kompensāciju par sabiedriskajiem pakalpojumiem dažiem uzņēmumiem, kuriem uzticēts sniegt pakalpojumus ar vispārēju tautsaimniecisku nozīmi”).”</w:t>
            </w:r>
          </w:p>
          <w:p w:rsidRPr="008378B0" w:rsidR="009157CF" w:rsidP="00DD48AB" w:rsidRDefault="009157CF">
            <w:pPr>
              <w:autoSpaceDE w:val="0"/>
              <w:autoSpaceDN w:val="0"/>
              <w:adjustRightInd w:val="0"/>
              <w:contextualSpacing/>
              <w:jc w:val="both"/>
            </w:pPr>
          </w:p>
        </w:tc>
      </w:tr>
      <w:tr w:rsidRPr="008378B0" w:rsidR="00724A52"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724A52" w:rsidP="00724A52" w:rsidRDefault="00724A52">
            <w:pPr>
              <w:pStyle w:val="naisc"/>
              <w:numPr>
                <w:ilvl w:val="0"/>
                <w:numId w:val="34"/>
              </w:numPr>
              <w:tabs>
                <w:tab w:val="left" w:pos="284"/>
              </w:tabs>
              <w:spacing w:before="0" w:after="0"/>
              <w:ind w:left="142" w:hanging="142"/>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724A52" w:rsidP="00DD48AB" w:rsidRDefault="008378B0">
            <w:pPr>
              <w:jc w:val="both"/>
            </w:pPr>
            <w:r>
              <w:rPr>
                <w:sz w:val="22"/>
                <w:szCs w:val="22"/>
              </w:rPr>
              <w:t>Informatīvais ziņojums</w:t>
            </w:r>
            <w:r w:rsidRPr="008378B0">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724A52" w:rsidP="00DD48AB" w:rsidRDefault="00724A52">
            <w:pPr>
              <w:tabs>
                <w:tab w:val="left" w:pos="993"/>
              </w:tabs>
              <w:jc w:val="both"/>
              <w:rPr>
                <w:b/>
                <w:bCs/>
              </w:rPr>
            </w:pPr>
            <w:r w:rsidRPr="008378B0">
              <w:rPr>
                <w:b/>
                <w:bCs/>
                <w:sz w:val="22"/>
                <w:szCs w:val="22"/>
              </w:rPr>
              <w:t>Finanšu ministrija:</w:t>
            </w:r>
          </w:p>
          <w:p w:rsidRPr="008378B0" w:rsidR="00724A52" w:rsidP="00DD48AB" w:rsidRDefault="00CE586A">
            <w:pPr>
              <w:tabs>
                <w:tab w:val="left" w:pos="993"/>
              </w:tabs>
              <w:jc w:val="both"/>
              <w:rPr>
                <w:bCs/>
              </w:rPr>
            </w:pPr>
            <w:r w:rsidRPr="008378B0">
              <w:rPr>
                <w:sz w:val="22"/>
                <w:szCs w:val="22"/>
              </w:rPr>
              <w:t xml:space="preserve">Ievērojot informatīvā ziņojuma 2.2.sadaļā minēto par atbalstu drukātās preses piegādei un atbalstam drukātās preses un komerciālajiem interneta ziņu portāliem, vēršam uzmanību, ka abi minētie atbalsta veidi potenciāli rada komercdarbības atbalsta sniegšanas riskus, attiecīgi plānojot to ieviešanu, potenciāli ir jāparedz, kā tiks nodrošināts sniegtā komercdarbības atbalsta saderīgums ar ES iekšējo tirgu. Lūdzam ņemt vērā, ka kā komercdarbības atbalsts ir klasificējams gan 100% atbalsts piegādei (tieša dotācija), gan atbalstam drukātās preses un komerciālajiem interneta ziņu portāliem (tieša dotācija). Attiecīgi kā piemērotākais komercdarbības atbalsta regulējums varētu būt Komisijas regula Nr. 1407/2013 vai Pagaidu regulējums, kas paredz </w:t>
            </w:r>
            <w:r w:rsidRPr="008378B0">
              <w:rPr>
                <w:sz w:val="22"/>
                <w:szCs w:val="22"/>
              </w:rPr>
              <w:lastRenderedPageBreak/>
              <w:t xml:space="preserve">sniegt atbalstu tiešo dotāciju, atmaksājamo avansu vai nodokļu atvieglojumu veidā, nepārsniedzot 800 000 </w:t>
            </w:r>
            <w:r w:rsidRPr="008378B0">
              <w:rPr>
                <w:i/>
                <w:sz w:val="22"/>
                <w:szCs w:val="22"/>
              </w:rPr>
              <w:t>euro</w:t>
            </w:r>
            <w:r w:rsidRPr="008378B0">
              <w:rPr>
                <w:sz w:val="22"/>
                <w:szCs w:val="22"/>
              </w:rPr>
              <w:t xml:space="preserve"> vienam uzņēmumam, pamatojot COVID-19 ietekmi uz atbalsta saņēmēja saimniecisko darbību, atbalstu piešķirot ne ilgāk kā līdz 2020.gada 31.decembrim. Vēršam uzmanību, ka pasākums, kas ieviests saskaņā ar Pagaidu regulējumu var tikt ieviests tikai pēc tam, kad tiks saņemts saskaņojums no Eiropas Komisijas. Lūdzam attiecīgi papildināt informatīvo ziņojumu</w:t>
            </w:r>
            <w:r w:rsidRPr="008378B0" w:rsidR="00F37CAA">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724A52" w:rsidP="00DD48AB" w:rsidRDefault="007A31E3">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8378B0" w:rsidP="008378B0" w:rsidRDefault="008378B0">
            <w:pPr>
              <w:jc w:val="both"/>
            </w:pPr>
            <w:r>
              <w:rPr>
                <w:sz w:val="22"/>
                <w:szCs w:val="22"/>
              </w:rPr>
              <w:t>I</w:t>
            </w:r>
            <w:r w:rsidRPr="008378B0">
              <w:rPr>
                <w:sz w:val="22"/>
                <w:szCs w:val="22"/>
              </w:rPr>
              <w:t>nformatīvais ziņojums</w:t>
            </w:r>
            <w:r>
              <w:rPr>
                <w:sz w:val="22"/>
                <w:szCs w:val="22"/>
              </w:rPr>
              <w:t xml:space="preserve"> p</w:t>
            </w:r>
            <w:r w:rsidRPr="008378B0">
              <w:rPr>
                <w:sz w:val="22"/>
                <w:szCs w:val="22"/>
              </w:rPr>
              <w:t>apildināts</w:t>
            </w:r>
            <w:r>
              <w:rPr>
                <w:sz w:val="22"/>
                <w:szCs w:val="22"/>
              </w:rPr>
              <w:t xml:space="preserve"> ar šādu informāciju</w:t>
            </w:r>
            <w:r w:rsidRPr="008378B0">
              <w:rPr>
                <w:sz w:val="22"/>
                <w:szCs w:val="22"/>
              </w:rPr>
              <w:t>:</w:t>
            </w:r>
          </w:p>
          <w:p w:rsidR="008378B0" w:rsidP="008378B0" w:rsidRDefault="008378B0">
            <w:pPr>
              <w:jc w:val="both"/>
              <w:rPr>
                <w:iCs/>
              </w:rPr>
            </w:pPr>
            <w:r w:rsidRPr="008378B0">
              <w:rPr>
                <w:iCs/>
                <w:sz w:val="22"/>
                <w:szCs w:val="22"/>
              </w:rPr>
              <w:t xml:space="preserve"> </w:t>
            </w:r>
          </w:p>
          <w:p w:rsidR="008378B0" w:rsidP="008378B0" w:rsidRDefault="00DB5BD8">
            <w:pPr>
              <w:jc w:val="both"/>
            </w:pPr>
            <w:r w:rsidRPr="008378B0">
              <w:rPr>
                <w:iCs/>
                <w:sz w:val="22"/>
                <w:szCs w:val="22"/>
              </w:rPr>
              <w:t>„Attiecībā uz atbilstību valsts atbalsta regulējumam f</w:t>
            </w:r>
            <w:r w:rsidRPr="008378B0">
              <w:rPr>
                <w:sz w:val="22"/>
                <w:szCs w:val="22"/>
              </w:rPr>
              <w:t xml:space="preserve">inansējums </w:t>
            </w:r>
            <w:r w:rsidRPr="008378B0">
              <w:rPr>
                <w:bCs/>
                <w:sz w:val="22"/>
                <w:szCs w:val="22"/>
              </w:rPr>
              <w:t>komerciālajiem elektroniskajiem plašsaziņas līdzekļiem</w:t>
            </w:r>
            <w:r w:rsidRPr="008378B0">
              <w:rPr>
                <w:sz w:val="22"/>
                <w:szCs w:val="22"/>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krīzē cietušajiem elektroniskajiem </w:t>
            </w:r>
            <w:r w:rsidRPr="008378B0">
              <w:rPr>
                <w:sz w:val="22"/>
                <w:szCs w:val="22"/>
              </w:rPr>
              <w:lastRenderedPageBreak/>
              <w:t>medijiem veikt resursu ietilpīga, sabiedrības dažādām interesēm atbilstoša satura ražošanu.</w:t>
            </w:r>
          </w:p>
          <w:p w:rsidR="008378B0" w:rsidP="008378B0" w:rsidRDefault="00DB5BD8">
            <w:pPr>
              <w:ind w:firstLine="353"/>
              <w:jc w:val="both"/>
            </w:pPr>
            <w:r w:rsidRPr="008378B0">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sidR="008378B0">
              <w:rPr>
                <w:sz w:val="22"/>
                <w:szCs w:val="22"/>
              </w:rPr>
              <w:t>omisijas lēmumu Nr.2012/21/ES („</w:t>
            </w:r>
            <w:r w:rsidRPr="008378B0">
              <w:rPr>
                <w:sz w:val="22"/>
                <w:szCs w:val="22"/>
              </w:rPr>
              <w:t>Par Līguma par Eiropas S</w:t>
            </w:r>
            <w:r w:rsidR="008378B0">
              <w:rPr>
                <w:sz w:val="22"/>
                <w:szCs w:val="22"/>
              </w:rPr>
              <w:t>avienības darbību 106.panta 2.</w:t>
            </w:r>
            <w:r w:rsidRPr="008378B0">
              <w:rPr>
                <w:sz w:val="22"/>
                <w:szCs w:val="22"/>
              </w:rPr>
              <w:t>punkta piemērošanu valsts atbalstam attiecībā uz kompensāciju par sabiedriskajiem pakalpojumiem dažiem uzņēmumiem, kuriem uzticēts sniegt pakalpojumus ar vispārēju tautsaimniecisku nozīmi”).</w:t>
            </w:r>
          </w:p>
          <w:p w:rsidR="008378B0" w:rsidP="008378B0" w:rsidRDefault="00DB5BD8">
            <w:pPr>
              <w:ind w:firstLine="353"/>
              <w:jc w:val="both"/>
            </w:pPr>
            <w:r w:rsidRPr="008378B0">
              <w:rPr>
                <w:iCs/>
                <w:sz w:val="22"/>
                <w:szCs w:val="22"/>
              </w:rPr>
              <w:t xml:space="preserve">Savukārt attiecībā uz </w:t>
            </w:r>
            <w:r w:rsidRPr="008378B0">
              <w:rPr>
                <w:sz w:val="22"/>
                <w:szCs w:val="22"/>
              </w:rPr>
              <w:t>abonētās preses izdevumu mēneša piegādes izmaksām ārkārtējās situācijas laikā un atbalstam elektronisko plašsaziņas līdzekļu programmu mēneša apraides izmaksām ārkārtējās situācijas laikā atbalsts tiks sniegts atbils</w:t>
            </w:r>
            <w:r w:rsidR="008378B0">
              <w:rPr>
                <w:sz w:val="22"/>
                <w:szCs w:val="22"/>
              </w:rPr>
              <w:t>toši Komisijas Regulai (EK) Nr.1407/2013 (2013.gada 18.</w:t>
            </w:r>
            <w:r w:rsidRPr="008378B0">
              <w:rPr>
                <w:sz w:val="22"/>
                <w:szCs w:val="22"/>
              </w:rPr>
              <w:t>decembris) par Līguma par Eiropas Savienības darbīb</w:t>
            </w:r>
            <w:r w:rsidR="008378B0">
              <w:rPr>
                <w:sz w:val="22"/>
                <w:szCs w:val="22"/>
              </w:rPr>
              <w:t>u (turpmāk – LESD) 107. un 108.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lastRenderedPageBreak/>
              <w:t>minimis</w:t>
            </w:r>
            <w:proofErr w:type="spellEnd"/>
            <w:r w:rsidRPr="008378B0">
              <w:rPr>
                <w:sz w:val="22"/>
                <w:szCs w:val="22"/>
              </w:rPr>
              <w:t xml:space="preserve"> atbalstam (publicēta ES Oficiālajā Vēstnesī L352, 24.12.2013), kas aizstāj Komisijas 2006.g</w:t>
            </w:r>
            <w:r w:rsidR="008378B0">
              <w:rPr>
                <w:sz w:val="22"/>
                <w:szCs w:val="22"/>
              </w:rPr>
              <w:t>ada 15.decembra Regulu (EK) Nr.1998/2006 par Līguma 87. un 88.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atbalstam. </w:t>
            </w:r>
          </w:p>
          <w:p w:rsidRPr="008378B0" w:rsidR="00724A52" w:rsidP="008378B0" w:rsidRDefault="00DB5BD8">
            <w:pPr>
              <w:ind w:firstLine="353"/>
              <w:jc w:val="both"/>
            </w:pPr>
            <w:r w:rsidRPr="008378B0">
              <w:rPr>
                <w:sz w:val="22"/>
                <w:szCs w:val="22"/>
              </w:rPr>
              <w:t xml:space="preserve">Saskaņā ar attiecīgo regulējumu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atbalsts ir vienam vienotam uzņēmumam noteiktā laikposmā piešķirts atbalsts, kurš nepārsniedz </w:t>
            </w:r>
            <w:r w:rsidR="008378B0">
              <w:rPr>
                <w:sz w:val="22"/>
                <w:szCs w:val="22"/>
              </w:rPr>
              <w:t>200 </w:t>
            </w:r>
            <w:r w:rsidRPr="008378B0">
              <w:rPr>
                <w:sz w:val="22"/>
                <w:szCs w:val="22"/>
              </w:rPr>
              <w:t xml:space="preserve">000 </w:t>
            </w:r>
            <w:r w:rsidRPr="008378B0" w:rsidR="008378B0">
              <w:rPr>
                <w:i/>
                <w:sz w:val="22"/>
                <w:szCs w:val="22"/>
              </w:rPr>
              <w:t>euro</w:t>
            </w:r>
            <w:r w:rsidR="008378B0">
              <w:rPr>
                <w:sz w:val="22"/>
                <w:szCs w:val="22"/>
              </w:rPr>
              <w:t xml:space="preserve"> </w:t>
            </w:r>
            <w:r w:rsidRPr="008378B0">
              <w:rPr>
                <w:sz w:val="22"/>
                <w:szCs w:val="22"/>
              </w:rPr>
              <w:t>augšējo robežu trīs fiskālo gadu periodā, neietekmē tirdzniecību starp dalībvalstīm un/vai neizkropļo konkurenci, vai nedraud izkropļot to, un tād</w:t>
            </w:r>
            <w:r w:rsidR="008378B0">
              <w:rPr>
                <w:sz w:val="22"/>
                <w:szCs w:val="22"/>
              </w:rPr>
              <w:t>ēļ uz to neattiecas Līguma 107.</w:t>
            </w:r>
            <w:r w:rsidRPr="008378B0">
              <w:rPr>
                <w:sz w:val="22"/>
                <w:szCs w:val="22"/>
              </w:rPr>
              <w:t xml:space="preserve">panta 1.punkts, līdz ar to uz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atbalstu neattiecas paziņošanas procedūra (kas paredzēta LESD 108.panta 3.punktā)</w:t>
            </w:r>
            <w:r w:rsidRPr="008378B0">
              <w:rPr>
                <w:rStyle w:val="apple-converted-space"/>
                <w:sz w:val="22"/>
                <w:szCs w:val="22"/>
              </w:rPr>
              <w:t>.”</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8378B0">
            <w:pPr>
              <w:jc w:val="both"/>
            </w:pPr>
            <w:r>
              <w:rPr>
                <w:sz w:val="22"/>
                <w:szCs w:val="22"/>
              </w:rPr>
              <w:t>Informatīvais ziņojums</w:t>
            </w:r>
            <w:r w:rsidR="00EF17C5">
              <w:rPr>
                <w:sz w:val="22"/>
                <w:szCs w:val="22"/>
              </w:rPr>
              <w:t>.</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tabs>
                <w:tab w:val="left" w:pos="993"/>
              </w:tabs>
              <w:jc w:val="both"/>
              <w:rPr>
                <w:b/>
                <w:bCs/>
              </w:rPr>
            </w:pPr>
            <w:r w:rsidRPr="008378B0">
              <w:rPr>
                <w:b/>
                <w:bCs/>
                <w:sz w:val="22"/>
                <w:szCs w:val="22"/>
              </w:rPr>
              <w:t>Finanšu ministrija:</w:t>
            </w:r>
          </w:p>
          <w:p w:rsidRPr="008378B0" w:rsidR="00F37CAA" w:rsidP="00DD48AB" w:rsidRDefault="00CE586A">
            <w:pPr>
              <w:tabs>
                <w:tab w:val="left" w:pos="993"/>
              </w:tabs>
              <w:jc w:val="both"/>
              <w:rPr>
                <w:b/>
                <w:bCs/>
              </w:rPr>
            </w:pPr>
            <w:r w:rsidRPr="008378B0">
              <w:rPr>
                <w:sz w:val="22"/>
                <w:szCs w:val="22"/>
              </w:rPr>
              <w:t xml:space="preserve">Lūdzam papildināt Informatīvā ziņojuma 2.2.sadaļu ar skaidrojumu saskaņā ar kādu komercdarbības atbalsta kontroles regulējumu tika nodrošināts NEPLP piešķiro 75 000 </w:t>
            </w:r>
            <w:r w:rsidRPr="008378B0">
              <w:rPr>
                <w:i/>
                <w:sz w:val="22"/>
                <w:szCs w:val="22"/>
              </w:rPr>
              <w:t xml:space="preserve">euro </w:t>
            </w:r>
            <w:r w:rsidRPr="008378B0">
              <w:rPr>
                <w:sz w:val="22"/>
                <w:szCs w:val="22"/>
              </w:rPr>
              <w:t>sadalījums apziņošanas nodrošināšanai 5 medijiem</w:t>
            </w:r>
            <w:r w:rsidRPr="008378B0" w:rsidR="00F37CAA">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364198">
            <w:pPr>
              <w:widowControl w:val="0"/>
              <w:autoSpaceDE w:val="0"/>
              <w:autoSpaceDN w:val="0"/>
              <w:adjustRightInd w:val="0"/>
              <w:jc w:val="center"/>
              <w:rPr>
                <w:b/>
                <w:bCs/>
              </w:rPr>
            </w:pPr>
            <w:r w:rsidRPr="008378B0">
              <w:rPr>
                <w:b/>
                <w:bCs/>
                <w:sz w:val="22"/>
                <w:szCs w:val="22"/>
              </w:rPr>
              <w:t>Ņemts vērā</w:t>
            </w:r>
          </w:p>
        </w:tc>
        <w:tc>
          <w:tcPr>
            <w:tcW w:w="1137" w:type="pct"/>
            <w:tcBorders>
              <w:top w:val="single" w:color="auto" w:sz="4" w:space="0"/>
              <w:left w:val="single" w:color="auto" w:sz="4" w:space="0"/>
              <w:bottom w:val="single" w:color="auto" w:sz="4" w:space="0"/>
            </w:tcBorders>
            <w:shd w:val="clear" w:color="auto" w:fill="auto"/>
          </w:tcPr>
          <w:p w:rsidR="008378B0" w:rsidP="008378B0" w:rsidRDefault="008378B0">
            <w:pPr>
              <w:jc w:val="both"/>
            </w:pPr>
            <w:r>
              <w:rPr>
                <w:sz w:val="22"/>
                <w:szCs w:val="22"/>
              </w:rPr>
              <w:t>I</w:t>
            </w:r>
            <w:r w:rsidRPr="008378B0">
              <w:rPr>
                <w:sz w:val="22"/>
                <w:szCs w:val="22"/>
              </w:rPr>
              <w:t>nformatīvais ziņojums</w:t>
            </w:r>
            <w:r>
              <w:rPr>
                <w:sz w:val="22"/>
                <w:szCs w:val="22"/>
              </w:rPr>
              <w:t xml:space="preserve"> p</w:t>
            </w:r>
            <w:r w:rsidRPr="008378B0">
              <w:rPr>
                <w:sz w:val="22"/>
                <w:szCs w:val="22"/>
              </w:rPr>
              <w:t>apildināts</w:t>
            </w:r>
            <w:r>
              <w:rPr>
                <w:sz w:val="22"/>
                <w:szCs w:val="22"/>
              </w:rPr>
              <w:t xml:space="preserve"> ar šādu informāciju</w:t>
            </w:r>
            <w:r w:rsidRPr="008378B0">
              <w:rPr>
                <w:sz w:val="22"/>
                <w:szCs w:val="22"/>
              </w:rPr>
              <w:t>:</w:t>
            </w:r>
          </w:p>
          <w:p w:rsidR="008378B0" w:rsidP="00364198" w:rsidRDefault="008378B0">
            <w:pPr>
              <w:pStyle w:val="ParastaisWeb"/>
              <w:spacing w:before="0" w:beforeAutospacing="0" w:after="0" w:afterAutospacing="0"/>
              <w:jc w:val="both"/>
            </w:pPr>
          </w:p>
          <w:p w:rsidRPr="008378B0" w:rsidR="00364198" w:rsidP="00EF17C5" w:rsidRDefault="00364198">
            <w:pPr>
              <w:pStyle w:val="ParastaisWeb"/>
              <w:spacing w:before="0" w:beforeAutospacing="0" w:after="0" w:afterAutospacing="0"/>
              <w:jc w:val="both"/>
              <w:rPr>
                <w:color w:val="000000" w:themeColor="text1"/>
              </w:rPr>
            </w:pPr>
            <w:r w:rsidRPr="008378B0">
              <w:rPr>
                <w:sz w:val="22"/>
                <w:szCs w:val="22"/>
              </w:rPr>
              <w:t>„</w:t>
            </w:r>
            <w:r w:rsidRPr="008378B0">
              <w:rPr>
                <w:color w:val="000000" w:themeColor="text1"/>
                <w:sz w:val="22"/>
                <w:szCs w:val="22"/>
              </w:rPr>
              <w:t xml:space="preserve">Nacionālajai elektronisko plašsaziņas līdzekļu padomei </w:t>
            </w:r>
            <w:r w:rsidRPr="008378B0" w:rsidR="003738FC">
              <w:rPr>
                <w:color w:val="000000" w:themeColor="text1"/>
                <w:sz w:val="22"/>
                <w:szCs w:val="22"/>
              </w:rPr>
              <w:t>piešķirti</w:t>
            </w:r>
            <w:r w:rsidR="00EF17C5">
              <w:rPr>
                <w:color w:val="000000" w:themeColor="text1"/>
                <w:sz w:val="22"/>
                <w:szCs w:val="22"/>
              </w:rPr>
              <w:t xml:space="preserve">e </w:t>
            </w:r>
            <w:r w:rsidRPr="008378B0" w:rsidR="00EF17C5">
              <w:rPr>
                <w:color w:val="000000" w:themeColor="text1"/>
                <w:sz w:val="22"/>
                <w:szCs w:val="22"/>
              </w:rPr>
              <w:t xml:space="preserve">75 000 </w:t>
            </w:r>
            <w:r w:rsidRPr="008378B0" w:rsidR="00EF17C5">
              <w:rPr>
                <w:i/>
                <w:color w:val="000000" w:themeColor="text1"/>
                <w:sz w:val="22"/>
                <w:szCs w:val="22"/>
              </w:rPr>
              <w:t>euro</w:t>
            </w:r>
            <w:r w:rsidRPr="008378B0">
              <w:rPr>
                <w:color w:val="000000" w:themeColor="text1"/>
                <w:sz w:val="22"/>
                <w:szCs w:val="22"/>
              </w:rPr>
              <w:t xml:space="preserve"> </w:t>
            </w:r>
            <w:r w:rsidRPr="008378B0" w:rsidR="003738FC">
              <w:rPr>
                <w:sz w:val="22"/>
                <w:szCs w:val="22"/>
              </w:rPr>
              <w:t>sabiedriskā p</w:t>
            </w:r>
            <w:r w:rsidR="00EF17C5">
              <w:rPr>
                <w:sz w:val="22"/>
                <w:szCs w:val="22"/>
              </w:rPr>
              <w:t xml:space="preserve">asūtījuma veidošanai </w:t>
            </w:r>
            <w:r w:rsidRPr="008378B0" w:rsidR="00EF17C5">
              <w:rPr>
                <w:sz w:val="22"/>
                <w:szCs w:val="22"/>
              </w:rPr>
              <w:t xml:space="preserve">konkursa kārtībā </w:t>
            </w:r>
            <w:r w:rsidR="00EF17C5">
              <w:rPr>
                <w:sz w:val="22"/>
                <w:szCs w:val="22"/>
              </w:rPr>
              <w:t xml:space="preserve">tika piešķirti </w:t>
            </w:r>
            <w:r w:rsidRPr="008378B0" w:rsidR="003738FC">
              <w:rPr>
                <w:sz w:val="22"/>
                <w:szCs w:val="22"/>
              </w:rPr>
              <w:t xml:space="preserve">komerciālajiem elektroniskajiem plašsaziņas līdzekļiem atbilstoši Elektronisko plašsaziņas līdzekļu likuma 71.panta otrās daļas nosacījumiem, ar konkursā </w:t>
            </w:r>
            <w:r w:rsidRPr="008378B0" w:rsidR="003738FC">
              <w:rPr>
                <w:sz w:val="22"/>
                <w:szCs w:val="22"/>
              </w:rPr>
              <w:lastRenderedPageBreak/>
              <w:t xml:space="preserve">uzvarējušajiem pretendentiem </w:t>
            </w:r>
            <w:r w:rsidR="00EF17C5">
              <w:rPr>
                <w:sz w:val="22"/>
                <w:szCs w:val="22"/>
              </w:rPr>
              <w:t>noslēdzot līgumus</w:t>
            </w:r>
            <w:r w:rsidRPr="008378B0" w:rsidR="003738FC">
              <w:rPr>
                <w:sz w:val="22"/>
                <w:szCs w:val="22"/>
              </w:rPr>
              <w:t>, ievērojot 2011.gada 20.decembra K</w:t>
            </w:r>
            <w:r w:rsidR="00EF17C5">
              <w:rPr>
                <w:sz w:val="22"/>
                <w:szCs w:val="22"/>
              </w:rPr>
              <w:t>omisijas lēmumu Nr.2012/21/ES („</w:t>
            </w:r>
            <w:r w:rsidRPr="008378B0" w:rsidR="003738FC">
              <w:rPr>
                <w:sz w:val="22"/>
                <w:szCs w:val="22"/>
              </w:rPr>
              <w:t>Par Līguma par Eiropas S</w:t>
            </w:r>
            <w:r w:rsidR="00EF17C5">
              <w:rPr>
                <w:sz w:val="22"/>
                <w:szCs w:val="22"/>
              </w:rPr>
              <w:t>avienības darbību 106.panta 2.</w:t>
            </w:r>
            <w:r w:rsidRPr="008378B0" w:rsidR="003738FC">
              <w:rPr>
                <w:sz w:val="22"/>
                <w:szCs w:val="22"/>
              </w:rPr>
              <w:t>punkta piemērošanu valsts atbalstam attiecībā uz kompensāciju par sabiedriskajiem pakalpojumiem dažiem uzņēmumiem, kuriem uzticēts sniegt pakalpojumus ar vispārēju tautsaimniecisku nozīmi”).</w:t>
            </w:r>
            <w:r w:rsidRPr="008378B0" w:rsidR="003738FC">
              <w:rPr>
                <w:color w:val="000000" w:themeColor="text1"/>
                <w:sz w:val="22"/>
                <w:szCs w:val="22"/>
              </w:rPr>
              <w:t>”</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EF17C5">
            <w:pPr>
              <w:jc w:val="both"/>
            </w:pPr>
            <w:r>
              <w:rPr>
                <w:sz w:val="22"/>
                <w:szCs w:val="22"/>
              </w:rPr>
              <w:t>Informatīvais ziņojums.</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tabs>
                <w:tab w:val="left" w:pos="993"/>
              </w:tabs>
              <w:jc w:val="both"/>
              <w:rPr>
                <w:b/>
                <w:bCs/>
              </w:rPr>
            </w:pPr>
            <w:r w:rsidRPr="008378B0">
              <w:rPr>
                <w:b/>
                <w:bCs/>
                <w:sz w:val="22"/>
                <w:szCs w:val="22"/>
              </w:rPr>
              <w:t>Finanšu ministrija:</w:t>
            </w:r>
          </w:p>
          <w:p w:rsidRPr="008378B0" w:rsidR="00F37CAA" w:rsidP="00DD48AB" w:rsidRDefault="00CE586A">
            <w:pPr>
              <w:tabs>
                <w:tab w:val="left" w:pos="993"/>
              </w:tabs>
              <w:jc w:val="both"/>
              <w:rPr>
                <w:b/>
                <w:bCs/>
              </w:rPr>
            </w:pPr>
            <w:r w:rsidRPr="008378B0">
              <w:rPr>
                <w:sz w:val="22"/>
                <w:szCs w:val="22"/>
              </w:rPr>
              <w:t xml:space="preserve">Lūdzam papildināt Informatīvā ziņojuma 2.2.sadaļu ar skaidrojumu, saskaņā ar kādu komercdarbības atbalsta kontroles regulējumu NEPLP plāno nodrošināt Izglītības un zinātnes ministrijas projektā par mācību satura pārraidīšanu paredzētā finansējuma, ko plānots piešķirt divām </w:t>
            </w:r>
            <w:proofErr w:type="spellStart"/>
            <w:r w:rsidRPr="008378B0">
              <w:rPr>
                <w:sz w:val="22"/>
                <w:szCs w:val="22"/>
              </w:rPr>
              <w:t>komerctelevīzijām</w:t>
            </w:r>
            <w:proofErr w:type="spellEnd"/>
            <w:r w:rsidRPr="008378B0">
              <w:rPr>
                <w:sz w:val="22"/>
                <w:szCs w:val="22"/>
              </w:rPr>
              <w:t xml:space="preserve">, kā arī piešķirtās atlaides radio un televīzijas apraides izmaksām saderīgumu ar ES iekšējo tirgu. Vēršam uzmanību, ka plānoto pasākumu varētu ieviest saskaņā ar Komisijas regulu Nr. 1407/2013 vai Pagaidu regulējumu, vai pakalpojumu sniedzēji tiktu izvēlēti konkurenci nodrošinošā, pārredzamā, nediskriminējošā un beznosacījumu konkursa procedūrā, kas atbilst publiskā iepirkuma principiem, nodrošinot, ka plānotie </w:t>
            </w:r>
            <w:r w:rsidRPr="008378B0">
              <w:rPr>
                <w:sz w:val="22"/>
                <w:szCs w:val="22"/>
              </w:rPr>
              <w:lastRenderedPageBreak/>
              <w:t>darījumi atbilst tirgus nosacījumiem, tādējādi izslēdzot komercdarbības atbalsta sniegšanas risku. Gadījumā, ja pasākumu plānots ieviest saskaņā ar Pagaidu regulējumu, vēršam uzmanību, ka tas var tikt ieviests tikai pēc tam, kad tiks saņemts saskaņojums no Eiropas Komisijas</w:t>
            </w:r>
            <w:r w:rsidRPr="008378B0" w:rsidR="00F37CAA">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DB5BD8">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EF17C5" w:rsidP="00EF17C5" w:rsidRDefault="00EF17C5">
            <w:pPr>
              <w:jc w:val="both"/>
            </w:pPr>
            <w:r>
              <w:rPr>
                <w:sz w:val="22"/>
                <w:szCs w:val="22"/>
              </w:rPr>
              <w:t>I</w:t>
            </w:r>
            <w:r w:rsidRPr="008378B0">
              <w:rPr>
                <w:sz w:val="22"/>
                <w:szCs w:val="22"/>
              </w:rPr>
              <w:t>nformatīvais ziņojums</w:t>
            </w:r>
            <w:r>
              <w:rPr>
                <w:sz w:val="22"/>
                <w:szCs w:val="22"/>
              </w:rPr>
              <w:t xml:space="preserve"> p</w:t>
            </w:r>
            <w:r w:rsidRPr="008378B0">
              <w:rPr>
                <w:sz w:val="22"/>
                <w:szCs w:val="22"/>
              </w:rPr>
              <w:t>apildināts</w:t>
            </w:r>
            <w:r>
              <w:rPr>
                <w:sz w:val="22"/>
                <w:szCs w:val="22"/>
              </w:rPr>
              <w:t xml:space="preserve"> ar šādu informāciju</w:t>
            </w:r>
            <w:r w:rsidRPr="008378B0">
              <w:rPr>
                <w:sz w:val="22"/>
                <w:szCs w:val="22"/>
              </w:rPr>
              <w:t>:</w:t>
            </w:r>
          </w:p>
          <w:p w:rsidR="00EF17C5" w:rsidP="00EF17C5" w:rsidRDefault="00EF17C5">
            <w:pPr>
              <w:jc w:val="both"/>
              <w:rPr>
                <w:iCs/>
              </w:rPr>
            </w:pPr>
            <w:r w:rsidRPr="008378B0">
              <w:rPr>
                <w:iCs/>
                <w:sz w:val="22"/>
                <w:szCs w:val="22"/>
              </w:rPr>
              <w:t xml:space="preserve"> </w:t>
            </w:r>
          </w:p>
          <w:p w:rsidR="00EF17C5" w:rsidP="00EF17C5" w:rsidRDefault="00EF17C5">
            <w:pPr>
              <w:jc w:val="both"/>
            </w:pPr>
            <w:r w:rsidRPr="008378B0">
              <w:rPr>
                <w:iCs/>
                <w:sz w:val="22"/>
                <w:szCs w:val="22"/>
              </w:rPr>
              <w:t>„Attiecībā uz atbilstību valsts atbalsta regulējumam f</w:t>
            </w:r>
            <w:r w:rsidRPr="008378B0">
              <w:rPr>
                <w:sz w:val="22"/>
                <w:szCs w:val="22"/>
              </w:rPr>
              <w:t xml:space="preserve">inansējums </w:t>
            </w:r>
            <w:r w:rsidRPr="008378B0">
              <w:rPr>
                <w:bCs/>
                <w:sz w:val="22"/>
                <w:szCs w:val="22"/>
              </w:rPr>
              <w:t>komerciālajiem elektroniskajiem plašsaziņas līdzekļiem</w:t>
            </w:r>
            <w:r w:rsidRPr="008378B0">
              <w:rPr>
                <w:sz w:val="22"/>
                <w:szCs w:val="22"/>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w:t>
            </w:r>
            <w:r w:rsidRPr="008378B0">
              <w:rPr>
                <w:sz w:val="22"/>
                <w:szCs w:val="22"/>
              </w:rPr>
              <w:lastRenderedPageBreak/>
              <w:t>krīzē cietušajiem elektroniskajiem medijiem veikt resursu ietilpīga, sabiedrības dažādām interesēm atbilstoša satura ražošanu.</w:t>
            </w:r>
          </w:p>
          <w:p w:rsidR="00EF17C5" w:rsidP="00EF17C5" w:rsidRDefault="00EF17C5">
            <w:pPr>
              <w:ind w:firstLine="353"/>
              <w:jc w:val="both"/>
            </w:pPr>
            <w:r w:rsidRPr="008378B0">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Pr>
                <w:sz w:val="22"/>
                <w:szCs w:val="22"/>
              </w:rPr>
              <w:t>omisijas lēmumu Nr.2012/21/ES („</w:t>
            </w:r>
            <w:r w:rsidRPr="008378B0">
              <w:rPr>
                <w:sz w:val="22"/>
                <w:szCs w:val="22"/>
              </w:rPr>
              <w:t>Par Līguma par Eiropas S</w:t>
            </w:r>
            <w:r>
              <w:rPr>
                <w:sz w:val="22"/>
                <w:szCs w:val="22"/>
              </w:rPr>
              <w:t>avienības darbību 106.panta 2.</w:t>
            </w:r>
            <w:r w:rsidRPr="008378B0">
              <w:rPr>
                <w:sz w:val="22"/>
                <w:szCs w:val="22"/>
              </w:rPr>
              <w:t>punkta piemērošanu valsts atbalstam attiecībā uz kompensāciju par sabiedriskajiem pakalpojumiem dažiem uzņēmumiem, kuriem uzticēts sniegt pakalpojumus ar vispārēju tautsaimniecisku nozīmi”).</w:t>
            </w:r>
          </w:p>
          <w:p w:rsidR="00EF17C5" w:rsidP="00EF17C5" w:rsidRDefault="00EF17C5">
            <w:pPr>
              <w:ind w:firstLine="353"/>
              <w:jc w:val="both"/>
            </w:pPr>
            <w:r w:rsidRPr="008378B0">
              <w:rPr>
                <w:iCs/>
                <w:sz w:val="22"/>
                <w:szCs w:val="22"/>
              </w:rPr>
              <w:t xml:space="preserve">Savukārt attiecībā uz </w:t>
            </w:r>
            <w:r w:rsidRPr="008378B0">
              <w:rPr>
                <w:sz w:val="22"/>
                <w:szCs w:val="22"/>
              </w:rPr>
              <w:t>abonētās preses izdevumu mēneša piegādes izmaksām ārkārtējās situācijas laikā un atbalstam elektronisko plašsaziņas līdzekļu programmu mēneša apraides izmaksām ārkārtējās situācijas laikā atbalsts tiks sniegts atbils</w:t>
            </w:r>
            <w:r>
              <w:rPr>
                <w:sz w:val="22"/>
                <w:szCs w:val="22"/>
              </w:rPr>
              <w:t>toši Komisijas Regulai (EK) Nr.1407/2013 (2013.gada 18.</w:t>
            </w:r>
            <w:r w:rsidRPr="008378B0">
              <w:rPr>
                <w:sz w:val="22"/>
                <w:szCs w:val="22"/>
              </w:rPr>
              <w:t>decembris) par Līguma par Eiropas Savienības darbīb</w:t>
            </w:r>
            <w:r>
              <w:rPr>
                <w:sz w:val="22"/>
                <w:szCs w:val="22"/>
              </w:rPr>
              <w:t xml:space="preserve">u (turpmāk – LESD) 107. un </w:t>
            </w:r>
            <w:r>
              <w:rPr>
                <w:sz w:val="22"/>
                <w:szCs w:val="22"/>
              </w:rPr>
              <w:lastRenderedPageBreak/>
              <w:t>108.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atbalstam (publicēta ES Oficiālajā Vēstnesī L352, 24.12.2013), kas aizstāj Komisijas 2006.g</w:t>
            </w:r>
            <w:r>
              <w:rPr>
                <w:sz w:val="22"/>
                <w:szCs w:val="22"/>
              </w:rPr>
              <w:t>ada 15.decembra Regulu (EK) Nr.1998/2006 par Līguma 87. un 88.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atbalstam. </w:t>
            </w:r>
          </w:p>
          <w:p w:rsidRPr="008378B0" w:rsidR="00F37CAA" w:rsidP="00EF17C5" w:rsidRDefault="00EF17C5">
            <w:pPr>
              <w:ind w:firstLine="353"/>
              <w:jc w:val="both"/>
            </w:pPr>
            <w:r w:rsidRPr="008378B0">
              <w:rPr>
                <w:sz w:val="22"/>
                <w:szCs w:val="22"/>
              </w:rPr>
              <w:t xml:space="preserve">Saskaņā ar attiecīgo regulējumu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atbalsts ir vienam vienotam uzņēmumam noteiktā laikposmā piešķirts atbalsts, kurš nepārsniedz </w:t>
            </w:r>
            <w:r>
              <w:rPr>
                <w:sz w:val="22"/>
                <w:szCs w:val="22"/>
              </w:rPr>
              <w:t>200 </w:t>
            </w:r>
            <w:r w:rsidRPr="008378B0">
              <w:rPr>
                <w:sz w:val="22"/>
                <w:szCs w:val="22"/>
              </w:rPr>
              <w:t xml:space="preserve">000 </w:t>
            </w:r>
            <w:r w:rsidRPr="008378B0">
              <w:rPr>
                <w:i/>
                <w:sz w:val="22"/>
                <w:szCs w:val="22"/>
              </w:rPr>
              <w:t>euro</w:t>
            </w:r>
            <w:r>
              <w:rPr>
                <w:sz w:val="22"/>
                <w:szCs w:val="22"/>
              </w:rPr>
              <w:t xml:space="preserve"> </w:t>
            </w:r>
            <w:r w:rsidRPr="008378B0">
              <w:rPr>
                <w:sz w:val="22"/>
                <w:szCs w:val="22"/>
              </w:rPr>
              <w:t>augšējo robežu trīs fiskālo gadu periodā, neietekmē tirdzniecību starp dalībvalstīm un/vai neizkropļo konkurenci, vai nedraud izkropļot to, un tād</w:t>
            </w:r>
            <w:r>
              <w:rPr>
                <w:sz w:val="22"/>
                <w:szCs w:val="22"/>
              </w:rPr>
              <w:t>ēļ uz to neattiecas Līguma 107.</w:t>
            </w:r>
            <w:r w:rsidRPr="008378B0">
              <w:rPr>
                <w:sz w:val="22"/>
                <w:szCs w:val="22"/>
              </w:rPr>
              <w:t xml:space="preserve">panta 1.punkts, līdz ar to uz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atbalstu neattiecas paziņošanas procedūra (kas paredzēta LESD 108.panta 3.punktā)</w:t>
            </w:r>
            <w:r w:rsidRPr="008378B0">
              <w:rPr>
                <w:rStyle w:val="apple-converted-space"/>
                <w:sz w:val="22"/>
                <w:szCs w:val="22"/>
              </w:rPr>
              <w:t>.”</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EF17C5">
            <w:pPr>
              <w:jc w:val="both"/>
            </w:pPr>
            <w:r>
              <w:rPr>
                <w:sz w:val="22"/>
                <w:szCs w:val="22"/>
              </w:rPr>
              <w:t>Informatīvais ziņojums.</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tabs>
                <w:tab w:val="left" w:pos="993"/>
              </w:tabs>
              <w:jc w:val="both"/>
              <w:rPr>
                <w:b/>
                <w:bCs/>
              </w:rPr>
            </w:pPr>
            <w:r w:rsidRPr="008378B0">
              <w:rPr>
                <w:b/>
                <w:bCs/>
                <w:sz w:val="22"/>
                <w:szCs w:val="22"/>
              </w:rPr>
              <w:t>Finanšu ministrija:</w:t>
            </w:r>
          </w:p>
          <w:p w:rsidRPr="008378B0" w:rsidR="00F37CAA" w:rsidP="00DD48AB" w:rsidRDefault="00CE586A">
            <w:pPr>
              <w:tabs>
                <w:tab w:val="left" w:pos="993"/>
              </w:tabs>
              <w:jc w:val="both"/>
              <w:rPr>
                <w:b/>
                <w:bCs/>
              </w:rPr>
            </w:pPr>
            <w:r w:rsidRPr="008378B0">
              <w:rPr>
                <w:sz w:val="22"/>
                <w:szCs w:val="22"/>
              </w:rPr>
              <w:t xml:space="preserve">Ievērojot informatīvā ziņojuma 4.sadaļas 1.2.3.apakšpunktā minēto par atbalstu apraides izmaksu segšanai elektroniskajiem plašsaziņas līdzekļiem, lūdzam ņemt vērā, ka arī šis atbalsta veids potenciāli rada komercdarbības atbalsta sniegšanas riskus, attiecīgi plānojot tā ieviešanu, potenciāli ir jāparedz kā tiks nodrošināts sniegtā komercdarbības atbalsta saderīgums </w:t>
            </w:r>
            <w:r w:rsidRPr="008378B0">
              <w:rPr>
                <w:sz w:val="22"/>
                <w:szCs w:val="22"/>
              </w:rPr>
              <w:lastRenderedPageBreak/>
              <w:t>ar ES iekšējo tirgu. Attiecīgi kā piemērotākais komercdarbības atbalsta regulējums varētu būt Komisijas regula Nr. 1407/2013 vai Pagaidu regulējums. Vēršam uzmanību, ka pasākums, kas ieviests saskaņā ar Pagaidu regulējumu var tikt ieviests tikai pēc tam, kad tiks saņemts saskaņojums no Eiropas Komisijas. Lūdzam ar minēto informāciju papildināt informatīvo ziņojumu</w:t>
            </w:r>
            <w:r w:rsidRPr="008378B0" w:rsidR="00F27C23">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D50D6B">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00EF17C5" w:rsidP="00EF17C5" w:rsidRDefault="00EF17C5">
            <w:pPr>
              <w:jc w:val="both"/>
            </w:pPr>
            <w:r>
              <w:rPr>
                <w:sz w:val="22"/>
                <w:szCs w:val="22"/>
              </w:rPr>
              <w:t>I</w:t>
            </w:r>
            <w:r w:rsidRPr="008378B0">
              <w:rPr>
                <w:sz w:val="22"/>
                <w:szCs w:val="22"/>
              </w:rPr>
              <w:t>nformatīvais ziņojums</w:t>
            </w:r>
            <w:r>
              <w:rPr>
                <w:sz w:val="22"/>
                <w:szCs w:val="22"/>
              </w:rPr>
              <w:t xml:space="preserve"> p</w:t>
            </w:r>
            <w:r w:rsidRPr="008378B0">
              <w:rPr>
                <w:sz w:val="22"/>
                <w:szCs w:val="22"/>
              </w:rPr>
              <w:t>apildināts</w:t>
            </w:r>
            <w:r>
              <w:rPr>
                <w:sz w:val="22"/>
                <w:szCs w:val="22"/>
              </w:rPr>
              <w:t xml:space="preserve"> ar šādu informāciju</w:t>
            </w:r>
            <w:r w:rsidRPr="008378B0">
              <w:rPr>
                <w:sz w:val="22"/>
                <w:szCs w:val="22"/>
              </w:rPr>
              <w:t>:</w:t>
            </w:r>
          </w:p>
          <w:p w:rsidR="00EF17C5" w:rsidP="00EF17C5" w:rsidRDefault="00EF17C5">
            <w:pPr>
              <w:jc w:val="both"/>
              <w:rPr>
                <w:iCs/>
              </w:rPr>
            </w:pPr>
            <w:r w:rsidRPr="008378B0">
              <w:rPr>
                <w:iCs/>
                <w:sz w:val="22"/>
                <w:szCs w:val="22"/>
              </w:rPr>
              <w:t xml:space="preserve"> </w:t>
            </w:r>
          </w:p>
          <w:p w:rsidR="00EF17C5" w:rsidP="00EF17C5" w:rsidRDefault="00EF17C5">
            <w:pPr>
              <w:jc w:val="both"/>
            </w:pPr>
            <w:r w:rsidRPr="008378B0">
              <w:rPr>
                <w:iCs/>
                <w:sz w:val="22"/>
                <w:szCs w:val="22"/>
              </w:rPr>
              <w:t>„Attiecībā uz atbilstību valsts atbalsta regulējumam f</w:t>
            </w:r>
            <w:r w:rsidRPr="008378B0">
              <w:rPr>
                <w:sz w:val="22"/>
                <w:szCs w:val="22"/>
              </w:rPr>
              <w:t xml:space="preserve">inansējums </w:t>
            </w:r>
            <w:r w:rsidRPr="008378B0">
              <w:rPr>
                <w:bCs/>
                <w:sz w:val="22"/>
                <w:szCs w:val="22"/>
              </w:rPr>
              <w:t>komerciālajiem elektroniskajiem plašsaziņas līdzekļiem</w:t>
            </w:r>
            <w:r w:rsidRPr="008378B0">
              <w:rPr>
                <w:sz w:val="22"/>
                <w:szCs w:val="22"/>
              </w:rPr>
              <w:t xml:space="preserve"> un satura veidošanai drukātajos medijos un komerciālos interneta ziņu portālos tiks piešķirts, potenciālos pakalpojumu sniedzējus izvēlētos konkurenci nodrošinošā, </w:t>
            </w:r>
            <w:r w:rsidRPr="008378B0">
              <w:rPr>
                <w:sz w:val="22"/>
                <w:szCs w:val="22"/>
              </w:rPr>
              <w:lastRenderedPageBreak/>
              <w:t>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krīzē cietušajiem elektroniskajiem medijiem veikt resursu ietilpīga, sabiedrības dažādām interesēm atbilstoša satura ražošanu.</w:t>
            </w:r>
          </w:p>
          <w:p w:rsidR="00EF17C5" w:rsidP="00EF17C5" w:rsidRDefault="00EF17C5">
            <w:pPr>
              <w:ind w:firstLine="353"/>
              <w:jc w:val="both"/>
            </w:pPr>
            <w:r w:rsidRPr="008378B0">
              <w:rPr>
                <w:sz w:val="22"/>
                <w:szCs w:val="22"/>
              </w:rPr>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Pr>
                <w:sz w:val="22"/>
                <w:szCs w:val="22"/>
              </w:rPr>
              <w:t>omisijas lēmumu Nr.2012/21/ES („</w:t>
            </w:r>
            <w:r w:rsidRPr="008378B0">
              <w:rPr>
                <w:sz w:val="22"/>
                <w:szCs w:val="22"/>
              </w:rPr>
              <w:t>Par Līguma par Eiropas S</w:t>
            </w:r>
            <w:r>
              <w:rPr>
                <w:sz w:val="22"/>
                <w:szCs w:val="22"/>
              </w:rPr>
              <w:t>avienības darbību 106.panta 2.</w:t>
            </w:r>
            <w:r w:rsidRPr="008378B0">
              <w:rPr>
                <w:sz w:val="22"/>
                <w:szCs w:val="22"/>
              </w:rPr>
              <w:t>punkta piemērošanu valsts atbalstam attiecībā uz kompensāciju par sabiedriskajiem pakalpojumiem dažiem uzņēmumiem, kuriem uzticēts sniegt pakalpojumus ar vispārēju tautsaimniecisku nozīmi”).</w:t>
            </w:r>
          </w:p>
          <w:p w:rsidR="00EF17C5" w:rsidP="00EF17C5" w:rsidRDefault="00EF17C5">
            <w:pPr>
              <w:ind w:firstLine="353"/>
              <w:jc w:val="both"/>
            </w:pPr>
            <w:r w:rsidRPr="008378B0">
              <w:rPr>
                <w:iCs/>
                <w:sz w:val="22"/>
                <w:szCs w:val="22"/>
              </w:rPr>
              <w:t xml:space="preserve">Savukārt attiecībā uz </w:t>
            </w:r>
            <w:r w:rsidRPr="008378B0">
              <w:rPr>
                <w:sz w:val="22"/>
                <w:szCs w:val="22"/>
              </w:rPr>
              <w:t xml:space="preserve">abonētās preses izdevumu mēneša </w:t>
            </w:r>
            <w:r w:rsidRPr="008378B0">
              <w:rPr>
                <w:sz w:val="22"/>
                <w:szCs w:val="22"/>
              </w:rPr>
              <w:lastRenderedPageBreak/>
              <w:t>piegādes izmaksām ārkārtējās situācijas laikā un atbalstam elektronisko plašsaziņas līdzekļu programmu mēneša apraides izmaksām ārkārtējās situācijas laikā atbalsts tiks sniegts atbils</w:t>
            </w:r>
            <w:r>
              <w:rPr>
                <w:sz w:val="22"/>
                <w:szCs w:val="22"/>
              </w:rPr>
              <w:t>toši Komisijas Regulai (EK) Nr.1407/2013 (2013.gada 18.</w:t>
            </w:r>
            <w:r w:rsidRPr="008378B0">
              <w:rPr>
                <w:sz w:val="22"/>
                <w:szCs w:val="22"/>
              </w:rPr>
              <w:t>decembris) par Līguma par Eiropas Savienības darbīb</w:t>
            </w:r>
            <w:r>
              <w:rPr>
                <w:sz w:val="22"/>
                <w:szCs w:val="22"/>
              </w:rPr>
              <w:t>u (turpmāk – LESD) 107. un 108.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atbalstam (publicēta ES Oficiālajā Vēstnesī L352, 24.12.2013), kas aizstāj Komisijas 2006.g</w:t>
            </w:r>
            <w:r>
              <w:rPr>
                <w:sz w:val="22"/>
                <w:szCs w:val="22"/>
              </w:rPr>
              <w:t>ada 15.decembra Regulu (EK) Nr.1998/2006 par Līguma 87. un 88.</w:t>
            </w:r>
            <w:r w:rsidRPr="008378B0">
              <w:rPr>
                <w:sz w:val="22"/>
                <w:szCs w:val="22"/>
              </w:rPr>
              <w:t xml:space="preserve">panta piemērošanu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atbalstam. </w:t>
            </w:r>
          </w:p>
          <w:p w:rsidRPr="008378B0" w:rsidR="00F37CAA" w:rsidP="00EF17C5" w:rsidRDefault="00EF17C5">
            <w:pPr>
              <w:jc w:val="both"/>
            </w:pPr>
            <w:r w:rsidRPr="008378B0">
              <w:rPr>
                <w:sz w:val="22"/>
                <w:szCs w:val="22"/>
              </w:rPr>
              <w:t xml:space="preserve">Saskaņā ar attiecīgo regulējumu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atbalsts ir vienam vienotam uzņēmumam noteiktā laikposmā piešķirts atbalsts, kurš nepārsniedz </w:t>
            </w:r>
            <w:r>
              <w:rPr>
                <w:sz w:val="22"/>
                <w:szCs w:val="22"/>
              </w:rPr>
              <w:t>200 </w:t>
            </w:r>
            <w:r w:rsidRPr="008378B0">
              <w:rPr>
                <w:sz w:val="22"/>
                <w:szCs w:val="22"/>
              </w:rPr>
              <w:t xml:space="preserve">000 </w:t>
            </w:r>
            <w:r w:rsidRPr="008378B0">
              <w:rPr>
                <w:i/>
                <w:sz w:val="22"/>
                <w:szCs w:val="22"/>
              </w:rPr>
              <w:t>euro</w:t>
            </w:r>
            <w:r>
              <w:rPr>
                <w:sz w:val="22"/>
                <w:szCs w:val="22"/>
              </w:rPr>
              <w:t xml:space="preserve"> </w:t>
            </w:r>
            <w:r w:rsidRPr="008378B0">
              <w:rPr>
                <w:sz w:val="22"/>
                <w:szCs w:val="22"/>
              </w:rPr>
              <w:t>augšējo robežu trīs fiskālo gadu periodā, neietekmē tirdzniecību starp dalībvalstīm un/vai neizkropļo konkurenci, vai nedraud izkropļot to, un tād</w:t>
            </w:r>
            <w:r>
              <w:rPr>
                <w:sz w:val="22"/>
                <w:szCs w:val="22"/>
              </w:rPr>
              <w:t>ēļ uz to neattiecas Līguma 107.</w:t>
            </w:r>
            <w:r w:rsidRPr="008378B0">
              <w:rPr>
                <w:sz w:val="22"/>
                <w:szCs w:val="22"/>
              </w:rPr>
              <w:t xml:space="preserve">panta 1.punkts, līdz ar to uz </w:t>
            </w:r>
            <w:proofErr w:type="spellStart"/>
            <w:r w:rsidRPr="008378B0">
              <w:rPr>
                <w:i/>
                <w:sz w:val="22"/>
                <w:szCs w:val="22"/>
              </w:rPr>
              <w:t>de</w:t>
            </w:r>
            <w:proofErr w:type="spellEnd"/>
            <w:r w:rsidRPr="008378B0">
              <w:rPr>
                <w:i/>
                <w:sz w:val="22"/>
                <w:szCs w:val="22"/>
              </w:rPr>
              <w:t xml:space="preserve"> </w:t>
            </w:r>
            <w:proofErr w:type="spellStart"/>
            <w:r w:rsidRPr="008378B0">
              <w:rPr>
                <w:i/>
                <w:sz w:val="22"/>
                <w:szCs w:val="22"/>
              </w:rPr>
              <w:t>minimis</w:t>
            </w:r>
            <w:proofErr w:type="spellEnd"/>
            <w:r w:rsidRPr="008378B0">
              <w:rPr>
                <w:sz w:val="22"/>
                <w:szCs w:val="22"/>
              </w:rPr>
              <w:t xml:space="preserve"> atbalstu neattiecas paziņošanas procedūra (kas paredzēta LESD 108.panta 3.punktā)</w:t>
            </w:r>
            <w:r w:rsidRPr="008378B0">
              <w:rPr>
                <w:rStyle w:val="apple-converted-space"/>
                <w:sz w:val="22"/>
                <w:szCs w:val="22"/>
              </w:rPr>
              <w:t>.”</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EF17C5">
            <w:pPr>
              <w:jc w:val="both"/>
            </w:pPr>
            <w:r>
              <w:rPr>
                <w:sz w:val="22"/>
                <w:szCs w:val="22"/>
              </w:rPr>
              <w:t>Informatīvais ziņojums.</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tabs>
                <w:tab w:val="left" w:pos="993"/>
              </w:tabs>
              <w:jc w:val="both"/>
              <w:rPr>
                <w:b/>
                <w:bCs/>
              </w:rPr>
            </w:pPr>
            <w:r w:rsidRPr="008378B0">
              <w:rPr>
                <w:b/>
                <w:bCs/>
                <w:sz w:val="22"/>
                <w:szCs w:val="22"/>
              </w:rPr>
              <w:t>Finanšu ministrija:</w:t>
            </w:r>
          </w:p>
          <w:p w:rsidRPr="008378B0" w:rsidR="00F37CAA" w:rsidP="00F27C23" w:rsidRDefault="00CE586A">
            <w:pPr>
              <w:tabs>
                <w:tab w:val="left" w:pos="993"/>
              </w:tabs>
              <w:jc w:val="both"/>
              <w:rPr>
                <w:bCs/>
              </w:rPr>
            </w:pPr>
            <w:r w:rsidRPr="008378B0">
              <w:rPr>
                <w:sz w:val="22"/>
                <w:szCs w:val="22"/>
              </w:rPr>
              <w:lastRenderedPageBreak/>
              <w:t>Informatīvā ziņojuma 4.sadaļā “Secinājumi” 7.punkts par valsts budžeta dotāciju sabiedriskā pasūtījuma īstenošanai 2021.gadā un sabiedrisko mediju iziešanai no reklāmas tirgus turpmākajos gados neizriet no informatīvā ziņojuma, un pēc būtības ir skatāms likumprojekta “Par valsts budžetu 2021.gadam” sagatavošanas procesā</w:t>
            </w:r>
            <w:r w:rsidRPr="008378B0" w:rsidR="00F27C23">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43635C">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Pr="008378B0" w:rsidR="00F37CAA" w:rsidP="00567713" w:rsidRDefault="0043635C">
            <w:pPr>
              <w:jc w:val="both"/>
            </w:pPr>
            <w:r w:rsidRPr="008378B0">
              <w:rPr>
                <w:sz w:val="22"/>
                <w:szCs w:val="22"/>
              </w:rPr>
              <w:t>Svītrots informatīvā ziņojuma</w:t>
            </w:r>
            <w:r w:rsidR="00EF17C5">
              <w:rPr>
                <w:sz w:val="22"/>
                <w:szCs w:val="22"/>
              </w:rPr>
              <w:t xml:space="preserve"> </w:t>
            </w:r>
            <w:r w:rsidR="00AA4CA3">
              <w:rPr>
                <w:sz w:val="22"/>
                <w:szCs w:val="22"/>
              </w:rPr>
              <w:lastRenderedPageBreak/>
              <w:t>3</w:t>
            </w:r>
            <w:r w:rsidR="00567713">
              <w:rPr>
                <w:sz w:val="22"/>
                <w:szCs w:val="22"/>
              </w:rPr>
              <w:t>.no</w:t>
            </w:r>
            <w:r w:rsidR="00EF17C5">
              <w:rPr>
                <w:sz w:val="22"/>
                <w:szCs w:val="22"/>
              </w:rPr>
              <w:t>daļas „Secinājumi”</w:t>
            </w:r>
            <w:r w:rsidRPr="008378B0">
              <w:rPr>
                <w:sz w:val="22"/>
                <w:szCs w:val="22"/>
              </w:rPr>
              <w:t xml:space="preserve"> 7.punkts.</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EF17C5">
            <w:pPr>
              <w:jc w:val="both"/>
            </w:pPr>
            <w:r>
              <w:rPr>
                <w:sz w:val="22"/>
                <w:szCs w:val="22"/>
              </w:rPr>
              <w:t>Informatīvais ziņojums.</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CE586A">
            <w:pPr>
              <w:tabs>
                <w:tab w:val="left" w:pos="993"/>
              </w:tabs>
              <w:jc w:val="both"/>
              <w:rPr>
                <w:b/>
                <w:bCs/>
              </w:rPr>
            </w:pPr>
            <w:r w:rsidRPr="008378B0">
              <w:rPr>
                <w:b/>
                <w:bCs/>
                <w:sz w:val="22"/>
                <w:szCs w:val="22"/>
              </w:rPr>
              <w:t>Tieslietu</w:t>
            </w:r>
            <w:r w:rsidRPr="008378B0" w:rsidR="00F37CAA">
              <w:rPr>
                <w:b/>
                <w:bCs/>
                <w:sz w:val="22"/>
                <w:szCs w:val="22"/>
              </w:rPr>
              <w:t xml:space="preserve"> ministrija:</w:t>
            </w:r>
          </w:p>
          <w:p w:rsidRPr="008378B0" w:rsidR="00F37CAA" w:rsidP="00F27C23" w:rsidRDefault="00CE586A">
            <w:pPr>
              <w:jc w:val="both"/>
            </w:pPr>
            <w:r w:rsidRPr="008378B0">
              <w:rPr>
                <w:bCs/>
                <w:sz w:val="22"/>
                <w:szCs w:val="22"/>
              </w:rPr>
              <w:t xml:space="preserve">Ministru kabineta sēdes protokollēmuma 2. punkts, paredz Kultūras ministrijai sadarbībā ar Nacionālo elektronisko plašsaziņas līdzekļu padomi veikt aprēķinus un kultūras ministram mēneša laikā pēc ārkārtējās situācijas beigām iesniegt noteiktā kārtībā izskatīšanai Ministru kabineta sēdē informatīvo ziņojumu </w:t>
            </w:r>
            <w:r w:rsidRPr="008378B0">
              <w:rPr>
                <w:bCs/>
                <w:sz w:val="22"/>
                <w:szCs w:val="22"/>
                <w:u w:val="single"/>
              </w:rPr>
              <w:t xml:space="preserve">par Covid-19 </w:t>
            </w:r>
            <w:bookmarkStart w:name="_Hlk37012053" w:id="0"/>
            <w:r w:rsidRPr="008378B0">
              <w:rPr>
                <w:bCs/>
                <w:sz w:val="22"/>
                <w:szCs w:val="22"/>
                <w:u w:val="single"/>
              </w:rPr>
              <w:t>ārkārtējās situācijas ietekmi uz sabiedrisko mediju finansiālo spēju nodrošināt sabiedriskā pasūtījuma izpildi</w:t>
            </w:r>
            <w:bookmarkEnd w:id="0"/>
            <w:r w:rsidRPr="008378B0">
              <w:rPr>
                <w:bCs/>
                <w:sz w:val="22"/>
                <w:szCs w:val="22"/>
                <w:u w:val="single"/>
              </w:rPr>
              <w:t>.</w:t>
            </w:r>
            <w:r w:rsidRPr="008378B0">
              <w:rPr>
                <w:bCs/>
                <w:sz w:val="22"/>
                <w:szCs w:val="22"/>
              </w:rPr>
              <w:t xml:space="preserve"> Norādām, ka Informatīvajā ziņojumā ir norādīti vairāki apstākļi</w:t>
            </w:r>
            <w:r w:rsidRPr="008378B0" w:rsidR="00DE0329">
              <w:rPr>
                <w:bCs/>
                <w:sz w:val="22"/>
                <w:szCs w:val="22"/>
              </w:rPr>
              <w:t>, kas radušies un ietekmējuši me</w:t>
            </w:r>
            <w:r w:rsidRPr="008378B0">
              <w:rPr>
                <w:bCs/>
                <w:sz w:val="22"/>
                <w:szCs w:val="22"/>
              </w:rPr>
              <w:t xml:space="preserve">diju nozari pirms ārkārtas stāvokļa izsludināšanas valstī. Attiecīgi atbilstoši Ministru kabineta sēdes protokollēmuma 2. punktam Informatīvajā ziņojumā būtu nepieciešams detalizētāk vērtēt konkrēti tieši ārkārtējās situācijas ietekmi uz sabiedrisko mediju finansiālo spēju nodrošināt </w:t>
            </w:r>
            <w:r w:rsidRPr="008378B0">
              <w:rPr>
                <w:bCs/>
                <w:sz w:val="22"/>
                <w:szCs w:val="22"/>
              </w:rPr>
              <w:lastRenderedPageBreak/>
              <w:t xml:space="preserve">sabiedriskā pasūtījuma izpildi. Tāpat Informatīvā ziņojuma secinājumos tiek paredzēts pieņemt vairākus lēmums, kas paredz piešķirt finansējumu no valsts budžeta, savukārt Informatīvajā ziņojumā nepieciešamās summas netiek pamatotas. Lūdzam Informatīvajā ziņojuma </w:t>
            </w:r>
            <w:r w:rsidRPr="008378B0">
              <w:rPr>
                <w:bCs/>
                <w:sz w:val="22"/>
                <w:szCs w:val="22"/>
                <w:u w:val="single"/>
              </w:rPr>
              <w:t>norādīt detalizētu pamatojumu noradītajām summām</w:t>
            </w:r>
            <w:r w:rsidRPr="008378B0">
              <w:rPr>
                <w:bCs/>
                <w:sz w:val="22"/>
                <w:szCs w:val="22"/>
              </w:rPr>
              <w:t>, kas atbilstoši sākotnējam mērķim ir attiecināmas uz Covid-19 ārkārtējās situācijas ietekmi uz sabiedrisko mediju finansiālo spēju nodrošināt sabiedriskā pasūtījuma izpildi</w:t>
            </w:r>
            <w:r w:rsidRPr="008378B0" w:rsidR="00F27C23">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DE0329">
            <w:pPr>
              <w:widowControl w:val="0"/>
              <w:autoSpaceDE w:val="0"/>
              <w:autoSpaceDN w:val="0"/>
              <w:adjustRightInd w:val="0"/>
              <w:jc w:val="center"/>
              <w:rPr>
                <w:b/>
                <w:bCs/>
              </w:rPr>
            </w:pPr>
            <w:r w:rsidRPr="008378B0">
              <w:rPr>
                <w:b/>
                <w:bCs/>
                <w:sz w:val="22"/>
                <w:szCs w:val="22"/>
              </w:rPr>
              <w:lastRenderedPageBreak/>
              <w:t>Ņemts vērā</w:t>
            </w:r>
          </w:p>
        </w:tc>
        <w:tc>
          <w:tcPr>
            <w:tcW w:w="1137" w:type="pct"/>
            <w:tcBorders>
              <w:top w:val="single" w:color="auto" w:sz="4" w:space="0"/>
              <w:left w:val="single" w:color="auto" w:sz="4" w:space="0"/>
              <w:bottom w:val="single" w:color="auto" w:sz="4" w:space="0"/>
            </w:tcBorders>
            <w:shd w:val="clear" w:color="auto" w:fill="auto"/>
          </w:tcPr>
          <w:p w:rsidRPr="008378B0" w:rsidR="00F37CAA" w:rsidP="00D47B15" w:rsidRDefault="00567713">
            <w:pPr>
              <w:jc w:val="both"/>
            </w:pPr>
            <w:r>
              <w:rPr>
                <w:sz w:val="22"/>
                <w:szCs w:val="22"/>
              </w:rPr>
              <w:t>Precizēta informatīvā ziņojuma 1.2.nodaļa „Sabiedriskie mediji”</w:t>
            </w:r>
            <w:r w:rsidRPr="008378B0" w:rsidR="00384F96">
              <w:rPr>
                <w:sz w:val="22"/>
                <w:szCs w:val="22"/>
              </w:rPr>
              <w:t>.</w:t>
            </w:r>
          </w:p>
        </w:tc>
      </w:tr>
      <w:tr w:rsidRPr="008378B0" w:rsidR="00F37CA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F37CAA" w:rsidRDefault="00F37CA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567713">
            <w:pPr>
              <w:jc w:val="both"/>
            </w:pPr>
            <w:r>
              <w:rPr>
                <w:sz w:val="22"/>
                <w:szCs w:val="22"/>
              </w:rPr>
              <w:t>Informatīvā ziņojuma 4.nodaļa</w:t>
            </w:r>
            <w:r w:rsidRPr="008378B0" w:rsidR="001E1234">
              <w:rPr>
                <w:sz w:val="22"/>
                <w:szCs w:val="22"/>
              </w:rPr>
              <w:t xml:space="preserve"> „Secinājumi”.</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F27C23" w:rsidP="00F27C23" w:rsidRDefault="00CE586A">
            <w:pPr>
              <w:tabs>
                <w:tab w:val="left" w:pos="993"/>
              </w:tabs>
              <w:jc w:val="both"/>
              <w:rPr>
                <w:b/>
                <w:bCs/>
              </w:rPr>
            </w:pPr>
            <w:r w:rsidRPr="008378B0">
              <w:rPr>
                <w:b/>
                <w:bCs/>
                <w:sz w:val="22"/>
                <w:szCs w:val="22"/>
              </w:rPr>
              <w:t>Tieslietu</w:t>
            </w:r>
            <w:r w:rsidRPr="008378B0" w:rsidR="00F27C23">
              <w:rPr>
                <w:b/>
                <w:bCs/>
                <w:sz w:val="22"/>
                <w:szCs w:val="22"/>
              </w:rPr>
              <w:t xml:space="preserve"> ministrija:</w:t>
            </w:r>
          </w:p>
          <w:p w:rsidRPr="008378B0" w:rsidR="00F37CAA" w:rsidP="00DD48AB" w:rsidRDefault="00CE586A">
            <w:pPr>
              <w:tabs>
                <w:tab w:val="left" w:pos="993"/>
              </w:tabs>
              <w:jc w:val="both"/>
              <w:rPr>
                <w:b/>
                <w:bCs/>
              </w:rPr>
            </w:pPr>
            <w:r w:rsidRPr="008378B0">
              <w:rPr>
                <w:bCs/>
                <w:sz w:val="22"/>
                <w:szCs w:val="22"/>
              </w:rPr>
              <w:t xml:space="preserve">Informatīvā ziņojuma 4.nodaļā “Secinājumi” norādīts, ka nepieciešams pieņemt lēmumus par konkrētu naudas summu piešķiršanu medijiem (1., 2., 7.punktā kopumā apmēram 10 milj. euro apmērā), taču Informatīvajam ziņojumam pievienotajā Ministru kabineta </w:t>
            </w:r>
            <w:proofErr w:type="spellStart"/>
            <w:r w:rsidRPr="008378B0">
              <w:rPr>
                <w:bCs/>
                <w:sz w:val="22"/>
                <w:szCs w:val="22"/>
              </w:rPr>
              <w:t>protokollēmumā</w:t>
            </w:r>
            <w:proofErr w:type="spellEnd"/>
            <w:r w:rsidRPr="008378B0">
              <w:rPr>
                <w:bCs/>
                <w:sz w:val="22"/>
                <w:szCs w:val="22"/>
              </w:rPr>
              <w:t xml:space="preserve"> šādi uzdevumi (lēmumi) netiek ietverti. Lūdzam saskaņot Informatīvā ziņojuma secinājumu nodaļas tekstu ar pievienoto Ministru kabineta protokollēmumu, jo pretējā gadījumā nav skaidras tiesiskās sekas</w:t>
            </w:r>
            <w:r w:rsidRPr="008378B0" w:rsidR="00F27C23">
              <w:rPr>
                <w:sz w:val="22"/>
                <w:szCs w:val="22"/>
              </w:rPr>
              <w: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F37CAA" w:rsidP="00DD48AB" w:rsidRDefault="00DE0329">
            <w:pPr>
              <w:widowControl w:val="0"/>
              <w:autoSpaceDE w:val="0"/>
              <w:autoSpaceDN w:val="0"/>
              <w:adjustRightInd w:val="0"/>
              <w:jc w:val="center"/>
              <w:rPr>
                <w:b/>
                <w:bCs/>
              </w:rPr>
            </w:pPr>
            <w:r w:rsidRPr="008378B0">
              <w:rPr>
                <w:b/>
                <w:bCs/>
                <w:sz w:val="22"/>
                <w:szCs w:val="22"/>
              </w:rPr>
              <w:t>Ņemts vērā</w:t>
            </w:r>
          </w:p>
          <w:p w:rsidRPr="00567713" w:rsidR="00DE0329" w:rsidP="00DE0329" w:rsidRDefault="00567713">
            <w:pPr>
              <w:widowControl w:val="0"/>
              <w:autoSpaceDE w:val="0"/>
              <w:autoSpaceDN w:val="0"/>
              <w:adjustRightInd w:val="0"/>
              <w:jc w:val="both"/>
              <w:rPr>
                <w:bCs/>
              </w:rPr>
            </w:pPr>
            <w:r w:rsidRPr="00567713">
              <w:rPr>
                <w:sz w:val="22"/>
                <w:szCs w:val="22"/>
              </w:rPr>
              <w:t xml:space="preserve">Informatīvais ziņojums tiek virzīts vienlaikus ar </w:t>
            </w:r>
            <w:r>
              <w:rPr>
                <w:sz w:val="22"/>
                <w:szCs w:val="22"/>
              </w:rPr>
              <w:t xml:space="preserve">Kultūras ministrijas sagatavoto </w:t>
            </w:r>
            <w:r w:rsidRPr="00567713">
              <w:rPr>
                <w:iCs/>
                <w:sz w:val="22"/>
                <w:szCs w:val="22"/>
              </w:rPr>
              <w:t xml:space="preserve">Ministru kabineta rīkojuma projektu </w:t>
            </w:r>
            <w:r w:rsidRPr="00567713">
              <w:rPr>
                <w:sz w:val="22"/>
                <w:szCs w:val="22"/>
              </w:rPr>
              <w:t xml:space="preserve">„Par finanšu līdzekļu piešķiršanu no valsts budžeta programmas „Līdzekļi neparedzētiem gadījumiem”” un </w:t>
            </w:r>
            <w:r w:rsidRPr="00567713">
              <w:rPr>
                <w:iCs/>
                <w:sz w:val="22"/>
                <w:szCs w:val="22"/>
              </w:rPr>
              <w:t xml:space="preserve">Ministru kabineta rīkojuma projektu </w:t>
            </w:r>
            <w:r w:rsidRPr="00567713">
              <w:rPr>
                <w:sz w:val="22"/>
                <w:szCs w:val="22"/>
              </w:rPr>
              <w:t>„Par apropriācijas pārdali”.</w:t>
            </w:r>
          </w:p>
        </w:tc>
        <w:tc>
          <w:tcPr>
            <w:tcW w:w="1137" w:type="pct"/>
            <w:tcBorders>
              <w:top w:val="single" w:color="auto" w:sz="4" w:space="0"/>
              <w:left w:val="single" w:color="auto" w:sz="4" w:space="0"/>
              <w:bottom w:val="single" w:color="auto" w:sz="4" w:space="0"/>
            </w:tcBorders>
            <w:shd w:val="clear" w:color="auto" w:fill="auto"/>
          </w:tcPr>
          <w:p w:rsidRPr="008378B0" w:rsidR="00F37CAA" w:rsidP="00D47B15" w:rsidRDefault="00567713">
            <w:pPr>
              <w:jc w:val="both"/>
            </w:pPr>
            <w:r>
              <w:rPr>
                <w:sz w:val="22"/>
                <w:szCs w:val="22"/>
              </w:rPr>
              <w:t>Inform</w:t>
            </w:r>
            <w:r w:rsidR="00AA4CA3">
              <w:rPr>
                <w:sz w:val="22"/>
                <w:szCs w:val="22"/>
              </w:rPr>
              <w:t>atīvā ziņojuma 3</w:t>
            </w:r>
            <w:r>
              <w:rPr>
                <w:sz w:val="22"/>
                <w:szCs w:val="22"/>
              </w:rPr>
              <w:t>.nodaļa</w:t>
            </w:r>
            <w:r w:rsidRPr="008378B0">
              <w:rPr>
                <w:sz w:val="22"/>
                <w:szCs w:val="22"/>
              </w:rPr>
              <w:t xml:space="preserve"> „Secinājumi”.</w:t>
            </w:r>
          </w:p>
        </w:tc>
      </w:tr>
      <w:tr w:rsidRPr="008378B0" w:rsidR="00CE586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F37CAA" w:rsidRDefault="00CE586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DD48AB" w:rsidRDefault="00567713">
            <w:pPr>
              <w:jc w:val="both"/>
            </w:pPr>
            <w:r>
              <w:rPr>
                <w:sz w:val="22"/>
                <w:szCs w:val="22"/>
              </w:rPr>
              <w:t>Informatīvā ziņojuma 2.3.nodaļa „</w:t>
            </w:r>
            <w:r w:rsidRPr="00567713">
              <w:rPr>
                <w:sz w:val="22"/>
                <w:szCs w:val="22"/>
              </w:rPr>
              <w:t>Reklāmas ierobežojumu atcelšana</w:t>
            </w:r>
            <w:r>
              <w:rPr>
                <w:sz w:val="22"/>
                <w:szCs w:val="22"/>
              </w:rPr>
              <w:t xml:space="preserve">” un Ministru </w:t>
            </w:r>
            <w:proofErr w:type="spellStart"/>
            <w:r>
              <w:rPr>
                <w:sz w:val="22"/>
                <w:szCs w:val="22"/>
              </w:rPr>
              <w:t>kabienta</w:t>
            </w:r>
            <w:proofErr w:type="spellEnd"/>
            <w:r>
              <w:rPr>
                <w:sz w:val="22"/>
                <w:szCs w:val="22"/>
              </w:rPr>
              <w:t xml:space="preserve"> sēdes protokollēmuma projekts.</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CE586A" w:rsidRDefault="00CE586A">
            <w:pPr>
              <w:tabs>
                <w:tab w:val="left" w:pos="993"/>
              </w:tabs>
              <w:jc w:val="both"/>
              <w:rPr>
                <w:b/>
                <w:bCs/>
              </w:rPr>
            </w:pPr>
            <w:r w:rsidRPr="008378B0">
              <w:rPr>
                <w:b/>
                <w:bCs/>
                <w:sz w:val="22"/>
                <w:szCs w:val="22"/>
              </w:rPr>
              <w:t>Tieslietu ministrija:</w:t>
            </w:r>
          </w:p>
          <w:p w:rsidRPr="008378B0" w:rsidR="00CE586A" w:rsidP="00F27C23" w:rsidRDefault="00CE586A">
            <w:pPr>
              <w:tabs>
                <w:tab w:val="left" w:pos="993"/>
              </w:tabs>
              <w:jc w:val="both"/>
              <w:rPr>
                <w:b/>
                <w:bCs/>
              </w:rPr>
            </w:pPr>
            <w:r w:rsidRPr="008378B0">
              <w:rPr>
                <w:bCs/>
                <w:sz w:val="22"/>
                <w:szCs w:val="22"/>
              </w:rPr>
              <w:t xml:space="preserve">Norādām, ka Tieslietu ministrija ir ļoti kritiski un skeptiski noskaņota pret  Informatīvajā ziņojumā </w:t>
            </w:r>
            <w:r w:rsidRPr="008378B0">
              <w:rPr>
                <w:bCs/>
                <w:sz w:val="22"/>
                <w:szCs w:val="22"/>
              </w:rPr>
              <w:lastRenderedPageBreak/>
              <w:t xml:space="preserve">aprakstīto reklāmas tirgus iespējamo atvēršanu (palielinājumu)  alkohola, kredītu un azartspēļu reklāmām.  Tieslietu ministrijas ieskatā tas nav piemērots risinājums mediju nozares finanšu situācijas uzlabošanai, jo pastāv risks par mediju nozares uzticamības un reputācijas krišanos, turklāt šāda veida reklāmām ir kopumā saturiski negatīva ietekme uz sabiedrību, kas atstāj negatīvu ietekmi uz tautsaimniecību. Minētie reklāmas ierobežojumi ir jau izdiskutēti Saeimā, un jāņem vērā arī šī jautājuma morālie un ētiskie </w:t>
            </w:r>
            <w:proofErr w:type="spellStart"/>
            <w:r w:rsidRPr="008378B0">
              <w:rPr>
                <w:bCs/>
                <w:sz w:val="22"/>
                <w:szCs w:val="22"/>
              </w:rPr>
              <w:t>apsekti</w:t>
            </w:r>
            <w:proofErr w:type="spellEnd"/>
            <w:r w:rsidRPr="008378B0">
              <w:rPr>
                <w:bCs/>
                <w:sz w:val="22"/>
                <w:szCs w:val="22"/>
              </w:rPr>
              <w:t xml:space="preserve">, turklāt jānotiek konsultācijām ar attiecīgām nozares ministrijām (piemēram, Veselības ministriju un Labklājības ministriju attiecībā uz </w:t>
            </w:r>
            <w:proofErr w:type="spellStart"/>
            <w:r w:rsidRPr="008378B0">
              <w:rPr>
                <w:bCs/>
                <w:sz w:val="22"/>
                <w:szCs w:val="22"/>
              </w:rPr>
              <w:t>alkhola</w:t>
            </w:r>
            <w:proofErr w:type="spellEnd"/>
            <w:r w:rsidRPr="008378B0">
              <w:rPr>
                <w:bCs/>
                <w:sz w:val="22"/>
                <w:szCs w:val="22"/>
              </w:rPr>
              <w:t xml:space="preserve"> reklāmu, utt.).</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DD48AB" w:rsidRDefault="00136BBC">
            <w:pPr>
              <w:widowControl w:val="0"/>
              <w:autoSpaceDE w:val="0"/>
              <w:autoSpaceDN w:val="0"/>
              <w:adjustRightInd w:val="0"/>
              <w:jc w:val="center"/>
              <w:rPr>
                <w:b/>
                <w:bCs/>
              </w:rPr>
            </w:pPr>
            <w:r w:rsidRPr="008378B0">
              <w:rPr>
                <w:b/>
                <w:bCs/>
                <w:sz w:val="22"/>
                <w:szCs w:val="22"/>
              </w:rPr>
              <w:lastRenderedPageBreak/>
              <w:t>Ņemts vērā</w:t>
            </w:r>
          </w:p>
          <w:p w:rsidRPr="008378B0" w:rsidR="00ED4701" w:rsidP="00ED4701" w:rsidRDefault="00ED4701">
            <w:pPr>
              <w:widowControl w:val="0"/>
              <w:autoSpaceDE w:val="0"/>
              <w:autoSpaceDN w:val="0"/>
              <w:adjustRightInd w:val="0"/>
              <w:jc w:val="both"/>
              <w:rPr>
                <w:bCs/>
              </w:rPr>
            </w:pPr>
          </w:p>
        </w:tc>
        <w:tc>
          <w:tcPr>
            <w:tcW w:w="1137" w:type="pct"/>
            <w:tcBorders>
              <w:top w:val="single" w:color="auto" w:sz="4" w:space="0"/>
              <w:left w:val="single" w:color="auto" w:sz="4" w:space="0"/>
              <w:bottom w:val="single" w:color="auto" w:sz="4" w:space="0"/>
            </w:tcBorders>
            <w:shd w:val="clear" w:color="auto" w:fill="auto"/>
          </w:tcPr>
          <w:p w:rsidRPr="008378B0" w:rsidR="00CE586A" w:rsidP="00D47B15" w:rsidRDefault="00567713">
            <w:pPr>
              <w:jc w:val="both"/>
            </w:pPr>
            <w:r>
              <w:rPr>
                <w:sz w:val="22"/>
                <w:szCs w:val="22"/>
              </w:rPr>
              <w:t>Svītrota informatīvā ziņojuma 2.3.nodaļa „</w:t>
            </w:r>
            <w:r w:rsidRPr="00567713">
              <w:rPr>
                <w:sz w:val="22"/>
                <w:szCs w:val="22"/>
              </w:rPr>
              <w:t>Reklāmas ierobežojumu atcelšana</w:t>
            </w:r>
            <w:r>
              <w:rPr>
                <w:sz w:val="22"/>
                <w:szCs w:val="22"/>
              </w:rPr>
              <w:t xml:space="preserve">”, precizēts informatīvais ziņojums </w:t>
            </w:r>
            <w:r>
              <w:rPr>
                <w:sz w:val="22"/>
                <w:szCs w:val="22"/>
              </w:rPr>
              <w:lastRenderedPageBreak/>
              <w:t xml:space="preserve">un </w:t>
            </w:r>
            <w:r w:rsidR="00F111D6">
              <w:rPr>
                <w:sz w:val="22"/>
                <w:szCs w:val="22"/>
              </w:rPr>
              <w:t xml:space="preserve">svītrots </w:t>
            </w:r>
            <w:r>
              <w:rPr>
                <w:sz w:val="22"/>
                <w:szCs w:val="22"/>
              </w:rPr>
              <w:t xml:space="preserve">Ministru </w:t>
            </w:r>
            <w:proofErr w:type="spellStart"/>
            <w:r>
              <w:rPr>
                <w:sz w:val="22"/>
                <w:szCs w:val="22"/>
              </w:rPr>
              <w:t>kabienta</w:t>
            </w:r>
            <w:proofErr w:type="spellEnd"/>
            <w:r>
              <w:rPr>
                <w:sz w:val="22"/>
                <w:szCs w:val="22"/>
              </w:rPr>
              <w:t xml:space="preserve"> sēdes protokollēmuma projekta 3.punkts</w:t>
            </w:r>
            <w:r w:rsidRPr="008378B0" w:rsidR="00136BBC">
              <w:rPr>
                <w:sz w:val="22"/>
                <w:szCs w:val="22"/>
              </w:rPr>
              <w:t>.</w:t>
            </w:r>
          </w:p>
          <w:p w:rsidRPr="008378B0" w:rsidR="00204565" w:rsidP="00D47B15" w:rsidRDefault="00204565">
            <w:pPr>
              <w:jc w:val="both"/>
            </w:pPr>
          </w:p>
        </w:tc>
      </w:tr>
      <w:tr w:rsidRPr="008378B0" w:rsidR="00CE586A" w:rsidTr="00F27C23">
        <w:trPr>
          <w:trHeight w:val="65"/>
        </w:trPr>
        <w:tc>
          <w:tcPr>
            <w:tcW w:w="315"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F37CAA" w:rsidRDefault="00CE586A">
            <w:pPr>
              <w:pStyle w:val="naisc"/>
              <w:numPr>
                <w:ilvl w:val="0"/>
                <w:numId w:val="34"/>
              </w:numPr>
              <w:tabs>
                <w:tab w:val="left" w:pos="284"/>
              </w:tabs>
              <w:spacing w:before="0" w:after="0"/>
            </w:pPr>
          </w:p>
        </w:tc>
        <w:tc>
          <w:tcPr>
            <w:tcW w:w="1205"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DD48AB" w:rsidRDefault="00567713">
            <w:pPr>
              <w:jc w:val="both"/>
            </w:pPr>
            <w:r>
              <w:rPr>
                <w:sz w:val="22"/>
                <w:szCs w:val="22"/>
              </w:rPr>
              <w:t>Informatīvā ziņojuma 4.nodaļa</w:t>
            </w:r>
            <w:r w:rsidRPr="008378B0">
              <w:rPr>
                <w:sz w:val="22"/>
                <w:szCs w:val="22"/>
              </w:rPr>
              <w:t xml:space="preserve"> „Secinājumi”.</w:t>
            </w:r>
          </w:p>
        </w:tc>
        <w:tc>
          <w:tcPr>
            <w:tcW w:w="1222"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CE586A" w:rsidRDefault="00CE586A">
            <w:pPr>
              <w:tabs>
                <w:tab w:val="left" w:pos="993"/>
              </w:tabs>
              <w:jc w:val="both"/>
              <w:rPr>
                <w:b/>
                <w:bCs/>
              </w:rPr>
            </w:pPr>
            <w:r w:rsidRPr="008378B0">
              <w:rPr>
                <w:b/>
                <w:bCs/>
                <w:sz w:val="22"/>
                <w:szCs w:val="22"/>
              </w:rPr>
              <w:t>Tieslietu ministrija:</w:t>
            </w:r>
          </w:p>
          <w:p w:rsidRPr="008378B0" w:rsidR="00CE586A" w:rsidP="00F27C23" w:rsidRDefault="00CE586A">
            <w:pPr>
              <w:tabs>
                <w:tab w:val="left" w:pos="993"/>
              </w:tabs>
              <w:jc w:val="both"/>
              <w:rPr>
                <w:b/>
                <w:bCs/>
              </w:rPr>
            </w:pPr>
            <w:r w:rsidRPr="008378B0">
              <w:rPr>
                <w:bCs/>
                <w:sz w:val="22"/>
                <w:szCs w:val="22"/>
              </w:rPr>
              <w:t xml:space="preserve">Informatīvā ziņojuma secinājumos 4. punktā tiek norādīts, ka, nosakot pārvietošanās ierobežojumus, paredzēt, ka žurnālistiem un citiem mediju darbiniekiem tiek nodrošināta iespēja veikt savus pienākumus, tostarp neattiecināt pārvietošanās ierobežojumus. Vēršam uzmanību, ka īpašu pārvietošanās un pulcēšanās kārtību vai pārvietošanās un pulcēšanās ierobežojumus nosaka Ministru kabinets, un šobrīd noteiktie pārvietošanās ierobežojumi ir tādi, kurus žurnālistiem būtu iespējams </w:t>
            </w:r>
            <w:r w:rsidRPr="008378B0">
              <w:rPr>
                <w:bCs/>
                <w:sz w:val="22"/>
                <w:szCs w:val="22"/>
              </w:rPr>
              <w:lastRenderedPageBreak/>
              <w:t>ievērot, nepārtraucot savus darba pienākumus. Norādām, ka šāda izņēmuma attiecināšana var apdraudēt citu cilvēku veselību, tādēļ būtu īpaši izvērtējama sadarbībā ar Veselības ministriju.</w:t>
            </w:r>
          </w:p>
        </w:tc>
        <w:tc>
          <w:tcPr>
            <w:tcW w:w="1121" w:type="pct"/>
            <w:tcBorders>
              <w:top w:val="single" w:color="000000" w:sz="6" w:space="0"/>
              <w:left w:val="single" w:color="000000" w:sz="6" w:space="0"/>
              <w:bottom w:val="single" w:color="000000" w:sz="6" w:space="0"/>
              <w:right w:val="single" w:color="000000" w:sz="6" w:space="0"/>
            </w:tcBorders>
            <w:shd w:val="clear" w:color="auto" w:fill="auto"/>
          </w:tcPr>
          <w:p w:rsidRPr="008378B0" w:rsidR="00CE586A" w:rsidP="00DD48AB" w:rsidRDefault="00136BBC">
            <w:pPr>
              <w:widowControl w:val="0"/>
              <w:autoSpaceDE w:val="0"/>
              <w:autoSpaceDN w:val="0"/>
              <w:adjustRightInd w:val="0"/>
              <w:jc w:val="center"/>
              <w:rPr>
                <w:b/>
                <w:bCs/>
              </w:rPr>
            </w:pPr>
            <w:r w:rsidRPr="008378B0">
              <w:rPr>
                <w:b/>
                <w:bCs/>
                <w:sz w:val="22"/>
                <w:szCs w:val="22"/>
              </w:rPr>
              <w:lastRenderedPageBreak/>
              <w:t>Ņemts vērā</w:t>
            </w:r>
          </w:p>
          <w:p w:rsidRPr="008378B0" w:rsidR="00136BBC" w:rsidP="00136BBC" w:rsidRDefault="00136BBC">
            <w:pPr>
              <w:widowControl w:val="0"/>
              <w:autoSpaceDE w:val="0"/>
              <w:autoSpaceDN w:val="0"/>
              <w:adjustRightInd w:val="0"/>
              <w:jc w:val="center"/>
              <w:rPr>
                <w:bCs/>
              </w:rPr>
            </w:pPr>
          </w:p>
        </w:tc>
        <w:tc>
          <w:tcPr>
            <w:tcW w:w="1137" w:type="pct"/>
            <w:tcBorders>
              <w:top w:val="single" w:color="auto" w:sz="4" w:space="0"/>
              <w:left w:val="single" w:color="auto" w:sz="4" w:space="0"/>
              <w:bottom w:val="single" w:color="auto" w:sz="4" w:space="0"/>
            </w:tcBorders>
            <w:shd w:val="clear" w:color="auto" w:fill="auto"/>
          </w:tcPr>
          <w:p w:rsidRPr="008378B0" w:rsidR="00CE586A" w:rsidP="00D47B15" w:rsidRDefault="00204565">
            <w:pPr>
              <w:jc w:val="both"/>
            </w:pPr>
            <w:r w:rsidRPr="008378B0">
              <w:rPr>
                <w:sz w:val="22"/>
                <w:szCs w:val="22"/>
              </w:rPr>
              <w:t xml:space="preserve">Svītrots </w:t>
            </w:r>
            <w:r w:rsidR="00AA4CA3">
              <w:rPr>
                <w:sz w:val="22"/>
                <w:szCs w:val="22"/>
              </w:rPr>
              <w:t>informatīvā ziņojuma 3</w:t>
            </w:r>
            <w:r w:rsidR="00567713">
              <w:rPr>
                <w:sz w:val="22"/>
                <w:szCs w:val="22"/>
              </w:rPr>
              <w:t xml:space="preserve">.nodaļas „Secinājumi” </w:t>
            </w:r>
            <w:r w:rsidRPr="008378B0">
              <w:rPr>
                <w:sz w:val="22"/>
                <w:szCs w:val="22"/>
              </w:rPr>
              <w:t>4.punkts.</w:t>
            </w:r>
          </w:p>
        </w:tc>
      </w:tr>
    </w:tbl>
    <w:p w:rsidRPr="008378B0" w:rsidR="00D81B4A" w:rsidP="00DD48AB" w:rsidRDefault="00D81B4A">
      <w:pPr>
        <w:rPr>
          <w:sz w:val="22"/>
          <w:szCs w:val="22"/>
          <w:u w:val="single"/>
        </w:rPr>
      </w:pPr>
    </w:p>
    <w:p w:rsidRPr="008378B0" w:rsidR="00D81B4A" w:rsidP="00DD48AB" w:rsidRDefault="00D81B4A">
      <w:pPr>
        <w:rPr>
          <w:sz w:val="22"/>
          <w:szCs w:val="22"/>
          <w:u w:val="single"/>
        </w:rPr>
      </w:pPr>
    </w:p>
    <w:p w:rsidRPr="008378B0" w:rsidR="00734A51" w:rsidP="00DD48AB" w:rsidRDefault="005B4C38">
      <w:pPr>
        <w:outlineLvl w:val="0"/>
        <w:rPr>
          <w:sz w:val="20"/>
          <w:szCs w:val="20"/>
        </w:rPr>
      </w:pPr>
      <w:r w:rsidRPr="008378B0">
        <w:rPr>
          <w:sz w:val="20"/>
          <w:szCs w:val="20"/>
        </w:rPr>
        <w:t xml:space="preserve">Kristers </w:t>
      </w:r>
      <w:r w:rsidRPr="008378B0" w:rsidR="00DE05BF">
        <w:rPr>
          <w:sz w:val="20"/>
          <w:szCs w:val="20"/>
        </w:rPr>
        <w:t>Pļešakovs</w:t>
      </w:r>
    </w:p>
    <w:p w:rsidRPr="00ED4701" w:rsidR="00734A51" w:rsidP="00DD48AB" w:rsidRDefault="00734A51">
      <w:pPr>
        <w:rPr>
          <w:iCs/>
          <w:sz w:val="20"/>
        </w:rPr>
      </w:pPr>
      <w:r w:rsidRPr="00ED4701">
        <w:rPr>
          <w:iCs/>
          <w:sz w:val="20"/>
        </w:rPr>
        <w:t xml:space="preserve">Kultūras ministrijas </w:t>
      </w:r>
    </w:p>
    <w:p w:rsidRPr="00ED4701" w:rsidR="00734A51" w:rsidP="00DD48AB" w:rsidRDefault="00734A51">
      <w:pPr>
        <w:rPr>
          <w:iCs/>
          <w:sz w:val="20"/>
        </w:rPr>
      </w:pPr>
      <w:r w:rsidRPr="00ED4701">
        <w:rPr>
          <w:iCs/>
          <w:sz w:val="20"/>
        </w:rPr>
        <w:t xml:space="preserve">Mediju politikas nodaļas </w:t>
      </w:r>
      <w:r w:rsidRPr="00ED4701" w:rsidR="00DB2323">
        <w:rPr>
          <w:iCs/>
          <w:sz w:val="20"/>
        </w:rPr>
        <w:t>vadītājs</w:t>
      </w:r>
    </w:p>
    <w:p w:rsidRPr="00ED4701" w:rsidR="00DD48AB" w:rsidP="00DD48AB" w:rsidRDefault="00734A51">
      <w:pPr>
        <w:tabs>
          <w:tab w:val="left" w:pos="6804"/>
        </w:tabs>
        <w:rPr>
          <w:sz w:val="20"/>
        </w:rPr>
      </w:pPr>
      <w:r w:rsidRPr="00ED4701">
        <w:rPr>
          <w:sz w:val="20"/>
        </w:rPr>
        <w:t>Tālr. 67330</w:t>
      </w:r>
      <w:r w:rsidRPr="00ED4701" w:rsidR="007A31C3">
        <w:rPr>
          <w:sz w:val="20"/>
        </w:rPr>
        <w:t>33</w:t>
      </w:r>
      <w:r w:rsidRPr="00ED4701" w:rsidR="00CA523B">
        <w:rPr>
          <w:sz w:val="20"/>
        </w:rPr>
        <w:t>6</w:t>
      </w:r>
    </w:p>
    <w:p w:rsidRPr="00ED4701" w:rsidR="007542C3" w:rsidP="00DD48AB" w:rsidRDefault="00C9221C">
      <w:pPr>
        <w:tabs>
          <w:tab w:val="left" w:pos="6804"/>
        </w:tabs>
        <w:rPr>
          <w:sz w:val="20"/>
        </w:rPr>
      </w:pPr>
      <w:hyperlink w:history="1" r:id="rId12">
        <w:r w:rsidRPr="00ED4701" w:rsidR="0026325D">
          <w:rPr>
            <w:rStyle w:val="Hipersaite"/>
            <w:sz w:val="20"/>
          </w:rPr>
          <w:t>Kristers.Plesakovs@km.gov.lv</w:t>
        </w:r>
      </w:hyperlink>
    </w:p>
    <w:sectPr w:rsidRPr="00ED4701" w:rsidR="007542C3"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13" w:rsidRDefault="00567713" w:rsidP="00BF3E77">
      <w:r>
        <w:separator/>
      </w:r>
    </w:p>
  </w:endnote>
  <w:endnote w:type="continuationSeparator" w:id="0">
    <w:p w:rsidR="00567713" w:rsidRDefault="00567713" w:rsidP="00BF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13" w:rsidRPr="001A7B71" w:rsidRDefault="00567713" w:rsidP="001A7B71">
    <w:pPr>
      <w:pStyle w:val="Kjene"/>
      <w:rPr>
        <w:szCs w:val="20"/>
      </w:rPr>
    </w:pPr>
    <w:r w:rsidRPr="001A7B71">
      <w:rPr>
        <w:sz w:val="20"/>
        <w:szCs w:val="20"/>
      </w:rPr>
      <w:t>KMIzz_</w:t>
    </w:r>
    <w:r>
      <w:rPr>
        <w:sz w:val="20"/>
        <w:szCs w:val="20"/>
      </w:rPr>
      <w:t>0604</w:t>
    </w:r>
    <w:r w:rsidRPr="001A7B71">
      <w:rPr>
        <w:sz w:val="20"/>
        <w:szCs w:val="20"/>
      </w:rPr>
      <w:t>20_</w:t>
    </w:r>
    <w:r>
      <w:rPr>
        <w:sz w:val="20"/>
        <w:szCs w:val="20"/>
      </w:rPr>
      <w:t>mediji_Covid19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13" w:rsidRPr="00ED4701" w:rsidRDefault="00567713" w:rsidP="00ED4701">
    <w:pPr>
      <w:pStyle w:val="Kjene"/>
      <w:rPr>
        <w:szCs w:val="20"/>
      </w:rPr>
    </w:pPr>
    <w:r w:rsidRPr="001A7B71">
      <w:rPr>
        <w:sz w:val="20"/>
        <w:szCs w:val="20"/>
      </w:rPr>
      <w:t>KMIzz_</w:t>
    </w:r>
    <w:r>
      <w:rPr>
        <w:sz w:val="20"/>
        <w:szCs w:val="20"/>
      </w:rPr>
      <w:t>0604</w:t>
    </w:r>
    <w:r w:rsidRPr="001A7B71">
      <w:rPr>
        <w:sz w:val="20"/>
        <w:szCs w:val="20"/>
      </w:rPr>
      <w:t>20_</w:t>
    </w:r>
    <w:r>
      <w:rPr>
        <w:sz w:val="20"/>
        <w:szCs w:val="20"/>
      </w:rPr>
      <w:t>mediji_Covid19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13" w:rsidRDefault="00567713" w:rsidP="00BF3E77">
      <w:r>
        <w:separator/>
      </w:r>
    </w:p>
  </w:footnote>
  <w:footnote w:type="continuationSeparator" w:id="0">
    <w:p w:rsidR="00567713" w:rsidRDefault="00567713"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567713" w:rsidRDefault="00C9221C">
        <w:pPr>
          <w:pStyle w:val="Galvene"/>
          <w:jc w:val="center"/>
          <w:rPr>
            <w:sz w:val="22"/>
            <w:szCs w:val="22"/>
          </w:rPr>
        </w:pPr>
        <w:r w:rsidRPr="00177F26">
          <w:rPr>
            <w:sz w:val="22"/>
            <w:szCs w:val="22"/>
          </w:rPr>
          <w:fldChar w:fldCharType="begin"/>
        </w:r>
        <w:r w:rsidRPr="00177F26" w:rsidR="00567713">
          <w:rPr>
            <w:sz w:val="22"/>
            <w:szCs w:val="22"/>
          </w:rPr>
          <w:instrText xml:space="preserve"> PAGE   \* MERGEFORMAT </w:instrText>
        </w:r>
        <w:r w:rsidRPr="00177F26">
          <w:rPr>
            <w:sz w:val="22"/>
            <w:szCs w:val="22"/>
          </w:rPr>
          <w:fldChar w:fldCharType="separate"/>
        </w:r>
        <w:r w:rsidR="00AA4CA3">
          <w:rPr>
            <w:noProof/>
            <w:sz w:val="22"/>
            <w:szCs w:val="22"/>
          </w:rPr>
          <w:t>13</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7C"/>
    <w:multiLevelType w:val="hybridMultilevel"/>
    <w:tmpl w:val="90441D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2">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9">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2">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7">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8">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9">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3">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9"/>
  </w:num>
  <w:num w:numId="2">
    <w:abstractNumId w:val="2"/>
  </w:num>
  <w:num w:numId="3">
    <w:abstractNumId w:val="17"/>
  </w:num>
  <w:num w:numId="4">
    <w:abstractNumId w:val="33"/>
  </w:num>
  <w:num w:numId="5">
    <w:abstractNumId w:val="28"/>
  </w:num>
  <w:num w:numId="6">
    <w:abstractNumId w:val="5"/>
  </w:num>
  <w:num w:numId="7">
    <w:abstractNumId w:val="20"/>
  </w:num>
  <w:num w:numId="8">
    <w:abstractNumId w:val="23"/>
  </w:num>
  <w:num w:numId="9">
    <w:abstractNumId w:val="27"/>
  </w:num>
  <w:num w:numId="10">
    <w:abstractNumId w:val="22"/>
  </w:num>
  <w:num w:numId="11">
    <w:abstractNumId w:val="19"/>
  </w:num>
  <w:num w:numId="12">
    <w:abstractNumId w:val="4"/>
  </w:num>
  <w:num w:numId="13">
    <w:abstractNumId w:val="31"/>
  </w:num>
  <w:num w:numId="14">
    <w:abstractNumId w:val="25"/>
  </w:num>
  <w:num w:numId="15">
    <w:abstractNumId w:val="16"/>
  </w:num>
  <w:num w:numId="16">
    <w:abstractNumId w:val="3"/>
  </w:num>
  <w:num w:numId="17">
    <w:abstractNumId w:val="30"/>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9"/>
  </w:num>
  <w:num w:numId="23">
    <w:abstractNumId w:val="15"/>
  </w:num>
  <w:num w:numId="24">
    <w:abstractNumId w:val="26"/>
  </w:num>
  <w:num w:numId="25">
    <w:abstractNumId w:val="11"/>
  </w:num>
  <w:num w:numId="26">
    <w:abstractNumId w:val="32"/>
  </w:num>
  <w:num w:numId="27">
    <w:abstractNumId w:val="10"/>
  </w:num>
  <w:num w:numId="28">
    <w:abstractNumId w:val="1"/>
  </w:num>
  <w:num w:numId="29">
    <w:abstractNumId w:val="18"/>
  </w:num>
  <w:num w:numId="30">
    <w:abstractNumId w:val="7"/>
  </w:num>
  <w:num w:numId="31">
    <w:abstractNumId w:val="24"/>
  </w:num>
  <w:num w:numId="32">
    <w:abstractNumId w:val="8"/>
  </w:num>
  <w:num w:numId="33">
    <w:abstractNumId w:val="6"/>
  </w:num>
  <w:num w:numId="3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39D5"/>
    <w:rsid w:val="000856DA"/>
    <w:rsid w:val="00086A56"/>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030"/>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36BBC"/>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465"/>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E39"/>
    <w:rsid w:val="001B4546"/>
    <w:rsid w:val="001B49FF"/>
    <w:rsid w:val="001B5A52"/>
    <w:rsid w:val="001B5E72"/>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234"/>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565"/>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5ED7"/>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C54"/>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885"/>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198"/>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38FC"/>
    <w:rsid w:val="00374846"/>
    <w:rsid w:val="00374A2B"/>
    <w:rsid w:val="00374D6B"/>
    <w:rsid w:val="00374F02"/>
    <w:rsid w:val="00376B48"/>
    <w:rsid w:val="00377657"/>
    <w:rsid w:val="003808BF"/>
    <w:rsid w:val="003816C9"/>
    <w:rsid w:val="00381DA1"/>
    <w:rsid w:val="003820F3"/>
    <w:rsid w:val="003829FD"/>
    <w:rsid w:val="003840D5"/>
    <w:rsid w:val="00384F96"/>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4F4"/>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340"/>
    <w:rsid w:val="0042688C"/>
    <w:rsid w:val="004301CD"/>
    <w:rsid w:val="004311B2"/>
    <w:rsid w:val="00431FED"/>
    <w:rsid w:val="00432A43"/>
    <w:rsid w:val="00432C47"/>
    <w:rsid w:val="00432DD2"/>
    <w:rsid w:val="00433251"/>
    <w:rsid w:val="00434799"/>
    <w:rsid w:val="004360AC"/>
    <w:rsid w:val="0043635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1B9"/>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11"/>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0D6"/>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13"/>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E9"/>
    <w:rsid w:val="006524C8"/>
    <w:rsid w:val="00652CFF"/>
    <w:rsid w:val="00652F80"/>
    <w:rsid w:val="00654165"/>
    <w:rsid w:val="00654A9D"/>
    <w:rsid w:val="00655472"/>
    <w:rsid w:val="00655A81"/>
    <w:rsid w:val="00656A31"/>
    <w:rsid w:val="00656EA8"/>
    <w:rsid w:val="006570BB"/>
    <w:rsid w:val="006577DD"/>
    <w:rsid w:val="006579F3"/>
    <w:rsid w:val="00657A5D"/>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A52"/>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31C3"/>
    <w:rsid w:val="007A31E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BC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C61"/>
    <w:rsid w:val="0081034C"/>
    <w:rsid w:val="00810942"/>
    <w:rsid w:val="00811ABE"/>
    <w:rsid w:val="00811FA2"/>
    <w:rsid w:val="0081201A"/>
    <w:rsid w:val="008121CD"/>
    <w:rsid w:val="00813394"/>
    <w:rsid w:val="00813F58"/>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8B0"/>
    <w:rsid w:val="00837C77"/>
    <w:rsid w:val="008403A4"/>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0D3"/>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3C22"/>
    <w:rsid w:val="0087408E"/>
    <w:rsid w:val="008751A1"/>
    <w:rsid w:val="00875BE2"/>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36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27F7E"/>
    <w:rsid w:val="00931CA6"/>
    <w:rsid w:val="00932AE0"/>
    <w:rsid w:val="00932D7A"/>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1CF"/>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3C1E"/>
    <w:rsid w:val="00A14293"/>
    <w:rsid w:val="00A14687"/>
    <w:rsid w:val="00A14707"/>
    <w:rsid w:val="00A14BDB"/>
    <w:rsid w:val="00A14CD9"/>
    <w:rsid w:val="00A14E0E"/>
    <w:rsid w:val="00A1570A"/>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499D"/>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4CA3"/>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440"/>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6A4"/>
    <w:rsid w:val="00B25C5D"/>
    <w:rsid w:val="00B260AA"/>
    <w:rsid w:val="00B269FE"/>
    <w:rsid w:val="00B26F25"/>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A4E"/>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221C"/>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586A"/>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2F1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47B15"/>
    <w:rsid w:val="00D504C9"/>
    <w:rsid w:val="00D50A72"/>
    <w:rsid w:val="00D50D6B"/>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5BD8"/>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329"/>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068"/>
    <w:rsid w:val="00E12CBC"/>
    <w:rsid w:val="00E1308C"/>
    <w:rsid w:val="00E13090"/>
    <w:rsid w:val="00E13E9C"/>
    <w:rsid w:val="00E14A96"/>
    <w:rsid w:val="00E15532"/>
    <w:rsid w:val="00E16BB7"/>
    <w:rsid w:val="00E1759F"/>
    <w:rsid w:val="00E20464"/>
    <w:rsid w:val="00E21BD9"/>
    <w:rsid w:val="00E21DAE"/>
    <w:rsid w:val="00E226C2"/>
    <w:rsid w:val="00E22812"/>
    <w:rsid w:val="00E2310C"/>
    <w:rsid w:val="00E23637"/>
    <w:rsid w:val="00E236D2"/>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CF4"/>
    <w:rsid w:val="00E87A45"/>
    <w:rsid w:val="00E90214"/>
    <w:rsid w:val="00E90486"/>
    <w:rsid w:val="00E90FCC"/>
    <w:rsid w:val="00E924F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701"/>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5"/>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1D6"/>
    <w:rsid w:val="00F1122A"/>
    <w:rsid w:val="00F11D3D"/>
    <w:rsid w:val="00F11D68"/>
    <w:rsid w:val="00F12697"/>
    <w:rsid w:val="00F12A99"/>
    <w:rsid w:val="00F12CA4"/>
    <w:rsid w:val="00F15A09"/>
    <w:rsid w:val="00F15B0A"/>
    <w:rsid w:val="00F15EEC"/>
    <w:rsid w:val="00F16A60"/>
    <w:rsid w:val="00F16D8F"/>
    <w:rsid w:val="00F202FE"/>
    <w:rsid w:val="00F20AAD"/>
    <w:rsid w:val="00F21835"/>
    <w:rsid w:val="00F22095"/>
    <w:rsid w:val="00F22C8F"/>
    <w:rsid w:val="00F23F9C"/>
    <w:rsid w:val="00F241FE"/>
    <w:rsid w:val="00F24700"/>
    <w:rsid w:val="00F25A78"/>
    <w:rsid w:val="00F25F95"/>
    <w:rsid w:val="00F263B9"/>
    <w:rsid w:val="00F27C23"/>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37CAA"/>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 w:type="character" w:customStyle="1" w:styleId="apple-converted-space">
    <w:name w:val="apple-converted-space"/>
    <w:basedOn w:val="Noklusjumarindkopasfonts"/>
    <w:rsid w:val="00DB5BD8"/>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80113041">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D128A3-84D0-4C5D-BE4C-176763B7D4CF}">
  <ds:schemaRefs>
    <ds:schemaRef ds:uri="http://schemas.openxmlformats.org/officeDocument/2006/bibliography"/>
  </ds:schemaRefs>
</ds:datastoreItem>
</file>

<file path=customXml/itemProps5.xml><?xml version="1.0" encoding="utf-8"?>
<ds:datastoreItem xmlns:ds="http://schemas.openxmlformats.org/officeDocument/2006/customXml" ds:itemID="{B213C1E8-59E3-49AE-9D84-EE3E21E6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13847</Words>
  <Characters>7893</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inesed</cp:lastModifiedBy>
  <cp:revision>4</cp:revision>
  <cp:lastPrinted>2020-03-09T07:13:00Z</cp:lastPrinted>
  <dcterms:created xsi:type="dcterms:W3CDTF">2020-04-06T16:44:00Z</dcterms:created>
  <dcterms:modified xsi:type="dcterms:W3CDTF">2020-04-06T18:18:00Z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