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5EEE" w:rsidR="00D47D98" w:rsidP="00D47D98" w:rsidRDefault="00B41608" w14:paraId="397DB4C9" w14:textId="0ECCC18C">
      <w:pPr>
        <w:pStyle w:val="Title"/>
        <w:rPr>
          <w:sz w:val="24"/>
        </w:rPr>
      </w:pPr>
      <w:bookmarkStart w:name="_GoBack" w:id="0"/>
      <w:bookmarkEnd w:id="0"/>
      <w:r>
        <w:rPr>
          <w:sz w:val="24"/>
        </w:rPr>
        <w:t>Ministru kabineta n</w:t>
      </w:r>
      <w:r w:rsidR="00477167">
        <w:rPr>
          <w:sz w:val="24"/>
        </w:rPr>
        <w:t xml:space="preserve">oteikumu </w:t>
      </w:r>
      <w:r w:rsidRPr="00265EEE" w:rsidR="00D47D98">
        <w:rPr>
          <w:sz w:val="24"/>
        </w:rPr>
        <w:t>projekta</w:t>
      </w:r>
    </w:p>
    <w:p w:rsidR="00FB6748" w:rsidP="00995F83" w:rsidRDefault="00D47D98" w14:paraId="268D5FB5" w14:textId="43E13C35">
      <w:pPr>
        <w:jc w:val="center"/>
        <w:rPr>
          <w:b/>
          <w:bCs/>
        </w:rPr>
      </w:pPr>
      <w:r w:rsidRPr="00265EEE">
        <w:rPr>
          <w:b/>
        </w:rPr>
        <w:t>“</w:t>
      </w:r>
      <w:r w:rsidRPr="007F4C9B" w:rsidR="007F4C9B">
        <w:rPr>
          <w:b/>
        </w:rPr>
        <w:t>Nepieciešamā finansējuma apmēra aprēķināšanas un piešķiršanas kārtība pievienotās vērtības nodokļa summas, kas nav atgūstama kā priekšnodoklis, kompensācijai Igaunijai un Lietuvai AS “RB Rail” veikto aktivitāšu ietvaros</w:t>
      </w:r>
      <w:r w:rsidRPr="00265EEE">
        <w:rPr>
          <w:b/>
        </w:rPr>
        <w:t>”</w:t>
      </w:r>
    </w:p>
    <w:p w:rsidR="00FD7418" w:rsidP="00D47D98" w:rsidRDefault="00D47D98" w14:paraId="189D70AF" w14:textId="77777777">
      <w:pPr>
        <w:jc w:val="center"/>
        <w:rPr>
          <w:b/>
          <w:bCs/>
        </w:rPr>
      </w:pPr>
      <w:r w:rsidRPr="00265EEE">
        <w:rPr>
          <w:b/>
          <w:bCs/>
        </w:rPr>
        <w:t>sākotnējās ietekmes novērtējuma ziņojums (anotācija)</w:t>
      </w:r>
    </w:p>
    <w:p w:rsidRPr="00265EEE" w:rsidR="00D02649" w:rsidP="00D47D98" w:rsidRDefault="00D02649" w14:paraId="6AF89973" w14:textId="77777777">
      <w:pPr>
        <w:jc w:val="center"/>
        <w:rPr>
          <w:b/>
          <w:bCs/>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265EEE" w:rsidR="00F10CDA" w:rsidTr="006F59AA" w14:paraId="1F799A7B" w14:textId="77777777">
        <w:trPr>
          <w:trHeight w:val="419"/>
        </w:trPr>
        <w:tc>
          <w:tcPr>
            <w:tcW w:w="5000" w:type="pct"/>
            <w:gridSpan w:val="2"/>
            <w:vAlign w:val="center"/>
          </w:tcPr>
          <w:p w:rsidRPr="00265EEE" w:rsidR="00F10CDA" w:rsidP="006F59AA" w:rsidRDefault="00F10CDA" w14:paraId="5E23D39A" w14:textId="77777777">
            <w:pPr>
              <w:pStyle w:val="naisnod"/>
              <w:spacing w:before="0" w:beforeAutospacing="0" w:after="0" w:afterAutospacing="0"/>
              <w:ind w:left="57" w:right="57"/>
              <w:jc w:val="center"/>
              <w:rPr>
                <w:b/>
              </w:rPr>
            </w:pPr>
            <w:r w:rsidRPr="00265EEE">
              <w:rPr>
                <w:b/>
              </w:rPr>
              <w:t xml:space="preserve">Tiesību akta projekta anotācijas </w:t>
            </w:r>
            <w:r w:rsidRPr="00265EEE">
              <w:rPr>
                <w:b/>
                <w:bCs/>
                <w:iCs/>
              </w:rPr>
              <w:t>kopsavilkums</w:t>
            </w:r>
          </w:p>
        </w:tc>
      </w:tr>
      <w:tr w:rsidRPr="00265EEE" w:rsidR="00F10CDA" w:rsidTr="00F10CDA" w14:paraId="781CFAEF" w14:textId="77777777">
        <w:trPr>
          <w:trHeight w:val="415"/>
        </w:trPr>
        <w:tc>
          <w:tcPr>
            <w:tcW w:w="1742" w:type="pct"/>
          </w:tcPr>
          <w:p w:rsidRPr="00265EEE" w:rsidR="00F10CDA" w:rsidP="00F10CDA" w:rsidRDefault="00F10CDA" w14:paraId="17282ADE" w14:textId="77777777">
            <w:pPr>
              <w:pStyle w:val="naiskr"/>
              <w:spacing w:before="0" w:beforeAutospacing="0" w:after="0" w:afterAutospacing="0"/>
              <w:ind w:left="57" w:right="57"/>
            </w:pPr>
            <w:r w:rsidRPr="00265EEE">
              <w:rPr>
                <w:iCs/>
              </w:rPr>
              <w:t>Mērķis, risinājums un projekta spēkā stāšanās laiks (500 zīmes bez atstarpēm)</w:t>
            </w:r>
          </w:p>
        </w:tc>
        <w:tc>
          <w:tcPr>
            <w:tcW w:w="3258" w:type="pct"/>
          </w:tcPr>
          <w:p w:rsidR="00D02649" w:rsidP="00723C29" w:rsidRDefault="00B41608" w14:paraId="620E97CC" w14:textId="77777777">
            <w:pPr>
              <w:jc w:val="both"/>
              <w:rPr>
                <w:rFonts w:eastAsia="Calibri"/>
                <w:lang w:eastAsia="en-US"/>
              </w:rPr>
            </w:pPr>
            <w:r>
              <w:t>Noteikumu projekts</w:t>
            </w:r>
            <w:r w:rsidR="00BE1CA2">
              <w:t xml:space="preserve"> </w:t>
            </w:r>
            <w:r w:rsidR="00F32255">
              <w:t xml:space="preserve">izstrādāts, lai noteiktu kārtību, kādā </w:t>
            </w:r>
            <w:r w:rsidRPr="000429A5" w:rsidR="00F32255">
              <w:rPr>
                <w:rFonts w:eastAsia="Calibri"/>
                <w:lang w:eastAsia="en-US"/>
              </w:rPr>
              <w:t xml:space="preserve">Eiropas standarta platuma dzelzceļa transporta </w:t>
            </w:r>
            <w:r w:rsidR="00F32255">
              <w:rPr>
                <w:rFonts w:eastAsia="Calibri"/>
                <w:lang w:eastAsia="en-US"/>
              </w:rPr>
              <w:t xml:space="preserve">infrastruktūras projekta “Rail Baltica” </w:t>
            </w:r>
            <w:r w:rsidR="0014412F">
              <w:rPr>
                <w:rFonts w:eastAsia="Calibri"/>
                <w:lang w:eastAsia="en-US"/>
              </w:rPr>
              <w:t xml:space="preserve">(turpmāk – Projekts) </w:t>
            </w:r>
            <w:r w:rsidR="00F32255">
              <w:rPr>
                <w:rFonts w:eastAsia="Calibri"/>
                <w:lang w:eastAsia="en-US"/>
              </w:rPr>
              <w:t xml:space="preserve">ietvaros </w:t>
            </w:r>
            <w:r w:rsidR="00C802CC">
              <w:rPr>
                <w:rFonts w:eastAsia="Calibri"/>
                <w:lang w:eastAsia="en-US"/>
              </w:rPr>
              <w:t xml:space="preserve">no valsts budžeta </w:t>
            </w:r>
            <w:r w:rsidR="00F32255">
              <w:rPr>
                <w:rFonts w:eastAsia="Calibri"/>
                <w:lang w:eastAsia="en-US"/>
              </w:rPr>
              <w:t xml:space="preserve">tiek </w:t>
            </w:r>
            <w:r w:rsidR="00C802CC">
              <w:rPr>
                <w:rFonts w:eastAsia="Calibri"/>
                <w:lang w:eastAsia="en-US"/>
              </w:rPr>
              <w:t>kompensēts</w:t>
            </w:r>
            <w:r w:rsidR="00F32255">
              <w:rPr>
                <w:rFonts w:eastAsia="Calibri"/>
                <w:lang w:eastAsia="en-US"/>
              </w:rPr>
              <w:t xml:space="preserve"> pievienotās vērtības nodoklis </w:t>
            </w:r>
            <w:r w:rsidR="001211A0">
              <w:rPr>
                <w:rFonts w:eastAsia="Calibri"/>
                <w:lang w:eastAsia="en-US"/>
              </w:rPr>
              <w:t>(turpmāk – PVN)</w:t>
            </w:r>
            <w:r w:rsidR="007F1B0C">
              <w:rPr>
                <w:rFonts w:eastAsia="Calibri"/>
                <w:lang w:eastAsia="en-US"/>
              </w:rPr>
              <w:t>, ko</w:t>
            </w:r>
            <w:r w:rsidR="001211A0">
              <w:rPr>
                <w:rFonts w:eastAsia="Calibri"/>
                <w:lang w:eastAsia="en-US"/>
              </w:rPr>
              <w:t xml:space="preserve"> </w:t>
            </w:r>
            <w:r w:rsidR="00F32255">
              <w:rPr>
                <w:rFonts w:eastAsia="Calibri"/>
                <w:lang w:eastAsia="en-US"/>
              </w:rPr>
              <w:t>Baltijas valstu kopuzņēmum</w:t>
            </w:r>
            <w:r w:rsidR="007F1B0C">
              <w:rPr>
                <w:rFonts w:eastAsia="Calibri"/>
                <w:lang w:eastAsia="en-US"/>
              </w:rPr>
              <w:t>s</w:t>
            </w:r>
            <w:r w:rsidR="00F32255">
              <w:rPr>
                <w:rFonts w:eastAsia="Calibri"/>
                <w:lang w:eastAsia="en-US"/>
              </w:rPr>
              <w:t>, akciju sabiedrība “RB Rail”</w:t>
            </w:r>
            <w:r w:rsidR="00C802CC">
              <w:rPr>
                <w:rFonts w:eastAsia="Calibri"/>
                <w:lang w:eastAsia="en-US"/>
              </w:rPr>
              <w:t xml:space="preserve"> (turpmāk – RBR), horizontālo aktivitāšu </w:t>
            </w:r>
            <w:r w:rsidR="007F1B0C">
              <w:rPr>
                <w:rFonts w:eastAsia="Calibri"/>
                <w:lang w:eastAsia="en-US"/>
              </w:rPr>
              <w:t xml:space="preserve">(vienādās daļās līdzfinansē Latvija, Igaunija un Lietuva) </w:t>
            </w:r>
            <w:r w:rsidR="00C802CC">
              <w:rPr>
                <w:rFonts w:eastAsia="Calibri"/>
                <w:lang w:eastAsia="en-US"/>
              </w:rPr>
              <w:t>ietvaros</w:t>
            </w:r>
            <w:r w:rsidR="007F1B0C">
              <w:rPr>
                <w:rFonts w:eastAsia="Calibri"/>
                <w:lang w:eastAsia="en-US"/>
              </w:rPr>
              <w:t xml:space="preserve"> ir samaksājusi Latvijas PVN maksātājiem par precēm un pakalpojumiem</w:t>
            </w:r>
            <w:r w:rsidR="00C802CC">
              <w:rPr>
                <w:rFonts w:eastAsia="Calibri"/>
                <w:lang w:eastAsia="en-US"/>
              </w:rPr>
              <w:t>.</w:t>
            </w:r>
          </w:p>
          <w:p w:rsidRPr="00D02649" w:rsidR="00922CE6" w:rsidP="00723C29" w:rsidRDefault="00390ED5" w14:paraId="7B013361" w14:textId="0E249F04">
            <w:pPr>
              <w:jc w:val="both"/>
              <w:rPr>
                <w:color w:val="000000"/>
              </w:rPr>
            </w:pPr>
            <w:r w:rsidRPr="00390ED5">
              <w:rPr>
                <w:color w:val="000000"/>
              </w:rPr>
              <w:t>Noteikumu projekts stājas spēkā Oficiālo publikāciju un tiesiskās informācijas likuma noteiktajā kārtībā.</w:t>
            </w:r>
          </w:p>
        </w:tc>
      </w:tr>
    </w:tbl>
    <w:p w:rsidRPr="00BB3200" w:rsidR="00551A0F" w:rsidP="00696675" w:rsidRDefault="00551A0F" w14:paraId="0AD395D8" w14:textId="77777777">
      <w:pPr>
        <w:tabs>
          <w:tab w:val="left" w:pos="1125"/>
        </w:tabs>
        <w:rPr>
          <w:szCs w:val="22"/>
        </w:rPr>
      </w:pPr>
    </w:p>
    <w:tbl>
      <w:tblPr>
        <w:tblpPr w:leftFromText="180" w:rightFromText="180" w:vertAnchor="text" w:horzAnchor="margin" w:tblpXSpec="center" w:tblpY="149"/>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9"/>
        <w:gridCol w:w="2725"/>
        <w:gridCol w:w="5905"/>
      </w:tblGrid>
      <w:tr w:rsidRPr="00265EEE" w:rsidR="00551A0F" w:rsidTr="002259BB" w14:paraId="0A2ECB7D" w14:textId="77777777">
        <w:trPr>
          <w:trHeight w:val="419"/>
        </w:trPr>
        <w:tc>
          <w:tcPr>
            <w:tcW w:w="5000" w:type="pct"/>
            <w:gridSpan w:val="3"/>
            <w:vAlign w:val="center"/>
          </w:tcPr>
          <w:p w:rsidRPr="00265EEE" w:rsidR="00551A0F" w:rsidP="00017065" w:rsidRDefault="00551A0F" w14:paraId="72282C0C" w14:textId="77777777">
            <w:pPr>
              <w:pStyle w:val="naisnod"/>
              <w:spacing w:before="0" w:beforeAutospacing="0" w:after="0" w:afterAutospacing="0"/>
              <w:ind w:left="57" w:right="57"/>
              <w:jc w:val="center"/>
              <w:rPr>
                <w:b/>
              </w:rPr>
            </w:pPr>
            <w:r w:rsidRPr="00265EEE">
              <w:rPr>
                <w:b/>
              </w:rPr>
              <w:t>I. Tiesību akta projekta izstrādes nepieciešamība</w:t>
            </w:r>
          </w:p>
        </w:tc>
      </w:tr>
      <w:tr w:rsidRPr="00265EEE" w:rsidR="00551A0F" w:rsidTr="002259BB" w14:paraId="26516C0F" w14:textId="77777777">
        <w:trPr>
          <w:trHeight w:val="415"/>
        </w:trPr>
        <w:tc>
          <w:tcPr>
            <w:tcW w:w="237" w:type="pct"/>
          </w:tcPr>
          <w:p w:rsidRPr="00265EEE" w:rsidR="00551A0F" w:rsidP="00017065" w:rsidRDefault="00551A0F" w14:paraId="40412917" w14:textId="77777777">
            <w:pPr>
              <w:pStyle w:val="naiskr"/>
              <w:spacing w:before="0" w:beforeAutospacing="0" w:after="0" w:afterAutospacing="0"/>
              <w:ind w:left="57" w:right="57"/>
              <w:jc w:val="center"/>
            </w:pPr>
            <w:r w:rsidRPr="00265EEE">
              <w:t>1.</w:t>
            </w:r>
          </w:p>
        </w:tc>
        <w:tc>
          <w:tcPr>
            <w:tcW w:w="1504" w:type="pct"/>
          </w:tcPr>
          <w:p w:rsidRPr="00265EEE" w:rsidR="00551A0F" w:rsidP="00017065" w:rsidRDefault="00551A0F" w14:paraId="1ED2376A" w14:textId="77777777">
            <w:pPr>
              <w:pStyle w:val="naiskr"/>
              <w:spacing w:before="0" w:beforeAutospacing="0" w:after="0" w:afterAutospacing="0"/>
              <w:ind w:left="57" w:right="57"/>
            </w:pPr>
            <w:r w:rsidRPr="00265EEE">
              <w:t>Pamatojums</w:t>
            </w:r>
          </w:p>
        </w:tc>
        <w:tc>
          <w:tcPr>
            <w:tcW w:w="3257" w:type="pct"/>
          </w:tcPr>
          <w:p w:rsidR="00E7662B" w:rsidP="00D02649" w:rsidRDefault="00424A68" w14:paraId="0533D2D3" w14:textId="29557C0C">
            <w:pPr>
              <w:jc w:val="both"/>
              <w:rPr>
                <w:szCs w:val="22"/>
              </w:rPr>
            </w:pPr>
            <w:r>
              <w:rPr>
                <w:szCs w:val="22"/>
              </w:rPr>
              <w:t xml:space="preserve">Likuma </w:t>
            </w:r>
            <w:r w:rsidR="00F32255">
              <w:rPr>
                <w:szCs w:val="22"/>
              </w:rPr>
              <w:t>“</w:t>
            </w:r>
            <w:r>
              <w:rPr>
                <w:szCs w:val="22"/>
              </w:rPr>
              <w:t>Par valsts budžetu 2020.gadam</w:t>
            </w:r>
            <w:r w:rsidR="00F32255">
              <w:rPr>
                <w:szCs w:val="22"/>
              </w:rPr>
              <w:t>”</w:t>
            </w:r>
            <w:r>
              <w:rPr>
                <w:szCs w:val="22"/>
              </w:rPr>
              <w:t xml:space="preserve"> 55.pants</w:t>
            </w:r>
            <w:r w:rsidR="00E7662B">
              <w:rPr>
                <w:szCs w:val="22"/>
              </w:rPr>
              <w:t>,</w:t>
            </w:r>
          </w:p>
          <w:p w:rsidRPr="00BB3200" w:rsidR="00EE39A4" w:rsidP="00D02649" w:rsidRDefault="00E7662B" w14:paraId="01A4B21B" w14:textId="4F84955A">
            <w:pPr>
              <w:jc w:val="both"/>
              <w:rPr>
                <w:szCs w:val="22"/>
              </w:rPr>
            </w:pPr>
            <w:r w:rsidRPr="00EE00C4">
              <w:t xml:space="preserve">Ministru kabineta 2019.gada 6.novembra sēdes protokollēmuma (protokols Nr.52, 22.§) </w:t>
            </w:r>
            <w:r>
              <w:t>3</w:t>
            </w:r>
            <w:r w:rsidRPr="00EE00C4">
              <w:t>.punkt</w:t>
            </w:r>
            <w:r>
              <w:t>s</w:t>
            </w:r>
            <w:r w:rsidR="00424A68">
              <w:rPr>
                <w:szCs w:val="22"/>
              </w:rPr>
              <w:t>.</w:t>
            </w:r>
          </w:p>
        </w:tc>
      </w:tr>
      <w:tr w:rsidRPr="00265EEE" w:rsidR="00D47D98" w:rsidTr="002259BB" w14:paraId="5589370A" w14:textId="77777777">
        <w:trPr>
          <w:trHeight w:val="472"/>
        </w:trPr>
        <w:tc>
          <w:tcPr>
            <w:tcW w:w="237" w:type="pct"/>
          </w:tcPr>
          <w:p w:rsidRPr="00265EEE" w:rsidR="00D47D98" w:rsidP="00D47D98" w:rsidRDefault="00D47D98" w14:paraId="1CAB4269" w14:textId="77777777">
            <w:pPr>
              <w:pStyle w:val="naiskr"/>
              <w:spacing w:before="0" w:beforeAutospacing="0" w:after="0" w:afterAutospacing="0"/>
              <w:ind w:left="57" w:right="57"/>
              <w:jc w:val="center"/>
            </w:pPr>
            <w:r w:rsidRPr="00265EEE">
              <w:t>2.</w:t>
            </w:r>
          </w:p>
        </w:tc>
        <w:tc>
          <w:tcPr>
            <w:tcW w:w="1504" w:type="pct"/>
          </w:tcPr>
          <w:p w:rsidRPr="00265EEE" w:rsidR="00D47D98" w:rsidP="00D47D98" w:rsidRDefault="00D47D98" w14:paraId="711F75A5" w14:textId="77777777">
            <w:pPr>
              <w:pStyle w:val="naiskr"/>
              <w:tabs>
                <w:tab w:val="left" w:pos="170"/>
              </w:tabs>
              <w:spacing w:before="0" w:beforeAutospacing="0" w:after="0" w:afterAutospacing="0"/>
              <w:ind w:left="57" w:right="57"/>
            </w:pPr>
            <w:r w:rsidRPr="00265EEE">
              <w:t>Pašreizējā situācija un problēmas, kuru risināšanai tiesību akta projekts izstrādāts, tiesiskā regulējuma mērķis un būtība</w:t>
            </w:r>
          </w:p>
        </w:tc>
        <w:tc>
          <w:tcPr>
            <w:tcW w:w="3257" w:type="pct"/>
          </w:tcPr>
          <w:p w:rsidR="00813DDC" w:rsidP="00813DDC" w:rsidRDefault="00813DDC" w14:paraId="125CC9F6" w14:textId="2A2CEE0E">
            <w:pPr>
              <w:ind w:firstLine="664"/>
              <w:jc w:val="both"/>
            </w:pPr>
            <w:r>
              <w:rPr>
                <w:rFonts w:eastAsia="Calibri"/>
                <w:lang w:eastAsia="en-US"/>
              </w:rPr>
              <w:t xml:space="preserve">Projekta aktivitātes saskaņā ar finansēšanas līgumiem (turpmāk - CEF līgumi) tiek finansētas no piešķirtajiem Eiropas </w:t>
            </w:r>
            <w:r w:rsidR="001211A0">
              <w:rPr>
                <w:rFonts w:eastAsia="Calibri"/>
                <w:lang w:eastAsia="en-US"/>
              </w:rPr>
              <w:t xml:space="preserve">infrastruktūras un </w:t>
            </w:r>
            <w:r>
              <w:rPr>
                <w:rFonts w:eastAsia="Calibri"/>
                <w:lang w:eastAsia="en-US"/>
              </w:rPr>
              <w:t xml:space="preserve">savienošanas instrumenta (turpmāk – EISI) un </w:t>
            </w:r>
            <w:r w:rsidR="00DC31DC">
              <w:rPr>
                <w:rFonts w:eastAsia="Calibri"/>
                <w:lang w:eastAsia="en-US"/>
              </w:rPr>
              <w:t xml:space="preserve">Baltijas </w:t>
            </w:r>
            <w:r>
              <w:rPr>
                <w:rFonts w:eastAsia="Calibri"/>
                <w:lang w:eastAsia="en-US"/>
              </w:rPr>
              <w:t>valstu budžet</w:t>
            </w:r>
            <w:r w:rsidR="00E7662B">
              <w:rPr>
                <w:rFonts w:eastAsia="Calibri"/>
                <w:lang w:eastAsia="en-US"/>
              </w:rPr>
              <w:t>a</w:t>
            </w:r>
            <w:r>
              <w:rPr>
                <w:rFonts w:eastAsia="Calibri"/>
                <w:lang w:eastAsia="en-US"/>
              </w:rPr>
              <w:t xml:space="preserve"> līdzekļiem. </w:t>
            </w:r>
            <w:r w:rsidRPr="00482BB3">
              <w:rPr>
                <w:rFonts w:eastAsia="Calibri"/>
                <w:lang w:eastAsia="en-US"/>
              </w:rPr>
              <w:t>Laika posmā no 2015.gada līdz 2019.gadam, parakstot trīs CEF līgum</w:t>
            </w:r>
            <w:r>
              <w:rPr>
                <w:rFonts w:eastAsia="Calibri"/>
                <w:lang w:eastAsia="en-US"/>
              </w:rPr>
              <w:t>us</w:t>
            </w:r>
            <w:r w:rsidRPr="00482BB3">
              <w:rPr>
                <w:rFonts w:eastAsia="Calibri"/>
                <w:lang w:eastAsia="en-US"/>
              </w:rPr>
              <w:t xml:space="preserve">, </w:t>
            </w:r>
            <w:r>
              <w:rPr>
                <w:rFonts w:eastAsia="Calibri"/>
                <w:lang w:eastAsia="en-US"/>
              </w:rPr>
              <w:t xml:space="preserve"> RBR</w:t>
            </w:r>
            <w:r w:rsidRPr="00482BB3">
              <w:rPr>
                <w:rFonts w:eastAsia="Calibri"/>
                <w:lang w:eastAsia="en-US"/>
              </w:rPr>
              <w:t xml:space="preserve"> </w:t>
            </w:r>
            <w:r>
              <w:rPr>
                <w:rFonts w:eastAsia="Calibri"/>
                <w:lang w:eastAsia="en-US"/>
              </w:rPr>
              <w:t xml:space="preserve">un </w:t>
            </w:r>
            <w:r w:rsidRPr="00482BB3">
              <w:rPr>
                <w:rFonts w:eastAsia="Calibri"/>
                <w:lang w:eastAsia="en-US"/>
              </w:rPr>
              <w:t>Baltijas valstis ir apņēmuš</w:t>
            </w:r>
            <w:r>
              <w:rPr>
                <w:rFonts w:eastAsia="Calibri"/>
                <w:lang w:eastAsia="en-US"/>
              </w:rPr>
              <w:t>ās</w:t>
            </w:r>
            <w:r w:rsidRPr="00482BB3">
              <w:rPr>
                <w:rFonts w:eastAsia="Calibri"/>
                <w:lang w:eastAsia="en-US"/>
              </w:rPr>
              <w:t xml:space="preserve"> investēt</w:t>
            </w:r>
            <w:r>
              <w:rPr>
                <w:rFonts w:eastAsia="Calibri"/>
                <w:lang w:eastAsia="en-US"/>
              </w:rPr>
              <w:t xml:space="preserve"> </w:t>
            </w:r>
            <w:r w:rsidRPr="00482BB3">
              <w:rPr>
                <w:rFonts w:eastAsia="Calibri"/>
                <w:lang w:eastAsia="en-US"/>
              </w:rPr>
              <w:t>819 855 833 EUR</w:t>
            </w:r>
            <w:r>
              <w:rPr>
                <w:rFonts w:eastAsia="Calibri"/>
                <w:lang w:eastAsia="en-US"/>
              </w:rPr>
              <w:t xml:space="preserve">, kur </w:t>
            </w:r>
            <w:r w:rsidRPr="00482BB3">
              <w:rPr>
                <w:rFonts w:eastAsia="Calibri"/>
                <w:lang w:eastAsia="en-US"/>
              </w:rPr>
              <w:t>682 895 993 EUR</w:t>
            </w:r>
            <w:r>
              <w:rPr>
                <w:rFonts w:eastAsia="Calibri"/>
                <w:lang w:eastAsia="en-US"/>
              </w:rPr>
              <w:t xml:space="preserve"> ir EISI finansējums un 136 959 840 EUR ir valstu līdzfinansējums. Latvijas daļa ir attiecīgi </w:t>
            </w:r>
            <w:r w:rsidRPr="00482BB3">
              <w:rPr>
                <w:rFonts w:eastAsia="Calibri"/>
                <w:lang w:eastAsia="en-US"/>
              </w:rPr>
              <w:t xml:space="preserve">240 567 215 EUR </w:t>
            </w:r>
            <w:r>
              <w:rPr>
                <w:rFonts w:eastAsia="Calibri"/>
                <w:lang w:eastAsia="en-US"/>
              </w:rPr>
              <w:t xml:space="preserve"> EISI finansējums un 51 531 680 EUR </w:t>
            </w:r>
            <w:r w:rsidRPr="00482BB3">
              <w:rPr>
                <w:rFonts w:eastAsia="Calibri"/>
                <w:lang w:eastAsia="en-US"/>
              </w:rPr>
              <w:t>valsts budžeta līdzfinansējumu.</w:t>
            </w:r>
            <w:r>
              <w:t xml:space="preserve"> </w:t>
            </w:r>
          </w:p>
          <w:p w:rsidR="00813DDC" w:rsidP="00057391" w:rsidRDefault="00813DDC" w14:paraId="10705F58" w14:textId="18B54C4E">
            <w:pPr>
              <w:ind w:firstLine="664"/>
              <w:jc w:val="both"/>
              <w:rPr>
                <w:rFonts w:eastAsia="Calibri"/>
                <w:lang w:eastAsia="en-US"/>
              </w:rPr>
            </w:pPr>
            <w:r>
              <w:rPr>
                <w:rFonts w:eastAsia="Calibri"/>
                <w:lang w:eastAsia="en-US"/>
              </w:rPr>
              <w:t>2014.gadā Baltijas valstis nodibināja kopuzņēmumu akciju sabiedrību “RB Rail”</w:t>
            </w:r>
            <w:r w:rsidR="0071109C">
              <w:rPr>
                <w:rFonts w:eastAsia="Calibri"/>
                <w:lang w:eastAsia="en-US"/>
              </w:rPr>
              <w:t xml:space="preserve"> (turpmāk – RBR)</w:t>
            </w:r>
            <w:r>
              <w:rPr>
                <w:rFonts w:eastAsia="Calibri"/>
                <w:lang w:eastAsia="en-US"/>
              </w:rPr>
              <w:t xml:space="preserve">, kas veic </w:t>
            </w:r>
            <w:r w:rsidR="003041A8">
              <w:rPr>
                <w:rFonts w:eastAsia="Calibri"/>
                <w:lang w:eastAsia="en-US"/>
              </w:rPr>
              <w:t>Projekta koordinator</w:t>
            </w:r>
            <w:r>
              <w:rPr>
                <w:rFonts w:eastAsia="Calibri"/>
                <w:lang w:eastAsia="en-US"/>
              </w:rPr>
              <w:t>a funkcijas</w:t>
            </w:r>
            <w:r w:rsidR="003041A8">
              <w:rPr>
                <w:rFonts w:eastAsia="Calibri"/>
                <w:lang w:eastAsia="en-US"/>
              </w:rPr>
              <w:t xml:space="preserve"> </w:t>
            </w:r>
            <w:r>
              <w:rPr>
                <w:rFonts w:eastAsia="Calibri"/>
                <w:lang w:eastAsia="en-US"/>
              </w:rPr>
              <w:t xml:space="preserve">un ir </w:t>
            </w:r>
            <w:r w:rsidRPr="00A74FA0" w:rsidR="00A74FA0">
              <w:rPr>
                <w:rFonts w:eastAsia="Calibri"/>
                <w:lang w:eastAsia="en-US"/>
              </w:rPr>
              <w:t>atbildīg</w:t>
            </w:r>
            <w:r w:rsidR="008325D9">
              <w:rPr>
                <w:rFonts w:eastAsia="Calibri"/>
                <w:lang w:eastAsia="en-US"/>
              </w:rPr>
              <w:t>a</w:t>
            </w:r>
            <w:r w:rsidRPr="00A74FA0" w:rsidR="00A74FA0">
              <w:rPr>
                <w:rFonts w:eastAsia="Calibri"/>
                <w:lang w:eastAsia="en-US"/>
              </w:rPr>
              <w:t xml:space="preserve"> par Projekta horizontālajām aktivitātēm, t</w:t>
            </w:r>
            <w:r w:rsidR="008325D9">
              <w:rPr>
                <w:rFonts w:eastAsia="Calibri"/>
                <w:lang w:eastAsia="en-US"/>
              </w:rPr>
              <w:t>.i.</w:t>
            </w:r>
            <w:r w:rsidRPr="00A74FA0" w:rsidR="00A74FA0">
              <w:rPr>
                <w:rFonts w:eastAsia="Calibri"/>
                <w:lang w:eastAsia="en-US"/>
              </w:rPr>
              <w:t xml:space="preserve"> aktivitātēm, kas nepieciešamas visām trijām Baltijas valstīm. Projekta horizontālās aktivitātes finansē Eiropas Komisija (turpmāk  – EK), kas finansē līdz 85% no </w:t>
            </w:r>
            <w:r w:rsidR="00E7662B">
              <w:rPr>
                <w:rFonts w:eastAsia="Calibri"/>
                <w:lang w:eastAsia="en-US"/>
              </w:rPr>
              <w:t>P</w:t>
            </w:r>
            <w:r w:rsidRPr="00A74FA0" w:rsidR="00A74FA0">
              <w:rPr>
                <w:rFonts w:eastAsia="Calibri"/>
                <w:lang w:eastAsia="en-US"/>
              </w:rPr>
              <w:t>rojekta attiecināmajām izmaksām</w:t>
            </w:r>
            <w:r>
              <w:rPr>
                <w:rFonts w:eastAsia="Calibri"/>
                <w:lang w:eastAsia="en-US"/>
              </w:rPr>
              <w:t>,</w:t>
            </w:r>
            <w:r w:rsidRPr="00A74FA0" w:rsidR="00A74FA0">
              <w:rPr>
                <w:rFonts w:eastAsia="Calibri"/>
                <w:lang w:eastAsia="en-US"/>
              </w:rPr>
              <w:t xml:space="preserve"> un solidāri</w:t>
            </w:r>
            <w:r w:rsidRPr="00A74FA0">
              <w:rPr>
                <w:rFonts w:eastAsia="Calibri"/>
                <w:lang w:eastAsia="en-US"/>
              </w:rPr>
              <w:t xml:space="preserve"> līdzfinansē</w:t>
            </w:r>
            <w:r w:rsidRPr="00A74FA0" w:rsidR="00A74FA0">
              <w:rPr>
                <w:rFonts w:eastAsia="Calibri"/>
                <w:lang w:eastAsia="en-US"/>
              </w:rPr>
              <w:t xml:space="preserve"> Igaunija, Latvija un Lietuva</w:t>
            </w:r>
            <w:r>
              <w:rPr>
                <w:rFonts w:eastAsia="Calibri"/>
                <w:lang w:eastAsia="en-US"/>
              </w:rPr>
              <w:t>,</w:t>
            </w:r>
            <w:r w:rsidRPr="00A74FA0">
              <w:rPr>
                <w:rFonts w:eastAsia="Calibri"/>
                <w:lang w:eastAsia="en-US"/>
              </w:rPr>
              <w:t xml:space="preserve"> katra 5 % apmērā</w:t>
            </w:r>
            <w:r w:rsidRPr="00A74FA0" w:rsidR="00A74FA0">
              <w:rPr>
                <w:rFonts w:eastAsia="Calibri"/>
                <w:lang w:eastAsia="en-US"/>
              </w:rPr>
              <w:t>.</w:t>
            </w:r>
          </w:p>
          <w:p w:rsidR="00057391" w:rsidP="00F93E7A" w:rsidRDefault="006519F9" w14:paraId="66F8FC48" w14:textId="4CEFBA97">
            <w:pPr>
              <w:ind w:firstLine="664"/>
              <w:jc w:val="both"/>
              <w:rPr>
                <w:noProof/>
              </w:rPr>
            </w:pPr>
            <w:r>
              <w:rPr>
                <w:rFonts w:eastAsia="Calibri"/>
                <w:lang w:eastAsia="en-US"/>
              </w:rPr>
              <w:t xml:space="preserve">2019.gadā </w:t>
            </w:r>
            <w:r w:rsidRPr="00813DDC" w:rsidR="00813DDC">
              <w:rPr>
                <w:rFonts w:eastAsia="Calibri"/>
                <w:lang w:eastAsia="en-US"/>
              </w:rPr>
              <w:t xml:space="preserve">EK </w:t>
            </w:r>
            <w:r w:rsidR="00F93E7A">
              <w:rPr>
                <w:rFonts w:eastAsia="Calibri"/>
                <w:lang w:eastAsia="en-US"/>
              </w:rPr>
              <w:t xml:space="preserve">pieņēma lēmumu, ka </w:t>
            </w:r>
            <w:r w:rsidRPr="00813DDC" w:rsidR="00F93E7A">
              <w:rPr>
                <w:rFonts w:eastAsia="Calibri"/>
                <w:lang w:eastAsia="en-US"/>
              </w:rPr>
              <w:t xml:space="preserve">EISI transporta un enerģētikas projektos </w:t>
            </w:r>
            <w:r w:rsidRPr="00813DDC" w:rsidR="00813DDC">
              <w:rPr>
                <w:rFonts w:eastAsia="Calibri"/>
                <w:lang w:eastAsia="en-US"/>
              </w:rPr>
              <w:t>PVN</w:t>
            </w:r>
            <w:r w:rsidR="00F93E7A">
              <w:rPr>
                <w:rFonts w:eastAsia="Calibri"/>
                <w:lang w:eastAsia="en-US"/>
              </w:rPr>
              <w:t xml:space="preserve"> ir neattiecināmās izmaksas, jo to attiecināšana neatbilst </w:t>
            </w:r>
            <w:r w:rsidRPr="00813DDC" w:rsidR="00813DDC">
              <w:rPr>
                <w:rFonts w:eastAsia="Calibri"/>
                <w:lang w:eastAsia="en-US"/>
              </w:rPr>
              <w:t xml:space="preserve">EISI </w:t>
            </w:r>
            <w:r w:rsidR="00F93E7A">
              <w:rPr>
                <w:rFonts w:eastAsia="Calibri"/>
                <w:lang w:eastAsia="en-US"/>
              </w:rPr>
              <w:t xml:space="preserve">investīciju </w:t>
            </w:r>
            <w:r w:rsidRPr="00813DDC" w:rsidR="00813DDC">
              <w:rPr>
                <w:rFonts w:eastAsia="Calibri"/>
                <w:lang w:eastAsia="en-US"/>
              </w:rPr>
              <w:t>mērķi</w:t>
            </w:r>
            <w:r w:rsidR="00F93E7A">
              <w:rPr>
                <w:rFonts w:eastAsia="Calibri"/>
                <w:lang w:eastAsia="en-US"/>
              </w:rPr>
              <w:t>m –</w:t>
            </w:r>
            <w:r w:rsidRPr="00813DDC" w:rsidR="00813DDC">
              <w:rPr>
                <w:rFonts w:eastAsia="Calibri"/>
                <w:lang w:eastAsia="en-US"/>
              </w:rPr>
              <w:t xml:space="preserve"> veicināt ieguldījumus Eiropas komunikāciju tīklos, piesaistot publiskā un privātā sektora finansējumu</w:t>
            </w:r>
            <w:r w:rsidR="00F93E7A">
              <w:rPr>
                <w:rFonts w:eastAsia="Calibri"/>
                <w:lang w:eastAsia="en-US"/>
              </w:rPr>
              <w:t xml:space="preserve">. </w:t>
            </w:r>
            <w:r w:rsidR="00265E92">
              <w:rPr>
                <w:rFonts w:eastAsia="Calibri"/>
                <w:lang w:eastAsia="en-US"/>
              </w:rPr>
              <w:t xml:space="preserve">Šis lēmums radīja arī retrospektīvu ietekmi, jo tika attiecināts uz maksājumu pieprasījumiem, kas tika iesniegti pēc lēmuma pieņemšanas </w:t>
            </w:r>
            <w:r w:rsidR="00265E92">
              <w:rPr>
                <w:rFonts w:eastAsia="Calibri"/>
                <w:lang w:eastAsia="en-US"/>
              </w:rPr>
              <w:lastRenderedPageBreak/>
              <w:t xml:space="preserve">par iepriekšējo periodu, t.i. 2018.gadu. Līdz ar to arī 2018.gada RBR maksājumiem PVN ir neattiecināmās izmaksas. </w:t>
            </w:r>
            <w:r w:rsidR="00F93E7A">
              <w:rPr>
                <w:rFonts w:eastAsia="Calibri"/>
                <w:lang w:eastAsia="en-US"/>
              </w:rPr>
              <w:t xml:space="preserve">Sākotnēji noslēgtie CEF līgumi </w:t>
            </w:r>
            <w:r w:rsidR="00193B74">
              <w:rPr>
                <w:rFonts w:eastAsia="Calibri"/>
                <w:lang w:eastAsia="en-US"/>
              </w:rPr>
              <w:t xml:space="preserve">paredz PVN </w:t>
            </w:r>
            <w:proofErr w:type="spellStart"/>
            <w:r w:rsidR="00193B74">
              <w:rPr>
                <w:rFonts w:eastAsia="Calibri"/>
                <w:lang w:eastAsia="en-US"/>
              </w:rPr>
              <w:t>attiecināmību</w:t>
            </w:r>
            <w:proofErr w:type="spellEnd"/>
            <w:r w:rsidR="00193B74">
              <w:rPr>
                <w:rFonts w:eastAsia="Calibri"/>
                <w:lang w:eastAsia="en-US"/>
              </w:rPr>
              <w:t>, taču jaunie nosacījumi</w:t>
            </w:r>
            <w:r w:rsidR="00193B74">
              <w:t xml:space="preserve"> </w:t>
            </w:r>
            <w:r w:rsidRPr="00193B74" w:rsidR="00193B74">
              <w:rPr>
                <w:rFonts w:eastAsia="Calibri"/>
                <w:lang w:eastAsia="en-US"/>
              </w:rPr>
              <w:t>tiek iestrādāt</w:t>
            </w:r>
            <w:r w:rsidR="00193B74">
              <w:rPr>
                <w:rFonts w:eastAsia="Calibri"/>
                <w:lang w:eastAsia="en-US"/>
              </w:rPr>
              <w:t>i</w:t>
            </w:r>
            <w:r w:rsidRPr="00193B74" w:rsidR="00193B74">
              <w:rPr>
                <w:rFonts w:eastAsia="Calibri"/>
                <w:lang w:eastAsia="en-US"/>
              </w:rPr>
              <w:t xml:space="preserve"> visos parakstītajos </w:t>
            </w:r>
            <w:r w:rsidR="00193B74">
              <w:rPr>
                <w:rFonts w:eastAsia="Calibri"/>
                <w:lang w:eastAsia="en-US"/>
              </w:rPr>
              <w:t>CEF</w:t>
            </w:r>
            <w:r w:rsidRPr="00193B74" w:rsidR="00193B74">
              <w:rPr>
                <w:rFonts w:eastAsia="Calibri"/>
                <w:lang w:eastAsia="en-US"/>
              </w:rPr>
              <w:t xml:space="preserve"> līgumos to grozījumu ietvarā. 2019.gadā tik</w:t>
            </w:r>
            <w:r w:rsidR="00193B74">
              <w:rPr>
                <w:rFonts w:eastAsia="Calibri"/>
                <w:lang w:eastAsia="en-US"/>
              </w:rPr>
              <w:t>a</w:t>
            </w:r>
            <w:r w:rsidRPr="00193B74" w:rsidR="00193B74">
              <w:rPr>
                <w:rFonts w:eastAsia="Calibri"/>
                <w:lang w:eastAsia="en-US"/>
              </w:rPr>
              <w:t xml:space="preserve"> grozīts 2014.gada </w:t>
            </w:r>
            <w:r w:rsidR="00193B74">
              <w:rPr>
                <w:rFonts w:eastAsia="Calibri"/>
                <w:lang w:eastAsia="en-US"/>
              </w:rPr>
              <w:t>CEF līgums</w:t>
            </w:r>
            <w:r w:rsidRPr="00193B74" w:rsidR="00193B74">
              <w:rPr>
                <w:rFonts w:eastAsia="Calibri"/>
                <w:lang w:eastAsia="en-US"/>
              </w:rPr>
              <w:t xml:space="preserve">, 2020.gadā tiks grozīti 2015.gada un 2016.gada </w:t>
            </w:r>
            <w:r w:rsidR="00193B74">
              <w:rPr>
                <w:rFonts w:eastAsia="Calibri"/>
                <w:lang w:eastAsia="en-US"/>
              </w:rPr>
              <w:t>CEF līgumi</w:t>
            </w:r>
            <w:r w:rsidRPr="00193B74" w:rsidR="00193B74">
              <w:rPr>
                <w:rFonts w:eastAsia="Calibri"/>
                <w:lang w:eastAsia="en-US"/>
              </w:rPr>
              <w:t>. Vienlaikus EK patur tiesības piemērot minētos grozījumus retrospektīvi.</w:t>
            </w:r>
            <w:r w:rsidRPr="0071109C" w:rsidR="0071109C">
              <w:rPr>
                <w:rFonts w:eastAsia="Calibri"/>
                <w:lang w:eastAsia="en-US"/>
              </w:rPr>
              <w:t xml:space="preserve"> </w:t>
            </w:r>
            <w:r w:rsidR="0071109C">
              <w:rPr>
                <w:rFonts w:eastAsia="Calibri"/>
                <w:lang w:eastAsia="en-US"/>
              </w:rPr>
              <w:t xml:space="preserve">Tā kā RBR pilda tikai valstu </w:t>
            </w:r>
            <w:r w:rsidRPr="0071109C" w:rsidR="0071109C">
              <w:rPr>
                <w:rFonts w:eastAsia="Calibri"/>
                <w:lang w:eastAsia="en-US"/>
              </w:rPr>
              <w:t xml:space="preserve">deleģētus vai ar pilnvarojumu nodotus valsts pārvaldes uzdevumus, </w:t>
            </w:r>
            <w:r w:rsidR="00645A4F">
              <w:rPr>
                <w:rFonts w:eastAsia="Calibri"/>
                <w:lang w:eastAsia="en-US"/>
              </w:rPr>
              <w:t>P</w:t>
            </w:r>
            <w:r w:rsidR="0071109C">
              <w:rPr>
                <w:rFonts w:eastAsia="Calibri"/>
                <w:lang w:eastAsia="en-US"/>
              </w:rPr>
              <w:t>ievienotās vērtības nodok</w:t>
            </w:r>
            <w:r w:rsidR="00645A4F">
              <w:rPr>
                <w:rFonts w:eastAsia="Calibri"/>
                <w:lang w:eastAsia="en-US"/>
              </w:rPr>
              <w:t>ļa likuma</w:t>
            </w:r>
            <w:r w:rsidR="0071109C">
              <w:rPr>
                <w:rFonts w:eastAsia="Calibri"/>
                <w:lang w:eastAsia="en-US"/>
              </w:rPr>
              <w:t xml:space="preserve"> 3.panta </w:t>
            </w:r>
            <w:r w:rsidR="001C1E1D">
              <w:rPr>
                <w:rFonts w:eastAsia="Calibri"/>
                <w:lang w:eastAsia="en-US"/>
              </w:rPr>
              <w:t xml:space="preserve">astotās </w:t>
            </w:r>
            <w:r w:rsidR="0071109C">
              <w:rPr>
                <w:rFonts w:eastAsia="Calibri"/>
                <w:lang w:eastAsia="en-US"/>
              </w:rPr>
              <w:t xml:space="preserve">daļas izpratnē tas nav uzskatāms </w:t>
            </w:r>
            <w:r w:rsidRPr="0071109C" w:rsidR="0071109C">
              <w:rPr>
                <w:rFonts w:eastAsia="Calibri"/>
                <w:lang w:eastAsia="en-US"/>
              </w:rPr>
              <w:t xml:space="preserve">par </w:t>
            </w:r>
            <w:r w:rsidR="0071109C">
              <w:rPr>
                <w:rFonts w:eastAsia="Calibri"/>
                <w:lang w:eastAsia="en-US"/>
              </w:rPr>
              <w:t xml:space="preserve">šī </w:t>
            </w:r>
            <w:r w:rsidRPr="0071109C" w:rsidR="0071109C">
              <w:rPr>
                <w:rFonts w:eastAsia="Calibri"/>
                <w:lang w:eastAsia="en-US"/>
              </w:rPr>
              <w:t>nodokļa maksātāj</w:t>
            </w:r>
            <w:r w:rsidR="0071109C">
              <w:rPr>
                <w:rFonts w:eastAsia="Calibri"/>
                <w:lang w:eastAsia="en-US"/>
              </w:rPr>
              <w:t xml:space="preserve">u, un nevar samaksāto PVN atskaitīt kā priekšnodokli vai vispārējā kārtībā saņemt no valsts budžeta pārmaksāto PVN. </w:t>
            </w:r>
            <w:r w:rsidRPr="0071109C" w:rsidR="0071109C">
              <w:rPr>
                <w:rFonts w:eastAsia="Calibri"/>
                <w:lang w:eastAsia="en-US"/>
              </w:rPr>
              <w:t>Tā kā RBR ir Latvijā reģistrēts komercuzņēmums, 90 % iepirkumu</w:t>
            </w:r>
            <w:r w:rsidR="0071109C">
              <w:rPr>
                <w:rFonts w:eastAsia="Calibri"/>
                <w:lang w:eastAsia="en-US"/>
              </w:rPr>
              <w:t xml:space="preserve"> un maksājumu</w:t>
            </w:r>
            <w:r w:rsidRPr="0071109C" w:rsidR="0071109C">
              <w:rPr>
                <w:rFonts w:eastAsia="Calibri"/>
                <w:lang w:eastAsia="en-US"/>
              </w:rPr>
              <w:t xml:space="preserve"> tiek veikti Latvijas teritorijā, kamēr Igaunij</w:t>
            </w:r>
            <w:r w:rsidR="0071109C">
              <w:rPr>
                <w:rFonts w:eastAsia="Calibri"/>
                <w:lang w:eastAsia="en-US"/>
              </w:rPr>
              <w:t>ā</w:t>
            </w:r>
            <w:r w:rsidRPr="0071109C" w:rsidR="0071109C">
              <w:rPr>
                <w:rFonts w:eastAsia="Calibri"/>
                <w:lang w:eastAsia="en-US"/>
              </w:rPr>
              <w:t xml:space="preserve"> un Lietuv</w:t>
            </w:r>
            <w:r w:rsidR="0071109C">
              <w:rPr>
                <w:rFonts w:eastAsia="Calibri"/>
                <w:lang w:eastAsia="en-US"/>
              </w:rPr>
              <w:t xml:space="preserve">ā katrā </w:t>
            </w:r>
            <w:r w:rsidRPr="0071109C" w:rsidR="0071109C">
              <w:rPr>
                <w:rFonts w:eastAsia="Calibri"/>
                <w:lang w:eastAsia="en-US"/>
              </w:rPr>
              <w:t>aptuveni 5 %.</w:t>
            </w:r>
            <w:r w:rsidR="0071109C">
              <w:rPr>
                <w:rFonts w:eastAsia="Calibri"/>
                <w:lang w:eastAsia="en-US"/>
              </w:rPr>
              <w:t xml:space="preserve"> </w:t>
            </w:r>
            <w:r w:rsidR="00BA3A69">
              <w:rPr>
                <w:noProof/>
              </w:rPr>
              <w:t>T</w:t>
            </w:r>
            <w:r w:rsidRPr="007D0E24" w:rsidR="00BA3A69">
              <w:rPr>
                <w:noProof/>
              </w:rPr>
              <w:t xml:space="preserve">ādejādi </w:t>
            </w:r>
            <w:r w:rsidR="00BA3A69">
              <w:rPr>
                <w:noProof/>
              </w:rPr>
              <w:t>arī 90 % PVN, kuru ir finansējusi EK, Igaunija, Latvija un Lietuva, tiek iemaksāts Latvijas valsts budžetā.</w:t>
            </w:r>
            <w:r w:rsidR="0070704B">
              <w:rPr>
                <w:noProof/>
              </w:rPr>
              <w:t xml:space="preserve"> 2019.gadā RBR prognozēja, ka</w:t>
            </w:r>
            <w:r w:rsidRPr="0070704B" w:rsidR="0070704B">
              <w:rPr>
                <w:noProof/>
              </w:rPr>
              <w:t xml:space="preserve">, īstenojot Projekta horizontālās aktivitātes, laika posmā no 2020.gada līdz 2022.gadam PVN maksājumu veidā Latvijas valsts budžetā tiks iemaksāti 8 015 914 EUR, kamēr Igaunijas un Lietuvas budžetos attiecīgi plānots </w:t>
            </w:r>
            <w:r w:rsidR="0070704B">
              <w:rPr>
                <w:noProof/>
              </w:rPr>
              <w:t xml:space="preserve">kopā </w:t>
            </w:r>
            <w:r w:rsidRPr="0070704B" w:rsidR="0070704B">
              <w:rPr>
                <w:noProof/>
              </w:rPr>
              <w:t>iemaksāt 890 657 EUR</w:t>
            </w:r>
            <w:r w:rsidR="0070704B">
              <w:rPr>
                <w:noProof/>
              </w:rPr>
              <w:t xml:space="preserve">. </w:t>
            </w:r>
            <w:r w:rsidR="0070704B">
              <w:t xml:space="preserve"> </w:t>
            </w:r>
            <w:r w:rsidR="00645A4F">
              <w:rPr>
                <w:noProof/>
              </w:rPr>
              <w:t>Līdz ar to šie noteikumi sniegs</w:t>
            </w:r>
            <w:r w:rsidRPr="0070704B" w:rsidR="0070704B">
              <w:rPr>
                <w:noProof/>
              </w:rPr>
              <w:t xml:space="preserve"> nepieciešam</w:t>
            </w:r>
            <w:r w:rsidR="00645A4F">
              <w:rPr>
                <w:noProof/>
              </w:rPr>
              <w:t>o</w:t>
            </w:r>
            <w:r w:rsidRPr="0070704B" w:rsidR="0070704B">
              <w:rPr>
                <w:noProof/>
              </w:rPr>
              <w:t xml:space="preserve"> risinājumu par </w:t>
            </w:r>
            <w:r w:rsidR="00645A4F">
              <w:rPr>
                <w:noProof/>
              </w:rPr>
              <w:t xml:space="preserve">RBR </w:t>
            </w:r>
            <w:r w:rsidRPr="0070704B" w:rsidR="0070704B">
              <w:rPr>
                <w:noProof/>
              </w:rPr>
              <w:t>Latvijas valsts budžetā iemaksātā PVN, kuru ir finansējus</w:t>
            </w:r>
            <w:r w:rsidR="001211A0">
              <w:rPr>
                <w:noProof/>
              </w:rPr>
              <w:t>i</w:t>
            </w:r>
            <w:r w:rsidRPr="0070704B" w:rsidR="0070704B">
              <w:rPr>
                <w:noProof/>
              </w:rPr>
              <w:t xml:space="preserve"> Igaunija</w:t>
            </w:r>
            <w:r w:rsidR="00645A4F">
              <w:rPr>
                <w:noProof/>
              </w:rPr>
              <w:t xml:space="preserve"> </w:t>
            </w:r>
            <w:r w:rsidRPr="0070704B" w:rsidR="0070704B">
              <w:rPr>
                <w:noProof/>
              </w:rPr>
              <w:t>un Lietuva</w:t>
            </w:r>
            <w:r w:rsidR="00645A4F">
              <w:rPr>
                <w:noProof/>
              </w:rPr>
              <w:t>, kompensēšanu Igaunijai un Lietuvai</w:t>
            </w:r>
            <w:r w:rsidR="001211A0">
              <w:rPr>
                <w:noProof/>
              </w:rPr>
              <w:t>, tādejādi novēršot fiskālo ietekmi, k</w:t>
            </w:r>
            <w:r w:rsidR="00E7662B">
              <w:rPr>
                <w:noProof/>
              </w:rPr>
              <w:t>o</w:t>
            </w:r>
            <w:r w:rsidR="001211A0">
              <w:rPr>
                <w:noProof/>
              </w:rPr>
              <w:t xml:space="preserve"> </w:t>
            </w:r>
            <w:r w:rsidRPr="0070704B" w:rsidR="0070704B">
              <w:rPr>
                <w:noProof/>
              </w:rPr>
              <w:t xml:space="preserve"> Lietuvas un Igaunijas </w:t>
            </w:r>
            <w:r w:rsidR="001211A0">
              <w:rPr>
                <w:noProof/>
              </w:rPr>
              <w:t>budžeta līdzfinansējums rada Latvijas budžetam papildus PVN ieņēmumus</w:t>
            </w:r>
            <w:r w:rsidRPr="0070704B" w:rsidR="0070704B">
              <w:rPr>
                <w:noProof/>
              </w:rPr>
              <w:t>.</w:t>
            </w:r>
          </w:p>
          <w:p w:rsidR="00645A4F" w:rsidP="00F93E7A" w:rsidRDefault="00645A4F" w14:paraId="755BB018" w14:textId="23D6159D">
            <w:pPr>
              <w:ind w:firstLine="664"/>
              <w:jc w:val="both"/>
              <w:rPr>
                <w:noProof/>
              </w:rPr>
            </w:pPr>
            <w:r>
              <w:rPr>
                <w:noProof/>
              </w:rPr>
              <w:t xml:space="preserve">Trīs Baltijas valstu atbildīgās ministrijas (minētas noteikumu </w:t>
            </w:r>
            <w:r w:rsidR="001C1E1D">
              <w:rPr>
                <w:noProof/>
              </w:rPr>
              <w:t xml:space="preserve">projekta </w:t>
            </w:r>
            <w:r>
              <w:rPr>
                <w:noProof/>
              </w:rPr>
              <w:t>10.punktā) ir vienojušās, ka noteikumu</w:t>
            </w:r>
            <w:r w:rsidR="0061731D">
              <w:rPr>
                <w:noProof/>
              </w:rPr>
              <w:t xml:space="preserve"> projekta</w:t>
            </w:r>
            <w:r>
              <w:rPr>
                <w:noProof/>
              </w:rPr>
              <w:t xml:space="preserve"> apstiprināšanas gadījumā Igaunijas un Lietuvas puse izdos autorizāciju jeb pilnvarojumu RBR saņemt no </w:t>
            </w:r>
            <w:r w:rsidR="00E7662B">
              <w:rPr>
                <w:noProof/>
              </w:rPr>
              <w:t xml:space="preserve">Latvijas Republikas </w:t>
            </w:r>
            <w:r>
              <w:rPr>
                <w:noProof/>
              </w:rPr>
              <w:t xml:space="preserve">Satiksmes ministrijas </w:t>
            </w:r>
            <w:r w:rsidR="00785C39">
              <w:rPr>
                <w:noProof/>
              </w:rPr>
              <w:t xml:space="preserve">(turpmāk – SM) </w:t>
            </w:r>
            <w:r>
              <w:rPr>
                <w:noProof/>
              </w:rPr>
              <w:t xml:space="preserve">pārskaitīto </w:t>
            </w:r>
            <w:r w:rsidR="000925F7">
              <w:rPr>
                <w:noProof/>
              </w:rPr>
              <w:t xml:space="preserve">Igaunijai un Lietuvai kompensējamo PVN summu. Savukārt RBR saņemtos maksājumus uzskaitīs un attiecinās pret Igaunijas un Lietuvas saistībām RBR līdzfinansējuma nodrošināšanā. Tādejādi tiks samazināts PVN kompensēšanas procedūras administratīvais slogs, jo tiks veikts mazāks skaits naudas pārskaitījumu. Jāatzīmē, ka Igaunijas un Lietuvas atbildīgās ministrijas ir informējušas </w:t>
            </w:r>
            <w:r w:rsidR="00785C39">
              <w:rPr>
                <w:noProof/>
              </w:rPr>
              <w:t>SM,</w:t>
            </w:r>
            <w:r w:rsidR="000925F7">
              <w:rPr>
                <w:noProof/>
              </w:rPr>
              <w:t xml:space="preserve"> ka saņemt PVN summas pārskaitījumus tieši no </w:t>
            </w:r>
            <w:r w:rsidR="00785C39">
              <w:rPr>
                <w:noProof/>
              </w:rPr>
              <w:t>SM</w:t>
            </w:r>
            <w:r w:rsidR="000925F7">
              <w:rPr>
                <w:noProof/>
              </w:rPr>
              <w:t xml:space="preserve"> tām ir problemātiski, jo tas nav paredzēts valsts budžetā, un šādai kārtībai būtu nepieciešama atsevišķa formāla vienošanās.</w:t>
            </w:r>
            <w:r w:rsidR="00071E50">
              <w:t xml:space="preserve"> </w:t>
            </w:r>
            <w:r w:rsidRPr="00071E50" w:rsidR="00071E50">
              <w:rPr>
                <w:noProof/>
              </w:rPr>
              <w:t xml:space="preserve">Šobrīd trīs Baltijas valstu ministriju, RBR akcionāru un RBR eksperti turpina izstrādāt RBR ilgtermiņa finansēšanas vienošanos, </w:t>
            </w:r>
            <w:r w:rsidR="007F1B0C">
              <w:rPr>
                <w:noProof/>
              </w:rPr>
              <w:t>un</w:t>
            </w:r>
            <w:r w:rsidRPr="00071E50" w:rsidR="00071E50">
              <w:rPr>
                <w:noProof/>
              </w:rPr>
              <w:t xml:space="preserve"> minētā Igaunijas un Lietuvas autorizācija ir iekļauta šīs vienošanās projektā. Līdz ar vienošanās apstiprināšanu, noteikum</w:t>
            </w:r>
            <w:r w:rsidR="0061731D">
              <w:rPr>
                <w:noProof/>
              </w:rPr>
              <w:t>u projektā</w:t>
            </w:r>
            <w:r w:rsidRPr="00071E50" w:rsidR="00071E50">
              <w:rPr>
                <w:noProof/>
              </w:rPr>
              <w:t xml:space="preserve"> paredzētā Igunijas un Lietuvas autorizācija RBR būs nodoršināta.</w:t>
            </w:r>
          </w:p>
          <w:p w:rsidR="0070704B" w:rsidP="00F93E7A" w:rsidRDefault="0070704B" w14:paraId="2922686A" w14:textId="73102101">
            <w:pPr>
              <w:ind w:firstLine="664"/>
              <w:jc w:val="both"/>
              <w:rPr>
                <w:rFonts w:eastAsia="Calibri"/>
                <w:lang w:eastAsia="en-US"/>
              </w:rPr>
            </w:pPr>
            <w:r>
              <w:rPr>
                <w:rFonts w:eastAsia="Calibri"/>
                <w:lang w:eastAsia="en-US"/>
              </w:rPr>
              <w:lastRenderedPageBreak/>
              <w:t xml:space="preserve">Lai nodrošinātu nepieciešamo valstu līdzfinansējuma un EISI finansējuma proporciju, nepieciešams normatīvais regulējums, kā tiek kompensēts RBR samaksātais PVN. Ja RBR </w:t>
            </w:r>
            <w:r w:rsidR="001C47C9">
              <w:rPr>
                <w:rFonts w:eastAsia="Calibri"/>
                <w:lang w:eastAsia="en-US"/>
              </w:rPr>
              <w:t xml:space="preserve">Latvijā </w:t>
            </w:r>
            <w:r>
              <w:rPr>
                <w:rFonts w:eastAsia="Calibri"/>
                <w:lang w:eastAsia="en-US"/>
              </w:rPr>
              <w:t>samaksātais PVN netiek kompensēts, tad RBR rodas finansējuma iztrūkums, jo PVN nevar tikt iekļauts Projekta attiecināmo izdevumu atskaitēs</w:t>
            </w:r>
            <w:r w:rsidR="001C47C9">
              <w:rPr>
                <w:rFonts w:eastAsia="Calibri"/>
                <w:lang w:eastAsia="en-US"/>
              </w:rPr>
              <w:t xml:space="preserve"> un Projekta finansēšanas līgumos norādītās aktivitāšu izmaksas ir bez PVN</w:t>
            </w:r>
            <w:r>
              <w:rPr>
                <w:rFonts w:eastAsia="Calibri"/>
                <w:lang w:eastAsia="en-US"/>
              </w:rPr>
              <w:t>. Projekta aktivitātēm izlietotajā finansējumā ir jāievēro attiecība EISI finansējums 85% un dalībvalstu līdzfinansējums 15%, neietverot jeb neattiecinot PVN kā izmaksu pozīciju. Tā kā RBR par precēm un pakalpojumiem norēķinās ar PVN, tad RBR budžetā attiecīgajā apmērā veidojas finansējuma iztrūkums.</w:t>
            </w:r>
          </w:p>
          <w:p w:rsidR="0070704B" w:rsidP="002259BB" w:rsidRDefault="00673BF6" w14:paraId="573DA13F" w14:textId="237E442A">
            <w:pPr>
              <w:ind w:firstLine="664"/>
              <w:jc w:val="both"/>
              <w:rPr>
                <w:rFonts w:eastAsia="Calibri"/>
                <w:lang w:eastAsia="en-US"/>
              </w:rPr>
            </w:pPr>
            <w:r>
              <w:rPr>
                <w:rFonts w:eastAsia="Calibri"/>
                <w:lang w:eastAsia="en-US"/>
              </w:rPr>
              <w:t>2019.gada 6.novembrī ar šo situāciju tika iepazīstināt</w:t>
            </w:r>
            <w:r w:rsidR="00E7662B">
              <w:rPr>
                <w:rFonts w:eastAsia="Calibri"/>
                <w:lang w:eastAsia="en-US"/>
              </w:rPr>
              <w:t>s</w:t>
            </w:r>
            <w:r>
              <w:rPr>
                <w:rFonts w:eastAsia="Calibri"/>
                <w:lang w:eastAsia="en-US"/>
              </w:rPr>
              <w:t xml:space="preserve"> Ministru kabinets, izskatot </w:t>
            </w:r>
            <w:r w:rsidR="00785C39">
              <w:rPr>
                <w:rFonts w:eastAsia="Calibri"/>
                <w:lang w:eastAsia="en-US"/>
              </w:rPr>
              <w:t>SM</w:t>
            </w:r>
            <w:r w:rsidR="00E7662B">
              <w:rPr>
                <w:rFonts w:eastAsia="Calibri"/>
                <w:lang w:eastAsia="en-US"/>
              </w:rPr>
              <w:t xml:space="preserve"> sagatavoto</w:t>
            </w:r>
            <w:r>
              <w:rPr>
                <w:rFonts w:eastAsia="Calibri"/>
                <w:lang w:eastAsia="en-US"/>
              </w:rPr>
              <w:t xml:space="preserve"> informatīvo ziņojumu</w:t>
            </w:r>
            <w:r w:rsidR="00362E1D">
              <w:rPr>
                <w:rFonts w:eastAsia="Calibri"/>
                <w:lang w:eastAsia="en-US"/>
              </w:rPr>
              <w:t xml:space="preserve"> </w:t>
            </w:r>
            <w:r w:rsidR="0061731D">
              <w:rPr>
                <w:rFonts w:eastAsia="Calibri"/>
                <w:lang w:eastAsia="en-US"/>
              </w:rPr>
              <w:t>“</w:t>
            </w:r>
            <w:r w:rsidRPr="00362E1D" w:rsidR="00362E1D">
              <w:rPr>
                <w:rFonts w:eastAsia="Calibri"/>
                <w:lang w:eastAsia="en-US"/>
              </w:rPr>
              <w:t xml:space="preserve">Par risinājumu pievienotās vērtības nodokļa kompensēšanai Igaunijai un Lietuvai AS </w:t>
            </w:r>
            <w:r w:rsidR="0061731D">
              <w:rPr>
                <w:rFonts w:eastAsia="Calibri"/>
                <w:lang w:eastAsia="en-US"/>
              </w:rPr>
              <w:t>“</w:t>
            </w:r>
            <w:r w:rsidRPr="00362E1D" w:rsidR="00362E1D">
              <w:rPr>
                <w:rFonts w:eastAsia="Calibri"/>
                <w:lang w:eastAsia="en-US"/>
              </w:rPr>
              <w:t>RB Rail</w:t>
            </w:r>
            <w:r w:rsidR="0061731D">
              <w:rPr>
                <w:rFonts w:eastAsia="Calibri"/>
                <w:lang w:eastAsia="en-US"/>
              </w:rPr>
              <w:t>”</w:t>
            </w:r>
            <w:r w:rsidRPr="00362E1D" w:rsidR="00362E1D">
              <w:rPr>
                <w:rFonts w:eastAsia="Calibri"/>
                <w:lang w:eastAsia="en-US"/>
              </w:rPr>
              <w:t xml:space="preserve"> veikto aktivitāšu ietvaros</w:t>
            </w:r>
            <w:r w:rsidR="0061731D">
              <w:rPr>
                <w:rFonts w:eastAsia="Calibri"/>
                <w:lang w:eastAsia="en-US"/>
              </w:rPr>
              <w:t>”</w:t>
            </w:r>
            <w:r>
              <w:rPr>
                <w:rFonts w:eastAsia="Calibri"/>
                <w:lang w:eastAsia="en-US"/>
              </w:rPr>
              <w:t xml:space="preserve">. </w:t>
            </w:r>
            <w:r w:rsidR="009C5DBA">
              <w:rPr>
                <w:rFonts w:eastAsia="Calibri"/>
                <w:lang w:eastAsia="en-US"/>
              </w:rPr>
              <w:t xml:space="preserve">Saskaņā ar </w:t>
            </w:r>
            <w:r w:rsidR="00362E1D">
              <w:rPr>
                <w:rFonts w:eastAsia="Calibri"/>
                <w:lang w:eastAsia="en-US"/>
              </w:rPr>
              <w:t xml:space="preserve">Ministru kabineta </w:t>
            </w:r>
            <w:r w:rsidR="009C5DBA">
              <w:rPr>
                <w:rFonts w:eastAsia="Calibri"/>
                <w:lang w:eastAsia="en-US"/>
              </w:rPr>
              <w:t>2019.gada 6.novembra sēdes protokol</w:t>
            </w:r>
            <w:r w:rsidR="00362E1D">
              <w:rPr>
                <w:rFonts w:eastAsia="Calibri"/>
                <w:lang w:eastAsia="en-US"/>
              </w:rPr>
              <w:t>lēmum</w:t>
            </w:r>
            <w:r w:rsidR="009C5DBA">
              <w:rPr>
                <w:rFonts w:eastAsia="Calibri"/>
                <w:lang w:eastAsia="en-US"/>
              </w:rPr>
              <w:t>a</w:t>
            </w:r>
            <w:r w:rsidR="00362E1D">
              <w:rPr>
                <w:rFonts w:eastAsia="Calibri"/>
                <w:lang w:eastAsia="en-US"/>
              </w:rPr>
              <w:t xml:space="preserve"> </w:t>
            </w:r>
            <w:r>
              <w:rPr>
                <w:rFonts w:eastAsia="Calibri"/>
                <w:lang w:eastAsia="en-US"/>
              </w:rPr>
              <w:t>(protokols Nr.52</w:t>
            </w:r>
            <w:r w:rsidR="009C5DBA">
              <w:rPr>
                <w:rFonts w:eastAsia="Calibri"/>
                <w:lang w:eastAsia="en-US"/>
              </w:rPr>
              <w:t>,</w:t>
            </w:r>
            <w:r>
              <w:t xml:space="preserve"> </w:t>
            </w:r>
            <w:r w:rsidRPr="00673BF6">
              <w:rPr>
                <w:rFonts w:eastAsia="Calibri"/>
                <w:lang w:eastAsia="en-US"/>
              </w:rPr>
              <w:t>22.§</w:t>
            </w:r>
            <w:r>
              <w:rPr>
                <w:rFonts w:eastAsia="Calibri"/>
                <w:lang w:eastAsia="en-US"/>
              </w:rPr>
              <w:t>)</w:t>
            </w:r>
            <w:r w:rsidR="009C5DBA">
              <w:rPr>
                <w:rFonts w:eastAsia="Calibri"/>
                <w:lang w:eastAsia="en-US"/>
              </w:rPr>
              <w:t xml:space="preserve"> 2.punktu</w:t>
            </w:r>
            <w:r w:rsidR="00E7662B">
              <w:rPr>
                <w:rFonts w:eastAsia="Calibri"/>
                <w:lang w:eastAsia="en-US"/>
              </w:rPr>
              <w:t xml:space="preserve"> atbalstīts </w:t>
            </w:r>
            <w:r w:rsidR="002259BB">
              <w:rPr>
                <w:rFonts w:eastAsia="Calibri"/>
                <w:lang w:eastAsia="en-US"/>
              </w:rPr>
              <w:t>Satiksmes ministrija</w:t>
            </w:r>
            <w:r w:rsidR="00E7662B">
              <w:rPr>
                <w:rFonts w:eastAsia="Calibri"/>
                <w:lang w:eastAsia="en-US"/>
              </w:rPr>
              <w:t>s</w:t>
            </w:r>
            <w:r w:rsidR="002259BB">
              <w:rPr>
                <w:rFonts w:eastAsia="Calibri"/>
                <w:lang w:eastAsia="en-US"/>
              </w:rPr>
              <w:t xml:space="preserve"> </w:t>
            </w:r>
            <w:r>
              <w:rPr>
                <w:rFonts w:eastAsia="Calibri"/>
                <w:lang w:eastAsia="en-US"/>
              </w:rPr>
              <w:t>priekšlikum</w:t>
            </w:r>
            <w:r w:rsidR="00E7662B">
              <w:rPr>
                <w:rFonts w:eastAsia="Calibri"/>
                <w:lang w:eastAsia="en-US"/>
              </w:rPr>
              <w:t>s</w:t>
            </w:r>
            <w:r>
              <w:rPr>
                <w:rFonts w:eastAsia="Calibri"/>
                <w:lang w:eastAsia="en-US"/>
              </w:rPr>
              <w:t xml:space="preserve"> </w:t>
            </w:r>
            <w:r w:rsidR="009C5DBA">
              <w:rPr>
                <w:rFonts w:eastAsia="Calibri"/>
                <w:lang w:eastAsia="en-US"/>
              </w:rPr>
              <w:t xml:space="preserve">par </w:t>
            </w:r>
            <w:r>
              <w:rPr>
                <w:rFonts w:eastAsia="Calibri"/>
                <w:lang w:eastAsia="en-US"/>
              </w:rPr>
              <w:t>likum</w:t>
            </w:r>
            <w:r w:rsidR="009C5DBA">
              <w:rPr>
                <w:rFonts w:eastAsia="Calibri"/>
                <w:lang w:eastAsia="en-US"/>
              </w:rPr>
              <w:t>projekta “Par valsts budžetu 2020.gadam” papildināšanu</w:t>
            </w:r>
            <w:r w:rsidR="00E25A9C">
              <w:rPr>
                <w:rFonts w:eastAsia="Calibri"/>
                <w:lang w:eastAsia="en-US"/>
              </w:rPr>
              <w:t xml:space="preserve"> ar deleģējumu</w:t>
            </w:r>
            <w:r w:rsidR="00E25A9C">
              <w:t xml:space="preserve"> </w:t>
            </w:r>
            <w:r w:rsidRPr="00E25A9C" w:rsidR="00E25A9C">
              <w:rPr>
                <w:rFonts w:eastAsia="Calibri"/>
                <w:lang w:eastAsia="en-US"/>
              </w:rPr>
              <w:t>Ministru kabinet</w:t>
            </w:r>
            <w:r w:rsidR="00E25A9C">
              <w:rPr>
                <w:rFonts w:eastAsia="Calibri"/>
                <w:lang w:eastAsia="en-US"/>
              </w:rPr>
              <w:t>am</w:t>
            </w:r>
            <w:r w:rsidRPr="00E25A9C" w:rsidR="00E25A9C">
              <w:rPr>
                <w:rFonts w:eastAsia="Calibri"/>
                <w:lang w:eastAsia="en-US"/>
              </w:rPr>
              <w:t xml:space="preserve"> no</w:t>
            </w:r>
            <w:r w:rsidR="00E25A9C">
              <w:rPr>
                <w:rFonts w:eastAsia="Calibri"/>
                <w:lang w:eastAsia="en-US"/>
              </w:rPr>
              <w:t>teikt</w:t>
            </w:r>
            <w:r w:rsidRPr="00E25A9C" w:rsidR="00E25A9C">
              <w:rPr>
                <w:rFonts w:eastAsia="Calibri"/>
                <w:lang w:eastAsia="en-US"/>
              </w:rPr>
              <w:t xml:space="preserve"> kārtību, kādā aprēķina un piešķir nepieciešamā finansējuma apmēru </w:t>
            </w:r>
            <w:r w:rsidR="00E7662B">
              <w:rPr>
                <w:rFonts w:eastAsia="Calibri"/>
                <w:lang w:eastAsia="en-US"/>
              </w:rPr>
              <w:t>PVN</w:t>
            </w:r>
            <w:r w:rsidRPr="00E25A9C" w:rsidR="00E25A9C">
              <w:rPr>
                <w:rFonts w:eastAsia="Calibri"/>
                <w:lang w:eastAsia="en-US"/>
              </w:rPr>
              <w:t xml:space="preserve"> summas, kas nav atgūstama kā priekšnodoklis, kompensācijai Igaunijai un Lietuvai </w:t>
            </w:r>
            <w:r w:rsidR="00E7662B">
              <w:rPr>
                <w:rFonts w:eastAsia="Calibri"/>
                <w:lang w:eastAsia="en-US"/>
              </w:rPr>
              <w:t>RBR</w:t>
            </w:r>
            <w:r w:rsidRPr="00E25A9C" w:rsidR="00E25A9C">
              <w:rPr>
                <w:rFonts w:eastAsia="Calibri"/>
                <w:lang w:eastAsia="en-US"/>
              </w:rPr>
              <w:t xml:space="preserve"> veikto aktivitāšu ietvaros</w:t>
            </w:r>
            <w:r w:rsidR="00E7662B">
              <w:rPr>
                <w:rFonts w:eastAsia="Calibri"/>
                <w:lang w:eastAsia="en-US"/>
              </w:rPr>
              <w:t>, kā arī</w:t>
            </w:r>
            <w:r w:rsidRPr="00E25A9C" w:rsidR="00E25A9C">
              <w:rPr>
                <w:rFonts w:eastAsia="Calibri"/>
                <w:lang w:eastAsia="en-US"/>
              </w:rPr>
              <w:t xml:space="preserve"> </w:t>
            </w:r>
            <w:r w:rsidR="00E7662B">
              <w:rPr>
                <w:rFonts w:eastAsia="Calibri"/>
                <w:lang w:eastAsia="en-US"/>
              </w:rPr>
              <w:t>a</w:t>
            </w:r>
            <w:r w:rsidRPr="00E25A9C" w:rsidR="00E25A9C">
              <w:rPr>
                <w:rFonts w:eastAsia="Calibri"/>
                <w:lang w:eastAsia="en-US"/>
              </w:rPr>
              <w:t>tļaut</w:t>
            </w:r>
            <w:r w:rsidR="00E7662B">
              <w:rPr>
                <w:rFonts w:eastAsia="Calibri"/>
                <w:lang w:eastAsia="en-US"/>
              </w:rPr>
              <w:t>s</w:t>
            </w:r>
            <w:r w:rsidRPr="00E25A9C" w:rsidR="00E25A9C">
              <w:rPr>
                <w:rFonts w:eastAsia="Calibri"/>
                <w:lang w:eastAsia="en-US"/>
              </w:rPr>
              <w:t xml:space="preserve"> finanšu ministram palielināt apropriāciju Satiksmes ministrijai resursiem no dotācijas no vispārējiem ieņēmumiem par pievienotās vērtības nodokļa summu, kas nav atgūstama kā priekšnodoklis, kompensācijai Igaunijai un Lietuvai </w:t>
            </w:r>
            <w:r w:rsidR="00E7662B">
              <w:rPr>
                <w:rFonts w:eastAsia="Calibri"/>
                <w:lang w:eastAsia="en-US"/>
              </w:rPr>
              <w:t>RBR</w:t>
            </w:r>
            <w:r w:rsidRPr="00E25A9C" w:rsidR="00E25A9C">
              <w:rPr>
                <w:rFonts w:eastAsia="Calibri"/>
                <w:lang w:eastAsia="en-US"/>
              </w:rPr>
              <w:t xml:space="preserve"> veikto aktivitāšu ietvaros, ar nosacījumu, ja tiek nodrošināta neitrāla ietekme uz vispārējās valdības budžeta bilanci un ir pieņemts attiecīgs Ministru kabineta lēmums, kā arī Saeimas Budžeta un finanšu (nodokļu) komisija piecu darba dienu laikā no attiecīgās informācijas saņemšanas dienas nav iebildusi pret apropriācijas palielinājumu</w:t>
            </w:r>
            <w:r w:rsidR="00E25A9C">
              <w:rPr>
                <w:rFonts w:eastAsia="Calibri"/>
                <w:lang w:eastAsia="en-US"/>
              </w:rPr>
              <w:t xml:space="preserve"> (</w:t>
            </w:r>
            <w:r w:rsidR="00E7662B">
              <w:rPr>
                <w:rFonts w:eastAsia="Calibri"/>
                <w:lang w:eastAsia="en-US"/>
              </w:rPr>
              <w:t xml:space="preserve">atbilstoši </w:t>
            </w:r>
            <w:r w:rsidR="00E25A9C">
              <w:rPr>
                <w:rFonts w:eastAsia="Calibri"/>
                <w:lang w:eastAsia="en-US"/>
              </w:rPr>
              <w:t xml:space="preserve">likuma </w:t>
            </w:r>
            <w:r w:rsidRPr="00E25A9C" w:rsidR="00E25A9C">
              <w:rPr>
                <w:rFonts w:eastAsia="Calibri"/>
                <w:lang w:eastAsia="en-US"/>
              </w:rPr>
              <w:t>“Par valsts budžetu 2020.gadam</w:t>
            </w:r>
            <w:r w:rsidR="00E25A9C">
              <w:rPr>
                <w:rFonts w:eastAsia="Calibri"/>
                <w:lang w:eastAsia="en-US"/>
              </w:rPr>
              <w:t>” 55.pant</w:t>
            </w:r>
            <w:r w:rsidR="00E7662B">
              <w:rPr>
                <w:rFonts w:eastAsia="Calibri"/>
                <w:lang w:eastAsia="en-US"/>
              </w:rPr>
              <w:t>am</w:t>
            </w:r>
            <w:r w:rsidR="00E25A9C">
              <w:rPr>
                <w:rFonts w:eastAsia="Calibri"/>
                <w:lang w:eastAsia="en-US"/>
              </w:rPr>
              <w:t>).</w:t>
            </w:r>
          </w:p>
          <w:p w:rsidRPr="00922CE6" w:rsidR="00482BB3" w:rsidP="00922CE6" w:rsidRDefault="005B129B" w14:paraId="05C4449F" w14:textId="35F852E6">
            <w:pPr>
              <w:ind w:firstLine="664"/>
              <w:jc w:val="both"/>
              <w:rPr>
                <w:rFonts w:eastAsia="Calibri"/>
                <w:lang w:eastAsia="en-US"/>
              </w:rPr>
            </w:pPr>
            <w:r>
              <w:rPr>
                <w:rFonts w:eastAsia="Calibri"/>
                <w:lang w:eastAsia="en-US"/>
              </w:rPr>
              <w:t xml:space="preserve">Atbilstoši </w:t>
            </w:r>
            <w:r w:rsidRPr="005B129B">
              <w:rPr>
                <w:rFonts w:eastAsia="Calibri"/>
                <w:lang w:eastAsia="en-US"/>
              </w:rPr>
              <w:t>likuma “Par valsts budžetu 2020.gadam” 55.pant</w:t>
            </w:r>
            <w:r>
              <w:rPr>
                <w:rFonts w:eastAsia="Calibri"/>
                <w:lang w:eastAsia="en-US"/>
              </w:rPr>
              <w:t>am</w:t>
            </w:r>
            <w:r w:rsidR="002259BB">
              <w:rPr>
                <w:rFonts w:eastAsia="Calibri"/>
                <w:lang w:eastAsia="en-US"/>
              </w:rPr>
              <w:t xml:space="preserve"> izstrādāt</w:t>
            </w:r>
            <w:r w:rsidR="00222ECE">
              <w:rPr>
                <w:rFonts w:eastAsia="Calibri"/>
                <w:lang w:eastAsia="en-US"/>
              </w:rPr>
              <w:t>ā</w:t>
            </w:r>
            <w:r w:rsidR="002259BB">
              <w:rPr>
                <w:rFonts w:eastAsia="Calibri"/>
                <w:lang w:eastAsia="en-US"/>
              </w:rPr>
              <w:t xml:space="preserve"> kārtība</w:t>
            </w:r>
            <w:r w:rsidR="00222ECE">
              <w:rPr>
                <w:rFonts w:eastAsia="Calibri"/>
                <w:lang w:eastAsia="en-US"/>
              </w:rPr>
              <w:t xml:space="preserve"> </w:t>
            </w:r>
            <w:r w:rsidR="002259BB">
              <w:rPr>
                <w:rFonts w:eastAsia="Calibri"/>
                <w:lang w:eastAsia="en-US"/>
              </w:rPr>
              <w:t>paredz, ka reizi ceturksnī RBR iesniedz SM iesniegumu par aizvadītajā ceturksnī veiktajiem PVN darījumiem ar Latvijā reģistrētiem PVN maksātājiem</w:t>
            </w:r>
            <w:r w:rsidR="00BE1CA2">
              <w:rPr>
                <w:rFonts w:eastAsia="Calibri"/>
                <w:lang w:eastAsia="en-US"/>
              </w:rPr>
              <w:t xml:space="preserve">, norādot </w:t>
            </w:r>
            <w:r w:rsidR="002259BB">
              <w:rPr>
                <w:rFonts w:eastAsia="Calibri"/>
                <w:lang w:eastAsia="en-US"/>
              </w:rPr>
              <w:t xml:space="preserve">kompensējamo PVN summu. SM izskata minēto iesniegumu un sagatavo atzinumu par kompensējamo PVN summu. SM sagatavo </w:t>
            </w:r>
            <w:r w:rsidR="00BE1CA2">
              <w:rPr>
                <w:rFonts w:eastAsia="Calibri"/>
                <w:lang w:eastAsia="en-US"/>
              </w:rPr>
              <w:t xml:space="preserve">un virza </w:t>
            </w:r>
            <w:r w:rsidR="002259BB">
              <w:rPr>
                <w:rFonts w:eastAsia="Calibri"/>
                <w:lang w:eastAsia="en-US"/>
              </w:rPr>
              <w:t xml:space="preserve">Ministru kabineta rīkojuma projektu atbilstoši RBR iesniegumam un SM atzinumam, saskaņojot to ar Tieslietu ministriju un Finanšu ministriju. Pēc rīkojuma projekta un attiecīgā protokollēmuma apstiprināšanas Ministru kabinetā, SM iesniedz pieprasījumu Finanšu ministrijai apropriācijas palielināšanai </w:t>
            </w:r>
            <w:r w:rsidRPr="002259BB" w:rsidR="002259BB">
              <w:rPr>
                <w:rFonts w:eastAsia="Calibri"/>
                <w:lang w:eastAsia="en-US"/>
              </w:rPr>
              <w:t xml:space="preserve">resursiem no dotācijas no vispārējiem ieņēmumiem par </w:t>
            </w:r>
            <w:r w:rsidR="002259BB">
              <w:rPr>
                <w:rFonts w:eastAsia="Calibri"/>
                <w:lang w:eastAsia="en-US"/>
              </w:rPr>
              <w:t xml:space="preserve">Ministru kabineta rīkojumā norādīto </w:t>
            </w:r>
            <w:r w:rsidRPr="002259BB" w:rsidR="002259BB">
              <w:rPr>
                <w:rFonts w:eastAsia="Calibri"/>
                <w:lang w:eastAsia="en-US"/>
              </w:rPr>
              <w:t>pievienotās vērtības nodokļa summu</w:t>
            </w:r>
            <w:r w:rsidR="002259BB">
              <w:rPr>
                <w:rFonts w:eastAsia="Calibri"/>
                <w:lang w:eastAsia="en-US"/>
              </w:rPr>
              <w:t>.</w:t>
            </w:r>
            <w:r w:rsidR="00BE1CA2">
              <w:rPr>
                <w:rFonts w:eastAsia="Calibri"/>
                <w:lang w:eastAsia="en-US"/>
              </w:rPr>
              <w:t xml:space="preserve"> Pēc </w:t>
            </w:r>
            <w:r w:rsidR="00BE1CA2">
              <w:rPr>
                <w:rFonts w:eastAsia="Calibri"/>
                <w:lang w:eastAsia="en-US"/>
              </w:rPr>
              <w:lastRenderedPageBreak/>
              <w:t>apropriācijas palielinā</w:t>
            </w:r>
            <w:r w:rsidR="00785C39">
              <w:rPr>
                <w:rFonts w:eastAsia="Calibri"/>
                <w:lang w:eastAsia="en-US"/>
              </w:rPr>
              <w:t xml:space="preserve">šanas </w:t>
            </w:r>
            <w:r w:rsidR="009C3F44">
              <w:rPr>
                <w:rFonts w:eastAsia="Calibri"/>
                <w:lang w:eastAsia="en-US"/>
              </w:rPr>
              <w:t>SM izveidotajā jaunajā pamatbudžeta progra</w:t>
            </w:r>
            <w:r w:rsidR="00E5186C">
              <w:rPr>
                <w:rFonts w:eastAsia="Calibri"/>
                <w:lang w:eastAsia="en-US"/>
              </w:rPr>
              <w:t>m</w:t>
            </w:r>
            <w:r w:rsidR="009C3F44">
              <w:rPr>
                <w:rFonts w:eastAsia="Calibri"/>
                <w:lang w:eastAsia="en-US"/>
              </w:rPr>
              <w:t xml:space="preserve">mā, </w:t>
            </w:r>
            <w:r w:rsidR="00785C39">
              <w:rPr>
                <w:rFonts w:eastAsia="Calibri"/>
                <w:lang w:eastAsia="en-US"/>
              </w:rPr>
              <w:t>SM būs pieejami nepieciešamie finanšu resursi PVN kompensācijas izpildei noteikumos paredzētajā kārtībā.</w:t>
            </w:r>
            <w:r w:rsidR="00BE1CA2">
              <w:rPr>
                <w:rFonts w:eastAsia="Calibri"/>
                <w:lang w:eastAsia="en-US"/>
              </w:rPr>
              <w:t xml:space="preserve"> SM saskaņā ar atbildīgo Igaunijas un Lietuvas ministriju autorizāciju veic pārskaitījumu RBR, informējot par pārskaitījuma summu un atskaites periodu RBR padomi, kā arī atbildīgās Igaunijas un Lietuvas ministrijas.</w:t>
            </w:r>
            <w:r w:rsidR="002259BB">
              <w:rPr>
                <w:iCs/>
                <w:color w:val="000000"/>
              </w:rPr>
              <w:t xml:space="preserve">       </w:t>
            </w:r>
          </w:p>
        </w:tc>
      </w:tr>
      <w:tr w:rsidRPr="00265EEE" w:rsidR="00551A0F" w:rsidTr="002259BB" w14:paraId="3EFFF5B8" w14:textId="77777777">
        <w:trPr>
          <w:trHeight w:val="476"/>
        </w:trPr>
        <w:tc>
          <w:tcPr>
            <w:tcW w:w="237" w:type="pct"/>
          </w:tcPr>
          <w:p w:rsidRPr="00265EEE" w:rsidR="00551A0F" w:rsidP="00017065" w:rsidRDefault="00551A0F" w14:paraId="0C116C14" w14:textId="77777777">
            <w:pPr>
              <w:pStyle w:val="naiskr"/>
              <w:spacing w:before="0" w:beforeAutospacing="0" w:after="0" w:afterAutospacing="0"/>
              <w:ind w:left="57" w:right="57"/>
              <w:jc w:val="center"/>
            </w:pPr>
            <w:r w:rsidRPr="00265EEE">
              <w:lastRenderedPageBreak/>
              <w:t>3.</w:t>
            </w:r>
          </w:p>
        </w:tc>
        <w:tc>
          <w:tcPr>
            <w:tcW w:w="1504" w:type="pct"/>
          </w:tcPr>
          <w:p w:rsidRPr="00265EEE" w:rsidR="00551A0F" w:rsidP="00017065" w:rsidRDefault="00551A0F" w14:paraId="136BEEE5" w14:textId="77777777">
            <w:pPr>
              <w:pStyle w:val="naiskr"/>
              <w:spacing w:before="0" w:beforeAutospacing="0" w:after="0" w:afterAutospacing="0"/>
              <w:ind w:left="57" w:right="57"/>
            </w:pPr>
            <w:r w:rsidRPr="00265EEE">
              <w:t>Projekta izstrādē iesaistītās institūcijas</w:t>
            </w:r>
            <w:r w:rsidRPr="00265EEE" w:rsidR="00BA0D43">
              <w:rPr>
                <w:iCs/>
                <w:color w:val="414142"/>
              </w:rPr>
              <w:t xml:space="preserve"> </w:t>
            </w:r>
            <w:r w:rsidRPr="00265EEE" w:rsidR="00BA0D43">
              <w:rPr>
                <w:iCs/>
              </w:rPr>
              <w:t>un publiskas personas kapitālsabiedrības</w:t>
            </w:r>
          </w:p>
        </w:tc>
        <w:tc>
          <w:tcPr>
            <w:tcW w:w="3257" w:type="pct"/>
          </w:tcPr>
          <w:p w:rsidRPr="00265EEE" w:rsidR="00EE39A4" w:rsidP="004B4548" w:rsidRDefault="00D47D98" w14:paraId="772419D5" w14:textId="42A0FD22">
            <w:pPr>
              <w:ind w:left="57" w:right="57"/>
              <w:jc w:val="both"/>
            </w:pPr>
            <w:r w:rsidRPr="00265EEE">
              <w:t>Satiksmes ministrija</w:t>
            </w:r>
            <w:r w:rsidR="004B4548">
              <w:t xml:space="preserve">, </w:t>
            </w:r>
            <w:r w:rsidR="00785C39">
              <w:t>Finanšu ministrij</w:t>
            </w:r>
            <w:r w:rsidR="00444638">
              <w:t>a</w:t>
            </w:r>
            <w:r w:rsidR="00785C39">
              <w:t xml:space="preserve"> un </w:t>
            </w:r>
            <w:r w:rsidR="004B4548">
              <w:t>akciju sabiedrīb</w:t>
            </w:r>
            <w:r w:rsidR="00444638">
              <w:t>a</w:t>
            </w:r>
            <w:r w:rsidR="004B4548">
              <w:t xml:space="preserve"> “RB Rail”.</w:t>
            </w:r>
          </w:p>
        </w:tc>
      </w:tr>
      <w:tr w:rsidRPr="00265EEE" w:rsidR="00551A0F" w:rsidTr="002259BB" w14:paraId="2A351EFD" w14:textId="77777777">
        <w:tc>
          <w:tcPr>
            <w:tcW w:w="237" w:type="pct"/>
          </w:tcPr>
          <w:p w:rsidRPr="00265EEE" w:rsidR="00551A0F" w:rsidP="00017065" w:rsidRDefault="00551A0F" w14:paraId="7C8258B3" w14:textId="77777777">
            <w:pPr>
              <w:pStyle w:val="naiskr"/>
              <w:spacing w:before="0" w:beforeAutospacing="0" w:after="0" w:afterAutospacing="0"/>
              <w:ind w:left="57" w:right="57"/>
              <w:jc w:val="center"/>
            </w:pPr>
            <w:r w:rsidRPr="00265EEE">
              <w:t>4.</w:t>
            </w:r>
          </w:p>
        </w:tc>
        <w:tc>
          <w:tcPr>
            <w:tcW w:w="1504" w:type="pct"/>
          </w:tcPr>
          <w:p w:rsidRPr="00265EEE" w:rsidR="00551A0F" w:rsidP="00017065" w:rsidRDefault="00551A0F" w14:paraId="2F91C875" w14:textId="77777777">
            <w:pPr>
              <w:pStyle w:val="naiskr"/>
              <w:spacing w:before="0" w:beforeAutospacing="0" w:after="0" w:afterAutospacing="0"/>
              <w:ind w:left="57" w:right="57"/>
            </w:pPr>
            <w:r w:rsidRPr="00265EEE">
              <w:t>Cita informācija</w:t>
            </w:r>
          </w:p>
        </w:tc>
        <w:tc>
          <w:tcPr>
            <w:tcW w:w="3257" w:type="pct"/>
          </w:tcPr>
          <w:p w:rsidRPr="00265EEE" w:rsidR="00551A0F" w:rsidP="00EA4942" w:rsidRDefault="00D47D98" w14:paraId="06C40D0B" w14:textId="77777777">
            <w:pPr>
              <w:pStyle w:val="NormalWeb"/>
              <w:spacing w:before="0" w:after="0"/>
              <w:ind w:right="13"/>
              <w:jc w:val="both"/>
            </w:pPr>
            <w:r w:rsidRPr="00265EEE">
              <w:t>Nav.</w:t>
            </w:r>
          </w:p>
        </w:tc>
      </w:tr>
    </w:tbl>
    <w:p w:rsidRPr="00BB3200" w:rsidR="002847B9" w:rsidP="00665649" w:rsidRDefault="002847B9" w14:paraId="52F28808" w14:textId="77777777">
      <w:pPr>
        <w:ind w:firstLine="720"/>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265EEE" w:rsidR="00551A0F" w:rsidTr="006243B1" w14:paraId="26A3911B" w14:textId="77777777">
        <w:trPr>
          <w:trHeight w:val="556"/>
        </w:trPr>
        <w:tc>
          <w:tcPr>
            <w:tcW w:w="9077" w:type="dxa"/>
            <w:gridSpan w:val="3"/>
            <w:vAlign w:val="center"/>
          </w:tcPr>
          <w:p w:rsidRPr="00265EEE" w:rsidR="00551A0F" w:rsidP="00017065" w:rsidRDefault="00551A0F" w14:paraId="3D59769E" w14:textId="77777777">
            <w:pPr>
              <w:pStyle w:val="naisnod"/>
              <w:spacing w:before="0" w:beforeAutospacing="0" w:after="0" w:afterAutospacing="0"/>
              <w:ind w:left="57" w:right="57"/>
              <w:jc w:val="center"/>
              <w:rPr>
                <w:b/>
              </w:rPr>
            </w:pPr>
            <w:r w:rsidRPr="00265EEE">
              <w:rPr>
                <w:b/>
              </w:rPr>
              <w:t>II. Tiesību akta projekta ietekme uz sabiedrību, tautsaimniecības attīstību</w:t>
            </w:r>
          </w:p>
          <w:p w:rsidRPr="00265EEE" w:rsidR="00551A0F" w:rsidP="00017065" w:rsidRDefault="00551A0F" w14:paraId="2C2871D4" w14:textId="77777777">
            <w:pPr>
              <w:pStyle w:val="naisnod"/>
              <w:spacing w:before="0" w:beforeAutospacing="0" w:after="0" w:afterAutospacing="0"/>
              <w:ind w:left="57" w:right="57"/>
              <w:jc w:val="center"/>
              <w:rPr>
                <w:b/>
              </w:rPr>
            </w:pPr>
            <w:r w:rsidRPr="00265EEE">
              <w:rPr>
                <w:b/>
              </w:rPr>
              <w:t>un administratīvo slogu</w:t>
            </w:r>
          </w:p>
        </w:tc>
      </w:tr>
      <w:tr w:rsidRPr="00265EEE" w:rsidR="00551A0F" w:rsidTr="006243B1" w14:paraId="38AC62C3" w14:textId="77777777">
        <w:trPr>
          <w:trHeight w:val="467"/>
        </w:trPr>
        <w:tc>
          <w:tcPr>
            <w:tcW w:w="431" w:type="dxa"/>
          </w:tcPr>
          <w:p w:rsidRPr="00265EEE" w:rsidR="00551A0F" w:rsidP="00017065" w:rsidRDefault="00551A0F" w14:paraId="6C029066" w14:textId="77777777">
            <w:pPr>
              <w:pStyle w:val="naiskr"/>
              <w:spacing w:before="0" w:beforeAutospacing="0" w:after="0" w:afterAutospacing="0"/>
              <w:ind w:left="57" w:right="57"/>
              <w:jc w:val="both"/>
            </w:pPr>
            <w:r w:rsidRPr="00265EEE">
              <w:t>1.</w:t>
            </w:r>
          </w:p>
        </w:tc>
        <w:tc>
          <w:tcPr>
            <w:tcW w:w="2766" w:type="dxa"/>
          </w:tcPr>
          <w:p w:rsidRPr="00265EEE" w:rsidR="00551A0F" w:rsidP="00017065" w:rsidRDefault="00551A0F" w14:paraId="396A7FDB" w14:textId="77777777">
            <w:pPr>
              <w:pStyle w:val="naiskr"/>
              <w:spacing w:before="0" w:beforeAutospacing="0" w:after="0" w:afterAutospacing="0"/>
              <w:ind w:left="57" w:right="57"/>
            </w:pPr>
            <w:r w:rsidRPr="00265EEE">
              <w:t xml:space="preserve">Sabiedrības </w:t>
            </w:r>
            <w:proofErr w:type="spellStart"/>
            <w:r w:rsidRPr="00265EEE">
              <w:t>mērķgrupas</w:t>
            </w:r>
            <w:proofErr w:type="spellEnd"/>
            <w:r w:rsidRPr="00265EEE">
              <w:t>, kuras tiesiskais regulējums ietekmē vai varētu ietekmēt</w:t>
            </w:r>
          </w:p>
        </w:tc>
        <w:tc>
          <w:tcPr>
            <w:tcW w:w="5880" w:type="dxa"/>
          </w:tcPr>
          <w:p w:rsidR="001211A0" w:rsidP="006243B1" w:rsidRDefault="00B41608" w14:paraId="19788F06" w14:textId="2807C641">
            <w:pPr>
              <w:shd w:val="clear" w:color="auto" w:fill="FFFFFF"/>
              <w:ind w:right="57"/>
              <w:jc w:val="both"/>
            </w:pPr>
            <w:bookmarkStart w:name="p21" w:id="1"/>
            <w:bookmarkEnd w:id="1"/>
            <w:r>
              <w:t>Noteikumu projekts</w:t>
            </w:r>
            <w:r w:rsidR="004B4548">
              <w:t xml:space="preserve"> tieši ietekmē RBR </w:t>
            </w:r>
            <w:r w:rsidR="00376DA9">
              <w:t xml:space="preserve">nodarbinātos, jo bez PVN kompensēšanas RBR trūktu finansējums un iestātos maksātnespējas pazīmes, kas liegtu uzņēmumam normāli funkcionēt. </w:t>
            </w:r>
          </w:p>
          <w:p w:rsidRPr="00265EEE" w:rsidR="0042239C" w:rsidP="006243B1" w:rsidRDefault="00837AB7" w14:paraId="45B7D67D" w14:textId="4D4D83BB">
            <w:pPr>
              <w:shd w:val="clear" w:color="auto" w:fill="FFFFFF"/>
              <w:ind w:right="57"/>
              <w:jc w:val="both"/>
            </w:pPr>
            <w:r>
              <w:t>Noteikumu projekts</w:t>
            </w:r>
            <w:r w:rsidR="001211A0">
              <w:t xml:space="preserve"> n</w:t>
            </w:r>
            <w:r w:rsidR="00376DA9">
              <w:t>etieši ietekmē jebkuru cilvēku, kurš nākotnē varētu izmantot Rail Baltica pakalpojumus, jo bez PVN kompensēšanas RBR</w:t>
            </w:r>
            <w:r w:rsidR="001211A0">
              <w:t xml:space="preserve"> nevarēs funkcionēt, un līdz ar to</w:t>
            </w:r>
            <w:r w:rsidR="00376DA9">
              <w:t xml:space="preserve"> nevarēs tikt izveidota Rail Baltica infrastruktūra.</w:t>
            </w:r>
          </w:p>
        </w:tc>
      </w:tr>
      <w:tr w:rsidRPr="00265EEE" w:rsidR="00551A0F" w:rsidTr="00BB3200" w14:paraId="1E912B55" w14:textId="77777777">
        <w:trPr>
          <w:trHeight w:val="274"/>
        </w:trPr>
        <w:tc>
          <w:tcPr>
            <w:tcW w:w="431" w:type="dxa"/>
          </w:tcPr>
          <w:p w:rsidRPr="00265EEE" w:rsidR="00551A0F" w:rsidP="00017065" w:rsidRDefault="00551A0F" w14:paraId="48559527" w14:textId="77777777">
            <w:pPr>
              <w:pStyle w:val="naiskr"/>
              <w:spacing w:before="0" w:beforeAutospacing="0" w:after="0" w:afterAutospacing="0"/>
              <w:ind w:left="57" w:right="57"/>
              <w:jc w:val="both"/>
            </w:pPr>
            <w:r w:rsidRPr="00265EEE">
              <w:t>2.</w:t>
            </w:r>
          </w:p>
        </w:tc>
        <w:tc>
          <w:tcPr>
            <w:tcW w:w="2766" w:type="dxa"/>
          </w:tcPr>
          <w:p w:rsidRPr="00265EEE" w:rsidR="00551A0F" w:rsidP="00017065" w:rsidRDefault="00551A0F" w14:paraId="1647C97E" w14:textId="77777777">
            <w:pPr>
              <w:pStyle w:val="naiskr"/>
              <w:spacing w:before="0" w:beforeAutospacing="0" w:after="0" w:afterAutospacing="0"/>
              <w:ind w:left="57" w:right="57"/>
            </w:pPr>
            <w:r w:rsidRPr="00265EEE">
              <w:t>Tiesiskā regulējuma ietekme uz tautsaimniecību un administratīvo slogu</w:t>
            </w:r>
          </w:p>
        </w:tc>
        <w:tc>
          <w:tcPr>
            <w:tcW w:w="5880" w:type="dxa"/>
          </w:tcPr>
          <w:p w:rsidRPr="00265EEE" w:rsidR="00551A0F" w:rsidP="00551A0F" w:rsidRDefault="00B41608" w14:paraId="5B09B5D2" w14:textId="2AEE305B">
            <w:pPr>
              <w:shd w:val="clear" w:color="auto" w:fill="FFFFFF"/>
              <w:ind w:left="57" w:right="57"/>
              <w:jc w:val="both"/>
            </w:pPr>
            <w:r>
              <w:t xml:space="preserve">Noteikumu </w:t>
            </w:r>
            <w:r w:rsidR="00837AB7">
              <w:t>projekts</w:t>
            </w:r>
            <w:r w:rsidR="00376DA9">
              <w:t xml:space="preserve"> samazina administratīvo slogu iesaistītajām institūcijām, jo </w:t>
            </w:r>
            <w:r w:rsidR="001211A0">
              <w:t xml:space="preserve">tas paredz </w:t>
            </w:r>
            <w:r w:rsidR="00376DA9">
              <w:t>optim</w:t>
            </w:r>
            <w:r w:rsidR="001211A0">
              <w:t>ālāku un vienveidīgu</w:t>
            </w:r>
            <w:r w:rsidR="00376DA9">
              <w:t xml:space="preserve"> procedūru, kādā RBR tiek kompensēts PVN. Tā kā RBR 90% izdevumu par precēm un pakalpojumiem horizontālo aktivitāšu ietvaros veic Latvijā, </w:t>
            </w:r>
            <w:r w:rsidR="00837AB7">
              <w:t>noteikumu projektam</w:t>
            </w:r>
            <w:r w:rsidR="00376DA9">
              <w:t xml:space="preserve"> ir pozitīva ietekme uz tautsaimniecību. </w:t>
            </w:r>
          </w:p>
        </w:tc>
      </w:tr>
      <w:tr w:rsidRPr="00265EEE" w:rsidR="00551A0F" w:rsidTr="006243B1" w14:paraId="5D06EFE6" w14:textId="77777777">
        <w:trPr>
          <w:trHeight w:val="523"/>
        </w:trPr>
        <w:tc>
          <w:tcPr>
            <w:tcW w:w="431" w:type="dxa"/>
          </w:tcPr>
          <w:p w:rsidRPr="00265EEE" w:rsidR="00551A0F" w:rsidP="00017065" w:rsidRDefault="00551A0F" w14:paraId="423820E3" w14:textId="77777777">
            <w:pPr>
              <w:pStyle w:val="naiskr"/>
              <w:spacing w:before="0" w:beforeAutospacing="0" w:after="0" w:afterAutospacing="0"/>
              <w:ind w:left="57" w:right="57"/>
              <w:jc w:val="both"/>
            </w:pPr>
            <w:r w:rsidRPr="00265EEE">
              <w:t>3.</w:t>
            </w:r>
          </w:p>
        </w:tc>
        <w:tc>
          <w:tcPr>
            <w:tcW w:w="2766" w:type="dxa"/>
          </w:tcPr>
          <w:p w:rsidRPr="00265EEE" w:rsidR="00551A0F" w:rsidP="00017065" w:rsidRDefault="00551A0F" w14:paraId="7E528977" w14:textId="77777777">
            <w:pPr>
              <w:pStyle w:val="naiskr"/>
              <w:spacing w:before="0" w:beforeAutospacing="0" w:after="0" w:afterAutospacing="0"/>
              <w:ind w:left="57" w:right="57"/>
            </w:pPr>
            <w:r w:rsidRPr="00265EEE">
              <w:t>Administratīvo izmaksu monetārs novērtējums</w:t>
            </w:r>
          </w:p>
        </w:tc>
        <w:tc>
          <w:tcPr>
            <w:tcW w:w="5880" w:type="dxa"/>
          </w:tcPr>
          <w:p w:rsidRPr="00265EEE" w:rsidR="00551A0F" w:rsidP="00551A0F" w:rsidRDefault="006243B1" w14:paraId="3F7094BD" w14:textId="77777777">
            <w:pPr>
              <w:shd w:val="clear" w:color="auto" w:fill="FFFFFF"/>
              <w:ind w:left="57" w:right="57"/>
              <w:jc w:val="both"/>
            </w:pPr>
            <w:r w:rsidRPr="00265EEE">
              <w:rPr>
                <w:bCs/>
                <w:iCs/>
              </w:rPr>
              <w:t>Projekts šo jomu neskar</w:t>
            </w:r>
            <w:r w:rsidRPr="00265EEE" w:rsidR="00551A0F">
              <w:t>.</w:t>
            </w:r>
          </w:p>
        </w:tc>
      </w:tr>
      <w:tr w:rsidRPr="00265EEE" w:rsidR="006243B1" w:rsidTr="006243B1" w14:paraId="78BE4C30" w14:textId="77777777">
        <w:trPr>
          <w:trHeight w:val="523"/>
        </w:trPr>
        <w:tc>
          <w:tcPr>
            <w:tcW w:w="431" w:type="dxa"/>
          </w:tcPr>
          <w:p w:rsidRPr="00265EEE" w:rsidR="006243B1" w:rsidP="00017065" w:rsidRDefault="006243B1" w14:paraId="6E2E3134" w14:textId="77777777">
            <w:pPr>
              <w:pStyle w:val="naiskr"/>
              <w:spacing w:before="0" w:beforeAutospacing="0" w:after="0" w:afterAutospacing="0"/>
              <w:ind w:left="57" w:right="57"/>
              <w:jc w:val="both"/>
            </w:pPr>
            <w:r>
              <w:t>4.</w:t>
            </w:r>
          </w:p>
        </w:tc>
        <w:tc>
          <w:tcPr>
            <w:tcW w:w="2766" w:type="dxa"/>
          </w:tcPr>
          <w:p w:rsidRPr="006243B1" w:rsidR="006243B1" w:rsidP="00017065" w:rsidRDefault="006243B1" w14:paraId="7D22923F" w14:textId="77777777">
            <w:pPr>
              <w:pStyle w:val="naiskr"/>
              <w:spacing w:before="0" w:beforeAutospacing="0" w:after="0" w:afterAutospacing="0"/>
              <w:ind w:left="57" w:right="57"/>
            </w:pPr>
            <w:r w:rsidRPr="006243B1">
              <w:rPr>
                <w:iCs/>
              </w:rPr>
              <w:t>Atbilstības izmaksu monetārs novērtējums</w:t>
            </w:r>
          </w:p>
        </w:tc>
        <w:tc>
          <w:tcPr>
            <w:tcW w:w="5880" w:type="dxa"/>
          </w:tcPr>
          <w:p w:rsidRPr="00265EEE" w:rsidR="006243B1" w:rsidP="00551A0F" w:rsidRDefault="006243B1" w14:paraId="32516C8E" w14:textId="77777777">
            <w:pPr>
              <w:shd w:val="clear" w:color="auto" w:fill="FFFFFF"/>
              <w:ind w:left="57" w:right="57"/>
              <w:jc w:val="both"/>
              <w:rPr>
                <w:bCs/>
                <w:iCs/>
              </w:rPr>
            </w:pPr>
            <w:r w:rsidRPr="00265EEE">
              <w:rPr>
                <w:bCs/>
                <w:iCs/>
              </w:rPr>
              <w:t>Projekts šo jomu neskar</w:t>
            </w:r>
            <w:r>
              <w:rPr>
                <w:bCs/>
                <w:iCs/>
              </w:rPr>
              <w:t>.</w:t>
            </w:r>
          </w:p>
        </w:tc>
      </w:tr>
      <w:tr w:rsidRPr="00265EEE" w:rsidR="00551A0F" w:rsidTr="00BB3200" w14:paraId="72F3F0F7" w14:textId="77777777">
        <w:trPr>
          <w:trHeight w:val="285"/>
        </w:trPr>
        <w:tc>
          <w:tcPr>
            <w:tcW w:w="431" w:type="dxa"/>
          </w:tcPr>
          <w:p w:rsidRPr="00265EEE" w:rsidR="00551A0F" w:rsidP="00017065" w:rsidRDefault="006243B1" w14:paraId="377DCE04" w14:textId="77777777">
            <w:pPr>
              <w:pStyle w:val="naiskr"/>
              <w:spacing w:before="0" w:beforeAutospacing="0" w:after="0" w:afterAutospacing="0"/>
              <w:ind w:left="57" w:right="57"/>
              <w:jc w:val="both"/>
            </w:pPr>
            <w:r>
              <w:t>5</w:t>
            </w:r>
            <w:r w:rsidRPr="00265EEE" w:rsidR="00551A0F">
              <w:t>.</w:t>
            </w:r>
          </w:p>
        </w:tc>
        <w:tc>
          <w:tcPr>
            <w:tcW w:w="2766" w:type="dxa"/>
          </w:tcPr>
          <w:p w:rsidRPr="00265EEE" w:rsidR="00551A0F" w:rsidP="00017065" w:rsidRDefault="00551A0F" w14:paraId="70553D9A" w14:textId="77777777">
            <w:pPr>
              <w:pStyle w:val="naiskr"/>
              <w:spacing w:before="0" w:beforeAutospacing="0" w:after="0" w:afterAutospacing="0"/>
              <w:ind w:left="57" w:right="57"/>
            </w:pPr>
            <w:r w:rsidRPr="00265EEE">
              <w:t>Cita informācija</w:t>
            </w:r>
          </w:p>
        </w:tc>
        <w:tc>
          <w:tcPr>
            <w:tcW w:w="5880" w:type="dxa"/>
          </w:tcPr>
          <w:p w:rsidRPr="00265EEE" w:rsidR="00551A0F" w:rsidP="00017065" w:rsidRDefault="00551A0F" w14:paraId="11292819" w14:textId="77777777">
            <w:pPr>
              <w:shd w:val="clear" w:color="auto" w:fill="FFFFFF"/>
              <w:ind w:left="57" w:right="57"/>
            </w:pPr>
            <w:r w:rsidRPr="00265EEE">
              <w:t>Nav.</w:t>
            </w:r>
          </w:p>
        </w:tc>
      </w:tr>
    </w:tbl>
    <w:p w:rsidRPr="00265EEE" w:rsidR="00551A0F" w:rsidP="00551A0F" w:rsidRDefault="00551A0F" w14:paraId="1370222E" w14:textId="77777777"/>
    <w:p w:rsidR="00551A0F" w:rsidP="00551A0F" w:rsidRDefault="00551A0F" w14:paraId="44674B2E" w14:textId="53BE162C"/>
    <w:tbl>
      <w:tblPr>
        <w:tblW w:w="5084"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628"/>
        <w:gridCol w:w="960"/>
        <w:gridCol w:w="1212"/>
        <w:gridCol w:w="958"/>
        <w:gridCol w:w="1108"/>
        <w:gridCol w:w="960"/>
        <w:gridCol w:w="1110"/>
        <w:gridCol w:w="1271"/>
      </w:tblGrid>
      <w:tr w:rsidRPr="00732296" w:rsidR="00732296" w:rsidTr="004D7B7A" w14:paraId="483D10DA"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49017C" w:rsidR="00732296" w:rsidP="0049017C" w:rsidRDefault="00732296" w14:paraId="6AAB49DA" w14:textId="77777777">
            <w:pPr>
              <w:jc w:val="center"/>
              <w:rPr>
                <w:b/>
                <w:bCs/>
                <w:iCs/>
                <w:lang w:val="en-US"/>
              </w:rPr>
            </w:pPr>
            <w:r w:rsidRPr="0049017C">
              <w:rPr>
                <w:b/>
                <w:bCs/>
                <w:iCs/>
                <w:lang w:val="en-US"/>
              </w:rPr>
              <w:t xml:space="preserve">III. </w:t>
            </w:r>
            <w:proofErr w:type="spellStart"/>
            <w:r w:rsidRPr="0049017C">
              <w:rPr>
                <w:b/>
                <w:bCs/>
                <w:iCs/>
                <w:lang w:val="en-US"/>
              </w:rPr>
              <w:t>Tiesību</w:t>
            </w:r>
            <w:proofErr w:type="spellEnd"/>
            <w:r w:rsidRPr="0049017C">
              <w:rPr>
                <w:b/>
                <w:bCs/>
                <w:iCs/>
                <w:lang w:val="en-US"/>
              </w:rPr>
              <w:t xml:space="preserve"> </w:t>
            </w:r>
            <w:proofErr w:type="spellStart"/>
            <w:r w:rsidRPr="0049017C">
              <w:rPr>
                <w:b/>
                <w:bCs/>
                <w:iCs/>
                <w:lang w:val="en-US"/>
              </w:rPr>
              <w:t>akta</w:t>
            </w:r>
            <w:proofErr w:type="spellEnd"/>
            <w:r w:rsidRPr="0049017C">
              <w:rPr>
                <w:b/>
                <w:bCs/>
                <w:iCs/>
                <w:lang w:val="en-US"/>
              </w:rPr>
              <w:t xml:space="preserve"> </w:t>
            </w:r>
            <w:proofErr w:type="spellStart"/>
            <w:r w:rsidRPr="0049017C">
              <w:rPr>
                <w:b/>
                <w:bCs/>
                <w:iCs/>
                <w:lang w:val="en-US"/>
              </w:rPr>
              <w:t>projekta</w:t>
            </w:r>
            <w:proofErr w:type="spellEnd"/>
            <w:r w:rsidRPr="0049017C">
              <w:rPr>
                <w:b/>
                <w:bCs/>
                <w:iCs/>
                <w:lang w:val="en-US"/>
              </w:rPr>
              <w:t xml:space="preserve"> </w:t>
            </w:r>
            <w:proofErr w:type="spellStart"/>
            <w:r w:rsidRPr="0049017C">
              <w:rPr>
                <w:b/>
                <w:bCs/>
                <w:iCs/>
                <w:lang w:val="en-US"/>
              </w:rPr>
              <w:t>ietekme</w:t>
            </w:r>
            <w:proofErr w:type="spellEnd"/>
            <w:r w:rsidRPr="0049017C">
              <w:rPr>
                <w:b/>
                <w:bCs/>
                <w:iCs/>
                <w:lang w:val="en-US"/>
              </w:rPr>
              <w:t xml:space="preserve"> </w:t>
            </w:r>
            <w:proofErr w:type="spellStart"/>
            <w:r w:rsidRPr="0049017C">
              <w:rPr>
                <w:b/>
                <w:bCs/>
                <w:iCs/>
                <w:lang w:val="en-US"/>
              </w:rPr>
              <w:t>uz</w:t>
            </w:r>
            <w:proofErr w:type="spellEnd"/>
            <w:r w:rsidRPr="0049017C">
              <w:rPr>
                <w:b/>
                <w:bCs/>
                <w:iCs/>
                <w:lang w:val="en-US"/>
              </w:rPr>
              <w:t xml:space="preserve"> </w:t>
            </w:r>
            <w:proofErr w:type="spellStart"/>
            <w:r w:rsidRPr="0049017C">
              <w:rPr>
                <w:b/>
                <w:bCs/>
                <w:iCs/>
                <w:lang w:val="en-US"/>
              </w:rPr>
              <w:t>valsts</w:t>
            </w:r>
            <w:proofErr w:type="spellEnd"/>
            <w:r w:rsidRPr="0049017C">
              <w:rPr>
                <w:b/>
                <w:bCs/>
                <w:iCs/>
                <w:lang w:val="en-US"/>
              </w:rPr>
              <w:t xml:space="preserve"> </w:t>
            </w:r>
            <w:proofErr w:type="spellStart"/>
            <w:r w:rsidRPr="0049017C">
              <w:rPr>
                <w:b/>
                <w:bCs/>
                <w:iCs/>
                <w:lang w:val="en-US"/>
              </w:rPr>
              <w:t>budžetu</w:t>
            </w:r>
            <w:proofErr w:type="spellEnd"/>
            <w:r w:rsidRPr="0049017C">
              <w:rPr>
                <w:b/>
                <w:bCs/>
                <w:iCs/>
                <w:lang w:val="en-US"/>
              </w:rPr>
              <w:t xml:space="preserve"> un </w:t>
            </w:r>
            <w:proofErr w:type="spellStart"/>
            <w:r w:rsidRPr="0049017C">
              <w:rPr>
                <w:b/>
                <w:bCs/>
                <w:iCs/>
                <w:lang w:val="en-US"/>
              </w:rPr>
              <w:t>pašvaldību</w:t>
            </w:r>
            <w:proofErr w:type="spellEnd"/>
            <w:r w:rsidRPr="0049017C">
              <w:rPr>
                <w:b/>
                <w:bCs/>
                <w:iCs/>
                <w:lang w:val="en-US"/>
              </w:rPr>
              <w:t xml:space="preserve"> </w:t>
            </w:r>
            <w:proofErr w:type="spellStart"/>
            <w:r w:rsidRPr="0049017C">
              <w:rPr>
                <w:b/>
                <w:bCs/>
                <w:iCs/>
                <w:lang w:val="en-US"/>
              </w:rPr>
              <w:t>budžetiem</w:t>
            </w:r>
            <w:proofErr w:type="spellEnd"/>
          </w:p>
        </w:tc>
      </w:tr>
      <w:tr w:rsidRPr="00732296" w:rsidR="004C2A8D" w:rsidTr="004D7B7A" w14:paraId="21FFADB3" w14:textId="77777777">
        <w:trPr>
          <w:tblCellSpacing w:w="15" w:type="dxa"/>
        </w:trPr>
        <w:tc>
          <w:tcPr>
            <w:tcW w:w="860" w:type="pct"/>
            <w:vMerge w:val="restart"/>
            <w:tcBorders>
              <w:top w:val="outset" w:color="auto" w:sz="6" w:space="0"/>
              <w:left w:val="outset" w:color="auto" w:sz="6" w:space="0"/>
              <w:bottom w:val="outset" w:color="auto" w:sz="6" w:space="0"/>
              <w:right w:val="outset" w:color="auto" w:sz="6" w:space="0"/>
            </w:tcBorders>
            <w:vAlign w:val="center"/>
            <w:hideMark/>
          </w:tcPr>
          <w:p w:rsidRPr="00732296" w:rsidR="004C2A8D" w:rsidP="004C2A8D" w:rsidRDefault="004C2A8D" w14:paraId="69BC612C" w14:textId="77777777">
            <w:pPr>
              <w:rPr>
                <w:iCs/>
                <w:lang w:val="en-US"/>
              </w:rPr>
            </w:pPr>
            <w:proofErr w:type="spellStart"/>
            <w:r w:rsidRPr="00732296">
              <w:rPr>
                <w:iCs/>
                <w:lang w:val="en-US"/>
              </w:rPr>
              <w:t>Rādītāji</w:t>
            </w:r>
            <w:proofErr w:type="spellEnd"/>
          </w:p>
        </w:tc>
        <w:tc>
          <w:tcPr>
            <w:tcW w:w="1174" w:type="pct"/>
            <w:gridSpan w:val="2"/>
            <w:vMerge w:val="restar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67BD7DFD" w14:textId="4AF3AE6E">
            <w:pPr>
              <w:rPr>
                <w:iCs/>
                <w:lang w:val="en-US"/>
              </w:rPr>
            </w:pPr>
            <w:r w:rsidRPr="00B62F7E">
              <w:t>2020-gads</w:t>
            </w:r>
          </w:p>
          <w:p w:rsidRPr="00732296" w:rsidR="004C2A8D" w:rsidP="004C2A8D" w:rsidRDefault="004C2A8D" w14:paraId="7AE8B6FD" w14:textId="26CED491">
            <w:pPr>
              <w:rPr>
                <w:iCs/>
                <w:lang w:val="en-US"/>
              </w:rPr>
            </w:pPr>
          </w:p>
        </w:tc>
        <w:tc>
          <w:tcPr>
            <w:tcW w:w="2900" w:type="pct"/>
            <w:gridSpan w:val="5"/>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4CC0F83A" w14:textId="4E8FE1A6">
            <w:pPr>
              <w:rPr>
                <w:iCs/>
                <w:lang w:val="en-US"/>
              </w:rPr>
            </w:pPr>
            <w:r w:rsidRPr="00B62F7E">
              <w:t>Turpmākie trīs gadi (</w:t>
            </w:r>
            <w:proofErr w:type="spellStart"/>
            <w:r w:rsidRPr="00B62F7E">
              <w:t>euro</w:t>
            </w:r>
            <w:proofErr w:type="spellEnd"/>
            <w:r w:rsidRPr="00B62F7E">
              <w:t>)</w:t>
            </w:r>
          </w:p>
        </w:tc>
      </w:tr>
      <w:tr w:rsidRPr="00732296" w:rsidR="004C2A8D" w:rsidTr="004D7B7A" w14:paraId="3CE0573E"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4C2A8D" w:rsidP="004C2A8D" w:rsidRDefault="004C2A8D" w14:paraId="68B783B1" w14:textId="77777777">
            <w:pPr>
              <w:rPr>
                <w:iCs/>
                <w:lang w:val="en-US"/>
              </w:rPr>
            </w:pPr>
          </w:p>
        </w:tc>
        <w:tc>
          <w:tcPr>
            <w:tcW w:w="1174" w:type="pct"/>
            <w:gridSpan w:val="2"/>
            <w:vMerge/>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63440B12" w14:textId="77777777">
            <w:pPr>
              <w:rPr>
                <w:iCs/>
                <w:lang w:val="en-US"/>
              </w:rPr>
            </w:pPr>
          </w:p>
        </w:tc>
        <w:tc>
          <w:tcPr>
            <w:tcW w:w="1123" w:type="pct"/>
            <w:gridSpan w:val="2"/>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44698F59" w14:textId="00D08815">
            <w:pPr>
              <w:rPr>
                <w:iCs/>
                <w:lang w:val="en-US"/>
              </w:rPr>
            </w:pPr>
            <w:r w:rsidRPr="00B62F7E">
              <w:t>2021. gads</w:t>
            </w:r>
          </w:p>
        </w:tc>
        <w:tc>
          <w:tcPr>
            <w:tcW w:w="1125" w:type="pct"/>
            <w:gridSpan w:val="2"/>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20AD330F" w14:textId="5B013AE2">
            <w:pPr>
              <w:rPr>
                <w:iCs/>
                <w:lang w:val="en-US"/>
              </w:rPr>
            </w:pPr>
            <w:r w:rsidRPr="00B62F7E">
              <w:t>2022. gads</w:t>
            </w:r>
          </w:p>
        </w:tc>
        <w:tc>
          <w:tcPr>
            <w:tcW w:w="619" w:type="pc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2F8C853E" w14:textId="593CE537">
            <w:pPr>
              <w:rPr>
                <w:iCs/>
                <w:lang w:val="en-US"/>
              </w:rPr>
            </w:pPr>
            <w:r w:rsidRPr="00B62F7E">
              <w:t>2023. gads</w:t>
            </w:r>
          </w:p>
        </w:tc>
      </w:tr>
      <w:tr w:rsidRPr="00732296" w:rsidR="004C2A8D" w:rsidTr="004D7B7A" w14:paraId="23FEC3F9"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4C2A8D" w:rsidP="004C2A8D" w:rsidRDefault="004C2A8D" w14:paraId="057FB673" w14:textId="77777777">
            <w:pPr>
              <w:rPr>
                <w:iCs/>
                <w:lang w:val="en-US"/>
              </w:rPr>
            </w:pPr>
          </w:p>
        </w:tc>
        <w:tc>
          <w:tcPr>
            <w:tcW w:w="512" w:type="pc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0F8713DA" w14:textId="1032509E">
            <w:pPr>
              <w:rPr>
                <w:iCs/>
                <w:lang w:val="en-US"/>
              </w:rPr>
            </w:pPr>
            <w:r w:rsidRPr="00B62F7E">
              <w:t>saskaņā ar valsts budžetu kārtējam gadam</w:t>
            </w:r>
          </w:p>
        </w:tc>
        <w:tc>
          <w:tcPr>
            <w:tcW w:w="646" w:type="pc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4C113CE7" w14:textId="754B6482">
            <w:pPr>
              <w:rPr>
                <w:iCs/>
                <w:lang w:val="en-US"/>
              </w:rPr>
            </w:pPr>
            <w:r w:rsidRPr="00B62F7E">
              <w:t>izmaiņas kārtējā gadā, salīdzinot ar valsts budžetu kārtējam gadam</w:t>
            </w:r>
          </w:p>
        </w:tc>
        <w:tc>
          <w:tcPr>
            <w:tcW w:w="520" w:type="pc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4C5A5849" w14:textId="685BC862">
            <w:pPr>
              <w:rPr>
                <w:iCs/>
                <w:lang w:val="sv-SE"/>
              </w:rPr>
            </w:pPr>
            <w:r w:rsidRPr="00B62F7E">
              <w:t>saskaņā ar vidēja termiņa budžeta ietvaru</w:t>
            </w:r>
          </w:p>
        </w:tc>
        <w:tc>
          <w:tcPr>
            <w:tcW w:w="587" w:type="pc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40F9D7B7" w14:textId="24234CDE">
            <w:pPr>
              <w:rPr>
                <w:iCs/>
                <w:lang w:val="sv-SE"/>
              </w:rPr>
            </w:pPr>
            <w:r w:rsidRPr="00B62F7E">
              <w:t>izmaiņas, salīdzinot ar vidēja termiņa budžeta ietvaru 2021. gadam</w:t>
            </w:r>
          </w:p>
        </w:tc>
        <w:tc>
          <w:tcPr>
            <w:tcW w:w="521" w:type="pc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4BD5503C" w14:textId="79489E63">
            <w:pPr>
              <w:rPr>
                <w:iCs/>
                <w:lang w:val="sv-SE"/>
              </w:rPr>
            </w:pPr>
            <w:r w:rsidRPr="00B62F7E">
              <w:t>saskaņā ar vidēja termiņa budžeta ietvaru</w:t>
            </w:r>
          </w:p>
        </w:tc>
        <w:tc>
          <w:tcPr>
            <w:tcW w:w="588" w:type="pc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5173F5F2" w14:textId="4CBB2518">
            <w:pPr>
              <w:rPr>
                <w:iCs/>
                <w:lang w:val="sv-SE"/>
              </w:rPr>
            </w:pPr>
            <w:r w:rsidRPr="00B62F7E">
              <w:t>izmaiņas, salīdzinot ar vidēja termiņa budžeta ietvaru 2022. gadam</w:t>
            </w:r>
          </w:p>
        </w:tc>
        <w:tc>
          <w:tcPr>
            <w:tcW w:w="619" w:type="pct"/>
            <w:tcBorders>
              <w:top w:val="outset" w:color="auto" w:sz="6" w:space="0"/>
              <w:left w:val="outset" w:color="auto" w:sz="6" w:space="0"/>
              <w:bottom w:val="outset" w:color="auto" w:sz="6" w:space="0"/>
              <w:right w:val="outset" w:color="auto" w:sz="6" w:space="0"/>
            </w:tcBorders>
            <w:hideMark/>
          </w:tcPr>
          <w:p w:rsidRPr="00732296" w:rsidR="004C2A8D" w:rsidP="004C2A8D" w:rsidRDefault="004C2A8D" w14:paraId="68AF312F" w14:textId="428AEBF3">
            <w:pPr>
              <w:rPr>
                <w:iCs/>
                <w:lang w:val="sv-SE"/>
              </w:rPr>
            </w:pPr>
            <w:r w:rsidRPr="00B62F7E">
              <w:t>izmaiņas, salīdzinot ar vidēja termiņa budžeta ietvaru 2022. gadam</w:t>
            </w:r>
          </w:p>
        </w:tc>
      </w:tr>
      <w:tr w:rsidRPr="00732296" w:rsidR="00785C39" w:rsidTr="004D7B7A" w14:paraId="61C402AF"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7FB0F082" w14:textId="77777777">
            <w:pPr>
              <w:rPr>
                <w:iCs/>
                <w:lang w:val="en-US"/>
              </w:rPr>
            </w:pPr>
            <w:r w:rsidRPr="00732296">
              <w:rPr>
                <w:iCs/>
                <w:lang w:val="en-US"/>
              </w:rPr>
              <w:lastRenderedPageBreak/>
              <w:t>1</w:t>
            </w:r>
          </w:p>
        </w:tc>
        <w:tc>
          <w:tcPr>
            <w:tcW w:w="512"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4207AF40" w14:textId="77777777">
            <w:pPr>
              <w:rPr>
                <w:iCs/>
                <w:lang w:val="en-US"/>
              </w:rPr>
            </w:pPr>
            <w:r w:rsidRPr="00732296">
              <w:rPr>
                <w:iCs/>
                <w:lang w:val="en-US"/>
              </w:rPr>
              <w:t>2</w:t>
            </w:r>
          </w:p>
        </w:tc>
        <w:tc>
          <w:tcPr>
            <w:tcW w:w="646"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3BDB0630" w14:textId="77777777">
            <w:pPr>
              <w:rPr>
                <w:iCs/>
                <w:lang w:val="en-US"/>
              </w:rPr>
            </w:pPr>
            <w:r w:rsidRPr="00732296">
              <w:rPr>
                <w:iCs/>
                <w:lang w:val="en-US"/>
              </w:rPr>
              <w:t>3</w:t>
            </w:r>
          </w:p>
        </w:tc>
        <w:tc>
          <w:tcPr>
            <w:tcW w:w="520"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5C893468" w14:textId="77777777">
            <w:pPr>
              <w:rPr>
                <w:iCs/>
                <w:lang w:val="en-US"/>
              </w:rPr>
            </w:pPr>
            <w:r w:rsidRPr="00732296">
              <w:rPr>
                <w:iCs/>
                <w:lang w:val="en-US"/>
              </w:rPr>
              <w:t>4</w:t>
            </w:r>
          </w:p>
        </w:tc>
        <w:tc>
          <w:tcPr>
            <w:tcW w:w="587"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16AC52E0" w14:textId="77777777">
            <w:pPr>
              <w:rPr>
                <w:iCs/>
                <w:lang w:val="en-US"/>
              </w:rPr>
            </w:pPr>
            <w:r w:rsidRPr="00732296">
              <w:rPr>
                <w:iCs/>
                <w:lang w:val="en-US"/>
              </w:rPr>
              <w:t>5</w:t>
            </w:r>
          </w:p>
        </w:tc>
        <w:tc>
          <w:tcPr>
            <w:tcW w:w="521"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6BF40DB9" w14:textId="77777777">
            <w:pPr>
              <w:rPr>
                <w:iCs/>
                <w:lang w:val="en-US"/>
              </w:rPr>
            </w:pPr>
            <w:r w:rsidRPr="00732296">
              <w:rPr>
                <w:iCs/>
                <w:lang w:val="en-US"/>
              </w:rPr>
              <w:t>6</w:t>
            </w:r>
          </w:p>
        </w:tc>
        <w:tc>
          <w:tcPr>
            <w:tcW w:w="588"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0CBF74CF" w14:textId="77777777">
            <w:pPr>
              <w:rPr>
                <w:iCs/>
                <w:lang w:val="en-US"/>
              </w:rPr>
            </w:pPr>
            <w:r w:rsidRPr="00732296">
              <w:rPr>
                <w:iCs/>
                <w:lang w:val="en-US"/>
              </w:rPr>
              <w:t>7</w:t>
            </w:r>
          </w:p>
        </w:tc>
        <w:tc>
          <w:tcPr>
            <w:tcW w:w="619"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27F0F3C1" w14:textId="77777777">
            <w:pPr>
              <w:rPr>
                <w:iCs/>
                <w:lang w:val="en-US"/>
              </w:rPr>
            </w:pPr>
            <w:r w:rsidRPr="00732296">
              <w:rPr>
                <w:iCs/>
                <w:lang w:val="en-US"/>
              </w:rPr>
              <w:t>8</w:t>
            </w:r>
          </w:p>
        </w:tc>
      </w:tr>
      <w:tr w:rsidRPr="00732296" w:rsidR="00785C39" w:rsidTr="004D7B7A" w14:paraId="3B651AB0"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37A7F008" w14:textId="77777777">
            <w:pPr>
              <w:rPr>
                <w:iCs/>
                <w:lang w:val="en-US"/>
              </w:rPr>
            </w:pPr>
            <w:r w:rsidRPr="00732296">
              <w:rPr>
                <w:iCs/>
                <w:lang w:val="en-US"/>
              </w:rPr>
              <w:t xml:space="preserve">1. </w:t>
            </w:r>
            <w:proofErr w:type="spellStart"/>
            <w:r w:rsidRPr="00732296">
              <w:rPr>
                <w:iCs/>
                <w:lang w:val="en-US"/>
              </w:rPr>
              <w:t>Budžeta</w:t>
            </w:r>
            <w:proofErr w:type="spellEnd"/>
            <w:r w:rsidRPr="00732296">
              <w:rPr>
                <w:iCs/>
                <w:lang w:val="en-US"/>
              </w:rPr>
              <w:t xml:space="preserve"> </w:t>
            </w:r>
            <w:proofErr w:type="spellStart"/>
            <w:r w:rsidRPr="00732296">
              <w:rPr>
                <w:iCs/>
                <w:lang w:val="en-US"/>
              </w:rPr>
              <w:t>ieņēmumi</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0B0316E" w14:textId="7CE1683F">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EC0064" w:rsidR="00785C39" w:rsidP="00785C39" w:rsidRDefault="00785C39" w14:paraId="42653096" w14:textId="742A8A8B">
            <w:pPr>
              <w:rPr>
                <w:iCs/>
                <w:sz w:val="20"/>
                <w:szCs w:val="20"/>
                <w:lang w:val="en-US"/>
              </w:rPr>
            </w:pPr>
            <w:r w:rsidRPr="00EC0064">
              <w:rPr>
                <w:iCs/>
                <w:sz w:val="20"/>
                <w:szCs w:val="20"/>
                <w:lang w:val="en-US"/>
              </w:rPr>
              <w:t> </w:t>
            </w:r>
            <w:r w:rsidR="007F4C9B">
              <w:rPr>
                <w:iCs/>
                <w:sz w:val="20"/>
                <w:szCs w:val="20"/>
                <w:lang w:val="en-US"/>
              </w:rPr>
              <w:t>1 843 557</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F05CC59" w14:textId="668AA822">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C7D54B6" w14:textId="70611EE7">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F27B6EA" w14:textId="58EB7C1A">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1A0FEF5" w14:textId="5D04D8C5">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861CF93" w14:textId="47D3120F">
            <w:pPr>
              <w:rPr>
                <w:iCs/>
                <w:lang w:val="en-US"/>
              </w:rPr>
            </w:pPr>
            <w:r w:rsidRPr="00732296">
              <w:rPr>
                <w:iCs/>
                <w:lang w:val="en-US"/>
              </w:rPr>
              <w:t> </w:t>
            </w:r>
            <w:r>
              <w:rPr>
                <w:iCs/>
                <w:lang w:val="en-US"/>
              </w:rPr>
              <w:t>0</w:t>
            </w:r>
          </w:p>
        </w:tc>
      </w:tr>
      <w:tr w:rsidRPr="00732296" w:rsidR="00785C39" w:rsidTr="004D7B7A" w14:paraId="30E3DE0E"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30BD9513" w14:textId="77777777">
            <w:pPr>
              <w:rPr>
                <w:iCs/>
                <w:lang w:val="en-US"/>
              </w:rPr>
            </w:pPr>
            <w:r w:rsidRPr="00732296">
              <w:rPr>
                <w:iCs/>
                <w:lang w:val="en-US"/>
              </w:rPr>
              <w:t xml:space="preserve">1.1. </w:t>
            </w:r>
            <w:proofErr w:type="spellStart"/>
            <w:r w:rsidRPr="00732296">
              <w:rPr>
                <w:iCs/>
                <w:lang w:val="en-US"/>
              </w:rPr>
              <w:t>valsts</w:t>
            </w:r>
            <w:proofErr w:type="spellEnd"/>
            <w:r w:rsidRPr="00732296">
              <w:rPr>
                <w:iCs/>
                <w:lang w:val="en-US"/>
              </w:rPr>
              <w:t xml:space="preserve"> </w:t>
            </w:r>
            <w:proofErr w:type="spellStart"/>
            <w:r w:rsidRPr="00732296">
              <w:rPr>
                <w:iCs/>
                <w:lang w:val="en-US"/>
              </w:rPr>
              <w:t>pamatbudžets</w:t>
            </w:r>
            <w:proofErr w:type="spellEnd"/>
            <w:r w:rsidRPr="00732296">
              <w:rPr>
                <w:iCs/>
                <w:lang w:val="en-US"/>
              </w:rPr>
              <w:t xml:space="preserve">, tai </w:t>
            </w:r>
            <w:proofErr w:type="spellStart"/>
            <w:r w:rsidRPr="00732296">
              <w:rPr>
                <w:iCs/>
                <w:lang w:val="en-US"/>
              </w:rPr>
              <w:t>skaitā</w:t>
            </w:r>
            <w:proofErr w:type="spellEnd"/>
            <w:r w:rsidRPr="00732296">
              <w:rPr>
                <w:iCs/>
                <w:lang w:val="en-US"/>
              </w:rPr>
              <w:t xml:space="preserve"> </w:t>
            </w:r>
            <w:proofErr w:type="spellStart"/>
            <w:r w:rsidRPr="00732296">
              <w:rPr>
                <w:iCs/>
                <w:lang w:val="en-US"/>
              </w:rPr>
              <w:t>ieņēmumi</w:t>
            </w:r>
            <w:proofErr w:type="spellEnd"/>
            <w:r w:rsidRPr="00732296">
              <w:rPr>
                <w:iCs/>
                <w:lang w:val="en-US"/>
              </w:rPr>
              <w:t xml:space="preserve"> no </w:t>
            </w:r>
            <w:proofErr w:type="spellStart"/>
            <w:r w:rsidRPr="00732296">
              <w:rPr>
                <w:iCs/>
                <w:lang w:val="en-US"/>
              </w:rPr>
              <w:t>maksas</w:t>
            </w:r>
            <w:proofErr w:type="spellEnd"/>
            <w:r w:rsidRPr="00732296">
              <w:rPr>
                <w:iCs/>
                <w:lang w:val="en-US"/>
              </w:rPr>
              <w:t xml:space="preserve"> </w:t>
            </w:r>
            <w:proofErr w:type="spellStart"/>
            <w:r w:rsidRPr="00732296">
              <w:rPr>
                <w:iCs/>
                <w:lang w:val="en-US"/>
              </w:rPr>
              <w:t>pakalpojumiem</w:t>
            </w:r>
            <w:proofErr w:type="spellEnd"/>
            <w:r w:rsidRPr="00732296">
              <w:rPr>
                <w:iCs/>
                <w:lang w:val="en-US"/>
              </w:rPr>
              <w:t xml:space="preserve"> un </w:t>
            </w:r>
            <w:proofErr w:type="spellStart"/>
            <w:r w:rsidRPr="00732296">
              <w:rPr>
                <w:iCs/>
                <w:lang w:val="en-US"/>
              </w:rPr>
              <w:t>citi</w:t>
            </w:r>
            <w:proofErr w:type="spellEnd"/>
            <w:r w:rsidRPr="00732296">
              <w:rPr>
                <w:iCs/>
                <w:lang w:val="en-US"/>
              </w:rPr>
              <w:t xml:space="preserve"> </w:t>
            </w:r>
            <w:proofErr w:type="spellStart"/>
            <w:r w:rsidRPr="00732296">
              <w:rPr>
                <w:iCs/>
                <w:lang w:val="en-US"/>
              </w:rPr>
              <w:t>pašu</w:t>
            </w:r>
            <w:proofErr w:type="spellEnd"/>
            <w:r w:rsidRPr="00732296">
              <w:rPr>
                <w:iCs/>
                <w:lang w:val="en-US"/>
              </w:rPr>
              <w:t xml:space="preserve"> </w:t>
            </w:r>
            <w:proofErr w:type="spellStart"/>
            <w:r w:rsidRPr="00732296">
              <w:rPr>
                <w:iCs/>
                <w:lang w:val="en-US"/>
              </w:rPr>
              <w:t>ieņēmumi</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40CCA26" w14:textId="6E692D8C">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EC0064" w:rsidR="00785C39" w:rsidP="00785C39" w:rsidRDefault="00785C39" w14:paraId="29B40240" w14:textId="76D27676">
            <w:pPr>
              <w:rPr>
                <w:iCs/>
                <w:sz w:val="20"/>
                <w:szCs w:val="20"/>
                <w:lang w:val="en-US"/>
              </w:rPr>
            </w:pPr>
            <w:r w:rsidRPr="00EC0064">
              <w:rPr>
                <w:iCs/>
                <w:sz w:val="20"/>
                <w:szCs w:val="20"/>
                <w:lang w:val="en-US"/>
              </w:rPr>
              <w:t> </w:t>
            </w:r>
            <w:r w:rsidR="007F4C9B">
              <w:rPr>
                <w:iCs/>
                <w:sz w:val="20"/>
                <w:szCs w:val="20"/>
                <w:lang w:val="en-US"/>
              </w:rPr>
              <w:t>1 843 557</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9C72132" w14:textId="1DFCE9EA">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67517419" w14:textId="0AA68283">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ADFC384" w14:textId="30E9A086">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55C7007" w14:textId="0DC012B8">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642848D" w14:textId="0768A265">
            <w:pPr>
              <w:rPr>
                <w:iCs/>
                <w:lang w:val="en-US"/>
              </w:rPr>
            </w:pPr>
            <w:r w:rsidRPr="00732296">
              <w:rPr>
                <w:iCs/>
                <w:lang w:val="en-US"/>
              </w:rPr>
              <w:t> </w:t>
            </w:r>
            <w:r>
              <w:rPr>
                <w:iCs/>
                <w:lang w:val="en-US"/>
              </w:rPr>
              <w:t>0</w:t>
            </w:r>
          </w:p>
        </w:tc>
      </w:tr>
      <w:tr w:rsidRPr="00732296" w:rsidR="00785C39" w:rsidTr="004D7B7A" w14:paraId="39281F71"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30CA87D8" w14:textId="77777777">
            <w:pPr>
              <w:rPr>
                <w:iCs/>
                <w:lang w:val="en-US"/>
              </w:rPr>
            </w:pPr>
            <w:r w:rsidRPr="00732296">
              <w:rPr>
                <w:iCs/>
                <w:lang w:val="en-US"/>
              </w:rPr>
              <w:t xml:space="preserve">1.2. </w:t>
            </w:r>
            <w:proofErr w:type="spellStart"/>
            <w:r w:rsidRPr="00732296">
              <w:rPr>
                <w:iCs/>
                <w:lang w:val="en-US"/>
              </w:rPr>
              <w:t>valsts</w:t>
            </w:r>
            <w:proofErr w:type="spellEnd"/>
            <w:r w:rsidRPr="00732296">
              <w:rPr>
                <w:iCs/>
                <w:lang w:val="en-US"/>
              </w:rPr>
              <w:t xml:space="preserve"> </w:t>
            </w:r>
            <w:proofErr w:type="spellStart"/>
            <w:r w:rsidRPr="00732296">
              <w:rPr>
                <w:iCs/>
                <w:lang w:val="en-US"/>
              </w:rPr>
              <w:t>speciālais</w:t>
            </w:r>
            <w:proofErr w:type="spellEnd"/>
            <w:r w:rsidRPr="00732296">
              <w:rPr>
                <w:iCs/>
                <w:lang w:val="en-US"/>
              </w:rPr>
              <w:t xml:space="preserve"> </w:t>
            </w:r>
            <w:proofErr w:type="spellStart"/>
            <w:r w:rsidRPr="00732296">
              <w:rPr>
                <w:iCs/>
                <w:lang w:val="en-US"/>
              </w:rPr>
              <w:t>budžets</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64CA2B41" w14:textId="54054D04">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AEA48E3" w14:textId="6A6887B7">
            <w:pPr>
              <w:rPr>
                <w:iCs/>
                <w:lang w:val="en-US"/>
              </w:rPr>
            </w:pPr>
            <w:r w:rsidRPr="00732296">
              <w:rPr>
                <w:iCs/>
                <w:lang w:val="en-US"/>
              </w:rPr>
              <w:t> </w:t>
            </w:r>
            <w:r>
              <w:rPr>
                <w:iCs/>
                <w:lang w:val="en-US"/>
              </w:rPr>
              <w:t>0</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8FAF200" w14:textId="1C9ACEC0">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E22B30E" w14:textId="79FA4E2C">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43BFDBE" w14:textId="1295F78E">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C82642D" w14:textId="1E46C8F2">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149D974" w14:textId="3E31A06D">
            <w:pPr>
              <w:rPr>
                <w:iCs/>
                <w:lang w:val="en-US"/>
              </w:rPr>
            </w:pPr>
            <w:r w:rsidRPr="00732296">
              <w:rPr>
                <w:iCs/>
                <w:lang w:val="en-US"/>
              </w:rPr>
              <w:t> </w:t>
            </w:r>
            <w:r>
              <w:rPr>
                <w:iCs/>
                <w:lang w:val="en-US"/>
              </w:rPr>
              <w:t>0</w:t>
            </w:r>
          </w:p>
        </w:tc>
      </w:tr>
      <w:tr w:rsidRPr="00732296" w:rsidR="00785C39" w:rsidTr="004D7B7A" w14:paraId="7CF55F6F"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534B05E5" w14:textId="77777777">
            <w:pPr>
              <w:rPr>
                <w:iCs/>
                <w:lang w:val="en-US"/>
              </w:rPr>
            </w:pPr>
            <w:r w:rsidRPr="00732296">
              <w:rPr>
                <w:iCs/>
                <w:lang w:val="en-US"/>
              </w:rPr>
              <w:t xml:space="preserve">1.3. </w:t>
            </w:r>
            <w:proofErr w:type="spellStart"/>
            <w:r w:rsidRPr="00732296">
              <w:rPr>
                <w:iCs/>
                <w:lang w:val="en-US"/>
              </w:rPr>
              <w:t>pašvaldību</w:t>
            </w:r>
            <w:proofErr w:type="spellEnd"/>
            <w:r w:rsidRPr="00732296">
              <w:rPr>
                <w:iCs/>
                <w:lang w:val="en-US"/>
              </w:rPr>
              <w:t xml:space="preserve"> </w:t>
            </w:r>
            <w:proofErr w:type="spellStart"/>
            <w:r w:rsidRPr="00732296">
              <w:rPr>
                <w:iCs/>
                <w:lang w:val="en-US"/>
              </w:rPr>
              <w:t>budžets</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02E05DA" w14:textId="656556BE">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0A31FA4" w14:textId="472B5B96">
            <w:pPr>
              <w:rPr>
                <w:iCs/>
                <w:lang w:val="en-US"/>
              </w:rPr>
            </w:pPr>
            <w:r w:rsidRPr="00732296">
              <w:rPr>
                <w:iCs/>
                <w:lang w:val="en-US"/>
              </w:rPr>
              <w:t> </w:t>
            </w:r>
            <w:r>
              <w:rPr>
                <w:iCs/>
                <w:lang w:val="en-US"/>
              </w:rPr>
              <w:t>0</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D0186D6" w14:textId="1C97B4E6">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E9E80B2" w14:textId="03038BE3">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1BBE741" w14:textId="3A1A3D03">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0A3AA77" w14:textId="1BA362C1">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1CF68D4" w14:textId="10E43823">
            <w:pPr>
              <w:rPr>
                <w:iCs/>
                <w:lang w:val="en-US"/>
              </w:rPr>
            </w:pPr>
            <w:r w:rsidRPr="00732296">
              <w:rPr>
                <w:iCs/>
                <w:lang w:val="en-US"/>
              </w:rPr>
              <w:t> </w:t>
            </w:r>
            <w:r>
              <w:rPr>
                <w:iCs/>
                <w:lang w:val="en-US"/>
              </w:rPr>
              <w:t>0</w:t>
            </w:r>
          </w:p>
        </w:tc>
      </w:tr>
      <w:tr w:rsidRPr="00732296" w:rsidR="00785C39" w:rsidTr="004D7B7A" w14:paraId="6A373287"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6C5B1E08" w14:textId="77777777">
            <w:pPr>
              <w:rPr>
                <w:iCs/>
                <w:lang w:val="en-US"/>
              </w:rPr>
            </w:pPr>
            <w:r w:rsidRPr="00732296">
              <w:rPr>
                <w:iCs/>
                <w:lang w:val="en-US"/>
              </w:rPr>
              <w:t xml:space="preserve">2. </w:t>
            </w:r>
            <w:proofErr w:type="spellStart"/>
            <w:r w:rsidRPr="00732296">
              <w:rPr>
                <w:iCs/>
                <w:lang w:val="en-US"/>
              </w:rPr>
              <w:t>Budžeta</w:t>
            </w:r>
            <w:proofErr w:type="spellEnd"/>
            <w:r w:rsidRPr="00732296">
              <w:rPr>
                <w:iCs/>
                <w:lang w:val="en-US"/>
              </w:rPr>
              <w:t xml:space="preserve"> </w:t>
            </w:r>
            <w:proofErr w:type="spellStart"/>
            <w:r w:rsidRPr="00732296">
              <w:rPr>
                <w:iCs/>
                <w:lang w:val="en-US"/>
              </w:rPr>
              <w:t>izdevumi</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E9C0AB8" w14:textId="7BBD9B46">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EC0064" w:rsidR="00785C39" w:rsidP="00785C39" w:rsidRDefault="00785C39" w14:paraId="435431C0" w14:textId="44702CE8">
            <w:pPr>
              <w:rPr>
                <w:iCs/>
                <w:sz w:val="20"/>
                <w:szCs w:val="20"/>
                <w:lang w:val="en-US"/>
              </w:rPr>
            </w:pPr>
            <w:r w:rsidRPr="00EC0064">
              <w:rPr>
                <w:iCs/>
                <w:sz w:val="20"/>
                <w:szCs w:val="20"/>
                <w:lang w:val="en-US"/>
              </w:rPr>
              <w:t> </w:t>
            </w:r>
            <w:r w:rsidR="004D7B7A">
              <w:rPr>
                <w:iCs/>
                <w:sz w:val="20"/>
                <w:szCs w:val="20"/>
                <w:lang w:val="en-US"/>
              </w:rPr>
              <w:t>+</w:t>
            </w:r>
            <w:r w:rsidR="007F4C9B">
              <w:rPr>
                <w:iCs/>
                <w:sz w:val="20"/>
                <w:szCs w:val="20"/>
                <w:lang w:val="en-US"/>
              </w:rPr>
              <w:t>1 843 557</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100564CD" w14:textId="6610353E">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9F8BBFA" w14:textId="16D76F08">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165045CE" w14:textId="61CB41C6">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2092BD77" w14:textId="4DA727CA">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87B389A" w14:textId="20AE4893">
            <w:pPr>
              <w:rPr>
                <w:iCs/>
                <w:lang w:val="en-US"/>
              </w:rPr>
            </w:pPr>
            <w:r w:rsidRPr="00732296">
              <w:rPr>
                <w:iCs/>
                <w:lang w:val="en-US"/>
              </w:rPr>
              <w:t> </w:t>
            </w:r>
            <w:r>
              <w:rPr>
                <w:iCs/>
                <w:lang w:val="en-US"/>
              </w:rPr>
              <w:t>0</w:t>
            </w:r>
          </w:p>
        </w:tc>
      </w:tr>
      <w:tr w:rsidRPr="00732296" w:rsidR="00785C39" w:rsidTr="004D7B7A" w14:paraId="744579A3"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629A42ED" w14:textId="77777777">
            <w:pPr>
              <w:rPr>
                <w:iCs/>
                <w:lang w:val="en-US"/>
              </w:rPr>
            </w:pPr>
            <w:r w:rsidRPr="00732296">
              <w:rPr>
                <w:iCs/>
                <w:lang w:val="en-US"/>
              </w:rPr>
              <w:t xml:space="preserve">2.1. </w:t>
            </w:r>
            <w:proofErr w:type="spellStart"/>
            <w:r w:rsidRPr="00732296">
              <w:rPr>
                <w:iCs/>
                <w:lang w:val="en-US"/>
              </w:rPr>
              <w:t>valsts</w:t>
            </w:r>
            <w:proofErr w:type="spellEnd"/>
            <w:r w:rsidRPr="00732296">
              <w:rPr>
                <w:iCs/>
                <w:lang w:val="en-US"/>
              </w:rPr>
              <w:t xml:space="preserve"> </w:t>
            </w:r>
            <w:proofErr w:type="spellStart"/>
            <w:r w:rsidRPr="00732296">
              <w:rPr>
                <w:iCs/>
                <w:lang w:val="en-US"/>
              </w:rPr>
              <w:t>pamatbudžets</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3066ECA" w14:textId="33FACDFB">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EC0064" w:rsidR="00785C39" w:rsidP="00785C39" w:rsidRDefault="004D7B7A" w14:paraId="38D51C6A" w14:textId="413EC93A">
            <w:pPr>
              <w:rPr>
                <w:iCs/>
                <w:sz w:val="20"/>
                <w:szCs w:val="20"/>
                <w:lang w:val="en-US"/>
              </w:rPr>
            </w:pPr>
            <w:r>
              <w:rPr>
                <w:iCs/>
                <w:sz w:val="20"/>
                <w:szCs w:val="20"/>
                <w:lang w:val="en-US"/>
              </w:rPr>
              <w:t>+</w:t>
            </w:r>
            <w:r w:rsidR="007F4C9B">
              <w:rPr>
                <w:iCs/>
                <w:sz w:val="20"/>
                <w:szCs w:val="20"/>
                <w:lang w:val="en-US"/>
              </w:rPr>
              <w:t>1 843 557</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62AFF0F6" w14:textId="2EF2CF09">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12BC0122" w14:textId="33FD5241">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184412E" w14:textId="1849541E">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9C554A8" w14:textId="502CC7D5">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24D8DCC" w14:textId="60FB146A">
            <w:pPr>
              <w:rPr>
                <w:iCs/>
                <w:lang w:val="en-US"/>
              </w:rPr>
            </w:pPr>
            <w:r w:rsidRPr="00732296">
              <w:rPr>
                <w:iCs/>
                <w:lang w:val="en-US"/>
              </w:rPr>
              <w:t> </w:t>
            </w:r>
            <w:r>
              <w:rPr>
                <w:iCs/>
                <w:lang w:val="en-US"/>
              </w:rPr>
              <w:t>0</w:t>
            </w:r>
          </w:p>
        </w:tc>
      </w:tr>
      <w:tr w:rsidRPr="00732296" w:rsidR="00785C39" w:rsidTr="004D7B7A" w14:paraId="14FA603B"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28585AB4" w14:textId="77777777">
            <w:pPr>
              <w:rPr>
                <w:iCs/>
                <w:lang w:val="en-US"/>
              </w:rPr>
            </w:pPr>
            <w:r w:rsidRPr="00732296">
              <w:rPr>
                <w:iCs/>
                <w:lang w:val="en-US"/>
              </w:rPr>
              <w:t xml:space="preserve">2.2. </w:t>
            </w:r>
            <w:proofErr w:type="spellStart"/>
            <w:r w:rsidRPr="00732296">
              <w:rPr>
                <w:iCs/>
                <w:lang w:val="en-US"/>
              </w:rPr>
              <w:t>valsts</w:t>
            </w:r>
            <w:proofErr w:type="spellEnd"/>
            <w:r w:rsidRPr="00732296">
              <w:rPr>
                <w:iCs/>
                <w:lang w:val="en-US"/>
              </w:rPr>
              <w:t xml:space="preserve"> </w:t>
            </w:r>
            <w:proofErr w:type="spellStart"/>
            <w:r w:rsidRPr="00732296">
              <w:rPr>
                <w:iCs/>
                <w:lang w:val="en-US"/>
              </w:rPr>
              <w:t>speciālais</w:t>
            </w:r>
            <w:proofErr w:type="spellEnd"/>
            <w:r w:rsidRPr="00732296">
              <w:rPr>
                <w:iCs/>
                <w:lang w:val="en-US"/>
              </w:rPr>
              <w:t xml:space="preserve"> </w:t>
            </w:r>
            <w:proofErr w:type="spellStart"/>
            <w:r w:rsidRPr="00732296">
              <w:rPr>
                <w:iCs/>
                <w:lang w:val="en-US"/>
              </w:rPr>
              <w:t>budžets</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609C78F1" w14:textId="37BCF245">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6DD88F50" w14:textId="66A723F8">
            <w:pPr>
              <w:rPr>
                <w:iCs/>
                <w:lang w:val="en-US"/>
              </w:rPr>
            </w:pPr>
            <w:r w:rsidRPr="00732296">
              <w:rPr>
                <w:iCs/>
                <w:lang w:val="en-US"/>
              </w:rPr>
              <w:t> </w:t>
            </w:r>
            <w:r>
              <w:rPr>
                <w:iCs/>
                <w:lang w:val="en-US"/>
              </w:rPr>
              <w:t>0</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27FEE122" w14:textId="1B4AFEC7">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80F8C92" w14:textId="271CCAB9">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790B83A" w14:textId="1699D80D">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5F82DDC" w14:textId="27023115">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2D0431E1" w14:textId="1A21BB9D">
            <w:pPr>
              <w:rPr>
                <w:iCs/>
                <w:lang w:val="en-US"/>
              </w:rPr>
            </w:pPr>
            <w:r w:rsidRPr="00732296">
              <w:rPr>
                <w:iCs/>
                <w:lang w:val="en-US"/>
              </w:rPr>
              <w:t> </w:t>
            </w:r>
            <w:r>
              <w:rPr>
                <w:iCs/>
                <w:lang w:val="en-US"/>
              </w:rPr>
              <w:t>0</w:t>
            </w:r>
          </w:p>
        </w:tc>
      </w:tr>
      <w:tr w:rsidRPr="00732296" w:rsidR="00785C39" w:rsidTr="004D7B7A" w14:paraId="1CC5F567"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644A6297" w14:textId="77777777">
            <w:pPr>
              <w:rPr>
                <w:iCs/>
                <w:lang w:val="en-US"/>
              </w:rPr>
            </w:pPr>
            <w:r w:rsidRPr="00732296">
              <w:rPr>
                <w:iCs/>
                <w:lang w:val="en-US"/>
              </w:rPr>
              <w:t xml:space="preserve">2.3. </w:t>
            </w:r>
            <w:proofErr w:type="spellStart"/>
            <w:r w:rsidRPr="00732296">
              <w:rPr>
                <w:iCs/>
                <w:lang w:val="en-US"/>
              </w:rPr>
              <w:t>pašvaldību</w:t>
            </w:r>
            <w:proofErr w:type="spellEnd"/>
            <w:r w:rsidRPr="00732296">
              <w:rPr>
                <w:iCs/>
                <w:lang w:val="en-US"/>
              </w:rPr>
              <w:t xml:space="preserve"> </w:t>
            </w:r>
            <w:proofErr w:type="spellStart"/>
            <w:r w:rsidRPr="00732296">
              <w:rPr>
                <w:iCs/>
                <w:lang w:val="en-US"/>
              </w:rPr>
              <w:t>budžets</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14B52CAD" w14:textId="084601CE">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57F98F5" w14:textId="351BD84E">
            <w:pPr>
              <w:rPr>
                <w:iCs/>
                <w:lang w:val="en-US"/>
              </w:rPr>
            </w:pPr>
            <w:r w:rsidRPr="00732296">
              <w:rPr>
                <w:iCs/>
                <w:lang w:val="en-US"/>
              </w:rPr>
              <w:t> </w:t>
            </w:r>
            <w:r>
              <w:rPr>
                <w:iCs/>
                <w:lang w:val="en-US"/>
              </w:rPr>
              <w:t>0</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B1B93A6" w14:textId="1B27265E">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BFBF3F6" w14:textId="47F79DB1">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BCB0819" w14:textId="01697C53">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70277DB" w14:textId="46D33AA4">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4BCDF0E" w14:textId="307D9227">
            <w:pPr>
              <w:rPr>
                <w:iCs/>
                <w:lang w:val="en-US"/>
              </w:rPr>
            </w:pPr>
            <w:r w:rsidRPr="00732296">
              <w:rPr>
                <w:iCs/>
                <w:lang w:val="en-US"/>
              </w:rPr>
              <w:t> </w:t>
            </w:r>
            <w:r>
              <w:rPr>
                <w:iCs/>
                <w:lang w:val="en-US"/>
              </w:rPr>
              <w:t>0</w:t>
            </w:r>
          </w:p>
        </w:tc>
      </w:tr>
      <w:tr w:rsidRPr="00732296" w:rsidR="00EC0064" w:rsidTr="004D7B7A" w14:paraId="271A8890"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716437AC" w14:textId="77777777">
            <w:pPr>
              <w:rPr>
                <w:iCs/>
                <w:lang w:val="en-US"/>
              </w:rPr>
            </w:pPr>
            <w:r w:rsidRPr="00732296">
              <w:rPr>
                <w:iCs/>
                <w:lang w:val="en-US"/>
              </w:rPr>
              <w:t xml:space="preserve">3. </w:t>
            </w:r>
            <w:proofErr w:type="spellStart"/>
            <w:r w:rsidRPr="00732296">
              <w:rPr>
                <w:iCs/>
                <w:lang w:val="en-US"/>
              </w:rPr>
              <w:t>Finansiālā</w:t>
            </w:r>
            <w:proofErr w:type="spellEnd"/>
            <w:r w:rsidRPr="00732296">
              <w:rPr>
                <w:iCs/>
                <w:lang w:val="en-US"/>
              </w:rPr>
              <w:t xml:space="preserve"> </w:t>
            </w:r>
            <w:proofErr w:type="spellStart"/>
            <w:r w:rsidRPr="00732296">
              <w:rPr>
                <w:iCs/>
                <w:lang w:val="en-US"/>
              </w:rPr>
              <w:t>ietekme</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2CB8B7B9" w14:textId="00BFEAAC">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56CFFF6" w14:textId="5D9A69C0">
            <w:pPr>
              <w:rPr>
                <w:iCs/>
                <w:lang w:val="en-US"/>
              </w:rPr>
            </w:pPr>
            <w:r>
              <w:rPr>
                <w:iCs/>
                <w:lang w:val="en-US"/>
              </w:rPr>
              <w:t>0</w:t>
            </w:r>
            <w:r w:rsidRPr="00732296">
              <w:rPr>
                <w:iCs/>
                <w:lang w:val="en-US"/>
              </w:rPr>
              <w:t> </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01A44C59" w14:textId="5C5CA8AD">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1711ACDB" w14:textId="69BFCBC3">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1C20FBB8" w14:textId="7DF8ECA6">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8657CA0" w14:textId="519BA353">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286ADFDA" w14:textId="5AD58D47">
            <w:pPr>
              <w:rPr>
                <w:iCs/>
                <w:lang w:val="en-US"/>
              </w:rPr>
            </w:pPr>
            <w:r w:rsidRPr="00732296">
              <w:rPr>
                <w:iCs/>
                <w:lang w:val="en-US"/>
              </w:rPr>
              <w:t> </w:t>
            </w:r>
            <w:r>
              <w:rPr>
                <w:iCs/>
                <w:lang w:val="en-US"/>
              </w:rPr>
              <w:t>0</w:t>
            </w:r>
          </w:p>
        </w:tc>
      </w:tr>
      <w:tr w:rsidRPr="00732296" w:rsidR="00EC0064" w:rsidTr="004D7B7A" w14:paraId="6F3F5F22"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3FF5B209" w14:textId="77777777">
            <w:pPr>
              <w:rPr>
                <w:iCs/>
                <w:lang w:val="en-US"/>
              </w:rPr>
            </w:pPr>
            <w:r w:rsidRPr="00732296">
              <w:rPr>
                <w:iCs/>
                <w:lang w:val="en-US"/>
              </w:rPr>
              <w:t xml:space="preserve">3.1. </w:t>
            </w:r>
            <w:proofErr w:type="spellStart"/>
            <w:r w:rsidRPr="00732296">
              <w:rPr>
                <w:iCs/>
                <w:lang w:val="en-US"/>
              </w:rPr>
              <w:t>valsts</w:t>
            </w:r>
            <w:proofErr w:type="spellEnd"/>
            <w:r w:rsidRPr="00732296">
              <w:rPr>
                <w:iCs/>
                <w:lang w:val="en-US"/>
              </w:rPr>
              <w:t xml:space="preserve"> </w:t>
            </w:r>
            <w:proofErr w:type="spellStart"/>
            <w:r w:rsidRPr="00732296">
              <w:rPr>
                <w:iCs/>
                <w:lang w:val="en-US"/>
              </w:rPr>
              <w:t>pamatbudžets</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FBBE62D" w14:textId="07D7DD78">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67A1D31" w14:textId="7F58070D">
            <w:pPr>
              <w:rPr>
                <w:iCs/>
                <w:lang w:val="en-US"/>
              </w:rPr>
            </w:pPr>
            <w:r>
              <w:rPr>
                <w:iCs/>
                <w:lang w:val="en-US"/>
              </w:rPr>
              <w:t>0</w:t>
            </w:r>
            <w:r w:rsidRPr="00732296">
              <w:rPr>
                <w:iCs/>
                <w:lang w:val="en-US"/>
              </w:rPr>
              <w:t> </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5BEE0A1" w14:textId="4D99CCBC">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6BC55D5" w14:textId="20503060">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4235A1F2" w14:textId="3F5C91D1">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1E92AB64" w14:textId="5D52C894">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BC5D312" w14:textId="4BE5C4CF">
            <w:pPr>
              <w:rPr>
                <w:iCs/>
                <w:lang w:val="en-US"/>
              </w:rPr>
            </w:pPr>
            <w:r w:rsidRPr="00732296">
              <w:rPr>
                <w:iCs/>
                <w:lang w:val="en-US"/>
              </w:rPr>
              <w:t> </w:t>
            </w:r>
            <w:r>
              <w:rPr>
                <w:iCs/>
                <w:lang w:val="en-US"/>
              </w:rPr>
              <w:t>0</w:t>
            </w:r>
          </w:p>
        </w:tc>
      </w:tr>
      <w:tr w:rsidRPr="00732296" w:rsidR="00785C39" w:rsidTr="004D7B7A" w14:paraId="0955AB6E"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6D319675" w14:textId="77777777">
            <w:pPr>
              <w:rPr>
                <w:iCs/>
                <w:lang w:val="en-US"/>
              </w:rPr>
            </w:pPr>
            <w:r w:rsidRPr="00732296">
              <w:rPr>
                <w:iCs/>
                <w:lang w:val="en-US"/>
              </w:rPr>
              <w:t xml:space="preserve">3.2. </w:t>
            </w:r>
            <w:proofErr w:type="spellStart"/>
            <w:r w:rsidRPr="00732296">
              <w:rPr>
                <w:iCs/>
                <w:lang w:val="en-US"/>
              </w:rPr>
              <w:t>speciālais</w:t>
            </w:r>
            <w:proofErr w:type="spellEnd"/>
            <w:r w:rsidRPr="00732296">
              <w:rPr>
                <w:iCs/>
                <w:lang w:val="en-US"/>
              </w:rPr>
              <w:t xml:space="preserve"> </w:t>
            </w:r>
            <w:proofErr w:type="spellStart"/>
            <w:r w:rsidRPr="00732296">
              <w:rPr>
                <w:iCs/>
                <w:lang w:val="en-US"/>
              </w:rPr>
              <w:t>budžets</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2265F121" w14:textId="6F138258">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BE044BF" w14:textId="5A7C574A">
            <w:pPr>
              <w:rPr>
                <w:iCs/>
                <w:lang w:val="en-US"/>
              </w:rPr>
            </w:pPr>
            <w:r w:rsidRPr="00732296">
              <w:rPr>
                <w:iCs/>
                <w:lang w:val="en-US"/>
              </w:rPr>
              <w:t> </w:t>
            </w:r>
            <w:r>
              <w:rPr>
                <w:iCs/>
                <w:lang w:val="en-US"/>
              </w:rPr>
              <w:t>0</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25BA3159" w14:textId="48BC1A62">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303F4A0" w14:textId="734CEBA1">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9CCA165" w14:textId="68F86B02">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3A58A8E3" w14:textId="1D2E1EBE">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653D66B" w14:textId="0D5E31E6">
            <w:pPr>
              <w:rPr>
                <w:iCs/>
                <w:lang w:val="en-US"/>
              </w:rPr>
            </w:pPr>
            <w:r w:rsidRPr="00732296">
              <w:rPr>
                <w:iCs/>
                <w:lang w:val="en-US"/>
              </w:rPr>
              <w:t> </w:t>
            </w:r>
            <w:r>
              <w:rPr>
                <w:iCs/>
                <w:lang w:val="en-US"/>
              </w:rPr>
              <w:t>0</w:t>
            </w:r>
          </w:p>
        </w:tc>
      </w:tr>
      <w:tr w:rsidRPr="00732296" w:rsidR="00785C39" w:rsidTr="004D7B7A" w14:paraId="0B98E3D9"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85C39" w:rsidP="00785C39" w:rsidRDefault="00785C39" w14:paraId="369E4572" w14:textId="77777777">
            <w:pPr>
              <w:rPr>
                <w:iCs/>
                <w:lang w:val="en-US"/>
              </w:rPr>
            </w:pPr>
            <w:r w:rsidRPr="00732296">
              <w:rPr>
                <w:iCs/>
                <w:lang w:val="en-US"/>
              </w:rPr>
              <w:t xml:space="preserve">3.3. </w:t>
            </w:r>
            <w:proofErr w:type="spellStart"/>
            <w:r w:rsidRPr="00732296">
              <w:rPr>
                <w:iCs/>
                <w:lang w:val="en-US"/>
              </w:rPr>
              <w:t>pašvaldību</w:t>
            </w:r>
            <w:proofErr w:type="spellEnd"/>
            <w:r w:rsidRPr="00732296">
              <w:rPr>
                <w:iCs/>
                <w:lang w:val="en-US"/>
              </w:rPr>
              <w:t xml:space="preserve"> </w:t>
            </w:r>
            <w:proofErr w:type="spellStart"/>
            <w:r w:rsidRPr="00732296">
              <w:rPr>
                <w:iCs/>
                <w:lang w:val="en-US"/>
              </w:rPr>
              <w:t>budžets</w:t>
            </w:r>
            <w:proofErr w:type="spellEnd"/>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0DAFFE0" w14:textId="416D08D8">
            <w:pPr>
              <w:rPr>
                <w:iCs/>
                <w:lang w:val="en-US"/>
              </w:rPr>
            </w:pPr>
            <w:r w:rsidRPr="00732296">
              <w:rPr>
                <w:iCs/>
                <w:lang w:val="en-US"/>
              </w:rPr>
              <w:t> </w:t>
            </w:r>
            <w:r>
              <w:rPr>
                <w:iCs/>
                <w:lang w:val="en-US"/>
              </w:rPr>
              <w:t>0</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1C972FEF" w14:textId="6F2D8C52">
            <w:pPr>
              <w:rPr>
                <w:iCs/>
                <w:lang w:val="en-US"/>
              </w:rPr>
            </w:pPr>
            <w:r w:rsidRPr="00732296">
              <w:rPr>
                <w:iCs/>
                <w:lang w:val="en-US"/>
              </w:rPr>
              <w:t> </w:t>
            </w:r>
            <w:r>
              <w:rPr>
                <w:iCs/>
                <w:lang w:val="en-US"/>
              </w:rPr>
              <w:t>0</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6F16AB87" w14:textId="71ACF3FB">
            <w:pPr>
              <w:rPr>
                <w:iCs/>
                <w:lang w:val="en-US"/>
              </w:rPr>
            </w:pPr>
            <w:r w:rsidRPr="00732296">
              <w:rPr>
                <w:iCs/>
                <w:lang w:val="en-US"/>
              </w:rPr>
              <w:t> </w:t>
            </w:r>
            <w:r>
              <w:rPr>
                <w:iCs/>
                <w:lang w:val="en-US"/>
              </w:rPr>
              <w:t>0</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53BF53BA" w14:textId="1318E391">
            <w:pPr>
              <w:rPr>
                <w:iCs/>
                <w:lang w:val="en-US"/>
              </w:rPr>
            </w:pPr>
            <w:r w:rsidRPr="00732296">
              <w:rPr>
                <w:iCs/>
                <w:lang w:val="en-US"/>
              </w:rPr>
              <w:t> </w:t>
            </w: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6DFBDFCF" w14:textId="3CDEDD0F">
            <w:pPr>
              <w:rPr>
                <w:iCs/>
                <w:lang w:val="en-US"/>
              </w:rPr>
            </w:pPr>
            <w:r w:rsidRPr="00732296">
              <w:rPr>
                <w:iCs/>
                <w:lang w:val="en-US"/>
              </w:rPr>
              <w:t> </w:t>
            </w:r>
            <w:r>
              <w:rPr>
                <w:iCs/>
                <w:lang w:val="en-US"/>
              </w:rPr>
              <w:t>0</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72C5EED9" w14:textId="4CD368CE">
            <w:pPr>
              <w:rPr>
                <w:iCs/>
                <w:lang w:val="en-US"/>
              </w:rPr>
            </w:pPr>
            <w:r w:rsidRPr="00732296">
              <w:rPr>
                <w:iCs/>
                <w:lang w:val="en-US"/>
              </w:rPr>
              <w:t> </w:t>
            </w:r>
            <w:r>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85C39" w:rsidP="00785C39" w:rsidRDefault="00785C39" w14:paraId="2E68F557" w14:textId="6568974D">
            <w:pPr>
              <w:rPr>
                <w:iCs/>
                <w:lang w:val="en-US"/>
              </w:rPr>
            </w:pPr>
            <w:r w:rsidRPr="00732296">
              <w:rPr>
                <w:iCs/>
                <w:lang w:val="en-US"/>
              </w:rPr>
              <w:t> </w:t>
            </w:r>
            <w:r>
              <w:rPr>
                <w:iCs/>
                <w:lang w:val="en-US"/>
              </w:rPr>
              <w:t>0</w:t>
            </w:r>
          </w:p>
        </w:tc>
      </w:tr>
      <w:tr w:rsidRPr="00732296" w:rsidR="00785C39" w:rsidTr="004D7B7A" w14:paraId="08F12C8A"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32296" w:rsidR="00732296" w:rsidP="00732296" w:rsidRDefault="00732296" w14:paraId="0369BC20" w14:textId="77777777">
            <w:pPr>
              <w:rPr>
                <w:iCs/>
              </w:rPr>
            </w:pPr>
            <w:r w:rsidRPr="00732296">
              <w:rPr>
                <w:iCs/>
              </w:rPr>
              <w:t>4. Finanšu līdzekļi papildu izdevumu finansēšanai (kompensējošu izdevumu samazinājumu norāda ar "+" zīmi)</w:t>
            </w:r>
          </w:p>
        </w:tc>
        <w:tc>
          <w:tcPr>
            <w:tcW w:w="512"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32296" w:rsidP="00732296" w:rsidRDefault="00732296" w14:paraId="0A62C543" w14:textId="77777777">
            <w:pPr>
              <w:jc w:val="center"/>
              <w:rPr>
                <w:iCs/>
              </w:rPr>
            </w:pPr>
            <w:r w:rsidRPr="00732296">
              <w:rPr>
                <w:iCs/>
              </w:rPr>
              <w:t>X</w:t>
            </w:r>
          </w:p>
        </w:tc>
        <w:tc>
          <w:tcPr>
            <w:tcW w:w="646"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32296" w:rsidP="00732296" w:rsidRDefault="00785C39" w14:paraId="0A364035" w14:textId="1836EA6A">
            <w:pPr>
              <w:jc w:val="center"/>
              <w:rPr>
                <w:iCs/>
                <w:lang w:val="en-US"/>
              </w:rPr>
            </w:pPr>
            <w:r>
              <w:rPr>
                <w:iCs/>
                <w:lang w:val="en-US"/>
              </w:rPr>
              <w:t>0</w:t>
            </w:r>
          </w:p>
        </w:tc>
        <w:tc>
          <w:tcPr>
            <w:tcW w:w="520"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32296" w:rsidP="00732296" w:rsidRDefault="00732296" w14:paraId="5E49F2D1" w14:textId="77777777">
            <w:pPr>
              <w:jc w:val="center"/>
              <w:rPr>
                <w:iCs/>
                <w:lang w:val="en-US"/>
              </w:rPr>
            </w:pPr>
            <w:r w:rsidRPr="00732296">
              <w:rPr>
                <w:iCs/>
                <w:lang w:val="en-US"/>
              </w:rPr>
              <w:t>X</w:t>
            </w:r>
          </w:p>
        </w:tc>
        <w:tc>
          <w:tcPr>
            <w:tcW w:w="587"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32296" w:rsidP="00732296" w:rsidRDefault="00785C39" w14:paraId="55F5134B" w14:textId="0DCBA0E7">
            <w:pPr>
              <w:jc w:val="center"/>
              <w:rPr>
                <w:iCs/>
                <w:lang w:val="en-US"/>
              </w:rPr>
            </w:pPr>
            <w:r>
              <w:rPr>
                <w:iCs/>
                <w:lang w:val="en-US"/>
              </w:rPr>
              <w:t>0</w:t>
            </w:r>
          </w:p>
        </w:tc>
        <w:tc>
          <w:tcPr>
            <w:tcW w:w="521"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32296" w:rsidP="00732296" w:rsidRDefault="00732296" w14:paraId="35F1F625" w14:textId="77777777">
            <w:pPr>
              <w:jc w:val="center"/>
              <w:rPr>
                <w:iCs/>
                <w:lang w:val="en-US"/>
              </w:rPr>
            </w:pPr>
            <w:r w:rsidRPr="00732296">
              <w:rPr>
                <w:iCs/>
                <w:lang w:val="en-US"/>
              </w:rPr>
              <w:t>X</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32296" w:rsidP="00732296" w:rsidRDefault="00732296" w14:paraId="1E7CB160" w14:textId="57E880D4">
            <w:pPr>
              <w:rPr>
                <w:iCs/>
                <w:lang w:val="en-US"/>
              </w:rPr>
            </w:pPr>
            <w:r w:rsidRPr="00732296">
              <w:rPr>
                <w:iCs/>
                <w:lang w:val="en-US"/>
              </w:rPr>
              <w:t> </w:t>
            </w:r>
            <w:r w:rsidR="00785C39">
              <w:rPr>
                <w:iCs/>
                <w:lang w:val="en-US"/>
              </w:rPr>
              <w:t>0</w:t>
            </w:r>
          </w:p>
        </w:tc>
        <w:tc>
          <w:tcPr>
            <w:tcW w:w="619" w:type="pc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32296" w:rsidR="00732296" w:rsidP="00732296" w:rsidRDefault="00732296" w14:paraId="30AD71BD" w14:textId="0DA326BA">
            <w:pPr>
              <w:rPr>
                <w:iCs/>
                <w:lang w:val="en-US"/>
              </w:rPr>
            </w:pPr>
            <w:r w:rsidRPr="00732296">
              <w:rPr>
                <w:iCs/>
                <w:lang w:val="en-US"/>
              </w:rPr>
              <w:t> </w:t>
            </w:r>
            <w:r w:rsidR="00785C39">
              <w:rPr>
                <w:iCs/>
                <w:lang w:val="en-US"/>
              </w:rPr>
              <w:t>0</w:t>
            </w:r>
          </w:p>
        </w:tc>
      </w:tr>
      <w:tr w:rsidRPr="00732296" w:rsidR="00785C39" w:rsidTr="004D7B7A" w14:paraId="167B14A4"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32296" w:rsidR="00732296" w:rsidP="00732296" w:rsidRDefault="00732296" w14:paraId="27466B8C" w14:textId="77777777">
            <w:pPr>
              <w:rPr>
                <w:iCs/>
                <w:lang w:val="en-US"/>
              </w:rPr>
            </w:pPr>
            <w:r w:rsidRPr="00732296">
              <w:rPr>
                <w:iCs/>
                <w:lang w:val="en-US"/>
              </w:rPr>
              <w:lastRenderedPageBreak/>
              <w:t xml:space="preserve">5. </w:t>
            </w:r>
            <w:proofErr w:type="spellStart"/>
            <w:r w:rsidRPr="00732296">
              <w:rPr>
                <w:iCs/>
                <w:lang w:val="en-US"/>
              </w:rPr>
              <w:t>Precizēta</w:t>
            </w:r>
            <w:proofErr w:type="spellEnd"/>
            <w:r w:rsidRPr="00732296">
              <w:rPr>
                <w:iCs/>
                <w:lang w:val="en-US"/>
              </w:rPr>
              <w:t xml:space="preserve"> </w:t>
            </w:r>
            <w:proofErr w:type="spellStart"/>
            <w:r w:rsidRPr="00732296">
              <w:rPr>
                <w:iCs/>
                <w:lang w:val="en-US"/>
              </w:rPr>
              <w:t>finansiālā</w:t>
            </w:r>
            <w:proofErr w:type="spellEnd"/>
            <w:r w:rsidRPr="00732296">
              <w:rPr>
                <w:iCs/>
                <w:lang w:val="en-US"/>
              </w:rPr>
              <w:t xml:space="preserve"> </w:t>
            </w:r>
            <w:proofErr w:type="spellStart"/>
            <w:r w:rsidRPr="00732296">
              <w:rPr>
                <w:iCs/>
                <w:lang w:val="en-US"/>
              </w:rPr>
              <w:t>ietekme</w:t>
            </w:r>
            <w:proofErr w:type="spellEnd"/>
          </w:p>
        </w:tc>
        <w:tc>
          <w:tcPr>
            <w:tcW w:w="512" w:type="pct"/>
            <w:vMerge w:val="restar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5398A34A" w14:textId="77777777">
            <w:pPr>
              <w:jc w:val="center"/>
              <w:rPr>
                <w:iCs/>
                <w:lang w:val="en-US"/>
              </w:rPr>
            </w:pPr>
          </w:p>
          <w:p w:rsidRPr="00732296" w:rsidR="00732296" w:rsidP="00732296" w:rsidRDefault="00732296" w14:paraId="21BD2806" w14:textId="77777777">
            <w:pPr>
              <w:jc w:val="center"/>
              <w:rPr>
                <w:iCs/>
                <w:lang w:val="en-US"/>
              </w:rPr>
            </w:pPr>
          </w:p>
          <w:p w:rsidRPr="00732296" w:rsidR="00732296" w:rsidP="00732296" w:rsidRDefault="00732296" w14:paraId="70B5355C" w14:textId="77777777">
            <w:pPr>
              <w:jc w:val="center"/>
              <w:rPr>
                <w:iCs/>
                <w:lang w:val="en-US"/>
              </w:rPr>
            </w:pPr>
          </w:p>
          <w:p w:rsidRPr="00732296" w:rsidR="00732296" w:rsidP="00732296" w:rsidRDefault="00732296" w14:paraId="72CCF9B0" w14:textId="77777777">
            <w:pPr>
              <w:jc w:val="center"/>
              <w:rPr>
                <w:iCs/>
                <w:lang w:val="en-US"/>
              </w:rPr>
            </w:pPr>
          </w:p>
          <w:p w:rsidRPr="00732296" w:rsidR="00732296" w:rsidP="00732296" w:rsidRDefault="00732296" w14:paraId="3C93CB1A" w14:textId="77777777">
            <w:pPr>
              <w:jc w:val="center"/>
              <w:rPr>
                <w:iCs/>
                <w:lang w:val="en-US"/>
              </w:rPr>
            </w:pPr>
          </w:p>
          <w:p w:rsidRPr="00732296" w:rsidR="00732296" w:rsidP="00732296" w:rsidRDefault="00732296" w14:paraId="0CE36928" w14:textId="77777777">
            <w:pPr>
              <w:jc w:val="center"/>
              <w:rPr>
                <w:iCs/>
                <w:lang w:val="en-US"/>
              </w:rPr>
            </w:pPr>
            <w:r w:rsidRPr="00732296">
              <w:rPr>
                <w:iCs/>
                <w:lang w:val="en-US"/>
              </w:rPr>
              <w:t>X</w:t>
            </w:r>
          </w:p>
        </w:tc>
        <w:tc>
          <w:tcPr>
            <w:tcW w:w="646"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0B45ECAA" w14:textId="77777777">
            <w:pPr>
              <w:jc w:val="center"/>
              <w:rPr>
                <w:iCs/>
                <w:lang w:val="en-US"/>
              </w:rPr>
            </w:pPr>
          </w:p>
        </w:tc>
        <w:tc>
          <w:tcPr>
            <w:tcW w:w="520" w:type="pct"/>
            <w:vMerge w:val="restar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1494F407" w14:textId="77777777">
            <w:pPr>
              <w:jc w:val="center"/>
              <w:rPr>
                <w:iCs/>
                <w:lang w:val="en-US"/>
              </w:rPr>
            </w:pPr>
          </w:p>
          <w:p w:rsidRPr="00732296" w:rsidR="00732296" w:rsidP="00732296" w:rsidRDefault="00732296" w14:paraId="316261D9" w14:textId="77777777">
            <w:pPr>
              <w:jc w:val="center"/>
              <w:rPr>
                <w:iCs/>
                <w:lang w:val="en-US"/>
              </w:rPr>
            </w:pPr>
          </w:p>
          <w:p w:rsidRPr="00732296" w:rsidR="00732296" w:rsidP="00732296" w:rsidRDefault="00732296" w14:paraId="2650893E" w14:textId="77777777">
            <w:pPr>
              <w:jc w:val="center"/>
              <w:rPr>
                <w:iCs/>
                <w:lang w:val="en-US"/>
              </w:rPr>
            </w:pPr>
          </w:p>
          <w:p w:rsidRPr="00732296" w:rsidR="00732296" w:rsidP="00732296" w:rsidRDefault="00732296" w14:paraId="7AADC6F8" w14:textId="77777777">
            <w:pPr>
              <w:jc w:val="center"/>
              <w:rPr>
                <w:iCs/>
                <w:lang w:val="en-US"/>
              </w:rPr>
            </w:pPr>
          </w:p>
          <w:p w:rsidRPr="00732296" w:rsidR="00732296" w:rsidP="00732296" w:rsidRDefault="00732296" w14:paraId="77B701D1" w14:textId="77777777">
            <w:pPr>
              <w:jc w:val="center"/>
              <w:rPr>
                <w:iCs/>
                <w:lang w:val="en-US"/>
              </w:rPr>
            </w:pPr>
          </w:p>
          <w:p w:rsidRPr="00732296" w:rsidR="00732296" w:rsidP="00732296" w:rsidRDefault="00732296" w14:paraId="42CD9427" w14:textId="77777777">
            <w:pPr>
              <w:jc w:val="center"/>
              <w:rPr>
                <w:iCs/>
                <w:lang w:val="en-US"/>
              </w:rPr>
            </w:pPr>
            <w:r w:rsidRPr="00732296">
              <w:rPr>
                <w:iCs/>
                <w:lang w:val="en-US"/>
              </w:rPr>
              <w:t>X</w:t>
            </w:r>
          </w:p>
        </w:tc>
        <w:tc>
          <w:tcPr>
            <w:tcW w:w="587"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63B9854A" w14:textId="77777777">
            <w:pPr>
              <w:jc w:val="center"/>
              <w:rPr>
                <w:iCs/>
                <w:lang w:val="en-US"/>
              </w:rPr>
            </w:pPr>
          </w:p>
        </w:tc>
        <w:tc>
          <w:tcPr>
            <w:tcW w:w="521" w:type="pct"/>
            <w:vMerge w:val="restar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5F3B6204" w14:textId="77777777">
            <w:pPr>
              <w:jc w:val="center"/>
              <w:rPr>
                <w:iCs/>
                <w:lang w:val="en-US"/>
              </w:rPr>
            </w:pPr>
          </w:p>
          <w:p w:rsidRPr="00732296" w:rsidR="00732296" w:rsidP="00732296" w:rsidRDefault="00732296" w14:paraId="042C1025" w14:textId="77777777">
            <w:pPr>
              <w:jc w:val="center"/>
              <w:rPr>
                <w:iCs/>
                <w:lang w:val="en-US"/>
              </w:rPr>
            </w:pPr>
          </w:p>
          <w:p w:rsidRPr="00732296" w:rsidR="00732296" w:rsidP="00732296" w:rsidRDefault="00732296" w14:paraId="29740301" w14:textId="77777777">
            <w:pPr>
              <w:jc w:val="center"/>
              <w:rPr>
                <w:iCs/>
                <w:lang w:val="en-US"/>
              </w:rPr>
            </w:pPr>
          </w:p>
          <w:p w:rsidRPr="00732296" w:rsidR="00732296" w:rsidP="00732296" w:rsidRDefault="00732296" w14:paraId="62A4139B" w14:textId="77777777">
            <w:pPr>
              <w:jc w:val="center"/>
              <w:rPr>
                <w:iCs/>
                <w:lang w:val="en-US"/>
              </w:rPr>
            </w:pPr>
          </w:p>
          <w:p w:rsidRPr="00732296" w:rsidR="00732296" w:rsidP="00732296" w:rsidRDefault="00732296" w14:paraId="4B90FDC5" w14:textId="77777777">
            <w:pPr>
              <w:jc w:val="center"/>
              <w:rPr>
                <w:iCs/>
                <w:lang w:val="en-US"/>
              </w:rPr>
            </w:pPr>
          </w:p>
          <w:p w:rsidRPr="00732296" w:rsidR="00732296" w:rsidP="00732296" w:rsidRDefault="00732296" w14:paraId="14644DF4" w14:textId="77777777">
            <w:pPr>
              <w:jc w:val="center"/>
              <w:rPr>
                <w:iCs/>
                <w:lang w:val="en-US"/>
              </w:rPr>
            </w:pPr>
            <w:r w:rsidRPr="00732296">
              <w:rPr>
                <w:iCs/>
                <w:lang w:val="en-US"/>
              </w:rPr>
              <w:t>X</w:t>
            </w:r>
          </w:p>
        </w:tc>
        <w:tc>
          <w:tcPr>
            <w:tcW w:w="588"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670F45E2" w14:textId="77777777">
            <w:pPr>
              <w:rPr>
                <w:iCs/>
                <w:lang w:val="en-US"/>
              </w:rPr>
            </w:pPr>
            <w:r w:rsidRPr="00732296">
              <w:rPr>
                <w:iCs/>
                <w:lang w:val="en-US"/>
              </w:rPr>
              <w:t> </w:t>
            </w:r>
          </w:p>
        </w:tc>
        <w:tc>
          <w:tcPr>
            <w:tcW w:w="619"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4FF8CA70" w14:textId="77777777">
            <w:pPr>
              <w:rPr>
                <w:iCs/>
                <w:lang w:val="en-US"/>
              </w:rPr>
            </w:pPr>
            <w:r w:rsidRPr="00732296">
              <w:rPr>
                <w:iCs/>
                <w:lang w:val="en-US"/>
              </w:rPr>
              <w:t> </w:t>
            </w:r>
          </w:p>
        </w:tc>
      </w:tr>
      <w:tr w:rsidRPr="00732296" w:rsidR="00785C39" w:rsidTr="004D7B7A" w14:paraId="3EEBAFB7"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32296" w:rsidR="00732296" w:rsidP="00732296" w:rsidRDefault="00732296" w14:paraId="0AD384EA" w14:textId="77777777">
            <w:pPr>
              <w:rPr>
                <w:iCs/>
                <w:lang w:val="en-US"/>
              </w:rPr>
            </w:pPr>
            <w:r w:rsidRPr="00732296">
              <w:rPr>
                <w:iCs/>
                <w:lang w:val="en-US"/>
              </w:rPr>
              <w:t xml:space="preserve">5.1. </w:t>
            </w:r>
            <w:proofErr w:type="spellStart"/>
            <w:r w:rsidRPr="00732296">
              <w:rPr>
                <w:iCs/>
                <w:lang w:val="en-US"/>
              </w:rPr>
              <w:t>valsts</w:t>
            </w:r>
            <w:proofErr w:type="spellEnd"/>
            <w:r w:rsidRPr="00732296">
              <w:rPr>
                <w:iCs/>
                <w:lang w:val="en-US"/>
              </w:rPr>
              <w:t xml:space="preserve"> </w:t>
            </w:r>
            <w:proofErr w:type="spellStart"/>
            <w:r w:rsidRPr="00732296">
              <w:rPr>
                <w:iCs/>
                <w:lang w:val="en-US"/>
              </w:rPr>
              <w:t>pamatbudžets</w:t>
            </w:r>
            <w:proofErr w:type="spellEnd"/>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6F9EB45C" w14:textId="77777777">
            <w:pPr>
              <w:rPr>
                <w:iCs/>
                <w:lang w:val="en-US"/>
              </w:rPr>
            </w:pPr>
          </w:p>
        </w:tc>
        <w:tc>
          <w:tcPr>
            <w:tcW w:w="646"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367A25D5" w14:textId="79175EC9">
            <w:pPr>
              <w:rPr>
                <w:iCs/>
                <w:lang w:val="en-US"/>
              </w:rPr>
            </w:pPr>
            <w:r w:rsidRPr="00732296">
              <w:rPr>
                <w:iCs/>
                <w:lang w:val="en-US"/>
              </w:rPr>
              <w:t> </w:t>
            </w:r>
            <w:r w:rsidR="00785C39">
              <w:rPr>
                <w:iCs/>
                <w:lang w:val="en-US"/>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070A3253" w14:textId="77777777">
            <w:pPr>
              <w:rPr>
                <w:iCs/>
                <w:lang w:val="en-US"/>
              </w:rPr>
            </w:pPr>
          </w:p>
        </w:tc>
        <w:tc>
          <w:tcPr>
            <w:tcW w:w="587"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2D395ABE" w14:textId="0CA738AD">
            <w:pPr>
              <w:rPr>
                <w:iCs/>
                <w:lang w:val="en-US"/>
              </w:rPr>
            </w:pPr>
            <w:r w:rsidRPr="00732296">
              <w:rPr>
                <w:iCs/>
                <w:lang w:val="en-US"/>
              </w:rPr>
              <w:t> </w:t>
            </w:r>
            <w:r w:rsidR="00785C39">
              <w:rPr>
                <w:iCs/>
                <w:lang w:val="en-US"/>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0C5AF488" w14:textId="77777777">
            <w:pPr>
              <w:rPr>
                <w:iCs/>
                <w:lang w:val="en-US"/>
              </w:rPr>
            </w:pPr>
          </w:p>
        </w:tc>
        <w:tc>
          <w:tcPr>
            <w:tcW w:w="588"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1863C027" w14:textId="656BE1F4">
            <w:pPr>
              <w:rPr>
                <w:iCs/>
                <w:lang w:val="en-US"/>
              </w:rPr>
            </w:pPr>
            <w:r w:rsidRPr="00732296">
              <w:rPr>
                <w:iCs/>
                <w:lang w:val="en-US"/>
              </w:rPr>
              <w:t> </w:t>
            </w:r>
            <w:r w:rsidR="00785C39">
              <w:rPr>
                <w:iCs/>
                <w:lang w:val="en-US"/>
              </w:rPr>
              <w:t>0</w:t>
            </w:r>
          </w:p>
        </w:tc>
        <w:tc>
          <w:tcPr>
            <w:tcW w:w="619"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45CF5B3B" w14:textId="2239DF03">
            <w:pPr>
              <w:rPr>
                <w:iCs/>
                <w:lang w:val="en-US"/>
              </w:rPr>
            </w:pPr>
            <w:r w:rsidRPr="00732296">
              <w:rPr>
                <w:iCs/>
                <w:lang w:val="en-US"/>
              </w:rPr>
              <w:t> </w:t>
            </w:r>
            <w:r w:rsidR="00785C39">
              <w:rPr>
                <w:iCs/>
                <w:lang w:val="en-US"/>
              </w:rPr>
              <w:t>0</w:t>
            </w:r>
          </w:p>
        </w:tc>
      </w:tr>
      <w:tr w:rsidRPr="00732296" w:rsidR="00785C39" w:rsidTr="004D7B7A" w14:paraId="7A2741C9"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32296" w:rsidR="00732296" w:rsidP="00732296" w:rsidRDefault="00732296" w14:paraId="72C0CBAE" w14:textId="77777777">
            <w:pPr>
              <w:rPr>
                <w:iCs/>
                <w:lang w:val="en-US"/>
              </w:rPr>
            </w:pPr>
            <w:r w:rsidRPr="00732296">
              <w:rPr>
                <w:iCs/>
                <w:lang w:val="en-US"/>
              </w:rPr>
              <w:t xml:space="preserve">5.2. </w:t>
            </w:r>
            <w:proofErr w:type="spellStart"/>
            <w:r w:rsidRPr="00732296">
              <w:rPr>
                <w:iCs/>
                <w:lang w:val="en-US"/>
              </w:rPr>
              <w:t>speciālais</w:t>
            </w:r>
            <w:proofErr w:type="spellEnd"/>
            <w:r w:rsidRPr="00732296">
              <w:rPr>
                <w:iCs/>
                <w:lang w:val="en-US"/>
              </w:rPr>
              <w:t xml:space="preserve"> </w:t>
            </w:r>
            <w:proofErr w:type="spellStart"/>
            <w:r w:rsidRPr="00732296">
              <w:rPr>
                <w:iCs/>
                <w:lang w:val="en-US"/>
              </w:rPr>
              <w:t>budžets</w:t>
            </w:r>
            <w:proofErr w:type="spellEnd"/>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6952C7FF" w14:textId="77777777">
            <w:pPr>
              <w:rPr>
                <w:iCs/>
                <w:lang w:val="en-US"/>
              </w:rPr>
            </w:pPr>
          </w:p>
        </w:tc>
        <w:tc>
          <w:tcPr>
            <w:tcW w:w="646"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27CF7028" w14:textId="109C2BC0">
            <w:pPr>
              <w:rPr>
                <w:iCs/>
                <w:lang w:val="en-US"/>
              </w:rPr>
            </w:pPr>
            <w:r w:rsidRPr="00732296">
              <w:rPr>
                <w:iCs/>
                <w:lang w:val="en-US"/>
              </w:rPr>
              <w:t> </w:t>
            </w:r>
            <w:r w:rsidR="00785C39">
              <w:rPr>
                <w:iCs/>
                <w:lang w:val="en-US"/>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5C0E854C" w14:textId="77777777">
            <w:pPr>
              <w:rPr>
                <w:iCs/>
                <w:lang w:val="en-US"/>
              </w:rPr>
            </w:pPr>
          </w:p>
        </w:tc>
        <w:tc>
          <w:tcPr>
            <w:tcW w:w="587"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341C9B7D" w14:textId="063602AB">
            <w:pPr>
              <w:rPr>
                <w:iCs/>
                <w:lang w:val="en-US"/>
              </w:rPr>
            </w:pPr>
            <w:r w:rsidRPr="00732296">
              <w:rPr>
                <w:iCs/>
                <w:lang w:val="en-US"/>
              </w:rPr>
              <w:t> </w:t>
            </w:r>
            <w:r w:rsidR="00785C39">
              <w:rPr>
                <w:iCs/>
                <w:lang w:val="en-US"/>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4885CCF2" w14:textId="77777777">
            <w:pPr>
              <w:rPr>
                <w:iCs/>
                <w:lang w:val="en-US"/>
              </w:rPr>
            </w:pPr>
          </w:p>
        </w:tc>
        <w:tc>
          <w:tcPr>
            <w:tcW w:w="588"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50144524" w14:textId="76C82933">
            <w:pPr>
              <w:rPr>
                <w:iCs/>
                <w:lang w:val="en-US"/>
              </w:rPr>
            </w:pPr>
            <w:r w:rsidRPr="00732296">
              <w:rPr>
                <w:iCs/>
                <w:lang w:val="en-US"/>
              </w:rPr>
              <w:t> </w:t>
            </w:r>
            <w:r w:rsidR="00785C39">
              <w:rPr>
                <w:iCs/>
                <w:lang w:val="en-US"/>
              </w:rPr>
              <w:t>0</w:t>
            </w:r>
          </w:p>
        </w:tc>
        <w:tc>
          <w:tcPr>
            <w:tcW w:w="619"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34AD5F21" w14:textId="212D2D9D">
            <w:pPr>
              <w:rPr>
                <w:iCs/>
                <w:lang w:val="en-US"/>
              </w:rPr>
            </w:pPr>
            <w:r w:rsidRPr="00732296">
              <w:rPr>
                <w:iCs/>
                <w:lang w:val="en-US"/>
              </w:rPr>
              <w:t> </w:t>
            </w:r>
            <w:r w:rsidR="00785C39">
              <w:rPr>
                <w:iCs/>
                <w:lang w:val="en-US"/>
              </w:rPr>
              <w:t>0</w:t>
            </w:r>
          </w:p>
        </w:tc>
      </w:tr>
      <w:tr w:rsidRPr="00732296" w:rsidR="00785C39" w:rsidTr="004D7B7A" w14:paraId="00D4B779"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32296" w:rsidR="00732296" w:rsidP="00732296" w:rsidRDefault="00732296" w14:paraId="4F13C331" w14:textId="77777777">
            <w:pPr>
              <w:rPr>
                <w:iCs/>
                <w:lang w:val="en-US"/>
              </w:rPr>
            </w:pPr>
            <w:r w:rsidRPr="00732296">
              <w:rPr>
                <w:iCs/>
                <w:lang w:val="en-US"/>
              </w:rPr>
              <w:t xml:space="preserve">5.3. </w:t>
            </w:r>
            <w:proofErr w:type="spellStart"/>
            <w:r w:rsidRPr="00732296">
              <w:rPr>
                <w:iCs/>
                <w:lang w:val="en-US"/>
              </w:rPr>
              <w:t>pašvaldību</w:t>
            </w:r>
            <w:proofErr w:type="spellEnd"/>
            <w:r w:rsidRPr="00732296">
              <w:rPr>
                <w:iCs/>
                <w:lang w:val="en-US"/>
              </w:rPr>
              <w:t xml:space="preserve"> </w:t>
            </w:r>
            <w:proofErr w:type="spellStart"/>
            <w:r w:rsidRPr="00732296">
              <w:rPr>
                <w:iCs/>
                <w:lang w:val="en-US"/>
              </w:rPr>
              <w:t>budžets</w:t>
            </w:r>
            <w:proofErr w:type="spellEnd"/>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4433FC5A" w14:textId="77777777">
            <w:pPr>
              <w:rPr>
                <w:iCs/>
                <w:lang w:val="en-US"/>
              </w:rPr>
            </w:pPr>
          </w:p>
        </w:tc>
        <w:tc>
          <w:tcPr>
            <w:tcW w:w="646"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1964E276" w14:textId="5247196C">
            <w:pPr>
              <w:rPr>
                <w:iCs/>
                <w:lang w:val="en-US"/>
              </w:rPr>
            </w:pPr>
            <w:r w:rsidRPr="00732296">
              <w:rPr>
                <w:iCs/>
                <w:lang w:val="en-US"/>
              </w:rPr>
              <w:t> </w:t>
            </w:r>
            <w:r w:rsidR="00785C39">
              <w:rPr>
                <w:iCs/>
                <w:lang w:val="en-US"/>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4E509392" w14:textId="77777777">
            <w:pPr>
              <w:rPr>
                <w:iCs/>
                <w:lang w:val="en-US"/>
              </w:rPr>
            </w:pPr>
          </w:p>
        </w:tc>
        <w:tc>
          <w:tcPr>
            <w:tcW w:w="587"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043A258E" w14:textId="611107FA">
            <w:pPr>
              <w:rPr>
                <w:iCs/>
                <w:lang w:val="en-US"/>
              </w:rPr>
            </w:pPr>
            <w:r w:rsidRPr="00732296">
              <w:rPr>
                <w:iCs/>
                <w:lang w:val="en-US"/>
              </w:rPr>
              <w:t> </w:t>
            </w:r>
            <w:r w:rsidR="00785C39">
              <w:rPr>
                <w:iCs/>
                <w:lang w:val="en-US"/>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45BF6013" w14:textId="77777777">
            <w:pPr>
              <w:rPr>
                <w:iCs/>
                <w:lang w:val="en-US"/>
              </w:rPr>
            </w:pPr>
          </w:p>
        </w:tc>
        <w:tc>
          <w:tcPr>
            <w:tcW w:w="588"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59D5882D" w14:textId="77E18861">
            <w:pPr>
              <w:rPr>
                <w:iCs/>
                <w:lang w:val="en-US"/>
              </w:rPr>
            </w:pPr>
            <w:r w:rsidRPr="00732296">
              <w:rPr>
                <w:iCs/>
                <w:lang w:val="en-US"/>
              </w:rPr>
              <w:t> </w:t>
            </w:r>
            <w:r w:rsidR="00785C39">
              <w:rPr>
                <w:iCs/>
                <w:lang w:val="en-US"/>
              </w:rPr>
              <w:t>0</w:t>
            </w:r>
          </w:p>
        </w:tc>
        <w:tc>
          <w:tcPr>
            <w:tcW w:w="619" w:type="pct"/>
            <w:tcBorders>
              <w:top w:val="outset" w:color="auto" w:sz="6" w:space="0"/>
              <w:left w:val="outset" w:color="auto" w:sz="6" w:space="0"/>
              <w:bottom w:val="outset" w:color="auto" w:sz="6" w:space="0"/>
              <w:right w:val="outset" w:color="auto" w:sz="6" w:space="0"/>
            </w:tcBorders>
            <w:vAlign w:val="center"/>
            <w:hideMark/>
          </w:tcPr>
          <w:p w:rsidRPr="00732296" w:rsidR="00732296" w:rsidP="00732296" w:rsidRDefault="00732296" w14:paraId="6FD606ED" w14:textId="5D3BAA5D">
            <w:pPr>
              <w:rPr>
                <w:iCs/>
                <w:lang w:val="en-US"/>
              </w:rPr>
            </w:pPr>
            <w:r w:rsidRPr="00732296">
              <w:rPr>
                <w:iCs/>
                <w:lang w:val="en-US"/>
              </w:rPr>
              <w:t> </w:t>
            </w:r>
            <w:r w:rsidR="00785C39">
              <w:rPr>
                <w:iCs/>
                <w:lang w:val="en-US"/>
              </w:rPr>
              <w:t>0</w:t>
            </w:r>
          </w:p>
        </w:tc>
      </w:tr>
      <w:tr w:rsidRPr="00732296" w:rsidR="00732296" w:rsidTr="004D7B7A" w14:paraId="7AA988A1"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32296" w:rsidR="00732296" w:rsidP="00732296" w:rsidRDefault="00732296" w14:paraId="7B8F5CB8" w14:textId="77777777">
            <w:pPr>
              <w:rPr>
                <w:iCs/>
              </w:rPr>
            </w:pPr>
            <w:r w:rsidRPr="00732296">
              <w:rPr>
                <w:iCs/>
              </w:rPr>
              <w:t>6. Detalizēts ieņēmumu un izdevumu aprēķins (ja nepieciešams, detalizētu ieņēmumu un izdevumu aprēķinu var pievienot anotācijas pielikumā)</w:t>
            </w:r>
          </w:p>
        </w:tc>
        <w:tc>
          <w:tcPr>
            <w:tcW w:w="4092" w:type="pct"/>
            <w:gridSpan w:val="7"/>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00732296" w:rsidP="00444638" w:rsidRDefault="004C2A8D" w14:paraId="58072861" w14:textId="480ABC03">
            <w:pPr>
              <w:jc w:val="both"/>
              <w:rPr>
                <w:iCs/>
              </w:rPr>
            </w:pPr>
            <w:r>
              <w:rPr>
                <w:iCs/>
              </w:rPr>
              <w:t>2020. gadā  Latvij</w:t>
            </w:r>
            <w:r w:rsidR="007F1B0C">
              <w:rPr>
                <w:iCs/>
              </w:rPr>
              <w:t xml:space="preserve">ā īstenoto RBR </w:t>
            </w:r>
            <w:r w:rsidR="00010917">
              <w:rPr>
                <w:iCs/>
              </w:rPr>
              <w:t xml:space="preserve">horizontālo </w:t>
            </w:r>
            <w:r w:rsidR="007F1B0C">
              <w:rPr>
                <w:iCs/>
              </w:rPr>
              <w:t xml:space="preserve">aktivitāšu, kuras </w:t>
            </w:r>
            <w:r w:rsidR="00010917">
              <w:rPr>
                <w:iCs/>
              </w:rPr>
              <w:t xml:space="preserve">vienādās daļās </w:t>
            </w:r>
            <w:r w:rsidR="007F1B0C">
              <w:rPr>
                <w:iCs/>
              </w:rPr>
              <w:t>l</w:t>
            </w:r>
            <w:r>
              <w:rPr>
                <w:iCs/>
              </w:rPr>
              <w:t>īdzfinansē</w:t>
            </w:r>
            <w:r w:rsidR="007F1B0C">
              <w:rPr>
                <w:iCs/>
              </w:rPr>
              <w:t xml:space="preserve"> Latvija, Lietuva un Igaunija, indikatīvā kopsumma</w:t>
            </w:r>
            <w:r>
              <w:rPr>
                <w:iCs/>
              </w:rPr>
              <w:t xml:space="preserve"> </w:t>
            </w:r>
            <w:r w:rsidR="007F1B0C">
              <w:rPr>
                <w:iCs/>
              </w:rPr>
              <w:t xml:space="preserve">un </w:t>
            </w:r>
            <w:r>
              <w:rPr>
                <w:iCs/>
              </w:rPr>
              <w:t xml:space="preserve">PVN </w:t>
            </w:r>
            <w:r w:rsidR="007F1B0C">
              <w:rPr>
                <w:iCs/>
              </w:rPr>
              <w:t>daļa</w:t>
            </w:r>
            <w:r>
              <w:rPr>
                <w:iCs/>
              </w:rPr>
              <w:t>: 13 186 264 EUR, no tiem PVN 21 % 2 765 336 EUR</w:t>
            </w:r>
            <w:r w:rsidR="00A42050">
              <w:rPr>
                <w:iCs/>
              </w:rPr>
              <w:t>.</w:t>
            </w:r>
          </w:p>
          <w:p w:rsidR="00010917" w:rsidP="00732296" w:rsidRDefault="00010917" w14:paraId="10C09B19" w14:textId="77777777">
            <w:pPr>
              <w:rPr>
                <w:iCs/>
              </w:rPr>
            </w:pPr>
          </w:p>
          <w:p w:rsidR="00010917" w:rsidP="00444638" w:rsidRDefault="00010917" w14:paraId="3597380D" w14:textId="3E09D593">
            <w:pPr>
              <w:jc w:val="both"/>
              <w:rPr>
                <w:iCs/>
              </w:rPr>
            </w:pPr>
            <w:r>
              <w:rPr>
                <w:iCs/>
              </w:rPr>
              <w:t xml:space="preserve">Tā kā RBR horizontālās aktivitātes vienādās daļās finansē Latvija, Lietuva un Igaunija, tad </w:t>
            </w:r>
            <w:r w:rsidR="007F4C9B">
              <w:rPr>
                <w:iCs/>
              </w:rPr>
              <w:t xml:space="preserve">no kopējā horizontālo aktivitāšu </w:t>
            </w:r>
            <w:r>
              <w:rPr>
                <w:iCs/>
              </w:rPr>
              <w:t>PVN Igaunijai un Lietuvai tiek kompensēt</w:t>
            </w:r>
            <w:r w:rsidR="007F4C9B">
              <w:rPr>
                <w:iCs/>
              </w:rPr>
              <w:t>a viena trešā daļa</w:t>
            </w:r>
            <w:r>
              <w:rPr>
                <w:iCs/>
              </w:rPr>
              <w:t xml:space="preserve"> katrai, t.i. kopēja</w:t>
            </w:r>
            <w:r w:rsidR="007F4C9B">
              <w:rPr>
                <w:iCs/>
              </w:rPr>
              <w:t>i</w:t>
            </w:r>
            <w:r>
              <w:rPr>
                <w:iCs/>
              </w:rPr>
              <w:t xml:space="preserve">s PVN 2 765 336 EUR / 3 = </w:t>
            </w:r>
            <w:r w:rsidR="007F4C9B">
              <w:rPr>
                <w:iCs/>
              </w:rPr>
              <w:t>921</w:t>
            </w:r>
            <w:r w:rsidR="00E7662B">
              <w:rPr>
                <w:iCs/>
              </w:rPr>
              <w:t> </w:t>
            </w:r>
            <w:r w:rsidR="007F4C9B">
              <w:rPr>
                <w:iCs/>
              </w:rPr>
              <w:t>779 EUR.</w:t>
            </w:r>
          </w:p>
          <w:p w:rsidR="007F4C9B" w:rsidP="00732296" w:rsidRDefault="007F4C9B" w14:paraId="3127D7AB" w14:textId="77777777">
            <w:pPr>
              <w:rPr>
                <w:iCs/>
              </w:rPr>
            </w:pPr>
          </w:p>
          <w:p w:rsidRPr="00732296" w:rsidR="007F4C9B" w:rsidP="00444638" w:rsidRDefault="007F4C9B" w14:paraId="45E4EECA" w14:textId="7BD8E3D7">
            <w:pPr>
              <w:jc w:val="both"/>
              <w:rPr>
                <w:iCs/>
              </w:rPr>
            </w:pPr>
            <w:r>
              <w:rPr>
                <w:iCs/>
              </w:rPr>
              <w:t>PVN Igaunijai un Lietuvai tiek kompensēts 921 779 EUR apmērā katrai valstij jeb abām valstīm kopā 1 843 557 EUR apmērā.</w:t>
            </w:r>
          </w:p>
        </w:tc>
      </w:tr>
      <w:tr w:rsidRPr="00732296" w:rsidR="00732296" w:rsidTr="004D7B7A" w14:paraId="37FDCB64"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F1B0C" w:rsidR="00732296" w:rsidP="00732296" w:rsidRDefault="00732296" w14:paraId="54EB931B" w14:textId="77777777">
            <w:pPr>
              <w:rPr>
                <w:iCs/>
              </w:rPr>
            </w:pPr>
            <w:r w:rsidRPr="007F1B0C">
              <w:rPr>
                <w:iCs/>
              </w:rPr>
              <w:t>6.1. detalizēts ieņēmumu aprēķins</w:t>
            </w:r>
          </w:p>
        </w:tc>
        <w:tc>
          <w:tcPr>
            <w:tcW w:w="4092" w:type="pct"/>
            <w:gridSpan w:val="7"/>
            <w:vMerge/>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F1B0C" w:rsidR="00732296" w:rsidP="00732296" w:rsidRDefault="00732296" w14:paraId="6C774E25" w14:textId="77777777">
            <w:pPr>
              <w:rPr>
                <w:iCs/>
              </w:rPr>
            </w:pPr>
          </w:p>
        </w:tc>
      </w:tr>
      <w:tr w:rsidRPr="00732296" w:rsidR="00732296" w:rsidTr="004D7B7A" w14:paraId="066E5363"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F1B0C" w:rsidR="00732296" w:rsidP="00732296" w:rsidRDefault="00732296" w14:paraId="1E708F2D" w14:textId="77777777">
            <w:pPr>
              <w:rPr>
                <w:iCs/>
              </w:rPr>
            </w:pPr>
            <w:r w:rsidRPr="007F1B0C">
              <w:rPr>
                <w:iCs/>
              </w:rPr>
              <w:t>6.2. detalizēts izdevumu aprēķins</w:t>
            </w:r>
          </w:p>
        </w:tc>
        <w:tc>
          <w:tcPr>
            <w:tcW w:w="4092" w:type="pct"/>
            <w:gridSpan w:val="7"/>
            <w:vMerge/>
            <w:tcBorders>
              <w:top w:val="outset" w:color="auto" w:sz="6" w:space="0"/>
              <w:left w:val="outset" w:color="auto" w:sz="6" w:space="0"/>
              <w:bottom w:val="outset" w:color="auto" w:sz="6" w:space="0"/>
              <w:right w:val="outset" w:color="auto" w:sz="6" w:space="0"/>
            </w:tcBorders>
            <w:shd w:val="clear" w:color="auto" w:fill="FFFFFF" w:themeFill="background1"/>
            <w:vAlign w:val="center"/>
            <w:hideMark/>
          </w:tcPr>
          <w:p w:rsidRPr="007F1B0C" w:rsidR="00732296" w:rsidP="00732296" w:rsidRDefault="00732296" w14:paraId="5F316EA3" w14:textId="77777777">
            <w:pPr>
              <w:rPr>
                <w:iCs/>
              </w:rPr>
            </w:pPr>
          </w:p>
        </w:tc>
      </w:tr>
      <w:tr w:rsidRPr="00732296" w:rsidR="00732296" w:rsidTr="004D7B7A" w14:paraId="6766B94C"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F1B0C" w:rsidR="00732296" w:rsidP="00732296" w:rsidRDefault="00732296" w14:paraId="5181AD38" w14:textId="77777777">
            <w:pPr>
              <w:rPr>
                <w:iCs/>
              </w:rPr>
            </w:pPr>
            <w:r w:rsidRPr="007F1B0C">
              <w:rPr>
                <w:iCs/>
              </w:rPr>
              <w:t>7. Amata vietu skaita izmaiņas</w:t>
            </w:r>
          </w:p>
        </w:tc>
        <w:tc>
          <w:tcPr>
            <w:tcW w:w="4092" w:type="pct"/>
            <w:gridSpan w:val="7"/>
            <w:tcBorders>
              <w:top w:val="outset" w:color="auto" w:sz="6" w:space="0"/>
              <w:left w:val="outset" w:color="auto" w:sz="6" w:space="0"/>
              <w:bottom w:val="outset" w:color="auto" w:sz="6" w:space="0"/>
              <w:right w:val="outset" w:color="auto" w:sz="6" w:space="0"/>
            </w:tcBorders>
            <w:hideMark/>
          </w:tcPr>
          <w:p w:rsidRPr="007F1B0C" w:rsidR="00732296" w:rsidP="00732296" w:rsidRDefault="000C54C9" w14:paraId="76DF1648" w14:textId="64455170">
            <w:pPr>
              <w:rPr>
                <w:iCs/>
              </w:rPr>
            </w:pPr>
            <w:r>
              <w:rPr>
                <w:iCs/>
              </w:rPr>
              <w:t>Projekts šo jomu neskar.</w:t>
            </w:r>
          </w:p>
        </w:tc>
      </w:tr>
      <w:tr w:rsidRPr="00732296" w:rsidR="00732296" w:rsidTr="004D7B7A" w14:paraId="612CE092" w14:textId="77777777">
        <w:trPr>
          <w:tblCellSpacing w:w="15" w:type="dxa"/>
        </w:trPr>
        <w:tc>
          <w:tcPr>
            <w:tcW w:w="860" w:type="pct"/>
            <w:tcBorders>
              <w:top w:val="outset" w:color="auto" w:sz="6" w:space="0"/>
              <w:left w:val="outset" w:color="auto" w:sz="6" w:space="0"/>
              <w:bottom w:val="outset" w:color="auto" w:sz="6" w:space="0"/>
              <w:right w:val="outset" w:color="auto" w:sz="6" w:space="0"/>
            </w:tcBorders>
            <w:hideMark/>
          </w:tcPr>
          <w:p w:rsidRPr="007F1B0C" w:rsidR="00732296" w:rsidP="00732296" w:rsidRDefault="00732296" w14:paraId="6ADF7D3C" w14:textId="77777777">
            <w:pPr>
              <w:rPr>
                <w:iCs/>
              </w:rPr>
            </w:pPr>
            <w:r w:rsidRPr="007F1B0C">
              <w:rPr>
                <w:iCs/>
              </w:rPr>
              <w:t>8. Cita informācija</w:t>
            </w:r>
          </w:p>
        </w:tc>
        <w:tc>
          <w:tcPr>
            <w:tcW w:w="4092" w:type="pct"/>
            <w:gridSpan w:val="7"/>
            <w:tcBorders>
              <w:top w:val="outset" w:color="auto" w:sz="6" w:space="0"/>
              <w:left w:val="outset" w:color="auto" w:sz="6" w:space="0"/>
              <w:bottom w:val="outset" w:color="auto" w:sz="6" w:space="0"/>
              <w:right w:val="outset" w:color="auto" w:sz="6" w:space="0"/>
            </w:tcBorders>
            <w:hideMark/>
          </w:tcPr>
          <w:p w:rsidRPr="007F1B0C" w:rsidR="00732296" w:rsidP="00732296" w:rsidRDefault="00732296" w14:paraId="1AD464D4" w14:textId="351BD8A5">
            <w:pPr>
              <w:rPr>
                <w:iCs/>
              </w:rPr>
            </w:pPr>
            <w:r w:rsidRPr="007F1B0C">
              <w:rPr>
                <w:iCs/>
              </w:rPr>
              <w:t>Nav</w:t>
            </w:r>
            <w:r w:rsidR="00444638">
              <w:rPr>
                <w:iCs/>
              </w:rPr>
              <w:t>.</w:t>
            </w:r>
          </w:p>
        </w:tc>
      </w:tr>
    </w:tbl>
    <w:p w:rsidR="00732296" w:rsidP="00551A0F" w:rsidRDefault="00732296" w14:paraId="3E65669C" w14:textId="531E333B"/>
    <w:p w:rsidR="00732296" w:rsidP="00551A0F" w:rsidRDefault="00732296" w14:paraId="48A03FFD" w14:textId="77777777"/>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265EEE" w:rsidR="0094189D" w:rsidTr="00B44E39" w14:paraId="49519A8B" w14:textId="77777777">
        <w:trPr>
          <w:trHeight w:val="361"/>
          <w:jc w:val="center"/>
        </w:trPr>
        <w:tc>
          <w:tcPr>
            <w:tcW w:w="9117" w:type="dxa"/>
            <w:vAlign w:val="center"/>
          </w:tcPr>
          <w:p w:rsidRPr="00265EEE" w:rsidR="0094189D" w:rsidP="00B44E39" w:rsidRDefault="0094189D" w14:paraId="49BBEBCB" w14:textId="77777777">
            <w:pPr>
              <w:pStyle w:val="naisnod"/>
              <w:spacing w:before="0" w:beforeAutospacing="0" w:after="0" w:afterAutospacing="0"/>
              <w:jc w:val="center"/>
              <w:rPr>
                <w:b/>
                <w:i/>
              </w:rPr>
            </w:pPr>
            <w:r w:rsidRPr="00265EEE">
              <w:rPr>
                <w:b/>
                <w:bCs/>
              </w:rPr>
              <w:t>IV. Tiesību akta projekta ietekme uz spēkā esošo tiesību normu sistēmu</w:t>
            </w:r>
          </w:p>
        </w:tc>
      </w:tr>
      <w:tr w:rsidRPr="00265EEE" w:rsidR="0094189D" w:rsidTr="00B44E39" w14:paraId="2E80174D" w14:textId="77777777">
        <w:trPr>
          <w:trHeight w:val="361"/>
          <w:jc w:val="center"/>
        </w:trPr>
        <w:tc>
          <w:tcPr>
            <w:tcW w:w="9117" w:type="dxa"/>
            <w:vAlign w:val="center"/>
          </w:tcPr>
          <w:p w:rsidRPr="00265EEE" w:rsidR="0094189D" w:rsidP="00B44E39" w:rsidRDefault="0094189D" w14:paraId="5AA2B17E" w14:textId="77777777">
            <w:pPr>
              <w:pStyle w:val="naisnod"/>
              <w:spacing w:before="0" w:beforeAutospacing="0" w:after="0" w:afterAutospacing="0"/>
              <w:jc w:val="center"/>
            </w:pPr>
            <w:r w:rsidRPr="00265EEE">
              <w:rPr>
                <w:bCs/>
                <w:iCs/>
              </w:rPr>
              <w:t>Projekts šo jomu neskar</w:t>
            </w:r>
            <w:r w:rsidRPr="00265EEE">
              <w:t>.</w:t>
            </w:r>
          </w:p>
        </w:tc>
      </w:tr>
    </w:tbl>
    <w:p w:rsidR="00551A0F" w:rsidP="00551A0F" w:rsidRDefault="00551A0F" w14:paraId="030AA75D" w14:textId="77777777"/>
    <w:tbl>
      <w:tblPr>
        <w:tblW w:w="5007" w:type="pct"/>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8"/>
      </w:tblGrid>
      <w:tr w:rsidR="00E023A2" w:rsidTr="00E023A2" w14:paraId="28D5E0D5" w14:textId="77777777">
        <w:trPr>
          <w:trHeight w:val="555"/>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E023A2" w:rsidRDefault="00E023A2" w14:paraId="797F6F18" w14:textId="77777777">
            <w:pPr>
              <w:spacing w:before="100" w:beforeAutospacing="1" w:after="100" w:afterAutospacing="1" w:line="293" w:lineRule="atLeast"/>
              <w:jc w:val="center"/>
              <w:rPr>
                <w:b/>
                <w:bCs/>
              </w:rPr>
            </w:pPr>
            <w:r>
              <w:t> </w:t>
            </w:r>
            <w:r>
              <w:rPr>
                <w:b/>
                <w:bCs/>
              </w:rPr>
              <w:t>V. Tiesību akta projekta atbilstība Latvijas Republikas starptautiskajām saistībām</w:t>
            </w:r>
          </w:p>
        </w:tc>
      </w:tr>
      <w:tr w:rsidR="00E023A2" w:rsidTr="00E023A2" w14:paraId="3559AD39" w14:textId="77777777">
        <w:trPr>
          <w:trHeight w:val="465"/>
        </w:trPr>
        <w:tc>
          <w:tcPr>
            <w:tcW w:w="5000" w:type="pct"/>
            <w:tcBorders>
              <w:top w:val="outset" w:color="414142" w:sz="6" w:space="0"/>
              <w:left w:val="outset" w:color="414142" w:sz="6" w:space="0"/>
              <w:bottom w:val="outset" w:color="414142" w:sz="6" w:space="0"/>
              <w:right w:val="outset" w:color="414142" w:sz="6" w:space="0"/>
            </w:tcBorders>
            <w:hideMark/>
          </w:tcPr>
          <w:p w:rsidR="00E023A2" w:rsidRDefault="001211A0" w14:paraId="301F219F" w14:textId="46A45674">
            <w:pPr>
              <w:jc w:val="center"/>
            </w:pPr>
            <w:r>
              <w:t>P</w:t>
            </w:r>
            <w:r w:rsidR="00E023A2">
              <w:t>rojekts šo jomu neskar.</w:t>
            </w:r>
          </w:p>
        </w:tc>
      </w:tr>
    </w:tbl>
    <w:p w:rsidR="003E5142" w:rsidP="003E5142" w:rsidRDefault="003E5142" w14:paraId="0100AC40" w14:textId="252F61C5"/>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10"/>
      </w:tblGrid>
      <w:tr w:rsidRPr="00265EEE" w:rsidR="00551A0F" w:rsidTr="00FB6748" w14:paraId="1BDEFF8B" w14:textId="77777777">
        <w:trPr>
          <w:trHeight w:val="327"/>
          <w:jc w:val="center"/>
        </w:trPr>
        <w:tc>
          <w:tcPr>
            <w:tcW w:w="9110" w:type="dxa"/>
            <w:vAlign w:val="center"/>
          </w:tcPr>
          <w:p w:rsidRPr="00265EEE" w:rsidR="00551A0F" w:rsidP="00017065" w:rsidRDefault="00551A0F" w14:paraId="57D8310F" w14:textId="77777777">
            <w:pPr>
              <w:pStyle w:val="naisnod"/>
              <w:spacing w:before="0" w:beforeAutospacing="0" w:after="0" w:afterAutospacing="0"/>
              <w:ind w:left="57" w:right="57"/>
              <w:jc w:val="center"/>
            </w:pPr>
            <w:r w:rsidRPr="00265EEE">
              <w:rPr>
                <w:b/>
              </w:rPr>
              <w:t>VI. Sabiedrības līdzdalība un komunikācijas aktivitātes</w:t>
            </w:r>
          </w:p>
        </w:tc>
      </w:tr>
      <w:tr w:rsidRPr="00265EEE" w:rsidR="00BA0D43" w:rsidTr="00FB6748" w14:paraId="35C36421" w14:textId="77777777">
        <w:trPr>
          <w:trHeight w:val="319"/>
          <w:jc w:val="center"/>
        </w:trPr>
        <w:tc>
          <w:tcPr>
            <w:tcW w:w="9110" w:type="dxa"/>
            <w:vAlign w:val="center"/>
          </w:tcPr>
          <w:p w:rsidRPr="00265EEE" w:rsidR="00BA0D43" w:rsidP="00017065" w:rsidRDefault="00BA0D43" w14:paraId="54FE2AF9" w14:textId="77777777">
            <w:pPr>
              <w:pStyle w:val="naisnod"/>
              <w:spacing w:before="0" w:beforeAutospacing="0" w:after="0" w:afterAutospacing="0"/>
              <w:ind w:left="57" w:right="57"/>
              <w:jc w:val="center"/>
              <w:rPr>
                <w:b/>
              </w:rPr>
            </w:pPr>
            <w:r w:rsidRPr="00265EEE">
              <w:rPr>
                <w:bCs/>
                <w:iCs/>
              </w:rPr>
              <w:t>Projekts šo jomu neskar</w:t>
            </w:r>
            <w:r w:rsidRPr="00265EEE">
              <w:t>.</w:t>
            </w:r>
          </w:p>
        </w:tc>
      </w:tr>
    </w:tbl>
    <w:p w:rsidRPr="00265EEE" w:rsidR="00551A0F" w:rsidP="00551A0F" w:rsidRDefault="00551A0F" w14:paraId="23E51F61" w14:textId="77777777"/>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265EEE" w:rsidR="00551A0F" w:rsidTr="007002EC" w14:paraId="7ABF92FB" w14:textId="77777777">
        <w:trPr>
          <w:trHeight w:val="381"/>
          <w:jc w:val="center"/>
        </w:trPr>
        <w:tc>
          <w:tcPr>
            <w:tcW w:w="9132" w:type="dxa"/>
            <w:gridSpan w:val="3"/>
            <w:vAlign w:val="center"/>
          </w:tcPr>
          <w:p w:rsidRPr="00265EEE" w:rsidR="00551A0F" w:rsidP="00017065" w:rsidRDefault="00551A0F" w14:paraId="27F19A77" w14:textId="77777777">
            <w:pPr>
              <w:pStyle w:val="naisnod"/>
              <w:spacing w:before="0" w:beforeAutospacing="0" w:after="0" w:afterAutospacing="0"/>
              <w:ind w:left="57" w:right="57"/>
              <w:jc w:val="center"/>
            </w:pPr>
            <w:r w:rsidRPr="00265EEE">
              <w:rPr>
                <w:b/>
              </w:rPr>
              <w:t>VII. Tiesību akta projekta izpildes nodrošināšana un tās ietekme uz institūcijām</w:t>
            </w:r>
          </w:p>
        </w:tc>
      </w:tr>
      <w:tr w:rsidRPr="00265EEE" w:rsidR="00551A0F" w:rsidTr="004E0B23" w14:paraId="0BC6F4B5" w14:textId="77777777">
        <w:trPr>
          <w:trHeight w:val="427"/>
          <w:jc w:val="center"/>
        </w:trPr>
        <w:tc>
          <w:tcPr>
            <w:tcW w:w="486" w:type="dxa"/>
          </w:tcPr>
          <w:p w:rsidRPr="00265EEE" w:rsidR="00551A0F" w:rsidP="00017065" w:rsidRDefault="00551A0F" w14:paraId="22769987" w14:textId="77777777">
            <w:pPr>
              <w:pStyle w:val="naisnod"/>
              <w:spacing w:before="0" w:beforeAutospacing="0" w:after="0" w:afterAutospacing="0"/>
              <w:ind w:left="57" w:right="57"/>
              <w:jc w:val="both"/>
            </w:pPr>
            <w:r w:rsidRPr="00265EEE">
              <w:lastRenderedPageBreak/>
              <w:t>1.</w:t>
            </w:r>
          </w:p>
        </w:tc>
        <w:tc>
          <w:tcPr>
            <w:tcW w:w="3656" w:type="dxa"/>
          </w:tcPr>
          <w:p w:rsidRPr="00265EEE" w:rsidR="00551A0F" w:rsidP="00AF09E6" w:rsidRDefault="00551A0F" w14:paraId="3AEC8AB6" w14:textId="77777777">
            <w:pPr>
              <w:pStyle w:val="naisf"/>
              <w:spacing w:before="0" w:after="0"/>
              <w:ind w:left="57" w:right="57" w:firstLine="0"/>
            </w:pPr>
            <w:r w:rsidRPr="00265EEE">
              <w:t>Projekta izpildē iesaistītās institūcijas</w:t>
            </w:r>
          </w:p>
        </w:tc>
        <w:tc>
          <w:tcPr>
            <w:tcW w:w="4990" w:type="dxa"/>
          </w:tcPr>
          <w:p w:rsidRPr="00265EEE" w:rsidR="00631147" w:rsidP="00B3088C" w:rsidRDefault="001211A0" w14:paraId="22C8C8AA" w14:textId="45878F54">
            <w:pPr>
              <w:ind w:left="57" w:right="57"/>
              <w:jc w:val="both"/>
            </w:pPr>
            <w:r>
              <w:t>Satiksmes ministrija, Finanšu ministrija, akciju sabiedrība “RB Rail”.</w:t>
            </w:r>
          </w:p>
        </w:tc>
      </w:tr>
      <w:tr w:rsidRPr="00265EEE" w:rsidR="00551A0F" w:rsidTr="004E0B23" w14:paraId="3B953242" w14:textId="77777777">
        <w:trPr>
          <w:trHeight w:val="463"/>
          <w:jc w:val="center"/>
        </w:trPr>
        <w:tc>
          <w:tcPr>
            <w:tcW w:w="486" w:type="dxa"/>
          </w:tcPr>
          <w:p w:rsidRPr="00265EEE" w:rsidR="00551A0F" w:rsidP="00017065" w:rsidRDefault="00551A0F" w14:paraId="6AA67A26" w14:textId="77777777">
            <w:pPr>
              <w:pStyle w:val="naisnod"/>
              <w:spacing w:before="0" w:beforeAutospacing="0" w:after="0" w:afterAutospacing="0"/>
              <w:ind w:left="57" w:right="57"/>
              <w:jc w:val="both"/>
            </w:pPr>
            <w:r w:rsidRPr="00265EEE">
              <w:t>2.</w:t>
            </w:r>
          </w:p>
        </w:tc>
        <w:tc>
          <w:tcPr>
            <w:tcW w:w="3656" w:type="dxa"/>
          </w:tcPr>
          <w:p w:rsidRPr="00265EEE" w:rsidR="00551A0F" w:rsidP="006A50EF" w:rsidRDefault="00551A0F" w14:paraId="0FA8FF11" w14:textId="77777777">
            <w:pPr>
              <w:pStyle w:val="naisf"/>
              <w:spacing w:before="0" w:after="0"/>
              <w:ind w:left="57" w:right="57" w:firstLine="0"/>
            </w:pPr>
            <w:r w:rsidRPr="00265EEE">
              <w:t>Projekta izpildes ietekme uz pār</w:t>
            </w:r>
            <w:r w:rsidRPr="00265EEE">
              <w:softHyphen/>
              <w:t>valdes funkcijām un institucionālo struktūru.</w:t>
            </w:r>
          </w:p>
          <w:p w:rsidRPr="00265EEE" w:rsidR="00551A0F" w:rsidP="006A50EF" w:rsidRDefault="00551A0F" w14:paraId="614DDAEF" w14:textId="77777777">
            <w:pPr>
              <w:pStyle w:val="naisf"/>
              <w:spacing w:before="0" w:after="0"/>
              <w:ind w:left="57" w:right="57" w:firstLine="0"/>
            </w:pPr>
            <w:r w:rsidRPr="00265EEE">
              <w:t>Jaunu institūciju izveide, esošu institūciju likvidācija vai reorga</w:t>
            </w:r>
            <w:r w:rsidRPr="00265EEE">
              <w:softHyphen/>
              <w:t>nizācija, to ietekme uz institūcijas cilvēkresursiem</w:t>
            </w:r>
          </w:p>
        </w:tc>
        <w:tc>
          <w:tcPr>
            <w:tcW w:w="4990" w:type="dxa"/>
          </w:tcPr>
          <w:p w:rsidRPr="00265EEE" w:rsidR="00551A0F" w:rsidP="00017065" w:rsidRDefault="00D47D98" w14:paraId="02D4DFAA" w14:textId="77777777">
            <w:pPr>
              <w:shd w:val="clear" w:color="auto" w:fill="FFFFFF"/>
              <w:jc w:val="both"/>
            </w:pPr>
            <w:r w:rsidRPr="00265EEE">
              <w:t>Projekta izpildes rezultātā nav paredzēta jaunu institūciju izveide vai esošo institūciju likvidācija vai reorganizācija.</w:t>
            </w:r>
          </w:p>
        </w:tc>
      </w:tr>
      <w:tr w:rsidRPr="00265EEE" w:rsidR="00551A0F" w:rsidTr="004E0B23" w14:paraId="02708715"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265EEE" w:rsidR="00551A0F" w:rsidP="00017065" w:rsidRDefault="00551A0F" w14:paraId="65B5DBFA" w14:textId="77777777">
            <w:pPr>
              <w:pStyle w:val="naisnod"/>
              <w:spacing w:before="0" w:beforeAutospacing="0" w:after="0" w:afterAutospacing="0"/>
              <w:ind w:left="57" w:right="57"/>
              <w:jc w:val="both"/>
            </w:pPr>
            <w:r w:rsidRPr="00265EEE">
              <w:t>3.</w:t>
            </w:r>
          </w:p>
        </w:tc>
        <w:tc>
          <w:tcPr>
            <w:tcW w:w="3656" w:type="dxa"/>
            <w:tcBorders>
              <w:top w:val="single" w:color="auto" w:sz="4" w:space="0"/>
              <w:left w:val="single" w:color="auto" w:sz="4" w:space="0"/>
              <w:bottom w:val="single" w:color="auto" w:sz="4" w:space="0"/>
              <w:right w:val="single" w:color="auto" w:sz="4" w:space="0"/>
            </w:tcBorders>
          </w:tcPr>
          <w:p w:rsidRPr="00265EEE" w:rsidR="00551A0F" w:rsidP="00C850AB" w:rsidRDefault="00AF09E6" w14:paraId="0CC4FA0A" w14:textId="77777777">
            <w:pPr>
              <w:pStyle w:val="naisf"/>
              <w:spacing w:before="0" w:after="0"/>
              <w:ind w:firstLine="0"/>
            </w:pPr>
            <w:r w:rsidRPr="00265EEE">
              <w:t xml:space="preserve"> </w:t>
            </w:r>
            <w:r w:rsidRPr="00265EEE" w:rsidR="00551A0F">
              <w:t>Cita informācija</w:t>
            </w:r>
          </w:p>
        </w:tc>
        <w:tc>
          <w:tcPr>
            <w:tcW w:w="4990" w:type="dxa"/>
            <w:tcBorders>
              <w:top w:val="single" w:color="auto" w:sz="4" w:space="0"/>
              <w:left w:val="single" w:color="auto" w:sz="4" w:space="0"/>
              <w:bottom w:val="single" w:color="auto" w:sz="4" w:space="0"/>
              <w:right w:val="single" w:color="auto" w:sz="4" w:space="0"/>
            </w:tcBorders>
          </w:tcPr>
          <w:p w:rsidRPr="00265EEE" w:rsidR="00551A0F" w:rsidP="00C850AB" w:rsidRDefault="00551A0F" w14:paraId="7BB8FA8A" w14:textId="77777777">
            <w:pPr>
              <w:ind w:left="57"/>
              <w:jc w:val="both"/>
            </w:pPr>
            <w:r w:rsidRPr="00265EEE">
              <w:t>Na</w:t>
            </w:r>
            <w:r w:rsidRPr="00265EEE" w:rsidR="006A50EF">
              <w:t>v.</w:t>
            </w:r>
          </w:p>
        </w:tc>
      </w:tr>
    </w:tbl>
    <w:p w:rsidRPr="00BB3200" w:rsidR="00551A0F" w:rsidP="00FD7418" w:rsidRDefault="00551A0F" w14:paraId="31FAE95A" w14:textId="77777777">
      <w:pPr>
        <w:jc w:val="center"/>
        <w:rPr>
          <w:b/>
          <w:bCs/>
          <w:sz w:val="20"/>
          <w:szCs w:val="20"/>
        </w:rPr>
      </w:pPr>
    </w:p>
    <w:p w:rsidR="00AB19B6" w:rsidP="001B5229" w:rsidRDefault="00AB19B6" w14:paraId="01D6E86F" w14:textId="77777777">
      <w:pPr>
        <w:ind w:firstLine="720"/>
      </w:pPr>
    </w:p>
    <w:p w:rsidRPr="001B5229" w:rsidR="001B5229" w:rsidP="001B5229" w:rsidRDefault="001B5229" w14:paraId="2C9FA06D" w14:textId="20C7615F">
      <w:pPr>
        <w:ind w:firstLine="720"/>
      </w:pPr>
      <w:r w:rsidRPr="001B5229">
        <w:t>Satiksmes ministrs</w:t>
      </w:r>
      <w:r w:rsidRPr="001B5229">
        <w:tab/>
      </w:r>
      <w:r w:rsidRPr="001B5229">
        <w:tab/>
      </w:r>
      <w:r w:rsidRPr="001B5229">
        <w:tab/>
      </w:r>
      <w:r w:rsidRPr="001B5229">
        <w:tab/>
      </w:r>
      <w:r w:rsidRPr="001B5229">
        <w:tab/>
      </w:r>
      <w:r w:rsidRPr="001B5229">
        <w:tab/>
      </w:r>
      <w:r w:rsidR="00EE39A4">
        <w:tab/>
      </w:r>
      <w:r w:rsidRPr="001B5229">
        <w:t>T.</w:t>
      </w:r>
      <w:r w:rsidR="001211A0">
        <w:t xml:space="preserve"> </w:t>
      </w:r>
      <w:r w:rsidRPr="001B5229">
        <w:t>Linkaits</w:t>
      </w:r>
    </w:p>
    <w:p w:rsidRPr="00BB3200" w:rsidR="001B5229" w:rsidP="001B5229" w:rsidRDefault="001B5229" w14:paraId="02DA2EA0" w14:textId="77777777">
      <w:pPr>
        <w:rPr>
          <w:sz w:val="28"/>
          <w:szCs w:val="28"/>
        </w:rPr>
      </w:pPr>
    </w:p>
    <w:p w:rsidR="00AB19B6" w:rsidP="001B5229" w:rsidRDefault="00AB19B6" w14:paraId="073B5D03" w14:textId="77777777">
      <w:pPr>
        <w:ind w:firstLine="720"/>
      </w:pPr>
    </w:p>
    <w:p w:rsidRPr="001B5229" w:rsidR="001B5229" w:rsidP="001B5229" w:rsidRDefault="001B5229" w14:paraId="0B6BE801" w14:textId="07DF68E2">
      <w:pPr>
        <w:ind w:firstLine="720"/>
      </w:pPr>
      <w:r w:rsidRPr="001B5229">
        <w:t>Vīza:</w:t>
      </w:r>
      <w:r w:rsidR="00EE39A4">
        <w:t xml:space="preserve"> </w:t>
      </w:r>
      <w:r w:rsidRPr="001B5229">
        <w:t>valsts sekretār</w:t>
      </w:r>
      <w:r w:rsidR="001211A0">
        <w:t>e</w:t>
      </w:r>
      <w:r w:rsidRPr="001B5229">
        <w:tab/>
      </w:r>
      <w:r w:rsidRPr="001B5229">
        <w:tab/>
      </w:r>
      <w:r w:rsidRPr="001B5229">
        <w:tab/>
      </w:r>
      <w:r w:rsidRPr="001B5229">
        <w:tab/>
      </w:r>
      <w:r>
        <w:tab/>
      </w:r>
      <w:r w:rsidRPr="001B5229">
        <w:tab/>
      </w:r>
      <w:r w:rsidR="001211A0">
        <w:t xml:space="preserve">            I. Stepanova</w:t>
      </w:r>
    </w:p>
    <w:p w:rsidR="00AB19B6" w:rsidP="00A07C74" w:rsidRDefault="00AB19B6" w14:paraId="3A1C4304" w14:textId="77777777">
      <w:pPr>
        <w:jc w:val="both"/>
        <w:rPr>
          <w:sz w:val="20"/>
          <w:lang w:val="de-DE"/>
        </w:rPr>
      </w:pPr>
    </w:p>
    <w:p w:rsidR="00AB19B6" w:rsidP="00A07C74" w:rsidRDefault="00AB19B6" w14:paraId="6943CD49" w14:textId="77777777">
      <w:pPr>
        <w:jc w:val="both"/>
        <w:rPr>
          <w:sz w:val="20"/>
          <w:lang w:val="de-DE"/>
        </w:rPr>
      </w:pPr>
    </w:p>
    <w:p w:rsidR="007F1B0C" w:rsidP="00A07C74" w:rsidRDefault="007F1B0C" w14:paraId="34896F82" w14:textId="77777777">
      <w:pPr>
        <w:jc w:val="both"/>
        <w:rPr>
          <w:sz w:val="20"/>
          <w:lang w:val="de-DE"/>
        </w:rPr>
      </w:pPr>
    </w:p>
    <w:p w:rsidR="007F1B0C" w:rsidP="00A07C74" w:rsidRDefault="007F1B0C" w14:paraId="4A4A45B8" w14:textId="77777777">
      <w:pPr>
        <w:jc w:val="both"/>
        <w:rPr>
          <w:sz w:val="20"/>
          <w:lang w:val="de-DE"/>
        </w:rPr>
      </w:pPr>
    </w:p>
    <w:p w:rsidR="00A07C74" w:rsidP="00A07C74" w:rsidRDefault="001211A0" w14:paraId="69276BBE" w14:textId="1787A825">
      <w:pPr>
        <w:jc w:val="both"/>
        <w:rPr>
          <w:sz w:val="20"/>
          <w:lang w:val="de-DE"/>
        </w:rPr>
      </w:pPr>
      <w:r>
        <w:rPr>
          <w:sz w:val="20"/>
          <w:lang w:val="de-DE"/>
        </w:rPr>
        <w:t>Eņģelis</w:t>
      </w:r>
      <w:r w:rsidR="00A07C74">
        <w:rPr>
          <w:sz w:val="20"/>
          <w:lang w:val="de-DE"/>
        </w:rPr>
        <w:t>, 67028</w:t>
      </w:r>
      <w:r>
        <w:rPr>
          <w:sz w:val="20"/>
          <w:lang w:val="de-DE"/>
        </w:rPr>
        <w:t>229</w:t>
      </w:r>
    </w:p>
    <w:p w:rsidRPr="00A07C74" w:rsidR="00A07C74" w:rsidP="00C46D3A" w:rsidRDefault="001211A0" w14:paraId="285D4C64" w14:textId="4F3D09BE">
      <w:pPr>
        <w:jc w:val="both"/>
        <w:rPr>
          <w:color w:val="0000FF"/>
          <w:u w:val="single"/>
        </w:rPr>
      </w:pPr>
      <w:r>
        <w:rPr>
          <w:rStyle w:val="Hyperlink"/>
          <w:sz w:val="20"/>
          <w:lang w:val="de-DE"/>
        </w:rPr>
        <w:t>Karlis.Engelis</w:t>
      </w:r>
      <w:r w:rsidR="00A07C74">
        <w:rPr>
          <w:rStyle w:val="Hyperlink"/>
          <w:sz w:val="20"/>
          <w:lang w:val="de-DE"/>
        </w:rPr>
        <w:t>@sam.gov.lv</w:t>
      </w:r>
    </w:p>
    <w:sectPr w:rsidRPr="00A07C74" w:rsidR="00A07C74" w:rsidSect="008A4360">
      <w:headerReference w:type="even" r:id="rId7"/>
      <w:headerReference w:type="default" r:id="rId8"/>
      <w:footerReference w:type="default" r:id="rId9"/>
      <w:footerReference w:type="first" r:id="rId10"/>
      <w:pgSz w:w="11906" w:h="16838" w:code="9"/>
      <w:pgMar w:top="1418" w:right="1134" w:bottom="1134"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796A" w14:textId="77777777" w:rsidR="0090338B" w:rsidRDefault="0090338B">
      <w:r>
        <w:separator/>
      </w:r>
    </w:p>
  </w:endnote>
  <w:endnote w:type="continuationSeparator" w:id="0">
    <w:p w14:paraId="77EC2319" w14:textId="77777777" w:rsidR="0090338B" w:rsidRDefault="009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30B9" w14:textId="5A2E7575" w:rsidR="00B657F4" w:rsidRPr="000B028F" w:rsidRDefault="00590AAF" w:rsidP="00685C10">
    <w:pPr>
      <w:pStyle w:val="Footer"/>
      <w:jc w:val="both"/>
      <w:rPr>
        <w:sz w:val="22"/>
      </w:rPr>
    </w:pPr>
    <w:r w:rsidRPr="000B028F">
      <w:rPr>
        <w:sz w:val="18"/>
        <w:szCs w:val="22"/>
      </w:rPr>
      <w:t>SM</w:t>
    </w:r>
    <w:r w:rsidR="004F1CD7">
      <w:rPr>
        <w:sz w:val="18"/>
        <w:szCs w:val="22"/>
      </w:rPr>
      <w:t>a</w:t>
    </w:r>
    <w:r w:rsidR="00D47D98" w:rsidRPr="000B028F">
      <w:rPr>
        <w:sz w:val="18"/>
        <w:szCs w:val="22"/>
      </w:rPr>
      <w:t>not_</w:t>
    </w:r>
    <w:r w:rsidR="007F4C9B">
      <w:rPr>
        <w:sz w:val="18"/>
        <w:szCs w:val="22"/>
      </w:rPr>
      <w:t>24</w:t>
    </w:r>
    <w:r w:rsidR="004C2A8D">
      <w:rPr>
        <w:sz w:val="18"/>
        <w:szCs w:val="22"/>
      </w:rPr>
      <w:t>03</w:t>
    </w:r>
    <w:r w:rsidR="00376DA9">
      <w:rPr>
        <w:sz w:val="18"/>
        <w:szCs w:val="22"/>
      </w:rPr>
      <w:t>20</w:t>
    </w:r>
    <w:r w:rsidR="004C2A8D">
      <w:rPr>
        <w:sz w:val="18"/>
        <w:szCs w:val="22"/>
      </w:rPr>
      <w:t>_RBR</w:t>
    </w:r>
    <w:r w:rsidR="00376DA9">
      <w:rPr>
        <w:sz w:val="18"/>
        <w:szCs w:val="22"/>
      </w:rPr>
      <w:t>PVN</w:t>
    </w:r>
    <w:r w:rsidR="004C2A8D">
      <w:rPr>
        <w:sz w:val="18"/>
        <w:szCs w:val="22"/>
      </w:rPr>
      <w:t>EELT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342" w14:textId="4ACBA02B" w:rsidR="00B657F4" w:rsidRPr="007F4C9B" w:rsidRDefault="007F4C9B" w:rsidP="007F4C9B">
    <w:pPr>
      <w:pStyle w:val="Footer"/>
    </w:pPr>
    <w:r w:rsidRPr="007F4C9B">
      <w:rPr>
        <w:sz w:val="18"/>
        <w:szCs w:val="22"/>
      </w:rPr>
      <w:t>SManot_240320_RBRPVNEELT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58D0" w14:textId="77777777" w:rsidR="0090338B" w:rsidRDefault="0090338B">
      <w:r>
        <w:separator/>
      </w:r>
    </w:p>
  </w:footnote>
  <w:footnote w:type="continuationSeparator" w:id="0">
    <w:p w14:paraId="69887078" w14:textId="77777777" w:rsidR="0090338B" w:rsidRDefault="0090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F4" w:rsidP="00923014" w:rsidRDefault="00B657F4" w14:paraId="150B7D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7F4" w:rsidRDefault="00B657F4" w14:paraId="74D69C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F4" w:rsidP="00923014" w:rsidRDefault="00B657F4" w14:paraId="26A80AC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218">
      <w:rPr>
        <w:rStyle w:val="PageNumber"/>
        <w:noProof/>
      </w:rPr>
      <w:t>4</w:t>
    </w:r>
    <w:r>
      <w:rPr>
        <w:rStyle w:val="PageNumber"/>
      </w:rPr>
      <w:fldChar w:fldCharType="end"/>
    </w:r>
  </w:p>
  <w:p w:rsidR="00B657F4" w:rsidRDefault="00B657F4" w14:paraId="17B35B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2F496D"/>
    <w:multiLevelType w:val="hybridMultilevel"/>
    <w:tmpl w:val="E4565CB4"/>
    <w:lvl w:ilvl="0" w:tplc="CB90FF96">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18"/>
    <w:rsid w:val="00010917"/>
    <w:rsid w:val="00017065"/>
    <w:rsid w:val="0003249F"/>
    <w:rsid w:val="00035B6C"/>
    <w:rsid w:val="000409DB"/>
    <w:rsid w:val="00040BE5"/>
    <w:rsid w:val="000429A5"/>
    <w:rsid w:val="00042C6C"/>
    <w:rsid w:val="00045A51"/>
    <w:rsid w:val="000466C5"/>
    <w:rsid w:val="00050D3F"/>
    <w:rsid w:val="00053AE9"/>
    <w:rsid w:val="00053CCF"/>
    <w:rsid w:val="00057391"/>
    <w:rsid w:val="000603F5"/>
    <w:rsid w:val="00071E50"/>
    <w:rsid w:val="000749F7"/>
    <w:rsid w:val="00080FFA"/>
    <w:rsid w:val="00087A5F"/>
    <w:rsid w:val="000925F7"/>
    <w:rsid w:val="000A1525"/>
    <w:rsid w:val="000B028F"/>
    <w:rsid w:val="000B2A2A"/>
    <w:rsid w:val="000B7961"/>
    <w:rsid w:val="000C54C9"/>
    <w:rsid w:val="000C64FE"/>
    <w:rsid w:val="000D1545"/>
    <w:rsid w:val="000D7170"/>
    <w:rsid w:val="001022DC"/>
    <w:rsid w:val="00112AE1"/>
    <w:rsid w:val="00114403"/>
    <w:rsid w:val="00116EAB"/>
    <w:rsid w:val="001211A0"/>
    <w:rsid w:val="00133FA8"/>
    <w:rsid w:val="00140160"/>
    <w:rsid w:val="0014412F"/>
    <w:rsid w:val="00151ADB"/>
    <w:rsid w:val="0015266D"/>
    <w:rsid w:val="00174BC5"/>
    <w:rsid w:val="0019314F"/>
    <w:rsid w:val="00193B74"/>
    <w:rsid w:val="00193B8F"/>
    <w:rsid w:val="001958CA"/>
    <w:rsid w:val="001A165C"/>
    <w:rsid w:val="001B3877"/>
    <w:rsid w:val="001B5229"/>
    <w:rsid w:val="001C1E1D"/>
    <w:rsid w:val="001C3289"/>
    <w:rsid w:val="001C47C9"/>
    <w:rsid w:val="001D1FD8"/>
    <w:rsid w:val="001F5EC9"/>
    <w:rsid w:val="00210E7D"/>
    <w:rsid w:val="00211ACB"/>
    <w:rsid w:val="00217FDF"/>
    <w:rsid w:val="00222ECE"/>
    <w:rsid w:val="00224145"/>
    <w:rsid w:val="002259BB"/>
    <w:rsid w:val="0023642E"/>
    <w:rsid w:val="00242C7F"/>
    <w:rsid w:val="00243F3F"/>
    <w:rsid w:val="002445E7"/>
    <w:rsid w:val="0025232A"/>
    <w:rsid w:val="0025260A"/>
    <w:rsid w:val="002570B6"/>
    <w:rsid w:val="00263389"/>
    <w:rsid w:val="0026418D"/>
    <w:rsid w:val="00265E92"/>
    <w:rsid w:val="00265EEE"/>
    <w:rsid w:val="00266533"/>
    <w:rsid w:val="00266CCF"/>
    <w:rsid w:val="00283081"/>
    <w:rsid w:val="002847B9"/>
    <w:rsid w:val="00284F1A"/>
    <w:rsid w:val="00292D49"/>
    <w:rsid w:val="00296A16"/>
    <w:rsid w:val="002A5686"/>
    <w:rsid w:val="002A6CB2"/>
    <w:rsid w:val="002B3937"/>
    <w:rsid w:val="002C19C8"/>
    <w:rsid w:val="002C67DB"/>
    <w:rsid w:val="002D084B"/>
    <w:rsid w:val="002D0BBC"/>
    <w:rsid w:val="002E368A"/>
    <w:rsid w:val="002F3244"/>
    <w:rsid w:val="002F7C9B"/>
    <w:rsid w:val="00301F99"/>
    <w:rsid w:val="003041A8"/>
    <w:rsid w:val="00307BB2"/>
    <w:rsid w:val="00311E42"/>
    <w:rsid w:val="0031789E"/>
    <w:rsid w:val="00337D02"/>
    <w:rsid w:val="0036265B"/>
    <w:rsid w:val="00362E1D"/>
    <w:rsid w:val="00364987"/>
    <w:rsid w:val="00376DA9"/>
    <w:rsid w:val="003778DC"/>
    <w:rsid w:val="0038036C"/>
    <w:rsid w:val="0038210A"/>
    <w:rsid w:val="00385F5D"/>
    <w:rsid w:val="00390ED5"/>
    <w:rsid w:val="00393273"/>
    <w:rsid w:val="003C0601"/>
    <w:rsid w:val="003C2C23"/>
    <w:rsid w:val="003C451C"/>
    <w:rsid w:val="003D09CC"/>
    <w:rsid w:val="003D0CD2"/>
    <w:rsid w:val="003D49CF"/>
    <w:rsid w:val="003E1559"/>
    <w:rsid w:val="003E44EF"/>
    <w:rsid w:val="003E5142"/>
    <w:rsid w:val="003E72CB"/>
    <w:rsid w:val="003F71ED"/>
    <w:rsid w:val="00400BC0"/>
    <w:rsid w:val="00402252"/>
    <w:rsid w:val="004216B6"/>
    <w:rsid w:val="0042239C"/>
    <w:rsid w:val="004230A1"/>
    <w:rsid w:val="00424A68"/>
    <w:rsid w:val="00425364"/>
    <w:rsid w:val="0042548E"/>
    <w:rsid w:val="00425EE4"/>
    <w:rsid w:val="00441797"/>
    <w:rsid w:val="004428F2"/>
    <w:rsid w:val="00442D77"/>
    <w:rsid w:val="00444193"/>
    <w:rsid w:val="00444638"/>
    <w:rsid w:val="00450B1F"/>
    <w:rsid w:val="00452204"/>
    <w:rsid w:val="0045278C"/>
    <w:rsid w:val="004564E0"/>
    <w:rsid w:val="0046534C"/>
    <w:rsid w:val="00467953"/>
    <w:rsid w:val="00472011"/>
    <w:rsid w:val="00477167"/>
    <w:rsid w:val="00482BB3"/>
    <w:rsid w:val="0049017C"/>
    <w:rsid w:val="00490452"/>
    <w:rsid w:val="004908C3"/>
    <w:rsid w:val="004916A5"/>
    <w:rsid w:val="00495C87"/>
    <w:rsid w:val="004A6913"/>
    <w:rsid w:val="004B1EA5"/>
    <w:rsid w:val="004B364B"/>
    <w:rsid w:val="004B4548"/>
    <w:rsid w:val="004B479B"/>
    <w:rsid w:val="004C1B5F"/>
    <w:rsid w:val="004C2A8D"/>
    <w:rsid w:val="004C635C"/>
    <w:rsid w:val="004C6C3B"/>
    <w:rsid w:val="004D7B7A"/>
    <w:rsid w:val="004E0B23"/>
    <w:rsid w:val="004E1330"/>
    <w:rsid w:val="004F1CD7"/>
    <w:rsid w:val="004F2306"/>
    <w:rsid w:val="004F26C6"/>
    <w:rsid w:val="004F3EB1"/>
    <w:rsid w:val="004F76A6"/>
    <w:rsid w:val="005018F5"/>
    <w:rsid w:val="00511031"/>
    <w:rsid w:val="00522D7E"/>
    <w:rsid w:val="00524A7C"/>
    <w:rsid w:val="00525089"/>
    <w:rsid w:val="005262C6"/>
    <w:rsid w:val="00526336"/>
    <w:rsid w:val="00534552"/>
    <w:rsid w:val="00542AA6"/>
    <w:rsid w:val="00551A0F"/>
    <w:rsid w:val="00552DA9"/>
    <w:rsid w:val="005679B3"/>
    <w:rsid w:val="00577386"/>
    <w:rsid w:val="00584DFC"/>
    <w:rsid w:val="00590AAF"/>
    <w:rsid w:val="005A01E7"/>
    <w:rsid w:val="005A2218"/>
    <w:rsid w:val="005A4FE6"/>
    <w:rsid w:val="005B129B"/>
    <w:rsid w:val="005B205D"/>
    <w:rsid w:val="005C5307"/>
    <w:rsid w:val="005D16E8"/>
    <w:rsid w:val="005D488E"/>
    <w:rsid w:val="005D7798"/>
    <w:rsid w:val="005F0E10"/>
    <w:rsid w:val="0061731D"/>
    <w:rsid w:val="006243B1"/>
    <w:rsid w:val="00631147"/>
    <w:rsid w:val="00631A0D"/>
    <w:rsid w:val="006428E8"/>
    <w:rsid w:val="00645A4F"/>
    <w:rsid w:val="00647EB4"/>
    <w:rsid w:val="006519F9"/>
    <w:rsid w:val="00654A9C"/>
    <w:rsid w:val="00655AC1"/>
    <w:rsid w:val="006651BC"/>
    <w:rsid w:val="00665649"/>
    <w:rsid w:val="00666871"/>
    <w:rsid w:val="00673BF6"/>
    <w:rsid w:val="006817DF"/>
    <w:rsid w:val="00685C10"/>
    <w:rsid w:val="0068616F"/>
    <w:rsid w:val="00691DA6"/>
    <w:rsid w:val="00696675"/>
    <w:rsid w:val="006A050C"/>
    <w:rsid w:val="006A3879"/>
    <w:rsid w:val="006A50EF"/>
    <w:rsid w:val="006B3758"/>
    <w:rsid w:val="006B4CC0"/>
    <w:rsid w:val="006B5A84"/>
    <w:rsid w:val="006C6346"/>
    <w:rsid w:val="006D0198"/>
    <w:rsid w:val="006E646F"/>
    <w:rsid w:val="006F59AA"/>
    <w:rsid w:val="007002EC"/>
    <w:rsid w:val="00704F52"/>
    <w:rsid w:val="0070704B"/>
    <w:rsid w:val="0071109C"/>
    <w:rsid w:val="007134E9"/>
    <w:rsid w:val="00714EBF"/>
    <w:rsid w:val="007167C1"/>
    <w:rsid w:val="00723C29"/>
    <w:rsid w:val="00730DF7"/>
    <w:rsid w:val="00732296"/>
    <w:rsid w:val="0073288E"/>
    <w:rsid w:val="0073717E"/>
    <w:rsid w:val="00743B1D"/>
    <w:rsid w:val="007624CB"/>
    <w:rsid w:val="007648C6"/>
    <w:rsid w:val="0077343C"/>
    <w:rsid w:val="00784639"/>
    <w:rsid w:val="00785C39"/>
    <w:rsid w:val="0079480C"/>
    <w:rsid w:val="00795DED"/>
    <w:rsid w:val="007A00DB"/>
    <w:rsid w:val="007B0914"/>
    <w:rsid w:val="007B0C22"/>
    <w:rsid w:val="007C0D0B"/>
    <w:rsid w:val="007D1CF2"/>
    <w:rsid w:val="007E71AD"/>
    <w:rsid w:val="007F1B0C"/>
    <w:rsid w:val="007F4C9B"/>
    <w:rsid w:val="007F6693"/>
    <w:rsid w:val="008118CB"/>
    <w:rsid w:val="00813DDC"/>
    <w:rsid w:val="008145E9"/>
    <w:rsid w:val="008149EF"/>
    <w:rsid w:val="00814BE1"/>
    <w:rsid w:val="008174BC"/>
    <w:rsid w:val="00821014"/>
    <w:rsid w:val="008244ED"/>
    <w:rsid w:val="008325D9"/>
    <w:rsid w:val="00837AB7"/>
    <w:rsid w:val="00837EB6"/>
    <w:rsid w:val="008421FB"/>
    <w:rsid w:val="00851118"/>
    <w:rsid w:val="00855303"/>
    <w:rsid w:val="00871886"/>
    <w:rsid w:val="00877C79"/>
    <w:rsid w:val="00896180"/>
    <w:rsid w:val="00896328"/>
    <w:rsid w:val="008A4360"/>
    <w:rsid w:val="008B2B5A"/>
    <w:rsid w:val="008C79D6"/>
    <w:rsid w:val="008D0A5C"/>
    <w:rsid w:val="008D5029"/>
    <w:rsid w:val="008F3DAF"/>
    <w:rsid w:val="00900CD8"/>
    <w:rsid w:val="0090338B"/>
    <w:rsid w:val="0090423F"/>
    <w:rsid w:val="009126B5"/>
    <w:rsid w:val="009205CB"/>
    <w:rsid w:val="00922CE6"/>
    <w:rsid w:val="00922D8A"/>
    <w:rsid w:val="00923014"/>
    <w:rsid w:val="00932F2F"/>
    <w:rsid w:val="009352ED"/>
    <w:rsid w:val="00936E6C"/>
    <w:rsid w:val="0094189D"/>
    <w:rsid w:val="009425EC"/>
    <w:rsid w:val="009435AA"/>
    <w:rsid w:val="0095036E"/>
    <w:rsid w:val="00955B92"/>
    <w:rsid w:val="00963117"/>
    <w:rsid w:val="0096329D"/>
    <w:rsid w:val="00976BA0"/>
    <w:rsid w:val="00976FCC"/>
    <w:rsid w:val="009834D7"/>
    <w:rsid w:val="009837FA"/>
    <w:rsid w:val="00995F83"/>
    <w:rsid w:val="009A0AC2"/>
    <w:rsid w:val="009C0E81"/>
    <w:rsid w:val="009C3F44"/>
    <w:rsid w:val="009C5DBA"/>
    <w:rsid w:val="009D2E32"/>
    <w:rsid w:val="009E4AF5"/>
    <w:rsid w:val="009E6638"/>
    <w:rsid w:val="009E72EA"/>
    <w:rsid w:val="009E79CD"/>
    <w:rsid w:val="00A03C4F"/>
    <w:rsid w:val="00A07953"/>
    <w:rsid w:val="00A07C74"/>
    <w:rsid w:val="00A13DD4"/>
    <w:rsid w:val="00A14385"/>
    <w:rsid w:val="00A264E4"/>
    <w:rsid w:val="00A31EBA"/>
    <w:rsid w:val="00A358C9"/>
    <w:rsid w:val="00A36D3E"/>
    <w:rsid w:val="00A40B8F"/>
    <w:rsid w:val="00A40F9F"/>
    <w:rsid w:val="00A42050"/>
    <w:rsid w:val="00A44C0C"/>
    <w:rsid w:val="00A500A3"/>
    <w:rsid w:val="00A52E93"/>
    <w:rsid w:val="00A552DF"/>
    <w:rsid w:val="00A60C63"/>
    <w:rsid w:val="00A64132"/>
    <w:rsid w:val="00A73BF1"/>
    <w:rsid w:val="00A749BF"/>
    <w:rsid w:val="00A74FA0"/>
    <w:rsid w:val="00A808EA"/>
    <w:rsid w:val="00A869D9"/>
    <w:rsid w:val="00A91024"/>
    <w:rsid w:val="00A937EC"/>
    <w:rsid w:val="00A94C3D"/>
    <w:rsid w:val="00A9541E"/>
    <w:rsid w:val="00A96F01"/>
    <w:rsid w:val="00AB092E"/>
    <w:rsid w:val="00AB19B6"/>
    <w:rsid w:val="00AF09E6"/>
    <w:rsid w:val="00B01116"/>
    <w:rsid w:val="00B3088C"/>
    <w:rsid w:val="00B32D83"/>
    <w:rsid w:val="00B37EEF"/>
    <w:rsid w:val="00B41608"/>
    <w:rsid w:val="00B425B2"/>
    <w:rsid w:val="00B44033"/>
    <w:rsid w:val="00B44116"/>
    <w:rsid w:val="00B44E39"/>
    <w:rsid w:val="00B502BC"/>
    <w:rsid w:val="00B564D4"/>
    <w:rsid w:val="00B57AA9"/>
    <w:rsid w:val="00B61B0A"/>
    <w:rsid w:val="00B6446E"/>
    <w:rsid w:val="00B657F4"/>
    <w:rsid w:val="00B67BAC"/>
    <w:rsid w:val="00B774F4"/>
    <w:rsid w:val="00B85697"/>
    <w:rsid w:val="00B85D07"/>
    <w:rsid w:val="00B90AC5"/>
    <w:rsid w:val="00B92364"/>
    <w:rsid w:val="00B95C61"/>
    <w:rsid w:val="00B979E4"/>
    <w:rsid w:val="00BA0D43"/>
    <w:rsid w:val="00BA3A69"/>
    <w:rsid w:val="00BB1EC2"/>
    <w:rsid w:val="00BB3200"/>
    <w:rsid w:val="00BD5835"/>
    <w:rsid w:val="00BD6430"/>
    <w:rsid w:val="00BE1CA2"/>
    <w:rsid w:val="00BE29DE"/>
    <w:rsid w:val="00BE60B5"/>
    <w:rsid w:val="00BE745B"/>
    <w:rsid w:val="00BF22FF"/>
    <w:rsid w:val="00BF36C7"/>
    <w:rsid w:val="00BF6765"/>
    <w:rsid w:val="00C11989"/>
    <w:rsid w:val="00C174C3"/>
    <w:rsid w:val="00C257F5"/>
    <w:rsid w:val="00C301C6"/>
    <w:rsid w:val="00C33016"/>
    <w:rsid w:val="00C3333C"/>
    <w:rsid w:val="00C46D3A"/>
    <w:rsid w:val="00C475B3"/>
    <w:rsid w:val="00C55A8C"/>
    <w:rsid w:val="00C601C7"/>
    <w:rsid w:val="00C61874"/>
    <w:rsid w:val="00C662DA"/>
    <w:rsid w:val="00C73D32"/>
    <w:rsid w:val="00C802CC"/>
    <w:rsid w:val="00C8204F"/>
    <w:rsid w:val="00C850AB"/>
    <w:rsid w:val="00C91E1A"/>
    <w:rsid w:val="00C9260B"/>
    <w:rsid w:val="00CA729C"/>
    <w:rsid w:val="00CB060E"/>
    <w:rsid w:val="00CB12C8"/>
    <w:rsid w:val="00CB661A"/>
    <w:rsid w:val="00CB6894"/>
    <w:rsid w:val="00CC07AE"/>
    <w:rsid w:val="00CC2357"/>
    <w:rsid w:val="00CC27A1"/>
    <w:rsid w:val="00CC3798"/>
    <w:rsid w:val="00CC51F3"/>
    <w:rsid w:val="00CC5DCC"/>
    <w:rsid w:val="00CD1A80"/>
    <w:rsid w:val="00CD4D18"/>
    <w:rsid w:val="00CD557A"/>
    <w:rsid w:val="00CE731F"/>
    <w:rsid w:val="00CF150A"/>
    <w:rsid w:val="00CF1F58"/>
    <w:rsid w:val="00CF28E5"/>
    <w:rsid w:val="00D02649"/>
    <w:rsid w:val="00D02FF4"/>
    <w:rsid w:val="00D11DD5"/>
    <w:rsid w:val="00D21C15"/>
    <w:rsid w:val="00D22884"/>
    <w:rsid w:val="00D353DC"/>
    <w:rsid w:val="00D368BB"/>
    <w:rsid w:val="00D46453"/>
    <w:rsid w:val="00D47D98"/>
    <w:rsid w:val="00D509AB"/>
    <w:rsid w:val="00D53FCE"/>
    <w:rsid w:val="00D66A97"/>
    <w:rsid w:val="00D716A3"/>
    <w:rsid w:val="00D73261"/>
    <w:rsid w:val="00D76D09"/>
    <w:rsid w:val="00D77963"/>
    <w:rsid w:val="00D84D08"/>
    <w:rsid w:val="00D84DDE"/>
    <w:rsid w:val="00D9396E"/>
    <w:rsid w:val="00DA4E09"/>
    <w:rsid w:val="00DA5F12"/>
    <w:rsid w:val="00DB17A1"/>
    <w:rsid w:val="00DB4A10"/>
    <w:rsid w:val="00DB6C3B"/>
    <w:rsid w:val="00DC1B44"/>
    <w:rsid w:val="00DC31DC"/>
    <w:rsid w:val="00DD2BD2"/>
    <w:rsid w:val="00DD7BA8"/>
    <w:rsid w:val="00DE1992"/>
    <w:rsid w:val="00DE2C8A"/>
    <w:rsid w:val="00DF2574"/>
    <w:rsid w:val="00DF4BAF"/>
    <w:rsid w:val="00E023A2"/>
    <w:rsid w:val="00E02DDC"/>
    <w:rsid w:val="00E04970"/>
    <w:rsid w:val="00E25A9C"/>
    <w:rsid w:val="00E25F52"/>
    <w:rsid w:val="00E26C37"/>
    <w:rsid w:val="00E276CC"/>
    <w:rsid w:val="00E35A8C"/>
    <w:rsid w:val="00E5186C"/>
    <w:rsid w:val="00E6072B"/>
    <w:rsid w:val="00E679D4"/>
    <w:rsid w:val="00E73AEA"/>
    <w:rsid w:val="00E7474A"/>
    <w:rsid w:val="00E7662B"/>
    <w:rsid w:val="00E85221"/>
    <w:rsid w:val="00E86F44"/>
    <w:rsid w:val="00E91929"/>
    <w:rsid w:val="00E929EE"/>
    <w:rsid w:val="00E95666"/>
    <w:rsid w:val="00E96649"/>
    <w:rsid w:val="00EA0862"/>
    <w:rsid w:val="00EA4942"/>
    <w:rsid w:val="00EB2E5B"/>
    <w:rsid w:val="00EB60B6"/>
    <w:rsid w:val="00EC0064"/>
    <w:rsid w:val="00ED371E"/>
    <w:rsid w:val="00EE2BB5"/>
    <w:rsid w:val="00EE2CB7"/>
    <w:rsid w:val="00EE39A4"/>
    <w:rsid w:val="00EE62DA"/>
    <w:rsid w:val="00EF1F92"/>
    <w:rsid w:val="00F03978"/>
    <w:rsid w:val="00F10285"/>
    <w:rsid w:val="00F10CDA"/>
    <w:rsid w:val="00F32255"/>
    <w:rsid w:val="00F3681D"/>
    <w:rsid w:val="00F5359F"/>
    <w:rsid w:val="00F53CDE"/>
    <w:rsid w:val="00F67A29"/>
    <w:rsid w:val="00F71A58"/>
    <w:rsid w:val="00F75681"/>
    <w:rsid w:val="00F81B68"/>
    <w:rsid w:val="00F83202"/>
    <w:rsid w:val="00F9124E"/>
    <w:rsid w:val="00F93E7A"/>
    <w:rsid w:val="00F94BF1"/>
    <w:rsid w:val="00F94EE2"/>
    <w:rsid w:val="00F96F9F"/>
    <w:rsid w:val="00FA208D"/>
    <w:rsid w:val="00FB6748"/>
    <w:rsid w:val="00FC0E2E"/>
    <w:rsid w:val="00FC1D0C"/>
    <w:rsid w:val="00FC334A"/>
    <w:rsid w:val="00FD17C1"/>
    <w:rsid w:val="00FD507C"/>
    <w:rsid w:val="00FD7418"/>
    <w:rsid w:val="00FE0063"/>
    <w:rsid w:val="00FE5137"/>
    <w:rsid w:val="00FE7DCB"/>
    <w:rsid w:val="00FF6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1D767"/>
  <w15:chartTrackingRefBased/>
  <w15:docId w15:val="{38BF6DFA-996A-4237-B9D6-E707B44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418"/>
    <w:rPr>
      <w:sz w:val="24"/>
      <w:szCs w:val="24"/>
    </w:rPr>
  </w:style>
  <w:style w:type="paragraph" w:styleId="Heading1">
    <w:name w:val="heading 1"/>
    <w:basedOn w:val="Normal"/>
    <w:next w:val="Normal"/>
    <w:link w:val="Heading1Char"/>
    <w:qFormat/>
    <w:rsid w:val="00E9192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551A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7418"/>
    <w:pPr>
      <w:jc w:val="center"/>
      <w:outlineLvl w:val="0"/>
    </w:pPr>
    <w:rPr>
      <w:b/>
      <w:sz w:val="28"/>
      <w:lang w:eastAsia="en-US"/>
    </w:rPr>
  </w:style>
  <w:style w:type="paragraph" w:styleId="Header">
    <w:name w:val="header"/>
    <w:basedOn w:val="Normal"/>
    <w:rsid w:val="00FD7418"/>
    <w:pPr>
      <w:tabs>
        <w:tab w:val="center" w:pos="4153"/>
        <w:tab w:val="right" w:pos="8306"/>
      </w:tabs>
    </w:pPr>
  </w:style>
  <w:style w:type="paragraph" w:styleId="Footer">
    <w:name w:val="footer"/>
    <w:basedOn w:val="Normal"/>
    <w:rsid w:val="00FD7418"/>
    <w:pPr>
      <w:tabs>
        <w:tab w:val="center" w:pos="4153"/>
        <w:tab w:val="right" w:pos="8306"/>
      </w:tabs>
    </w:pPr>
  </w:style>
  <w:style w:type="character" w:styleId="PageNumber">
    <w:name w:val="page number"/>
    <w:basedOn w:val="DefaultParagraphFont"/>
    <w:rsid w:val="00C475B3"/>
  </w:style>
  <w:style w:type="paragraph" w:styleId="BodyText2">
    <w:name w:val="Body Text 2"/>
    <w:basedOn w:val="Normal"/>
    <w:link w:val="BodyText2Char"/>
    <w:rsid w:val="00C475B3"/>
    <w:pPr>
      <w:jc w:val="both"/>
    </w:pPr>
    <w:rPr>
      <w:sz w:val="28"/>
      <w:szCs w:val="20"/>
      <w:lang w:eastAsia="en-US"/>
    </w:rPr>
  </w:style>
  <w:style w:type="paragraph" w:customStyle="1" w:styleId="naisf">
    <w:name w:val="naisf"/>
    <w:basedOn w:val="Normal"/>
    <w:rsid w:val="00666871"/>
    <w:pPr>
      <w:spacing w:before="75" w:after="75"/>
      <w:ind w:firstLine="375"/>
      <w:jc w:val="both"/>
    </w:pPr>
  </w:style>
  <w:style w:type="paragraph" w:customStyle="1" w:styleId="naisc">
    <w:name w:val="naisc"/>
    <w:basedOn w:val="Normal"/>
    <w:rsid w:val="00666871"/>
    <w:pPr>
      <w:spacing w:before="75" w:after="75"/>
      <w:jc w:val="center"/>
    </w:pPr>
  </w:style>
  <w:style w:type="paragraph" w:styleId="BalloonText">
    <w:name w:val="Balloon Text"/>
    <w:basedOn w:val="Normal"/>
    <w:semiHidden/>
    <w:rsid w:val="00B502BC"/>
    <w:rPr>
      <w:rFonts w:ascii="Tahoma" w:hAnsi="Tahoma" w:cs="Tahoma"/>
      <w:sz w:val="16"/>
      <w:szCs w:val="16"/>
    </w:rPr>
  </w:style>
  <w:style w:type="paragraph" w:customStyle="1" w:styleId="RakstzCharCharRakstzCharCharRakstz">
    <w:name w:val="Rakstz. Char Char Rakstz. Char Char Rakstz."/>
    <w:basedOn w:val="Normal"/>
    <w:rsid w:val="00A500A3"/>
    <w:pPr>
      <w:spacing w:after="160" w:line="240" w:lineRule="exact"/>
    </w:pPr>
    <w:rPr>
      <w:rFonts w:ascii="Tahoma" w:hAnsi="Tahoma"/>
      <w:sz w:val="20"/>
      <w:szCs w:val="20"/>
      <w:lang w:val="en-US" w:eastAsia="en-US"/>
    </w:rPr>
  </w:style>
  <w:style w:type="paragraph" w:customStyle="1" w:styleId="naislab">
    <w:name w:val="naislab"/>
    <w:basedOn w:val="Normal"/>
    <w:rsid w:val="00A9541E"/>
    <w:pPr>
      <w:spacing w:before="100" w:beforeAutospacing="1" w:after="100" w:afterAutospacing="1"/>
    </w:pPr>
  </w:style>
  <w:style w:type="character" w:customStyle="1" w:styleId="BodyText2Char">
    <w:name w:val="Body Text 2 Char"/>
    <w:link w:val="BodyText2"/>
    <w:rsid w:val="00CB661A"/>
    <w:rPr>
      <w:sz w:val="28"/>
      <w:lang w:eastAsia="en-US"/>
    </w:rPr>
  </w:style>
  <w:style w:type="character" w:customStyle="1" w:styleId="Heading3Char">
    <w:name w:val="Heading 3 Char"/>
    <w:link w:val="Heading3"/>
    <w:uiPriority w:val="9"/>
    <w:rsid w:val="00551A0F"/>
    <w:rPr>
      <w:b/>
      <w:bCs/>
      <w:sz w:val="27"/>
      <w:szCs w:val="27"/>
    </w:rPr>
  </w:style>
  <w:style w:type="paragraph" w:customStyle="1" w:styleId="naisnod">
    <w:name w:val="naisnod"/>
    <w:basedOn w:val="Normal"/>
    <w:rsid w:val="00551A0F"/>
    <w:pPr>
      <w:spacing w:before="100" w:beforeAutospacing="1" w:after="100" w:afterAutospacing="1"/>
    </w:pPr>
  </w:style>
  <w:style w:type="paragraph" w:customStyle="1" w:styleId="naiskr">
    <w:name w:val="naiskr"/>
    <w:basedOn w:val="Normal"/>
    <w:rsid w:val="00551A0F"/>
    <w:pPr>
      <w:spacing w:before="100" w:beforeAutospacing="1" w:after="100" w:afterAutospacing="1"/>
    </w:pPr>
  </w:style>
  <w:style w:type="paragraph" w:customStyle="1" w:styleId="tv2121">
    <w:name w:val="tv2121"/>
    <w:basedOn w:val="Normal"/>
    <w:rsid w:val="00551A0F"/>
    <w:pPr>
      <w:spacing w:before="400" w:line="360" w:lineRule="auto"/>
      <w:jc w:val="center"/>
    </w:pPr>
    <w:rPr>
      <w:rFonts w:ascii="Verdana" w:hAnsi="Verdana"/>
      <w:b/>
      <w:bCs/>
      <w:sz w:val="20"/>
      <w:szCs w:val="20"/>
    </w:rPr>
  </w:style>
  <w:style w:type="paragraph" w:styleId="ListParagraph">
    <w:name w:val="List Paragraph"/>
    <w:basedOn w:val="Normal"/>
    <w:uiPriority w:val="34"/>
    <w:qFormat/>
    <w:rsid w:val="00BF22FF"/>
    <w:pPr>
      <w:spacing w:after="160" w:line="259" w:lineRule="auto"/>
      <w:ind w:left="720"/>
      <w:contextualSpacing/>
    </w:pPr>
    <w:rPr>
      <w:rFonts w:ascii="Calibri" w:eastAsia="Calibri" w:hAnsi="Calibri"/>
      <w:sz w:val="22"/>
      <w:szCs w:val="22"/>
      <w:lang w:eastAsia="en-US"/>
    </w:rPr>
  </w:style>
  <w:style w:type="character" w:styleId="Hyperlink">
    <w:name w:val="Hyperlink"/>
    <w:rsid w:val="00B774F4"/>
    <w:rPr>
      <w:color w:val="0000FF"/>
      <w:u w:val="single"/>
    </w:rPr>
  </w:style>
  <w:style w:type="character" w:customStyle="1" w:styleId="Heading1Char">
    <w:name w:val="Heading 1 Char"/>
    <w:link w:val="Heading1"/>
    <w:rsid w:val="00E91929"/>
    <w:rPr>
      <w:rFonts w:ascii="Cambria" w:eastAsia="Times New Roman" w:hAnsi="Cambria" w:cs="Times New Roman"/>
      <w:b/>
      <w:bCs/>
      <w:kern w:val="32"/>
      <w:sz w:val="32"/>
      <w:szCs w:val="32"/>
    </w:rPr>
  </w:style>
  <w:style w:type="paragraph" w:styleId="BodyText">
    <w:name w:val="Body Text"/>
    <w:basedOn w:val="Normal"/>
    <w:link w:val="BodyTextChar"/>
    <w:rsid w:val="00524A7C"/>
    <w:pPr>
      <w:spacing w:after="120"/>
    </w:pPr>
  </w:style>
  <w:style w:type="character" w:customStyle="1" w:styleId="BodyTextChar">
    <w:name w:val="Body Text Char"/>
    <w:link w:val="BodyText"/>
    <w:rsid w:val="00524A7C"/>
    <w:rPr>
      <w:sz w:val="24"/>
      <w:szCs w:val="24"/>
    </w:rPr>
  </w:style>
  <w:style w:type="character" w:styleId="UnresolvedMention">
    <w:name w:val="Unresolved Mention"/>
    <w:uiPriority w:val="99"/>
    <w:semiHidden/>
    <w:unhideWhenUsed/>
    <w:rsid w:val="005D488E"/>
    <w:rPr>
      <w:color w:val="808080"/>
      <w:shd w:val="clear" w:color="auto" w:fill="E6E6E6"/>
    </w:rPr>
  </w:style>
  <w:style w:type="character" w:customStyle="1" w:styleId="sentence">
    <w:name w:val="sentence"/>
    <w:rsid w:val="00542AA6"/>
  </w:style>
  <w:style w:type="character" w:customStyle="1" w:styleId="word">
    <w:name w:val="word"/>
    <w:rsid w:val="00542AA6"/>
  </w:style>
  <w:style w:type="character" w:customStyle="1" w:styleId="TitleChar">
    <w:name w:val="Title Char"/>
    <w:link w:val="Title"/>
    <w:rsid w:val="00F10CDA"/>
    <w:rPr>
      <w:b/>
      <w:sz w:val="28"/>
      <w:szCs w:val="24"/>
      <w:lang w:val="lv-LV"/>
    </w:rPr>
  </w:style>
  <w:style w:type="character" w:styleId="Strong">
    <w:name w:val="Strong"/>
    <w:uiPriority w:val="22"/>
    <w:qFormat/>
    <w:rsid w:val="00877C79"/>
    <w:rPr>
      <w:b/>
      <w:bCs/>
    </w:rPr>
  </w:style>
  <w:style w:type="paragraph" w:styleId="NormalWeb">
    <w:name w:val="Normal (Web)"/>
    <w:basedOn w:val="Normal"/>
    <w:uiPriority w:val="99"/>
    <w:rsid w:val="00EA4942"/>
    <w:pPr>
      <w:spacing w:before="75" w:after="75"/>
    </w:pPr>
  </w:style>
  <w:style w:type="character" w:customStyle="1" w:styleId="phrase">
    <w:name w:val="phrase"/>
    <w:rsid w:val="00D47D98"/>
  </w:style>
  <w:style w:type="paragraph" w:customStyle="1" w:styleId="Default">
    <w:name w:val="Default"/>
    <w:rsid w:val="00814BE1"/>
    <w:pPr>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D76D09"/>
    <w:rPr>
      <w:rFonts w:ascii="EUAlbertina" w:hAnsi="EUAlbertina"/>
      <w:color w:val="auto"/>
    </w:rPr>
  </w:style>
  <w:style w:type="paragraph" w:customStyle="1" w:styleId="CM3">
    <w:name w:val="CM3"/>
    <w:basedOn w:val="Default"/>
    <w:next w:val="Default"/>
    <w:uiPriority w:val="99"/>
    <w:rsid w:val="00D76D09"/>
    <w:rPr>
      <w:rFonts w:ascii="EUAlbertina" w:hAnsi="EUAlbertina"/>
      <w:color w:val="auto"/>
    </w:rPr>
  </w:style>
  <w:style w:type="character" w:styleId="CommentReference">
    <w:name w:val="annotation reference"/>
    <w:basedOn w:val="DefaultParagraphFont"/>
    <w:rsid w:val="00BB1EC2"/>
    <w:rPr>
      <w:sz w:val="16"/>
      <w:szCs w:val="16"/>
    </w:rPr>
  </w:style>
  <w:style w:type="paragraph" w:styleId="CommentText">
    <w:name w:val="annotation text"/>
    <w:basedOn w:val="Normal"/>
    <w:link w:val="CommentTextChar"/>
    <w:rsid w:val="00BB1EC2"/>
    <w:rPr>
      <w:sz w:val="20"/>
      <w:szCs w:val="20"/>
    </w:rPr>
  </w:style>
  <w:style w:type="character" w:customStyle="1" w:styleId="CommentTextChar">
    <w:name w:val="Comment Text Char"/>
    <w:basedOn w:val="DefaultParagraphFont"/>
    <w:link w:val="CommentText"/>
    <w:rsid w:val="00BB1EC2"/>
  </w:style>
  <w:style w:type="paragraph" w:styleId="CommentSubject">
    <w:name w:val="annotation subject"/>
    <w:basedOn w:val="CommentText"/>
    <w:next w:val="CommentText"/>
    <w:link w:val="CommentSubjectChar"/>
    <w:rsid w:val="00BB1EC2"/>
    <w:rPr>
      <w:b/>
      <w:bCs/>
    </w:rPr>
  </w:style>
  <w:style w:type="character" w:customStyle="1" w:styleId="CommentSubjectChar">
    <w:name w:val="Comment Subject Char"/>
    <w:basedOn w:val="CommentTextChar"/>
    <w:link w:val="CommentSubject"/>
    <w:rsid w:val="00BB1EC2"/>
    <w:rPr>
      <w:b/>
      <w:bCs/>
    </w:rPr>
  </w:style>
  <w:style w:type="paragraph" w:styleId="Revision">
    <w:name w:val="Revision"/>
    <w:hidden/>
    <w:uiPriority w:val="99"/>
    <w:semiHidden/>
    <w:rsid w:val="00B416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4980">
      <w:bodyDiv w:val="1"/>
      <w:marLeft w:val="0"/>
      <w:marRight w:val="0"/>
      <w:marTop w:val="0"/>
      <w:marBottom w:val="0"/>
      <w:divBdr>
        <w:top w:val="none" w:sz="0" w:space="0" w:color="auto"/>
        <w:left w:val="none" w:sz="0" w:space="0" w:color="auto"/>
        <w:bottom w:val="none" w:sz="0" w:space="0" w:color="auto"/>
        <w:right w:val="none" w:sz="0" w:space="0" w:color="auto"/>
      </w:divBdr>
    </w:div>
    <w:div w:id="351995798">
      <w:bodyDiv w:val="1"/>
      <w:marLeft w:val="0"/>
      <w:marRight w:val="0"/>
      <w:marTop w:val="0"/>
      <w:marBottom w:val="0"/>
      <w:divBdr>
        <w:top w:val="none" w:sz="0" w:space="0" w:color="auto"/>
        <w:left w:val="none" w:sz="0" w:space="0" w:color="auto"/>
        <w:bottom w:val="none" w:sz="0" w:space="0" w:color="auto"/>
        <w:right w:val="none" w:sz="0" w:space="0" w:color="auto"/>
      </w:divBdr>
    </w:div>
    <w:div w:id="620721225">
      <w:bodyDiv w:val="1"/>
      <w:marLeft w:val="0"/>
      <w:marRight w:val="0"/>
      <w:marTop w:val="0"/>
      <w:marBottom w:val="0"/>
      <w:divBdr>
        <w:top w:val="none" w:sz="0" w:space="0" w:color="auto"/>
        <w:left w:val="none" w:sz="0" w:space="0" w:color="auto"/>
        <w:bottom w:val="none" w:sz="0" w:space="0" w:color="auto"/>
        <w:right w:val="none" w:sz="0" w:space="0" w:color="auto"/>
      </w:divBdr>
    </w:div>
    <w:div w:id="960721129">
      <w:bodyDiv w:val="1"/>
      <w:marLeft w:val="0"/>
      <w:marRight w:val="0"/>
      <w:marTop w:val="0"/>
      <w:marBottom w:val="0"/>
      <w:divBdr>
        <w:top w:val="none" w:sz="0" w:space="0" w:color="auto"/>
        <w:left w:val="none" w:sz="0" w:space="0" w:color="auto"/>
        <w:bottom w:val="none" w:sz="0" w:space="0" w:color="auto"/>
        <w:right w:val="none" w:sz="0" w:space="0" w:color="auto"/>
      </w:divBdr>
    </w:div>
    <w:div w:id="1374964074">
      <w:bodyDiv w:val="1"/>
      <w:marLeft w:val="0"/>
      <w:marRight w:val="0"/>
      <w:marTop w:val="0"/>
      <w:marBottom w:val="0"/>
      <w:divBdr>
        <w:top w:val="none" w:sz="0" w:space="0" w:color="auto"/>
        <w:left w:val="none" w:sz="0" w:space="0" w:color="auto"/>
        <w:bottom w:val="none" w:sz="0" w:space="0" w:color="auto"/>
        <w:right w:val="none" w:sz="0" w:space="0" w:color="auto"/>
      </w:divBdr>
    </w:div>
    <w:div w:id="1429545632">
      <w:bodyDiv w:val="1"/>
      <w:marLeft w:val="0"/>
      <w:marRight w:val="0"/>
      <w:marTop w:val="0"/>
      <w:marBottom w:val="0"/>
      <w:divBdr>
        <w:top w:val="none" w:sz="0" w:space="0" w:color="auto"/>
        <w:left w:val="none" w:sz="0" w:space="0" w:color="auto"/>
        <w:bottom w:val="none" w:sz="0" w:space="0" w:color="auto"/>
        <w:right w:val="none" w:sz="0" w:space="0" w:color="auto"/>
      </w:divBdr>
    </w:div>
    <w:div w:id="1433357003">
      <w:bodyDiv w:val="1"/>
      <w:marLeft w:val="0"/>
      <w:marRight w:val="0"/>
      <w:marTop w:val="0"/>
      <w:marBottom w:val="0"/>
      <w:divBdr>
        <w:top w:val="none" w:sz="0" w:space="0" w:color="auto"/>
        <w:left w:val="none" w:sz="0" w:space="0" w:color="auto"/>
        <w:bottom w:val="none" w:sz="0" w:space="0" w:color="auto"/>
        <w:right w:val="none" w:sz="0" w:space="0" w:color="auto"/>
      </w:divBdr>
    </w:div>
    <w:div w:id="1699969684">
      <w:bodyDiv w:val="1"/>
      <w:marLeft w:val="0"/>
      <w:marRight w:val="0"/>
      <w:marTop w:val="0"/>
      <w:marBottom w:val="0"/>
      <w:divBdr>
        <w:top w:val="none" w:sz="0" w:space="0" w:color="auto"/>
        <w:left w:val="none" w:sz="0" w:space="0" w:color="auto"/>
        <w:bottom w:val="none" w:sz="0" w:space="0" w:color="auto"/>
        <w:right w:val="none" w:sz="0" w:space="0" w:color="auto"/>
      </w:divBdr>
    </w:div>
    <w:div w:id="1726636824">
      <w:bodyDiv w:val="1"/>
      <w:marLeft w:val="0"/>
      <w:marRight w:val="0"/>
      <w:marTop w:val="0"/>
      <w:marBottom w:val="0"/>
      <w:divBdr>
        <w:top w:val="none" w:sz="0" w:space="0" w:color="auto"/>
        <w:left w:val="none" w:sz="0" w:space="0" w:color="auto"/>
        <w:bottom w:val="none" w:sz="0" w:space="0" w:color="auto"/>
        <w:right w:val="none" w:sz="0" w:space="0" w:color="auto"/>
      </w:divBdr>
    </w:div>
    <w:div w:id="1729187488">
      <w:bodyDiv w:val="1"/>
      <w:marLeft w:val="0"/>
      <w:marRight w:val="0"/>
      <w:marTop w:val="0"/>
      <w:marBottom w:val="0"/>
      <w:divBdr>
        <w:top w:val="none" w:sz="0" w:space="0" w:color="auto"/>
        <w:left w:val="none" w:sz="0" w:space="0" w:color="auto"/>
        <w:bottom w:val="none" w:sz="0" w:space="0" w:color="auto"/>
        <w:right w:val="none" w:sz="0" w:space="0" w:color="auto"/>
      </w:divBdr>
    </w:div>
    <w:div w:id="1886984087">
      <w:bodyDiv w:val="1"/>
      <w:marLeft w:val="0"/>
      <w:marRight w:val="0"/>
      <w:marTop w:val="0"/>
      <w:marBottom w:val="0"/>
      <w:divBdr>
        <w:top w:val="none" w:sz="0" w:space="0" w:color="auto"/>
        <w:left w:val="none" w:sz="0" w:space="0" w:color="auto"/>
        <w:bottom w:val="none" w:sz="0" w:space="0" w:color="auto"/>
        <w:right w:val="none" w:sz="0" w:space="0" w:color="auto"/>
      </w:divBdr>
    </w:div>
    <w:div w:id="1902714982">
      <w:bodyDiv w:val="1"/>
      <w:marLeft w:val="0"/>
      <w:marRight w:val="0"/>
      <w:marTop w:val="0"/>
      <w:marBottom w:val="0"/>
      <w:divBdr>
        <w:top w:val="none" w:sz="0" w:space="0" w:color="auto"/>
        <w:left w:val="none" w:sz="0" w:space="0" w:color="auto"/>
        <w:bottom w:val="none" w:sz="0" w:space="0" w:color="auto"/>
        <w:right w:val="none" w:sz="0" w:space="0" w:color="auto"/>
      </w:divBdr>
    </w:div>
    <w:div w:id="2004968935">
      <w:bodyDiv w:val="1"/>
      <w:marLeft w:val="0"/>
      <w:marRight w:val="0"/>
      <w:marTop w:val="0"/>
      <w:marBottom w:val="0"/>
      <w:divBdr>
        <w:top w:val="none" w:sz="0" w:space="0" w:color="auto"/>
        <w:left w:val="none" w:sz="0" w:space="0" w:color="auto"/>
        <w:bottom w:val="none" w:sz="0" w:space="0" w:color="auto"/>
        <w:right w:val="none" w:sz="0" w:space="0" w:color="auto"/>
      </w:divBdr>
    </w:div>
    <w:div w:id="2084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8605</Words>
  <Characters>4905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Nepieciešamā finansējuma apmēra aprēķināšanas un piešķiršanas kārtība pievienotās vērtības nodokļa summas, kas nav atgūstama kā priekšnodoklis, kompensācijai Igaunijai un Lietuvai AS “RB Rail” veikto aktivitāšu ietvaros</vt:lpstr>
    </vt:vector>
  </TitlesOfParts>
  <Company>Satiksmes Ministrija</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Nepieciešamā finansējuma apmēra aprēķināšanas un piešķiršanas kārtība pievienotās vērtības nodokļa summas, kas nav atgūstama kā priekšnodoklis, kompensācijai Igaunijai un Lietuvai AS “RB Rail” veikto aktivitāšu ietvaros</dc:title>
  <dc:subject>Anotācija</dc:subject>
  <dc:creator>Kārlis Enģelis</dc:creator>
  <cp:keywords/>
  <dc:description>Karlis.Engelis@sam.gov.lv; 67028229</dc:description>
  <cp:lastModifiedBy>Baiba Jirgena</cp:lastModifiedBy>
  <cp:revision>18</cp:revision>
  <cp:lastPrinted>2019-11-25T10:13:00Z</cp:lastPrinted>
  <dcterms:created xsi:type="dcterms:W3CDTF">2020-03-24T15:06:00Z</dcterms:created>
  <dcterms:modified xsi:type="dcterms:W3CDTF">2020-03-27T13:02:00Z</dcterms:modified>
</cp:coreProperties>
</file>