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51F1" w:rsidR="00931E7D" w:rsidP="006A26E6" w:rsidRDefault="002329FC" w14:paraId="605B2AF5" w14:textId="77777777">
      <w:pPr>
        <w:jc w:val="center"/>
        <w:rPr>
          <w:b/>
          <w:bCs/>
          <w:sz w:val="24"/>
          <w:szCs w:val="24"/>
        </w:rPr>
      </w:pPr>
      <w:bookmarkStart w:name="468683" w:id="0"/>
      <w:bookmarkStart w:name="_Hlk514239332" w:id="1"/>
      <w:bookmarkEnd w:id="0"/>
      <w:r w:rsidRPr="00E151F1">
        <w:rPr>
          <w:b/>
          <w:bCs/>
          <w:sz w:val="24"/>
          <w:szCs w:val="24"/>
        </w:rPr>
        <w:t>Ministru kabineta noteikumu projekta</w:t>
      </w:r>
    </w:p>
    <w:p w:rsidRPr="00E151F1" w:rsidR="006A26E6" w:rsidP="006A26E6" w:rsidRDefault="006A26E6" w14:paraId="248BD398" w14:textId="77777777">
      <w:pPr>
        <w:jc w:val="center"/>
        <w:rPr>
          <w:rFonts w:eastAsia="Times New Roman"/>
          <w:b/>
          <w:bCs/>
          <w:sz w:val="24"/>
          <w:szCs w:val="24"/>
          <w:lang w:eastAsia="lv-LV"/>
        </w:rPr>
      </w:pPr>
      <w:r w:rsidRPr="00E151F1">
        <w:rPr>
          <w:sz w:val="24"/>
          <w:szCs w:val="24"/>
        </w:rPr>
        <w:t>“</w:t>
      </w:r>
      <w:r w:rsidRPr="00E151F1">
        <w:rPr>
          <w:rFonts w:eastAsia="Times New Roman"/>
          <w:b/>
          <w:bCs/>
          <w:sz w:val="24"/>
          <w:szCs w:val="24"/>
          <w:lang w:eastAsia="lv-LV"/>
        </w:rPr>
        <w:t>Kārtība, kādā izsniedz, uz laiku aptur vai anulē speciālās atļaujas (licences) un licences kartītes komercpārvadājumu veikšanai ar autotransportu un izsniedz pārvadājumu vadītāja profesionālās kompetences sertifikātus””</w:t>
      </w:r>
    </w:p>
    <w:p w:rsidRPr="00E151F1" w:rsidR="003D6F09" w:rsidP="001A608F" w:rsidRDefault="001A608F" w14:paraId="234138D9" w14:textId="77777777">
      <w:pPr>
        <w:jc w:val="center"/>
        <w:rPr>
          <w:b/>
          <w:bCs/>
          <w:sz w:val="24"/>
          <w:szCs w:val="24"/>
        </w:rPr>
      </w:pPr>
      <w:r w:rsidRPr="00E151F1">
        <w:rPr>
          <w:b/>
          <w:bCs/>
          <w:sz w:val="24"/>
          <w:szCs w:val="24"/>
        </w:rPr>
        <w:t xml:space="preserve"> </w:t>
      </w:r>
      <w:r w:rsidRPr="00E151F1" w:rsidR="003D6F09">
        <w:rPr>
          <w:b/>
          <w:bCs/>
          <w:sz w:val="24"/>
          <w:szCs w:val="24"/>
        </w:rPr>
        <w:t>sākotnējās ietekmes novērtējuma ziņojums (anotācija)</w:t>
      </w:r>
    </w:p>
    <w:bookmarkEnd w:id="1"/>
    <w:p w:rsidRPr="00E151F1" w:rsidR="003B1C94" w:rsidP="003D6F09" w:rsidRDefault="003B1C94" w14:paraId="182EB361" w14:textId="77777777">
      <w:pPr>
        <w:ind w:firstLine="0"/>
        <w:jc w:val="center"/>
        <w:rPr>
          <w:b/>
          <w:bCs/>
          <w:sz w:val="24"/>
          <w:szCs w:val="24"/>
        </w:rPr>
      </w:pPr>
    </w:p>
    <w:tbl>
      <w:tblPr>
        <w:tblStyle w:val="TableGrid"/>
        <w:tblW w:w="0" w:type="auto"/>
        <w:shd w:val="clear" w:color="auto" w:fill="FFFFFF" w:themeFill="background1"/>
        <w:tblLook w:val="04A0" w:firstRow="1" w:lastRow="0" w:firstColumn="1" w:lastColumn="0" w:noHBand="0" w:noVBand="1"/>
      </w:tblPr>
      <w:tblGrid>
        <w:gridCol w:w="3290"/>
        <w:gridCol w:w="5771"/>
      </w:tblGrid>
      <w:tr w:rsidRPr="00E151F1" w:rsidR="001A608F" w:rsidTr="0042234E" w14:paraId="0198C2BC" w14:textId="77777777">
        <w:tc>
          <w:tcPr>
            <w:tcW w:w="928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E151F1" w:rsidR="001A608F" w:rsidP="0042234E" w:rsidRDefault="001A608F" w14:paraId="52A43BD9" w14:textId="77777777">
            <w:pPr>
              <w:jc w:val="center"/>
              <w:rPr>
                <w:rFonts w:eastAsia="Times New Roman"/>
                <w:b/>
                <w:iCs/>
                <w:sz w:val="24"/>
                <w:szCs w:val="24"/>
                <w:lang w:eastAsia="lv-LV"/>
              </w:rPr>
            </w:pPr>
            <w:r w:rsidRPr="00E151F1">
              <w:rPr>
                <w:rFonts w:eastAsia="Times New Roman"/>
                <w:b/>
                <w:iCs/>
                <w:sz w:val="24"/>
                <w:szCs w:val="24"/>
                <w:lang w:eastAsia="lv-LV"/>
              </w:rPr>
              <w:t xml:space="preserve">Tiesību akta projekta anotācijas kopsavilkums </w:t>
            </w:r>
          </w:p>
        </w:tc>
      </w:tr>
      <w:tr w:rsidRPr="00E151F1" w:rsidR="001A608F" w:rsidTr="001A608F" w14:paraId="7215EDD1" w14:textId="77777777">
        <w:tc>
          <w:tcPr>
            <w:tcW w:w="336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E151F1" w:rsidR="001A608F" w:rsidP="001A608F" w:rsidRDefault="001A608F" w14:paraId="5C736409" w14:textId="77777777">
            <w:pPr>
              <w:ind w:firstLine="0"/>
              <w:rPr>
                <w:rFonts w:eastAsia="Times New Roman"/>
                <w:iCs/>
                <w:sz w:val="24"/>
                <w:szCs w:val="24"/>
                <w:lang w:eastAsia="lv-LV"/>
              </w:rPr>
            </w:pPr>
            <w:r w:rsidRPr="00E151F1">
              <w:rPr>
                <w:rFonts w:eastAsia="Times New Roman"/>
                <w:iCs/>
                <w:sz w:val="24"/>
                <w:szCs w:val="24"/>
                <w:lang w:eastAsia="lv-LV"/>
              </w:rPr>
              <w:t xml:space="preserve">Mērķis, risinājums un projekta spēkā stāšanās laiks </w:t>
            </w:r>
          </w:p>
        </w:tc>
        <w:tc>
          <w:tcPr>
            <w:tcW w:w="5918" w:type="dxa"/>
            <w:tcBorders>
              <w:top w:val="single" w:color="auto" w:sz="4" w:space="0"/>
              <w:left w:val="single" w:color="auto" w:sz="4" w:space="0"/>
              <w:bottom w:val="single" w:color="auto" w:sz="4" w:space="0"/>
              <w:right w:val="single" w:color="auto" w:sz="4" w:space="0"/>
            </w:tcBorders>
            <w:shd w:val="clear" w:color="auto" w:fill="FFFFFF" w:themeFill="background1"/>
          </w:tcPr>
          <w:p w:rsidRPr="00926EDD" w:rsidR="00AF35F4" w:rsidP="00AF35F4" w:rsidRDefault="00AF35F4" w14:paraId="28CBD91C" w14:textId="394E306F">
            <w:pPr>
              <w:ind w:firstLine="0"/>
              <w:jc w:val="both"/>
              <w:rPr>
                <w:rFonts w:cs="Times New Roman"/>
                <w:sz w:val="24"/>
                <w:szCs w:val="24"/>
              </w:rPr>
            </w:pPr>
            <w:r w:rsidRPr="00926EDD">
              <w:rPr>
                <w:rFonts w:cs="Times New Roman"/>
                <w:sz w:val="24"/>
                <w:szCs w:val="24"/>
              </w:rPr>
              <w:t>Noteikumu projekts:</w:t>
            </w:r>
          </w:p>
          <w:p w:rsidR="00AF35F4" w:rsidP="00AF35F4" w:rsidRDefault="00AF35F4" w14:paraId="2F54D0D4" w14:textId="77777777">
            <w:pPr>
              <w:ind w:firstLine="0"/>
              <w:jc w:val="both"/>
              <w:rPr>
                <w:rFonts w:cs="Times New Roman"/>
                <w:sz w:val="24"/>
                <w:szCs w:val="24"/>
              </w:rPr>
            </w:pPr>
            <w:r>
              <w:rPr>
                <w:rFonts w:cs="Times New Roman"/>
                <w:sz w:val="24"/>
                <w:szCs w:val="24"/>
              </w:rPr>
              <w:t>1</w:t>
            </w:r>
            <w:r w:rsidRPr="00926EDD">
              <w:rPr>
                <w:rFonts w:cs="Times New Roman"/>
                <w:sz w:val="24"/>
                <w:szCs w:val="24"/>
              </w:rPr>
              <w:t xml:space="preserve">) </w:t>
            </w:r>
            <w:r>
              <w:rPr>
                <w:rFonts w:cs="Times New Roman"/>
                <w:sz w:val="24"/>
                <w:szCs w:val="24"/>
              </w:rPr>
              <w:t>regulē licences un licences kartītes izsniegšanas kārtību, paredzot</w:t>
            </w:r>
            <w:r w:rsidRPr="00926EDD">
              <w:rPr>
                <w:rFonts w:cs="Times New Roman"/>
                <w:sz w:val="24"/>
                <w:szCs w:val="24"/>
              </w:rPr>
              <w:t xml:space="preserve"> licences un licences kartītes izsniegšanu elektroniskā veidā</w:t>
            </w:r>
            <w:r>
              <w:rPr>
                <w:rFonts w:cs="Times New Roman"/>
                <w:sz w:val="24"/>
                <w:szCs w:val="24"/>
              </w:rPr>
              <w:t xml:space="preserve"> un </w:t>
            </w:r>
            <w:r w:rsidRPr="00926EDD">
              <w:rPr>
                <w:rFonts w:cs="Times New Roman"/>
                <w:sz w:val="24"/>
                <w:szCs w:val="24"/>
              </w:rPr>
              <w:t xml:space="preserve"> precizē</w:t>
            </w:r>
            <w:r>
              <w:rPr>
                <w:rFonts w:cs="Times New Roman"/>
                <w:sz w:val="24"/>
                <w:szCs w:val="24"/>
              </w:rPr>
              <w:t>jot</w:t>
            </w:r>
            <w:r w:rsidRPr="00926EDD">
              <w:rPr>
                <w:rFonts w:cs="Times New Roman"/>
                <w:sz w:val="24"/>
                <w:szCs w:val="24"/>
              </w:rPr>
              <w:t xml:space="preserve"> iesniegumā norādāmo informāciju</w:t>
            </w:r>
            <w:r>
              <w:rPr>
                <w:rFonts w:cs="Times New Roman"/>
                <w:sz w:val="24"/>
                <w:szCs w:val="24"/>
              </w:rPr>
              <w:t>;</w:t>
            </w:r>
          </w:p>
          <w:p w:rsidR="00AF35F4" w:rsidP="00AF35F4" w:rsidRDefault="00AF35F4" w14:paraId="63DC1DB2" w14:textId="77777777">
            <w:pPr>
              <w:ind w:firstLine="0"/>
              <w:jc w:val="both"/>
              <w:rPr>
                <w:rFonts w:cs="Times New Roman"/>
                <w:sz w:val="24"/>
                <w:szCs w:val="24"/>
              </w:rPr>
            </w:pPr>
            <w:r>
              <w:rPr>
                <w:rFonts w:cs="Times New Roman"/>
                <w:sz w:val="24"/>
                <w:szCs w:val="24"/>
              </w:rPr>
              <w:t>2) regulē licences un licences kartītes darbības apturēšanas un anulēšanas kārtību;</w:t>
            </w:r>
          </w:p>
          <w:p w:rsidR="009C58EF" w:rsidP="00AF35F4" w:rsidRDefault="00AF35F4" w14:paraId="037E54BF" w14:textId="5D42392E">
            <w:pPr>
              <w:ind w:firstLine="0"/>
              <w:jc w:val="both"/>
              <w:rPr>
                <w:rFonts w:cs="Times New Roman"/>
                <w:sz w:val="24"/>
                <w:szCs w:val="24"/>
              </w:rPr>
            </w:pPr>
            <w:r>
              <w:rPr>
                <w:rFonts w:cs="Times New Roman"/>
                <w:sz w:val="24"/>
                <w:szCs w:val="24"/>
              </w:rPr>
              <w:t>3</w:t>
            </w:r>
            <w:r w:rsidRPr="00926EDD">
              <w:rPr>
                <w:rFonts w:cs="Times New Roman"/>
                <w:sz w:val="24"/>
                <w:szCs w:val="24"/>
              </w:rPr>
              <w:t xml:space="preserve">) nodrošinās efektīvu, caurskatāmu, administratīvo slogu mazinošu valsts pārvaldes pakalpojuma “profesionālās kompetences sertifikāts” sniegšanu, </w:t>
            </w:r>
            <w:r w:rsidR="00C3533A">
              <w:rPr>
                <w:rFonts w:cs="Times New Roman"/>
                <w:sz w:val="24"/>
                <w:szCs w:val="24"/>
              </w:rPr>
              <w:t>paredzot</w:t>
            </w:r>
            <w:r w:rsidRPr="00926EDD">
              <w:rPr>
                <w:rFonts w:cs="Times New Roman"/>
                <w:sz w:val="24"/>
                <w:szCs w:val="24"/>
              </w:rPr>
              <w:t xml:space="preserve">, ka </w:t>
            </w:r>
            <w:r w:rsidR="00555B57">
              <w:rPr>
                <w:rFonts w:cs="Times New Roman"/>
                <w:sz w:val="24"/>
                <w:szCs w:val="24"/>
              </w:rPr>
              <w:t>valsts sabiedrība ar ierobežotu atbildību “Autotransporta direkcija” (turpmāk – ATD)</w:t>
            </w:r>
            <w:r w:rsidRPr="00926EDD" w:rsidR="00555B57">
              <w:rPr>
                <w:rFonts w:cs="Times New Roman"/>
                <w:sz w:val="24"/>
                <w:szCs w:val="24"/>
              </w:rPr>
              <w:t xml:space="preserve"> </w:t>
            </w:r>
            <w:r w:rsidRPr="00926EDD">
              <w:rPr>
                <w:rFonts w:cs="Times New Roman"/>
                <w:sz w:val="24"/>
                <w:szCs w:val="24"/>
              </w:rPr>
              <w:t>organizē eksāmenus un izsniedz autopārvadājumu vadītāja profesionālās kompetences sertifikātus</w:t>
            </w:r>
            <w:r>
              <w:rPr>
                <w:rFonts w:cs="Times New Roman"/>
                <w:sz w:val="24"/>
                <w:szCs w:val="24"/>
              </w:rPr>
              <w:t>.</w:t>
            </w:r>
          </w:p>
          <w:p w:rsidRPr="00E151F1" w:rsidR="004E7039" w:rsidP="00500C6E" w:rsidRDefault="004E7039" w14:paraId="51D1A0E2" w14:textId="50988AA1">
            <w:pPr>
              <w:ind w:firstLine="0"/>
              <w:jc w:val="both"/>
              <w:rPr>
                <w:rFonts w:eastAsia="Times New Roman"/>
                <w:iCs/>
                <w:sz w:val="24"/>
                <w:szCs w:val="24"/>
                <w:lang w:eastAsia="lv-LV"/>
              </w:rPr>
            </w:pPr>
            <w:r>
              <w:rPr>
                <w:sz w:val="24"/>
                <w:szCs w:val="24"/>
              </w:rPr>
              <w:t>Noteikumi</w:t>
            </w:r>
            <w:r w:rsidRPr="00083F13">
              <w:rPr>
                <w:sz w:val="24"/>
                <w:szCs w:val="24"/>
              </w:rPr>
              <w:t xml:space="preserve"> stāsies spēkā Oficiālo publikāciju un tiesiskās informācijas likumā noteiktā vispārējā kārtībā.</w:t>
            </w:r>
          </w:p>
        </w:tc>
      </w:tr>
    </w:tbl>
    <w:p w:rsidRPr="00E151F1" w:rsidR="001A608F" w:rsidP="003D6F09" w:rsidRDefault="001A608F" w14:paraId="4E516475" w14:textId="77777777">
      <w:pPr>
        <w:ind w:firstLine="0"/>
        <w:jc w:val="center"/>
        <w:rPr>
          <w:b/>
          <w:bCs/>
          <w:sz w:val="24"/>
          <w:szCs w:val="24"/>
        </w:rPr>
      </w:pPr>
    </w:p>
    <w:tbl>
      <w:tblPr>
        <w:tblStyle w:val="TableGrid"/>
        <w:tblpPr w:leftFromText="180" w:rightFromText="180" w:vertAnchor="text" w:tblpY="1"/>
        <w:tblOverlap w:val="never"/>
        <w:tblW w:w="5000" w:type="pct"/>
        <w:tblLook w:val="04A0" w:firstRow="1" w:lastRow="0" w:firstColumn="1" w:lastColumn="0" w:noHBand="0" w:noVBand="1"/>
      </w:tblPr>
      <w:tblGrid>
        <w:gridCol w:w="453"/>
        <w:gridCol w:w="2809"/>
        <w:gridCol w:w="5799"/>
      </w:tblGrid>
      <w:tr w:rsidRPr="00E151F1" w:rsidR="003D6F09" w:rsidTr="00811F0E" w14:paraId="2C02F642" w14:textId="77777777">
        <w:trPr>
          <w:trHeight w:val="405"/>
        </w:trPr>
        <w:tc>
          <w:tcPr>
            <w:tcW w:w="0" w:type="auto"/>
            <w:gridSpan w:val="3"/>
            <w:hideMark/>
          </w:tcPr>
          <w:p w:rsidRPr="00E151F1" w:rsidR="003D6F09" w:rsidP="00D63DBB" w:rsidRDefault="003D6F09" w14:paraId="2387CE52" w14:textId="77777777">
            <w:pPr>
              <w:ind w:firstLine="0"/>
              <w:jc w:val="center"/>
              <w:rPr>
                <w:b/>
                <w:bCs/>
                <w:sz w:val="24"/>
                <w:szCs w:val="24"/>
              </w:rPr>
            </w:pPr>
            <w:r w:rsidRPr="00E151F1">
              <w:rPr>
                <w:b/>
                <w:bCs/>
                <w:sz w:val="24"/>
                <w:szCs w:val="24"/>
              </w:rPr>
              <w:t>I. Tiesību akta projekta izstrādes nepieciešamība</w:t>
            </w:r>
          </w:p>
        </w:tc>
      </w:tr>
      <w:tr w:rsidRPr="00E151F1" w:rsidR="003D6F09" w:rsidTr="00811F0E" w14:paraId="48F5F113" w14:textId="77777777">
        <w:trPr>
          <w:trHeight w:val="405"/>
        </w:trPr>
        <w:tc>
          <w:tcPr>
            <w:tcW w:w="247" w:type="pct"/>
            <w:hideMark/>
          </w:tcPr>
          <w:p w:rsidRPr="00E151F1" w:rsidR="003D6F09" w:rsidP="00811F0E" w:rsidRDefault="003D6F09" w14:paraId="08AE0CFC" w14:textId="77777777">
            <w:pPr>
              <w:ind w:firstLine="0"/>
              <w:rPr>
                <w:sz w:val="24"/>
                <w:szCs w:val="24"/>
              </w:rPr>
            </w:pPr>
            <w:r w:rsidRPr="00E151F1">
              <w:rPr>
                <w:sz w:val="24"/>
                <w:szCs w:val="24"/>
              </w:rPr>
              <w:t>1.</w:t>
            </w:r>
          </w:p>
        </w:tc>
        <w:tc>
          <w:tcPr>
            <w:tcW w:w="1530" w:type="pct"/>
            <w:hideMark/>
          </w:tcPr>
          <w:p w:rsidRPr="00E151F1" w:rsidR="003D6F09" w:rsidP="00811F0E" w:rsidRDefault="003D6F09" w14:paraId="1834CC35" w14:textId="77777777">
            <w:pPr>
              <w:ind w:firstLine="0"/>
              <w:rPr>
                <w:sz w:val="24"/>
                <w:szCs w:val="24"/>
              </w:rPr>
            </w:pPr>
            <w:r w:rsidRPr="00E151F1">
              <w:rPr>
                <w:sz w:val="24"/>
                <w:szCs w:val="24"/>
              </w:rPr>
              <w:t>Pamatojums</w:t>
            </w:r>
          </w:p>
        </w:tc>
        <w:tc>
          <w:tcPr>
            <w:tcW w:w="3159" w:type="pct"/>
            <w:hideMark/>
          </w:tcPr>
          <w:p w:rsidRPr="00E151F1" w:rsidR="00783547" w:rsidP="00783547" w:rsidRDefault="00783547" w14:paraId="3C8ACA9F" w14:textId="070B1211">
            <w:pPr>
              <w:ind w:firstLine="0"/>
              <w:jc w:val="both"/>
              <w:rPr>
                <w:iCs/>
                <w:sz w:val="24"/>
                <w:szCs w:val="24"/>
              </w:rPr>
            </w:pPr>
            <w:r w:rsidRPr="00E151F1">
              <w:rPr>
                <w:sz w:val="24"/>
                <w:szCs w:val="24"/>
              </w:rPr>
              <w:t xml:space="preserve">1) Autopārvadājumu likuma </w:t>
            </w:r>
            <w:r w:rsidRPr="00E151F1">
              <w:rPr>
                <w:iCs/>
                <w:sz w:val="24"/>
                <w:szCs w:val="24"/>
              </w:rPr>
              <w:t>5.</w:t>
            </w:r>
            <w:r w:rsidRPr="00E151F1">
              <w:rPr>
                <w:iCs/>
                <w:sz w:val="24"/>
                <w:szCs w:val="24"/>
                <w:vertAlign w:val="superscript"/>
              </w:rPr>
              <w:t>1</w:t>
            </w:r>
            <w:r w:rsidRPr="00E151F1">
              <w:rPr>
                <w:iCs/>
                <w:sz w:val="24"/>
                <w:szCs w:val="24"/>
              </w:rPr>
              <w:t xml:space="preserve"> panta pirmās daļas 14. un 15. punkts, </w:t>
            </w:r>
            <w:r w:rsidRPr="00783547">
              <w:rPr>
                <w:iCs/>
                <w:sz w:val="24"/>
                <w:szCs w:val="24"/>
              </w:rPr>
              <w:t>6.panta ceturt</w:t>
            </w:r>
            <w:r w:rsidRPr="00E151F1">
              <w:rPr>
                <w:iCs/>
                <w:sz w:val="24"/>
                <w:szCs w:val="24"/>
              </w:rPr>
              <w:t>ā</w:t>
            </w:r>
            <w:r w:rsidRPr="00783547">
              <w:rPr>
                <w:iCs/>
                <w:sz w:val="24"/>
                <w:szCs w:val="24"/>
              </w:rPr>
              <w:t xml:space="preserve"> un sest</w:t>
            </w:r>
            <w:r w:rsidRPr="00E151F1">
              <w:rPr>
                <w:iCs/>
                <w:sz w:val="24"/>
                <w:szCs w:val="24"/>
              </w:rPr>
              <w:t>ā</w:t>
            </w:r>
            <w:r w:rsidRPr="00783547">
              <w:rPr>
                <w:iCs/>
                <w:sz w:val="24"/>
                <w:szCs w:val="24"/>
              </w:rPr>
              <w:t xml:space="preserve"> daļ</w:t>
            </w:r>
            <w:r w:rsidRPr="00E151F1">
              <w:rPr>
                <w:iCs/>
                <w:sz w:val="24"/>
                <w:szCs w:val="24"/>
              </w:rPr>
              <w:t>a</w:t>
            </w:r>
            <w:r w:rsidRPr="00783547">
              <w:rPr>
                <w:iCs/>
                <w:sz w:val="24"/>
                <w:szCs w:val="24"/>
              </w:rPr>
              <w:t xml:space="preserve">, </w:t>
            </w:r>
            <w:r w:rsidRPr="00E151F1">
              <w:rPr>
                <w:iCs/>
                <w:sz w:val="24"/>
                <w:szCs w:val="24"/>
              </w:rPr>
              <w:t>30.panta piektā un septītā daļa</w:t>
            </w:r>
            <w:r w:rsidR="00555B57">
              <w:rPr>
                <w:iCs/>
                <w:sz w:val="24"/>
                <w:szCs w:val="24"/>
              </w:rPr>
              <w:t>;</w:t>
            </w:r>
          </w:p>
          <w:p w:rsidRPr="00E151F1" w:rsidR="00415B84" w:rsidP="00811F0E" w:rsidRDefault="00783547" w14:paraId="338C0689" w14:textId="4EC0C5E8">
            <w:pPr>
              <w:ind w:firstLine="0"/>
              <w:jc w:val="both"/>
              <w:rPr>
                <w:sz w:val="24"/>
                <w:szCs w:val="24"/>
              </w:rPr>
            </w:pPr>
            <w:r w:rsidRPr="00E151F1">
              <w:rPr>
                <w:sz w:val="24"/>
                <w:szCs w:val="24"/>
              </w:rPr>
              <w:t xml:space="preserve">2) </w:t>
            </w:r>
            <w:r w:rsidRPr="007B4534" w:rsidR="007B4534">
              <w:rPr>
                <w:sz w:val="24"/>
                <w:szCs w:val="24"/>
              </w:rPr>
              <w:t xml:space="preserve">2018.gada 21.februāra </w:t>
            </w:r>
            <w:r w:rsidRPr="00E151F1" w:rsidR="00651020">
              <w:rPr>
                <w:sz w:val="24"/>
                <w:szCs w:val="24"/>
              </w:rPr>
              <w:t>Iekšējā</w:t>
            </w:r>
            <w:r w:rsidRPr="007B4534" w:rsidR="007B4534">
              <w:rPr>
                <w:sz w:val="24"/>
                <w:szCs w:val="24"/>
              </w:rPr>
              <w:t xml:space="preserve"> audita Nr.05-01/2017/03-SM </w:t>
            </w:r>
            <w:bookmarkStart w:name="_Hlk506993770" w:id="2"/>
            <w:r w:rsidRPr="007B4534" w:rsidR="007B4534">
              <w:rPr>
                <w:sz w:val="24"/>
                <w:szCs w:val="24"/>
              </w:rPr>
              <w:t xml:space="preserve">Valsts pārvaldes pakalpojumu audits </w:t>
            </w:r>
            <w:r w:rsidRPr="00E151F1" w:rsidR="0043695C">
              <w:rPr>
                <w:sz w:val="24"/>
                <w:szCs w:val="24"/>
              </w:rPr>
              <w:t xml:space="preserve"> </w:t>
            </w:r>
            <w:r w:rsidRPr="007B4534" w:rsidR="007B4534">
              <w:rPr>
                <w:sz w:val="24"/>
                <w:szCs w:val="24"/>
              </w:rPr>
              <w:t>Satiksmes ministrijas kapitālsabiedrībā -</w:t>
            </w:r>
            <w:r w:rsidRPr="00E151F1" w:rsidR="0043695C">
              <w:rPr>
                <w:sz w:val="24"/>
                <w:szCs w:val="24"/>
              </w:rPr>
              <w:t>Valsts</w:t>
            </w:r>
            <w:r w:rsidRPr="007B4534" w:rsidR="007B4534">
              <w:rPr>
                <w:sz w:val="24"/>
                <w:szCs w:val="24"/>
              </w:rPr>
              <w:t xml:space="preserve"> sabiedrība ar ierobežotu atbildību “Autotransporta direkcija</w:t>
            </w:r>
            <w:r w:rsidRPr="00E151F1" w:rsidR="0043695C">
              <w:rPr>
                <w:sz w:val="24"/>
                <w:szCs w:val="24"/>
              </w:rPr>
              <w:t>”</w:t>
            </w:r>
            <w:r w:rsidRPr="00E151F1" w:rsidR="00651020">
              <w:rPr>
                <w:sz w:val="24"/>
                <w:szCs w:val="24"/>
              </w:rPr>
              <w:t xml:space="preserve"> </w:t>
            </w:r>
            <w:bookmarkEnd w:id="2"/>
            <w:r w:rsidRPr="00E151F1" w:rsidR="000E64FC">
              <w:rPr>
                <w:sz w:val="24"/>
                <w:szCs w:val="24"/>
              </w:rPr>
              <w:t>ziņojum</w:t>
            </w:r>
            <w:r w:rsidRPr="00E151F1" w:rsidR="004538FD">
              <w:rPr>
                <w:sz w:val="24"/>
                <w:szCs w:val="24"/>
              </w:rPr>
              <w:t>ā ietvertās rekomendācijas</w:t>
            </w:r>
            <w:r w:rsidR="00555B57">
              <w:rPr>
                <w:sz w:val="24"/>
                <w:szCs w:val="24"/>
              </w:rPr>
              <w:t>;</w:t>
            </w:r>
          </w:p>
          <w:p w:rsidRPr="00E151F1" w:rsidR="00783547" w:rsidP="00811F0E" w:rsidRDefault="00783547" w14:paraId="1DE38845" w14:textId="77777777">
            <w:pPr>
              <w:ind w:firstLine="0"/>
              <w:jc w:val="both"/>
              <w:rPr>
                <w:sz w:val="24"/>
                <w:szCs w:val="24"/>
              </w:rPr>
            </w:pPr>
            <w:r w:rsidRPr="00E151F1">
              <w:rPr>
                <w:sz w:val="24"/>
                <w:szCs w:val="24"/>
              </w:rPr>
              <w:t>3) Eiropas Parlamenta un Padomes 2009.gada 21.oktobra Regula (EK) Nr. 1071/2009, ar ko nosaka kopīgus noteikumus par autopārvadātāja profesionālās darbības veikšanas nosacījumiem un atceļ Padomes Direktīvu 96/26/EK (turpmāk – regula Nr. 1071/2009);</w:t>
            </w:r>
          </w:p>
          <w:p w:rsidRPr="00E151F1" w:rsidR="00783547" w:rsidP="00811F0E" w:rsidRDefault="00783547" w14:paraId="3CEF7205" w14:textId="065A05C5">
            <w:pPr>
              <w:ind w:firstLine="0"/>
              <w:jc w:val="both"/>
              <w:rPr>
                <w:sz w:val="24"/>
                <w:szCs w:val="24"/>
                <w:highlight w:val="yellow"/>
              </w:rPr>
            </w:pPr>
            <w:r w:rsidRPr="00E151F1">
              <w:rPr>
                <w:sz w:val="24"/>
                <w:szCs w:val="24"/>
              </w:rPr>
              <w:t>4) Komisijas 2016.gada 18.marta Regula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 (turpmāk – regula Nr. 2016/403)</w:t>
            </w:r>
            <w:r w:rsidR="00555B57">
              <w:rPr>
                <w:sz w:val="24"/>
                <w:szCs w:val="24"/>
              </w:rPr>
              <w:t>.</w:t>
            </w:r>
          </w:p>
        </w:tc>
      </w:tr>
      <w:tr w:rsidRPr="00E151F1" w:rsidR="003D6F09" w:rsidTr="00811F0E" w14:paraId="3668FCD5" w14:textId="77777777">
        <w:trPr>
          <w:trHeight w:val="465"/>
        </w:trPr>
        <w:tc>
          <w:tcPr>
            <w:tcW w:w="247" w:type="pct"/>
            <w:hideMark/>
          </w:tcPr>
          <w:p w:rsidRPr="00E151F1" w:rsidR="003D6F09" w:rsidP="00811F0E" w:rsidRDefault="003D6F09" w14:paraId="1E2E35C7" w14:textId="77777777">
            <w:pPr>
              <w:ind w:firstLine="0"/>
              <w:rPr>
                <w:sz w:val="24"/>
                <w:szCs w:val="24"/>
              </w:rPr>
            </w:pPr>
            <w:r w:rsidRPr="00E151F1">
              <w:rPr>
                <w:sz w:val="24"/>
                <w:szCs w:val="24"/>
              </w:rPr>
              <w:t>2.</w:t>
            </w:r>
          </w:p>
        </w:tc>
        <w:tc>
          <w:tcPr>
            <w:tcW w:w="1530" w:type="pct"/>
            <w:hideMark/>
          </w:tcPr>
          <w:p w:rsidR="003D6F09" w:rsidP="00811F0E" w:rsidRDefault="003D6F09" w14:paraId="752B19DC" w14:textId="77777777">
            <w:pPr>
              <w:ind w:firstLine="0"/>
              <w:rPr>
                <w:sz w:val="24"/>
                <w:szCs w:val="24"/>
              </w:rPr>
            </w:pPr>
            <w:r w:rsidRPr="00E151F1">
              <w:rPr>
                <w:sz w:val="24"/>
                <w:szCs w:val="24"/>
              </w:rPr>
              <w:t xml:space="preserve">Pašreizējā situācija un problēmas, kuru risināšanai tiesību akta projekts izstrādāts, tiesiskā </w:t>
            </w:r>
            <w:r w:rsidRPr="00E151F1">
              <w:rPr>
                <w:sz w:val="24"/>
                <w:szCs w:val="24"/>
              </w:rPr>
              <w:lastRenderedPageBreak/>
              <w:t>regulējuma mērķis un būtība</w:t>
            </w:r>
          </w:p>
          <w:p w:rsidRPr="00AE742B" w:rsidR="00AE742B" w:rsidP="00AE742B" w:rsidRDefault="00AE742B" w14:paraId="45A98D52" w14:textId="77777777">
            <w:pPr>
              <w:rPr>
                <w:sz w:val="24"/>
                <w:szCs w:val="24"/>
              </w:rPr>
            </w:pPr>
          </w:p>
          <w:p w:rsidRPr="00AE742B" w:rsidR="00AE742B" w:rsidP="00AE742B" w:rsidRDefault="00AE742B" w14:paraId="3EAED54F" w14:textId="77777777">
            <w:pPr>
              <w:rPr>
                <w:sz w:val="24"/>
                <w:szCs w:val="24"/>
              </w:rPr>
            </w:pPr>
          </w:p>
          <w:p w:rsidRPr="00AE742B" w:rsidR="00AE742B" w:rsidP="00AE742B" w:rsidRDefault="00AE742B" w14:paraId="53FEBE73" w14:textId="77777777">
            <w:pPr>
              <w:rPr>
                <w:sz w:val="24"/>
                <w:szCs w:val="24"/>
              </w:rPr>
            </w:pPr>
          </w:p>
          <w:p w:rsidRPr="00AE742B" w:rsidR="00AE742B" w:rsidP="00AE742B" w:rsidRDefault="00AE742B" w14:paraId="33D829CE" w14:textId="77777777">
            <w:pPr>
              <w:rPr>
                <w:sz w:val="24"/>
                <w:szCs w:val="24"/>
              </w:rPr>
            </w:pPr>
          </w:p>
          <w:p w:rsidRPr="00AE742B" w:rsidR="00AE742B" w:rsidP="00AE742B" w:rsidRDefault="00AE742B" w14:paraId="56256C3F" w14:textId="77777777">
            <w:pPr>
              <w:rPr>
                <w:sz w:val="24"/>
                <w:szCs w:val="24"/>
              </w:rPr>
            </w:pPr>
          </w:p>
          <w:p w:rsidRPr="00AE742B" w:rsidR="00AE742B" w:rsidP="00AE742B" w:rsidRDefault="00AE742B" w14:paraId="1C357E65" w14:textId="77777777">
            <w:pPr>
              <w:rPr>
                <w:sz w:val="24"/>
                <w:szCs w:val="24"/>
              </w:rPr>
            </w:pPr>
          </w:p>
          <w:p w:rsidRPr="00AE742B" w:rsidR="00AE742B" w:rsidP="00AE742B" w:rsidRDefault="00AE742B" w14:paraId="4004C0BC" w14:textId="77777777">
            <w:pPr>
              <w:rPr>
                <w:sz w:val="24"/>
                <w:szCs w:val="24"/>
              </w:rPr>
            </w:pPr>
          </w:p>
          <w:p w:rsidRPr="00AE742B" w:rsidR="00AE742B" w:rsidP="00AE742B" w:rsidRDefault="00AE742B" w14:paraId="1729A970" w14:textId="77777777">
            <w:pPr>
              <w:rPr>
                <w:sz w:val="24"/>
                <w:szCs w:val="24"/>
              </w:rPr>
            </w:pPr>
          </w:p>
          <w:p w:rsidRPr="00AE742B" w:rsidR="00AE742B" w:rsidP="00AE742B" w:rsidRDefault="00AE742B" w14:paraId="610A3321" w14:textId="77777777">
            <w:pPr>
              <w:rPr>
                <w:sz w:val="24"/>
                <w:szCs w:val="24"/>
              </w:rPr>
            </w:pPr>
          </w:p>
          <w:p w:rsidRPr="00AE742B" w:rsidR="00AE742B" w:rsidP="00AE742B" w:rsidRDefault="00AE742B" w14:paraId="5ECF6E40" w14:textId="77777777">
            <w:pPr>
              <w:rPr>
                <w:sz w:val="24"/>
                <w:szCs w:val="24"/>
              </w:rPr>
            </w:pPr>
          </w:p>
          <w:p w:rsidRPr="00AE742B" w:rsidR="00AE742B" w:rsidP="00AE742B" w:rsidRDefault="00AE742B" w14:paraId="6E9AA8D1" w14:textId="77777777">
            <w:pPr>
              <w:rPr>
                <w:sz w:val="24"/>
                <w:szCs w:val="24"/>
              </w:rPr>
            </w:pPr>
          </w:p>
          <w:p w:rsidRPr="00AE742B" w:rsidR="00AE742B" w:rsidP="00AE742B" w:rsidRDefault="00AE742B" w14:paraId="6AD640DB" w14:textId="77777777">
            <w:pPr>
              <w:rPr>
                <w:sz w:val="24"/>
                <w:szCs w:val="24"/>
              </w:rPr>
            </w:pPr>
          </w:p>
          <w:p w:rsidRPr="00AE742B" w:rsidR="00AE742B" w:rsidP="00AE742B" w:rsidRDefault="00AE742B" w14:paraId="13E63EB3" w14:textId="77777777">
            <w:pPr>
              <w:rPr>
                <w:sz w:val="24"/>
                <w:szCs w:val="24"/>
              </w:rPr>
            </w:pPr>
          </w:p>
          <w:p w:rsidRPr="00AE742B" w:rsidR="00AE742B" w:rsidP="00AE742B" w:rsidRDefault="00AE742B" w14:paraId="3702FEF9" w14:textId="77777777">
            <w:pPr>
              <w:rPr>
                <w:sz w:val="24"/>
                <w:szCs w:val="24"/>
              </w:rPr>
            </w:pPr>
          </w:p>
          <w:p w:rsidRPr="00AE742B" w:rsidR="00AE742B" w:rsidP="00AE742B" w:rsidRDefault="00AE742B" w14:paraId="543F80E2" w14:textId="77777777">
            <w:pPr>
              <w:rPr>
                <w:sz w:val="24"/>
                <w:szCs w:val="24"/>
              </w:rPr>
            </w:pPr>
          </w:p>
          <w:p w:rsidRPr="00AE742B" w:rsidR="00AE742B" w:rsidP="00AE742B" w:rsidRDefault="00AE742B" w14:paraId="728F2022" w14:textId="77777777">
            <w:pPr>
              <w:rPr>
                <w:sz w:val="24"/>
                <w:szCs w:val="24"/>
              </w:rPr>
            </w:pPr>
          </w:p>
          <w:p w:rsidRPr="00AE742B" w:rsidR="00AE742B" w:rsidP="00AE742B" w:rsidRDefault="00AE742B" w14:paraId="1B060B33" w14:textId="77777777">
            <w:pPr>
              <w:rPr>
                <w:sz w:val="24"/>
                <w:szCs w:val="24"/>
              </w:rPr>
            </w:pPr>
          </w:p>
          <w:p w:rsidRPr="00AE742B" w:rsidR="00AE742B" w:rsidP="00AE742B" w:rsidRDefault="00AE742B" w14:paraId="5D246795" w14:textId="77777777">
            <w:pPr>
              <w:rPr>
                <w:sz w:val="24"/>
                <w:szCs w:val="24"/>
              </w:rPr>
            </w:pPr>
          </w:p>
          <w:p w:rsidRPr="00AE742B" w:rsidR="00AE742B" w:rsidP="00AE742B" w:rsidRDefault="00AE742B" w14:paraId="09ABFAC1" w14:textId="77777777">
            <w:pPr>
              <w:rPr>
                <w:sz w:val="24"/>
                <w:szCs w:val="24"/>
              </w:rPr>
            </w:pPr>
          </w:p>
          <w:p w:rsidRPr="00AE742B" w:rsidR="00AE742B" w:rsidP="00AE742B" w:rsidRDefault="00AE742B" w14:paraId="3B3F0D7F" w14:textId="77777777">
            <w:pPr>
              <w:rPr>
                <w:sz w:val="24"/>
                <w:szCs w:val="24"/>
              </w:rPr>
            </w:pPr>
          </w:p>
          <w:p w:rsidRPr="00AE742B" w:rsidR="00AE742B" w:rsidP="00AE742B" w:rsidRDefault="00AE742B" w14:paraId="72EB95A6" w14:textId="77777777">
            <w:pPr>
              <w:rPr>
                <w:sz w:val="24"/>
                <w:szCs w:val="24"/>
              </w:rPr>
            </w:pPr>
          </w:p>
          <w:p w:rsidRPr="00AE742B" w:rsidR="00AE742B" w:rsidP="00AE742B" w:rsidRDefault="00AE742B" w14:paraId="6780C7FA" w14:textId="77777777">
            <w:pPr>
              <w:rPr>
                <w:sz w:val="24"/>
                <w:szCs w:val="24"/>
              </w:rPr>
            </w:pPr>
          </w:p>
          <w:p w:rsidRPr="00AE742B" w:rsidR="00AE742B" w:rsidP="00AE742B" w:rsidRDefault="00AE742B" w14:paraId="44DB8DFD" w14:textId="77777777">
            <w:pPr>
              <w:rPr>
                <w:sz w:val="24"/>
                <w:szCs w:val="24"/>
              </w:rPr>
            </w:pPr>
          </w:p>
          <w:p w:rsidRPr="00AE742B" w:rsidR="00AE742B" w:rsidP="00AE742B" w:rsidRDefault="00AE742B" w14:paraId="5FAE076E" w14:textId="77777777">
            <w:pPr>
              <w:rPr>
                <w:sz w:val="24"/>
                <w:szCs w:val="24"/>
              </w:rPr>
            </w:pPr>
          </w:p>
          <w:p w:rsidRPr="00AE742B" w:rsidR="00AE742B" w:rsidP="00AE742B" w:rsidRDefault="00AE742B" w14:paraId="25147511" w14:textId="77777777">
            <w:pPr>
              <w:rPr>
                <w:sz w:val="24"/>
                <w:szCs w:val="24"/>
              </w:rPr>
            </w:pPr>
          </w:p>
          <w:p w:rsidRPr="00AE742B" w:rsidR="00AE742B" w:rsidP="00AE742B" w:rsidRDefault="00AE742B" w14:paraId="383AD8A8" w14:textId="77777777">
            <w:pPr>
              <w:rPr>
                <w:sz w:val="24"/>
                <w:szCs w:val="24"/>
              </w:rPr>
            </w:pPr>
          </w:p>
          <w:p w:rsidRPr="00AE742B" w:rsidR="00AE742B" w:rsidP="00AE742B" w:rsidRDefault="00AE742B" w14:paraId="5AA8388A" w14:textId="77777777">
            <w:pPr>
              <w:rPr>
                <w:sz w:val="24"/>
                <w:szCs w:val="24"/>
              </w:rPr>
            </w:pPr>
          </w:p>
          <w:p w:rsidRPr="00AE742B" w:rsidR="00AE742B" w:rsidP="00AE742B" w:rsidRDefault="00AE742B" w14:paraId="18A7FBB1" w14:textId="77777777">
            <w:pPr>
              <w:rPr>
                <w:sz w:val="24"/>
                <w:szCs w:val="24"/>
              </w:rPr>
            </w:pPr>
          </w:p>
          <w:p w:rsidRPr="00AE742B" w:rsidR="00AE742B" w:rsidP="00AE742B" w:rsidRDefault="00AE742B" w14:paraId="70EB1944" w14:textId="77777777">
            <w:pPr>
              <w:rPr>
                <w:sz w:val="24"/>
                <w:szCs w:val="24"/>
              </w:rPr>
            </w:pPr>
          </w:p>
          <w:p w:rsidRPr="00AE742B" w:rsidR="00AE742B" w:rsidP="00AE742B" w:rsidRDefault="00AE742B" w14:paraId="43073B34" w14:textId="77777777">
            <w:pPr>
              <w:rPr>
                <w:sz w:val="24"/>
                <w:szCs w:val="24"/>
              </w:rPr>
            </w:pPr>
          </w:p>
          <w:p w:rsidRPr="00AE742B" w:rsidR="00AE742B" w:rsidP="00AE742B" w:rsidRDefault="00AE742B" w14:paraId="7DD26363" w14:textId="77777777">
            <w:pPr>
              <w:rPr>
                <w:sz w:val="24"/>
                <w:szCs w:val="24"/>
              </w:rPr>
            </w:pPr>
          </w:p>
          <w:p w:rsidRPr="00AE742B" w:rsidR="00AE742B" w:rsidP="00AE742B" w:rsidRDefault="00AE742B" w14:paraId="10041EC1" w14:textId="77777777">
            <w:pPr>
              <w:rPr>
                <w:sz w:val="24"/>
                <w:szCs w:val="24"/>
              </w:rPr>
            </w:pPr>
          </w:p>
          <w:p w:rsidRPr="00AE742B" w:rsidR="00AE742B" w:rsidP="00AE742B" w:rsidRDefault="00AE742B" w14:paraId="2668E197" w14:textId="77777777">
            <w:pPr>
              <w:rPr>
                <w:sz w:val="24"/>
                <w:szCs w:val="24"/>
              </w:rPr>
            </w:pPr>
          </w:p>
          <w:p w:rsidRPr="00AE742B" w:rsidR="00AE742B" w:rsidP="00AE742B" w:rsidRDefault="00AE742B" w14:paraId="2D078298" w14:textId="77777777">
            <w:pPr>
              <w:rPr>
                <w:sz w:val="24"/>
                <w:szCs w:val="24"/>
              </w:rPr>
            </w:pPr>
          </w:p>
          <w:p w:rsidRPr="00AE742B" w:rsidR="00AE742B" w:rsidP="00AE742B" w:rsidRDefault="00AE742B" w14:paraId="207E7165" w14:textId="77777777">
            <w:pPr>
              <w:rPr>
                <w:sz w:val="24"/>
                <w:szCs w:val="24"/>
              </w:rPr>
            </w:pPr>
          </w:p>
          <w:p w:rsidRPr="00AE742B" w:rsidR="00AE742B" w:rsidP="00AE742B" w:rsidRDefault="00AE742B" w14:paraId="46EBDDA4" w14:textId="77777777">
            <w:pPr>
              <w:rPr>
                <w:sz w:val="24"/>
                <w:szCs w:val="24"/>
              </w:rPr>
            </w:pPr>
          </w:p>
          <w:p w:rsidRPr="00AE742B" w:rsidR="00AE742B" w:rsidP="00AE742B" w:rsidRDefault="00AE742B" w14:paraId="37FB328A" w14:textId="77777777">
            <w:pPr>
              <w:rPr>
                <w:sz w:val="24"/>
                <w:szCs w:val="24"/>
              </w:rPr>
            </w:pPr>
          </w:p>
          <w:p w:rsidRPr="00AE742B" w:rsidR="00AE742B" w:rsidP="00AE742B" w:rsidRDefault="00AE742B" w14:paraId="24246AF0" w14:textId="77777777">
            <w:pPr>
              <w:rPr>
                <w:sz w:val="24"/>
                <w:szCs w:val="24"/>
              </w:rPr>
            </w:pPr>
          </w:p>
          <w:p w:rsidRPr="00AE742B" w:rsidR="00AE742B" w:rsidP="00AE742B" w:rsidRDefault="00AE742B" w14:paraId="0E64E1DF" w14:textId="77777777">
            <w:pPr>
              <w:rPr>
                <w:sz w:val="24"/>
                <w:szCs w:val="24"/>
              </w:rPr>
            </w:pPr>
          </w:p>
          <w:p w:rsidRPr="00AE742B" w:rsidR="00AE742B" w:rsidP="00AE742B" w:rsidRDefault="00AE742B" w14:paraId="7BC563A3" w14:textId="77777777">
            <w:pPr>
              <w:rPr>
                <w:sz w:val="24"/>
                <w:szCs w:val="24"/>
              </w:rPr>
            </w:pPr>
          </w:p>
          <w:p w:rsidRPr="00AE742B" w:rsidR="00AE742B" w:rsidP="00AE742B" w:rsidRDefault="00AE742B" w14:paraId="49266384" w14:textId="77777777">
            <w:pPr>
              <w:rPr>
                <w:sz w:val="24"/>
                <w:szCs w:val="24"/>
              </w:rPr>
            </w:pPr>
          </w:p>
          <w:p w:rsidRPr="00AE742B" w:rsidR="00AE742B" w:rsidP="00AE742B" w:rsidRDefault="00AE742B" w14:paraId="6F1E2CD3" w14:textId="77777777">
            <w:pPr>
              <w:rPr>
                <w:sz w:val="24"/>
                <w:szCs w:val="24"/>
              </w:rPr>
            </w:pPr>
          </w:p>
          <w:p w:rsidRPr="00AE742B" w:rsidR="00AE742B" w:rsidP="00AE742B" w:rsidRDefault="00AE742B" w14:paraId="6FBF1ADD" w14:textId="77777777">
            <w:pPr>
              <w:rPr>
                <w:sz w:val="24"/>
                <w:szCs w:val="24"/>
              </w:rPr>
            </w:pPr>
          </w:p>
          <w:p w:rsidRPr="00AE742B" w:rsidR="00AE742B" w:rsidP="00AE742B" w:rsidRDefault="00AE742B" w14:paraId="08420ED2" w14:textId="77777777">
            <w:pPr>
              <w:rPr>
                <w:sz w:val="24"/>
                <w:szCs w:val="24"/>
              </w:rPr>
            </w:pPr>
          </w:p>
          <w:p w:rsidRPr="00AE742B" w:rsidR="00AE742B" w:rsidP="00AE742B" w:rsidRDefault="00AE742B" w14:paraId="3D34D212" w14:textId="77777777">
            <w:pPr>
              <w:rPr>
                <w:sz w:val="24"/>
                <w:szCs w:val="24"/>
              </w:rPr>
            </w:pPr>
          </w:p>
          <w:p w:rsidR="00AE742B" w:rsidP="00AE742B" w:rsidRDefault="00AE742B" w14:paraId="796E0005" w14:textId="77777777">
            <w:pPr>
              <w:rPr>
                <w:sz w:val="24"/>
                <w:szCs w:val="24"/>
              </w:rPr>
            </w:pPr>
          </w:p>
          <w:p w:rsidRPr="00AE742B" w:rsidR="00AE742B" w:rsidP="00AE742B" w:rsidRDefault="00AE742B" w14:paraId="0651F87F" w14:textId="77777777">
            <w:pPr>
              <w:rPr>
                <w:sz w:val="24"/>
                <w:szCs w:val="24"/>
              </w:rPr>
            </w:pPr>
          </w:p>
          <w:p w:rsidRPr="00AE742B" w:rsidR="00AE742B" w:rsidP="00AE742B" w:rsidRDefault="00AE742B" w14:paraId="2E231CBC" w14:textId="77777777">
            <w:pPr>
              <w:rPr>
                <w:sz w:val="24"/>
                <w:szCs w:val="24"/>
              </w:rPr>
            </w:pPr>
          </w:p>
          <w:p w:rsidRPr="00AE742B" w:rsidR="00AE742B" w:rsidP="00AE742B" w:rsidRDefault="00AE742B" w14:paraId="16543A55" w14:textId="77777777">
            <w:pPr>
              <w:rPr>
                <w:sz w:val="24"/>
                <w:szCs w:val="24"/>
              </w:rPr>
            </w:pPr>
          </w:p>
          <w:p w:rsidRPr="00AE742B" w:rsidR="00AE742B" w:rsidP="00AE742B" w:rsidRDefault="00AE742B" w14:paraId="6DD1DEE5" w14:textId="14121FA2">
            <w:pPr>
              <w:rPr>
                <w:sz w:val="24"/>
                <w:szCs w:val="24"/>
              </w:rPr>
            </w:pPr>
          </w:p>
        </w:tc>
        <w:tc>
          <w:tcPr>
            <w:tcW w:w="3159" w:type="pct"/>
            <w:hideMark/>
          </w:tcPr>
          <w:p w:rsidRPr="00E15D2A" w:rsidR="004604F7" w:rsidP="00811F0E" w:rsidRDefault="00E15D2A" w14:paraId="2760DB99" w14:textId="246A92C1">
            <w:pPr>
              <w:ind w:firstLine="0"/>
              <w:jc w:val="both"/>
              <w:rPr>
                <w:rFonts w:cs="Times New Roman"/>
                <w:sz w:val="24"/>
                <w:szCs w:val="24"/>
              </w:rPr>
            </w:pPr>
            <w:r>
              <w:rPr>
                <w:rFonts w:cs="Times New Roman"/>
                <w:sz w:val="24"/>
                <w:szCs w:val="24"/>
              </w:rPr>
              <w:lastRenderedPageBreak/>
              <w:t>1.</w:t>
            </w:r>
            <w:r w:rsidR="00AE230A">
              <w:rPr>
                <w:rFonts w:cs="Times New Roman"/>
                <w:sz w:val="24"/>
                <w:szCs w:val="24"/>
              </w:rPr>
              <w:t xml:space="preserve"> </w:t>
            </w:r>
            <w:r w:rsidRPr="00E15D2A" w:rsidR="0016444C">
              <w:rPr>
                <w:rFonts w:cs="Times New Roman"/>
                <w:sz w:val="24"/>
                <w:szCs w:val="24"/>
              </w:rPr>
              <w:t xml:space="preserve">Satiksmes ministrija </w:t>
            </w:r>
            <w:r w:rsidRPr="00E15D2A" w:rsidR="004604F7">
              <w:rPr>
                <w:rFonts w:cs="Times New Roman"/>
                <w:sz w:val="24"/>
                <w:szCs w:val="24"/>
              </w:rPr>
              <w:t xml:space="preserve">(turpmāk – ministrija) 2017.gadā veica iekšējo auditu Nr.05-01/2017/03 – </w:t>
            </w:r>
            <w:r w:rsidR="00500C6E">
              <w:rPr>
                <w:rFonts w:cs="Times New Roman"/>
                <w:sz w:val="24"/>
                <w:szCs w:val="24"/>
              </w:rPr>
              <w:t>SM</w:t>
            </w:r>
            <w:r w:rsidRPr="00E15D2A" w:rsidR="004604F7">
              <w:rPr>
                <w:rFonts w:cs="Times New Roman"/>
                <w:sz w:val="24"/>
                <w:szCs w:val="24"/>
              </w:rPr>
              <w:t xml:space="preserve"> „Valsts pārvaldes pakalpojumu audits Satiksmes ministrijas pakalpojumu “Autopārvadājumu vadītāja profesionālās kompetences sertifikāts”” ar mērķi novērtēt ministrijas </w:t>
            </w:r>
            <w:r w:rsidRPr="00E15D2A" w:rsidR="004604F7">
              <w:rPr>
                <w:rFonts w:cs="Times New Roman"/>
                <w:sz w:val="24"/>
                <w:szCs w:val="24"/>
              </w:rPr>
              <w:lastRenderedPageBreak/>
              <w:t>iekšējās kontroles sistēmas darbību un efektivitāti valsts pārvaldes pakalpojumu plānošanā, izpildē un rezultātu piegādē, gūstot pārliecību, vai un kā ir iespējams:</w:t>
            </w:r>
          </w:p>
          <w:p w:rsidRPr="00E15D2A" w:rsidR="004604F7" w:rsidP="00500C6E" w:rsidRDefault="004604F7" w14:paraId="49D53F58" w14:textId="77777777">
            <w:pPr>
              <w:tabs>
                <w:tab w:val="left" w:pos="305"/>
              </w:tabs>
              <w:ind w:firstLine="0"/>
              <w:jc w:val="both"/>
              <w:rPr>
                <w:rFonts w:cs="Times New Roman"/>
                <w:sz w:val="24"/>
                <w:szCs w:val="24"/>
              </w:rPr>
            </w:pPr>
            <w:r w:rsidRPr="00E15D2A">
              <w:rPr>
                <w:rFonts w:cs="Times New Roman"/>
                <w:sz w:val="24"/>
                <w:szCs w:val="24"/>
              </w:rPr>
              <w:t>1)</w:t>
            </w:r>
            <w:r w:rsidRPr="00E15D2A">
              <w:rPr>
                <w:rFonts w:cs="Times New Roman"/>
                <w:sz w:val="24"/>
                <w:szCs w:val="24"/>
              </w:rPr>
              <w:tab/>
              <w:t xml:space="preserve">uzlabot pakalpojumu sniegšanas procesa efektivitāti; </w:t>
            </w:r>
          </w:p>
          <w:p w:rsidRPr="00E15D2A" w:rsidR="00AE4DD8" w:rsidP="00500C6E" w:rsidRDefault="004604F7" w14:paraId="14EBE6BE" w14:textId="77777777">
            <w:pPr>
              <w:tabs>
                <w:tab w:val="left" w:pos="305"/>
              </w:tabs>
              <w:ind w:firstLine="0"/>
              <w:jc w:val="both"/>
              <w:rPr>
                <w:rFonts w:cs="Times New Roman"/>
                <w:sz w:val="24"/>
                <w:szCs w:val="24"/>
              </w:rPr>
            </w:pPr>
            <w:r w:rsidRPr="00E15D2A">
              <w:rPr>
                <w:rFonts w:cs="Times New Roman"/>
                <w:sz w:val="24"/>
                <w:szCs w:val="24"/>
              </w:rPr>
              <w:t>2)</w:t>
            </w:r>
            <w:r w:rsidRPr="00E15D2A">
              <w:rPr>
                <w:rFonts w:cs="Times New Roman"/>
                <w:sz w:val="24"/>
                <w:szCs w:val="24"/>
              </w:rPr>
              <w:tab/>
              <w:t>samazināt administratīvo slogu klientiem un uzlabot pakalpojumu kvalitāti.</w:t>
            </w:r>
          </w:p>
          <w:p w:rsidRPr="00E15D2A" w:rsidR="007731E5" w:rsidP="00811F0E" w:rsidRDefault="007731E5" w14:paraId="67423338" w14:textId="2C76374A">
            <w:pPr>
              <w:ind w:firstLine="0"/>
              <w:jc w:val="both"/>
              <w:rPr>
                <w:rFonts w:cs="Times New Roman"/>
                <w:sz w:val="24"/>
                <w:szCs w:val="24"/>
              </w:rPr>
            </w:pPr>
            <w:r w:rsidRPr="00E15D2A">
              <w:rPr>
                <w:rFonts w:cs="Times New Roman"/>
                <w:sz w:val="24"/>
                <w:szCs w:val="24"/>
              </w:rPr>
              <w:t xml:space="preserve">Atbilstoši  </w:t>
            </w:r>
            <w:r w:rsidRPr="00E15D2A" w:rsidR="00CE435D">
              <w:rPr>
                <w:rFonts w:cs="Times New Roman"/>
                <w:sz w:val="24"/>
                <w:szCs w:val="24"/>
              </w:rPr>
              <w:t>Ministru kabineta (turpmāk – MK) 2012.gada 21.februāra noteikum</w:t>
            </w:r>
            <w:r w:rsidR="00CE435D">
              <w:rPr>
                <w:rFonts w:cs="Times New Roman"/>
                <w:sz w:val="24"/>
                <w:szCs w:val="24"/>
              </w:rPr>
              <w:t>u</w:t>
            </w:r>
            <w:r w:rsidRPr="00E15D2A" w:rsidR="00CE435D">
              <w:rPr>
                <w:rFonts w:cs="Times New Roman"/>
                <w:sz w:val="24"/>
                <w:szCs w:val="24"/>
              </w:rPr>
              <w:t xml:space="preserve"> Nr.121 „Kārtība, kādā izsniedz, uz laiku aptur vai anulē speciālās atļaujas (licences) un licences kartītes komercpārvadājumu veikšanai ar autotransportu un izsniedz autopārvadājumu vadītāja profesionālās kompetences sertifikātus” (turpmāk- noteikumi Nr.121) </w:t>
            </w:r>
            <w:r w:rsidRPr="00E15D2A">
              <w:rPr>
                <w:rFonts w:cs="Times New Roman"/>
                <w:sz w:val="24"/>
                <w:szCs w:val="24"/>
              </w:rPr>
              <w:t xml:space="preserve">3.punktam Satiksmes ministrija atbilstoši regulas Nr. </w:t>
            </w:r>
            <w:hyperlink w:tgtFrame="_blank" w:history="1" r:id="rId7">
              <w:r w:rsidRPr="00E15D2A">
                <w:rPr>
                  <w:rStyle w:val="Hyperlink"/>
                  <w:rFonts w:cs="Times New Roman"/>
                  <w:color w:val="auto"/>
                  <w:sz w:val="24"/>
                  <w:szCs w:val="24"/>
                  <w:u w:val="none"/>
                </w:rPr>
                <w:t>1071/2009</w:t>
              </w:r>
            </w:hyperlink>
            <w:r w:rsidRPr="00E15D2A">
              <w:rPr>
                <w:rFonts w:cs="Times New Roman"/>
                <w:sz w:val="24"/>
                <w:szCs w:val="24"/>
              </w:rPr>
              <w:t xml:space="preserve"> 8.panta 3.punktam organizē eksāmenus un izsniedz autopārvadājumu vadītāja profesionālās kompetences sertifikātus</w:t>
            </w:r>
            <w:r w:rsidR="00086F7D">
              <w:rPr>
                <w:rFonts w:cs="Times New Roman"/>
                <w:sz w:val="24"/>
                <w:szCs w:val="24"/>
              </w:rPr>
              <w:t xml:space="preserve"> (turpmāk – sertifikāts)</w:t>
            </w:r>
            <w:r w:rsidRPr="00E15D2A">
              <w:rPr>
                <w:rFonts w:cs="Times New Roman"/>
                <w:sz w:val="24"/>
                <w:szCs w:val="24"/>
              </w:rPr>
              <w:t>. Savukārt</w:t>
            </w:r>
            <w:r w:rsidR="00EA181A">
              <w:rPr>
                <w:rFonts w:cs="Times New Roman"/>
                <w:sz w:val="24"/>
                <w:szCs w:val="24"/>
              </w:rPr>
              <w:t xml:space="preserve"> ATD</w:t>
            </w:r>
            <w:r w:rsidRPr="00E15D2A">
              <w:rPr>
                <w:rFonts w:cs="Times New Roman"/>
                <w:sz w:val="24"/>
                <w:szCs w:val="24"/>
              </w:rPr>
              <w:t xml:space="preserve"> atbilstoši noteikumu</w:t>
            </w:r>
            <w:r w:rsidR="00CE435D">
              <w:rPr>
                <w:rFonts w:cs="Times New Roman"/>
                <w:sz w:val="24"/>
                <w:szCs w:val="24"/>
              </w:rPr>
              <w:t xml:space="preserve"> Nr.121</w:t>
            </w:r>
            <w:r w:rsidRPr="00E15D2A">
              <w:rPr>
                <w:rFonts w:cs="Times New Roman"/>
                <w:sz w:val="24"/>
                <w:szCs w:val="24"/>
              </w:rPr>
              <w:t xml:space="preserve"> 2.3.apakšpunktam veic regulas Nr. </w:t>
            </w:r>
            <w:hyperlink w:tgtFrame="_blank" w:history="1" r:id="rId8">
              <w:r w:rsidRPr="00E15D2A">
                <w:rPr>
                  <w:rStyle w:val="Hyperlink"/>
                  <w:rFonts w:cs="Times New Roman"/>
                  <w:color w:val="auto"/>
                  <w:sz w:val="24"/>
                  <w:szCs w:val="24"/>
                  <w:u w:val="none"/>
                </w:rPr>
                <w:t>1071/2009</w:t>
              </w:r>
            </w:hyperlink>
            <w:r w:rsidRPr="00E15D2A">
              <w:rPr>
                <w:rFonts w:cs="Times New Roman"/>
                <w:sz w:val="24"/>
                <w:szCs w:val="24"/>
              </w:rPr>
              <w:t xml:space="preserve"> 10.pantā minētās kompetentās iestādes pienākumus.</w:t>
            </w:r>
          </w:p>
          <w:p w:rsidR="00CE435D" w:rsidP="00811F0E" w:rsidRDefault="00253C56" w14:paraId="1996442E" w14:textId="311520BB">
            <w:pPr>
              <w:ind w:firstLine="0"/>
              <w:jc w:val="both"/>
              <w:rPr>
                <w:rFonts w:cs="Times New Roman"/>
                <w:sz w:val="24"/>
                <w:szCs w:val="24"/>
              </w:rPr>
            </w:pPr>
            <w:r>
              <w:rPr>
                <w:rFonts w:cs="Times New Roman"/>
                <w:sz w:val="24"/>
                <w:szCs w:val="24"/>
              </w:rPr>
              <w:t>A</w:t>
            </w:r>
            <w:r w:rsidRPr="00E15D2A" w:rsidR="006F6631">
              <w:rPr>
                <w:rFonts w:cs="Times New Roman"/>
                <w:sz w:val="24"/>
                <w:szCs w:val="24"/>
              </w:rPr>
              <w:t>udits norādīja, ka ministrijai kā pakalpojuma sniedzējai jāizvērtē pakalpojuma sniegšanas nodošana ATD, tādejādi mazinot administratīvo slogu, darbību dublēšanos, efektīvu pakalpojuma sniegšanas nodrošināšanu.</w:t>
            </w:r>
          </w:p>
          <w:p w:rsidRPr="00E15D2A" w:rsidR="00E02240" w:rsidP="00811F0E" w:rsidRDefault="00E02240" w14:paraId="5193C27A" w14:textId="4E33E1D5">
            <w:pPr>
              <w:ind w:firstLine="0"/>
              <w:jc w:val="both"/>
              <w:rPr>
                <w:rFonts w:cs="Times New Roman"/>
                <w:sz w:val="24"/>
                <w:szCs w:val="24"/>
              </w:rPr>
            </w:pPr>
            <w:r w:rsidRPr="00E15D2A">
              <w:rPr>
                <w:rFonts w:cs="Times New Roman"/>
                <w:sz w:val="24"/>
                <w:szCs w:val="24"/>
              </w:rPr>
              <w:t xml:space="preserve">Ir </w:t>
            </w:r>
            <w:r w:rsidRPr="00E15D2A" w:rsidR="00FA2936">
              <w:rPr>
                <w:rFonts w:cs="Times New Roman"/>
                <w:sz w:val="24"/>
                <w:szCs w:val="24"/>
              </w:rPr>
              <w:t>veikti</w:t>
            </w:r>
            <w:r w:rsidRPr="00E15D2A">
              <w:rPr>
                <w:rFonts w:cs="Times New Roman"/>
                <w:sz w:val="24"/>
                <w:szCs w:val="24"/>
              </w:rPr>
              <w:t xml:space="preserve"> grozījumi Autopārvadājumu likuma 5.</w:t>
            </w:r>
            <w:r w:rsidRPr="00E15D2A">
              <w:rPr>
                <w:rFonts w:cs="Times New Roman"/>
                <w:sz w:val="24"/>
                <w:szCs w:val="24"/>
                <w:vertAlign w:val="superscript"/>
              </w:rPr>
              <w:t>1</w:t>
            </w:r>
            <w:r w:rsidRPr="00E15D2A">
              <w:rPr>
                <w:rFonts w:cs="Times New Roman"/>
                <w:sz w:val="24"/>
                <w:szCs w:val="24"/>
              </w:rPr>
              <w:t>pant</w:t>
            </w:r>
            <w:r w:rsidRPr="00E15D2A" w:rsidR="001F5D03">
              <w:rPr>
                <w:rFonts w:cs="Times New Roman"/>
                <w:sz w:val="24"/>
                <w:szCs w:val="24"/>
              </w:rPr>
              <w:t>a pirmās daļas</w:t>
            </w:r>
            <w:r w:rsidRPr="00E15D2A" w:rsidR="00FA2936">
              <w:rPr>
                <w:rFonts w:cs="Times New Roman"/>
                <w:sz w:val="24"/>
                <w:szCs w:val="24"/>
              </w:rPr>
              <w:t xml:space="preserve"> 14.punkt</w:t>
            </w:r>
            <w:r w:rsidRPr="00E15D2A" w:rsidR="001F5D03">
              <w:rPr>
                <w:rFonts w:cs="Times New Roman"/>
                <w:sz w:val="24"/>
                <w:szCs w:val="24"/>
              </w:rPr>
              <w:t>ā</w:t>
            </w:r>
            <w:r w:rsidRPr="00E15D2A">
              <w:rPr>
                <w:rFonts w:cs="Times New Roman"/>
                <w:sz w:val="24"/>
                <w:szCs w:val="24"/>
              </w:rPr>
              <w:t xml:space="preserve">, </w:t>
            </w:r>
            <w:r w:rsidRPr="00E15D2A" w:rsidR="003C6B4A">
              <w:rPr>
                <w:rFonts w:cs="Times New Roman"/>
                <w:sz w:val="24"/>
                <w:szCs w:val="24"/>
              </w:rPr>
              <w:t xml:space="preserve">(13.06.2019. likuma redakcijā) </w:t>
            </w:r>
            <w:r w:rsidRPr="00E15D2A">
              <w:rPr>
                <w:rFonts w:cs="Times New Roman"/>
                <w:sz w:val="24"/>
                <w:szCs w:val="24"/>
              </w:rPr>
              <w:t xml:space="preserve">paredzot deleģējumu </w:t>
            </w:r>
            <w:r w:rsidR="00555B57">
              <w:rPr>
                <w:rFonts w:cs="Times New Roman"/>
                <w:sz w:val="24"/>
                <w:szCs w:val="24"/>
              </w:rPr>
              <w:t>ATD</w:t>
            </w:r>
            <w:r w:rsidRPr="00E15D2A">
              <w:rPr>
                <w:rFonts w:cs="Times New Roman"/>
                <w:sz w:val="24"/>
                <w:szCs w:val="24"/>
              </w:rPr>
              <w:t xml:space="preserve"> organizēt eksāmenus un izsniegt pārvadājumu vadītāja profesionālās kompetences sertifikātus.</w:t>
            </w:r>
          </w:p>
          <w:p w:rsidR="0061275A" w:rsidP="002F72F9" w:rsidRDefault="003C6B4A" w14:paraId="2C989A10" w14:textId="31589C90">
            <w:pPr>
              <w:ind w:firstLine="0"/>
              <w:jc w:val="both"/>
              <w:rPr>
                <w:rFonts w:cs="Times New Roman"/>
                <w:sz w:val="24"/>
                <w:szCs w:val="24"/>
              </w:rPr>
            </w:pPr>
            <w:r w:rsidRPr="00BE7F34">
              <w:rPr>
                <w:rFonts w:cs="Times New Roman"/>
                <w:sz w:val="24"/>
                <w:szCs w:val="24"/>
              </w:rPr>
              <w:t>Noteikumu projekts paredz noteikt ATD par kompetento iestādi valsts pārvaldes pakalpojuma “profesionālās kompetences sertifikāts” sniegšanai, ietverot pakalpojumā tā administrēšanu, eksāmena organizēšanu, lēmuma par sertifikāta piešķiršanu pieņemšanu</w:t>
            </w:r>
            <w:r w:rsidRPr="00BE7F34" w:rsidR="00DE35B0">
              <w:rPr>
                <w:rFonts w:cs="Times New Roman"/>
                <w:sz w:val="24"/>
                <w:szCs w:val="24"/>
              </w:rPr>
              <w:t xml:space="preserve"> </w:t>
            </w:r>
            <w:r w:rsidRPr="00BE7F34">
              <w:rPr>
                <w:rFonts w:cs="Times New Roman"/>
                <w:sz w:val="24"/>
                <w:szCs w:val="24"/>
              </w:rPr>
              <w:t xml:space="preserve">un </w:t>
            </w:r>
            <w:r w:rsidRPr="00BE7F34" w:rsidR="00AE230A">
              <w:rPr>
                <w:rFonts w:cs="Times New Roman"/>
                <w:sz w:val="24"/>
                <w:szCs w:val="24"/>
              </w:rPr>
              <w:t xml:space="preserve">sertifikāta </w:t>
            </w:r>
            <w:r w:rsidRPr="00BE7F34">
              <w:rPr>
                <w:rFonts w:cs="Times New Roman"/>
                <w:sz w:val="24"/>
                <w:szCs w:val="24"/>
              </w:rPr>
              <w:t>izsniegšanu</w:t>
            </w:r>
            <w:r w:rsidRPr="00BE7F34" w:rsidR="00D2075C">
              <w:rPr>
                <w:rFonts w:cs="Times New Roman"/>
                <w:sz w:val="24"/>
                <w:szCs w:val="24"/>
              </w:rPr>
              <w:t>.</w:t>
            </w:r>
            <w:r w:rsidRPr="00BE7F34" w:rsidR="00A469C1">
              <w:rPr>
                <w:rFonts w:cs="Times New Roman"/>
                <w:sz w:val="24"/>
                <w:szCs w:val="24"/>
              </w:rPr>
              <w:t xml:space="preserve"> Tādējādi </w:t>
            </w:r>
            <w:r w:rsidRPr="00BE7F34" w:rsidR="00D45FD8">
              <w:rPr>
                <w:rFonts w:cs="Times New Roman"/>
                <w:sz w:val="24"/>
                <w:szCs w:val="24"/>
              </w:rPr>
              <w:t>no pakalpojuma satura secināms</w:t>
            </w:r>
            <w:r w:rsidRPr="00BE7F34" w:rsidR="00A469C1">
              <w:rPr>
                <w:rFonts w:cs="Times New Roman"/>
                <w:sz w:val="24"/>
                <w:szCs w:val="24"/>
              </w:rPr>
              <w:t>, ka sertifikāta izsniegšana ir cieši saistīta ar eksāmena organizēšanu un šie procesi nav nošķirami.</w:t>
            </w:r>
            <w:r w:rsidR="00A469C1">
              <w:rPr>
                <w:rFonts w:cs="Times New Roman"/>
                <w:sz w:val="24"/>
                <w:szCs w:val="24"/>
              </w:rPr>
              <w:t xml:space="preserve"> </w:t>
            </w:r>
          </w:p>
          <w:p w:rsidR="00D2075C" w:rsidP="00811F0E" w:rsidRDefault="00484021" w14:paraId="755B262F" w14:textId="1D402307">
            <w:pPr>
              <w:ind w:firstLine="0"/>
              <w:jc w:val="both"/>
              <w:rPr>
                <w:rFonts w:cs="Times New Roman"/>
                <w:sz w:val="24"/>
                <w:szCs w:val="24"/>
              </w:rPr>
            </w:pPr>
            <w:r w:rsidRPr="00484021">
              <w:rPr>
                <w:rFonts w:cs="Times New Roman"/>
                <w:sz w:val="24"/>
                <w:szCs w:val="24"/>
              </w:rPr>
              <w:t>Profesionālās kompetences sertifikāt</w:t>
            </w:r>
            <w:r>
              <w:rPr>
                <w:rFonts w:cs="Times New Roman"/>
                <w:sz w:val="24"/>
                <w:szCs w:val="24"/>
              </w:rPr>
              <w:t>s</w:t>
            </w:r>
            <w:r w:rsidRPr="00484021">
              <w:rPr>
                <w:rFonts w:cs="Times New Roman"/>
                <w:sz w:val="24"/>
                <w:szCs w:val="24"/>
              </w:rPr>
              <w:t xml:space="preserve"> ir zināšanas apliecinošs dokuments</w:t>
            </w:r>
            <w:r>
              <w:rPr>
                <w:rFonts w:cs="Times New Roman"/>
                <w:sz w:val="24"/>
                <w:szCs w:val="24"/>
              </w:rPr>
              <w:t>,</w:t>
            </w:r>
            <w:r w:rsidRPr="00484021">
              <w:rPr>
                <w:rFonts w:cs="Times New Roman"/>
                <w:sz w:val="24"/>
                <w:szCs w:val="24"/>
              </w:rPr>
              <w:t xml:space="preserve"> </w:t>
            </w:r>
            <w:r w:rsidR="004B5421">
              <w:rPr>
                <w:rFonts w:cs="Times New Roman"/>
                <w:sz w:val="24"/>
                <w:szCs w:val="24"/>
              </w:rPr>
              <w:t>kas</w:t>
            </w:r>
            <w:r w:rsidR="004B5421">
              <w:t xml:space="preserve"> </w:t>
            </w:r>
            <w:r w:rsidRPr="004B5421" w:rsidR="004B5421">
              <w:rPr>
                <w:rFonts w:cs="Times New Roman"/>
                <w:sz w:val="24"/>
                <w:szCs w:val="24"/>
              </w:rPr>
              <w:t>apliecin</w:t>
            </w:r>
            <w:r w:rsidR="004B5421">
              <w:rPr>
                <w:rFonts w:cs="Times New Roman"/>
                <w:sz w:val="24"/>
                <w:szCs w:val="24"/>
              </w:rPr>
              <w:t>a</w:t>
            </w:r>
            <w:r w:rsidRPr="004B5421" w:rsidR="004B5421">
              <w:rPr>
                <w:rFonts w:cs="Times New Roman"/>
                <w:sz w:val="24"/>
                <w:szCs w:val="24"/>
              </w:rPr>
              <w:t xml:space="preserve"> profesionāl</w:t>
            </w:r>
            <w:r w:rsidR="004B5421">
              <w:rPr>
                <w:rFonts w:cs="Times New Roman"/>
                <w:sz w:val="24"/>
                <w:szCs w:val="24"/>
              </w:rPr>
              <w:t>o</w:t>
            </w:r>
            <w:r w:rsidRPr="004B5421" w:rsidR="004B5421">
              <w:rPr>
                <w:rFonts w:cs="Times New Roman"/>
                <w:sz w:val="24"/>
                <w:szCs w:val="24"/>
              </w:rPr>
              <w:t xml:space="preserve"> kompetenci, kas minēta </w:t>
            </w:r>
            <w:r w:rsidR="000361ED">
              <w:rPr>
                <w:rFonts w:cs="Times New Roman"/>
                <w:sz w:val="24"/>
                <w:szCs w:val="24"/>
              </w:rPr>
              <w:t>r</w:t>
            </w:r>
            <w:r w:rsidRPr="004B5421" w:rsidR="004B5421">
              <w:rPr>
                <w:rFonts w:cs="Times New Roman"/>
                <w:sz w:val="24"/>
                <w:szCs w:val="24"/>
              </w:rPr>
              <w:t>egulas Nr. 1071/2009 21. pantā</w:t>
            </w:r>
            <w:r w:rsidR="004B5421">
              <w:rPr>
                <w:rFonts w:cs="Times New Roman"/>
                <w:sz w:val="24"/>
                <w:szCs w:val="24"/>
              </w:rPr>
              <w:t xml:space="preserve">. Regula </w:t>
            </w:r>
            <w:r w:rsidRPr="004B5421" w:rsidR="004B5421">
              <w:rPr>
                <w:rFonts w:cs="Times New Roman"/>
                <w:sz w:val="24"/>
                <w:szCs w:val="24"/>
              </w:rPr>
              <w:t xml:space="preserve">Nr. 1071/2009 </w:t>
            </w:r>
            <w:r w:rsidR="004B5421">
              <w:rPr>
                <w:rFonts w:cs="Times New Roman"/>
                <w:sz w:val="24"/>
                <w:szCs w:val="24"/>
              </w:rPr>
              <w:t xml:space="preserve">neparedz </w:t>
            </w:r>
            <w:r w:rsidR="00555B57">
              <w:rPr>
                <w:rFonts w:cs="Times New Roman"/>
                <w:sz w:val="24"/>
                <w:szCs w:val="24"/>
              </w:rPr>
              <w:t>profesionālās kompetences sertifikāta</w:t>
            </w:r>
            <w:r w:rsidRPr="00484021" w:rsidR="00555B57">
              <w:rPr>
                <w:rFonts w:cs="Times New Roman"/>
                <w:sz w:val="24"/>
                <w:szCs w:val="24"/>
              </w:rPr>
              <w:t xml:space="preserve"> </w:t>
            </w:r>
            <w:r w:rsidRPr="00484021">
              <w:rPr>
                <w:rFonts w:cs="Times New Roman"/>
                <w:sz w:val="24"/>
                <w:szCs w:val="24"/>
              </w:rPr>
              <w:t>anulē</w:t>
            </w:r>
            <w:r w:rsidR="004B5421">
              <w:rPr>
                <w:rFonts w:cs="Times New Roman"/>
                <w:sz w:val="24"/>
                <w:szCs w:val="24"/>
              </w:rPr>
              <w:t>šanu</w:t>
            </w:r>
            <w:r w:rsidRPr="00484021">
              <w:rPr>
                <w:rFonts w:cs="Times New Roman"/>
                <w:sz w:val="24"/>
                <w:szCs w:val="24"/>
              </w:rPr>
              <w:t xml:space="preserve"> vai apturē</w:t>
            </w:r>
            <w:r w:rsidR="004B5421">
              <w:rPr>
                <w:rFonts w:cs="Times New Roman"/>
                <w:sz w:val="24"/>
                <w:szCs w:val="24"/>
              </w:rPr>
              <w:t>šanu</w:t>
            </w:r>
            <w:r w:rsidR="00237D11">
              <w:rPr>
                <w:rFonts w:cs="Times New Roman"/>
                <w:sz w:val="24"/>
                <w:szCs w:val="24"/>
              </w:rPr>
              <w:t>, bet nosaka iespēju pārvadājuma vadītāju atzīt par nepiemērotu pārvadājumu operāciju veikšanai, kas liedz personai, kas ieguvusi profesionālās kompetences sertifikātu</w:t>
            </w:r>
            <w:r w:rsidR="00555B57">
              <w:rPr>
                <w:rFonts w:cs="Times New Roman"/>
                <w:sz w:val="24"/>
                <w:szCs w:val="24"/>
              </w:rPr>
              <w:t>,</w:t>
            </w:r>
            <w:r w:rsidR="00237D11">
              <w:rPr>
                <w:rFonts w:cs="Times New Roman"/>
                <w:sz w:val="24"/>
                <w:szCs w:val="24"/>
              </w:rPr>
              <w:t xml:space="preserve"> pildīt pārvadājumu vadītāja pienākumus uzņēmumā</w:t>
            </w:r>
            <w:r w:rsidR="00DB5DC6">
              <w:rPr>
                <w:rFonts w:cs="Times New Roman"/>
                <w:sz w:val="24"/>
                <w:szCs w:val="24"/>
              </w:rPr>
              <w:t>.</w:t>
            </w:r>
          </w:p>
          <w:p w:rsidRPr="00E15D2A" w:rsidR="00D959FF" w:rsidP="00D959FF" w:rsidRDefault="00D959FF" w14:paraId="0FB64A80" w14:textId="135B70BC">
            <w:pPr>
              <w:ind w:firstLine="0"/>
              <w:jc w:val="both"/>
              <w:rPr>
                <w:rFonts w:cs="Times New Roman"/>
                <w:sz w:val="24"/>
                <w:szCs w:val="24"/>
              </w:rPr>
            </w:pPr>
            <w:r>
              <w:rPr>
                <w:rFonts w:cs="Times New Roman"/>
                <w:sz w:val="24"/>
                <w:szCs w:val="24"/>
              </w:rPr>
              <w:t>N</w:t>
            </w:r>
            <w:r w:rsidRPr="00CB75BF">
              <w:rPr>
                <w:rFonts w:cs="Times New Roman"/>
                <w:sz w:val="24"/>
                <w:szCs w:val="24"/>
              </w:rPr>
              <w:t xml:space="preserve">oteikumu </w:t>
            </w:r>
            <w:r>
              <w:rPr>
                <w:rFonts w:cs="Times New Roman"/>
                <w:sz w:val="24"/>
                <w:szCs w:val="24"/>
              </w:rPr>
              <w:t xml:space="preserve">projekta </w:t>
            </w:r>
            <w:r w:rsidRPr="00CB75BF">
              <w:rPr>
                <w:rFonts w:cs="Times New Roman"/>
                <w:sz w:val="24"/>
                <w:szCs w:val="24"/>
              </w:rPr>
              <w:t>1</w:t>
            </w:r>
            <w:r w:rsidR="00961D14">
              <w:rPr>
                <w:rFonts w:cs="Times New Roman"/>
                <w:sz w:val="24"/>
                <w:szCs w:val="24"/>
              </w:rPr>
              <w:t>8</w:t>
            </w:r>
            <w:r w:rsidRPr="00CB75BF">
              <w:rPr>
                <w:rFonts w:cs="Times New Roman"/>
                <w:sz w:val="24"/>
                <w:szCs w:val="24"/>
              </w:rPr>
              <w:t>.1.-1</w:t>
            </w:r>
            <w:r w:rsidR="00961D14">
              <w:rPr>
                <w:rFonts w:cs="Times New Roman"/>
                <w:sz w:val="24"/>
                <w:szCs w:val="24"/>
              </w:rPr>
              <w:t>8</w:t>
            </w:r>
            <w:r w:rsidRPr="00CB75BF">
              <w:rPr>
                <w:rFonts w:cs="Times New Roman"/>
                <w:sz w:val="24"/>
                <w:szCs w:val="24"/>
              </w:rPr>
              <w:t>.5.apakšpunktā sniegto ziņu</w:t>
            </w:r>
            <w:r w:rsidR="00C3533A">
              <w:rPr>
                <w:rFonts w:cs="Times New Roman"/>
                <w:sz w:val="24"/>
                <w:szCs w:val="24"/>
              </w:rPr>
              <w:t xml:space="preserve"> profesionālās kompetences sertifikāta saņemšanai</w:t>
            </w:r>
            <w:r w:rsidRPr="00CB75BF">
              <w:rPr>
                <w:rFonts w:cs="Times New Roman"/>
                <w:sz w:val="24"/>
                <w:szCs w:val="24"/>
              </w:rPr>
              <w:t xml:space="preserve"> atbilstību Latvijas Republikas Iedzīvotāju reģistrā reģistrētām personām </w:t>
            </w:r>
            <w:r w:rsidR="00555B57">
              <w:rPr>
                <w:rFonts w:cs="Times New Roman"/>
                <w:sz w:val="24"/>
                <w:szCs w:val="24"/>
              </w:rPr>
              <w:t>ATD</w:t>
            </w:r>
            <w:r w:rsidRPr="00CB75BF">
              <w:rPr>
                <w:rFonts w:cs="Times New Roman"/>
                <w:sz w:val="24"/>
                <w:szCs w:val="24"/>
              </w:rPr>
              <w:t xml:space="preserve"> pārbauda Iedzīvotāju reģistrā.</w:t>
            </w:r>
          </w:p>
          <w:p w:rsidRPr="00E15D2A" w:rsidR="00D959FF" w:rsidP="00811F0E" w:rsidRDefault="00D959FF" w14:paraId="46823E73" w14:textId="77777777">
            <w:pPr>
              <w:ind w:firstLine="0"/>
              <w:jc w:val="both"/>
              <w:rPr>
                <w:rFonts w:cs="Times New Roman"/>
                <w:sz w:val="24"/>
                <w:szCs w:val="24"/>
              </w:rPr>
            </w:pPr>
          </w:p>
          <w:p w:rsidR="00C665B7" w:rsidP="00C665B7" w:rsidRDefault="00FA2936" w14:paraId="4E248D70" w14:textId="54CD0489">
            <w:pPr>
              <w:ind w:firstLine="0"/>
              <w:jc w:val="both"/>
              <w:rPr>
                <w:rFonts w:cs="Times New Roman"/>
                <w:sz w:val="24"/>
                <w:szCs w:val="24"/>
              </w:rPr>
            </w:pPr>
            <w:r w:rsidRPr="00E15D2A">
              <w:rPr>
                <w:rFonts w:cs="Times New Roman"/>
                <w:sz w:val="24"/>
                <w:szCs w:val="24"/>
              </w:rPr>
              <w:lastRenderedPageBreak/>
              <w:t xml:space="preserve">2. </w:t>
            </w:r>
            <w:r w:rsidR="00C665B7">
              <w:rPr>
                <w:rFonts w:cs="Times New Roman"/>
                <w:sz w:val="24"/>
                <w:szCs w:val="24"/>
              </w:rPr>
              <w:t xml:space="preserve">Projekts </w:t>
            </w:r>
            <w:r w:rsidR="00337A21">
              <w:rPr>
                <w:rFonts w:cs="Times New Roman"/>
                <w:sz w:val="24"/>
                <w:szCs w:val="24"/>
              </w:rPr>
              <w:t>aptver</w:t>
            </w:r>
            <w:r w:rsidR="00C665B7">
              <w:rPr>
                <w:rFonts w:cs="Times New Roman"/>
                <w:sz w:val="24"/>
                <w:szCs w:val="24"/>
              </w:rPr>
              <w:t xml:space="preserve"> </w:t>
            </w:r>
            <w:r w:rsidR="00DB5DC6">
              <w:rPr>
                <w:sz w:val="24"/>
                <w:szCs w:val="24"/>
              </w:rPr>
              <w:t>ATD</w:t>
            </w:r>
            <w:r w:rsidRPr="00CE7289" w:rsidR="00C665B7">
              <w:rPr>
                <w:sz w:val="24"/>
                <w:szCs w:val="24"/>
              </w:rPr>
              <w:t xml:space="preserve"> izsniegt</w:t>
            </w:r>
            <w:r w:rsidR="00337A21">
              <w:rPr>
                <w:sz w:val="24"/>
                <w:szCs w:val="24"/>
              </w:rPr>
              <w:t>ās</w:t>
            </w:r>
            <w:r w:rsidRPr="00CE7289" w:rsidR="00C665B7">
              <w:rPr>
                <w:sz w:val="24"/>
                <w:szCs w:val="24"/>
              </w:rPr>
              <w:t xml:space="preserve"> </w:t>
            </w:r>
            <w:r w:rsidR="00C665B7">
              <w:rPr>
                <w:sz w:val="24"/>
                <w:szCs w:val="24"/>
              </w:rPr>
              <w:t>licenc</w:t>
            </w:r>
            <w:r w:rsidR="00337A21">
              <w:rPr>
                <w:sz w:val="24"/>
                <w:szCs w:val="24"/>
              </w:rPr>
              <w:t>es</w:t>
            </w:r>
            <w:r w:rsidR="00C665B7">
              <w:rPr>
                <w:sz w:val="24"/>
                <w:szCs w:val="24"/>
              </w:rPr>
              <w:t xml:space="preserve"> </w:t>
            </w:r>
            <w:r w:rsidRPr="00C665B7" w:rsidR="00C665B7">
              <w:rPr>
                <w:rFonts w:cs="Times New Roman"/>
                <w:sz w:val="24"/>
                <w:szCs w:val="24"/>
              </w:rPr>
              <w:t>pasažieru komercpārvadājumiem ar autobusiem</w:t>
            </w:r>
            <w:r w:rsidR="00C665B7">
              <w:rPr>
                <w:rFonts w:cs="Times New Roman"/>
                <w:sz w:val="24"/>
                <w:szCs w:val="24"/>
              </w:rPr>
              <w:t xml:space="preserve"> un</w:t>
            </w:r>
            <w:r w:rsidRPr="00C665B7" w:rsidR="00C665B7">
              <w:rPr>
                <w:rFonts w:cs="Times New Roman"/>
                <w:sz w:val="24"/>
                <w:szCs w:val="24"/>
              </w:rPr>
              <w:t xml:space="preserve"> kravas komercpārvadājumiem ar kravas automobiļiem</w:t>
            </w:r>
            <w:r w:rsidR="00C665B7">
              <w:rPr>
                <w:rFonts w:cs="Times New Roman"/>
                <w:sz w:val="24"/>
                <w:szCs w:val="24"/>
              </w:rPr>
              <w:t>, kā arī licences kartīt</w:t>
            </w:r>
            <w:r w:rsidR="00337A21">
              <w:rPr>
                <w:rFonts w:cs="Times New Roman"/>
                <w:sz w:val="24"/>
                <w:szCs w:val="24"/>
              </w:rPr>
              <w:t>es</w:t>
            </w:r>
            <w:r w:rsidR="00C665B7">
              <w:rPr>
                <w:rFonts w:cs="Times New Roman"/>
                <w:sz w:val="24"/>
                <w:szCs w:val="24"/>
              </w:rPr>
              <w:t xml:space="preserve"> </w:t>
            </w:r>
            <w:r w:rsidRPr="00C665B7" w:rsidR="00C665B7">
              <w:rPr>
                <w:rFonts w:cs="Times New Roman"/>
                <w:sz w:val="24"/>
                <w:szCs w:val="24"/>
              </w:rPr>
              <w:t>pasažieru komercpārvadājumiem ar autobusiem Latvijas teritorijā</w:t>
            </w:r>
            <w:r w:rsidR="00C665B7">
              <w:rPr>
                <w:rFonts w:cs="Times New Roman"/>
                <w:sz w:val="24"/>
                <w:szCs w:val="24"/>
              </w:rPr>
              <w:t>,</w:t>
            </w:r>
            <w:r w:rsidRPr="00C665B7" w:rsidR="00C665B7">
              <w:rPr>
                <w:rFonts w:cs="Times New Roman"/>
                <w:sz w:val="24"/>
                <w:szCs w:val="24"/>
              </w:rPr>
              <w:t xml:space="preserve"> kravas komercpārvadājumiem ar kravas automobiļiem Latvijas teritorijā</w:t>
            </w:r>
            <w:r w:rsidR="00C665B7">
              <w:rPr>
                <w:rFonts w:cs="Times New Roman"/>
                <w:sz w:val="24"/>
                <w:szCs w:val="24"/>
              </w:rPr>
              <w:t xml:space="preserve">, kā arī </w:t>
            </w:r>
            <w:r w:rsidRPr="00C665B7" w:rsidR="00C665B7">
              <w:rPr>
                <w:rFonts w:cs="Times New Roman"/>
                <w:sz w:val="24"/>
                <w:szCs w:val="24"/>
              </w:rPr>
              <w:t>starptautiskajiem kravas komercpārvadājumiem ar kravas automobiļiem, kuru kopējā pieļaujamā masa nepārsniedz 3,5 tonnas, ieskaitot piekabes.</w:t>
            </w:r>
          </w:p>
          <w:p w:rsidRPr="00E15D2A" w:rsidR="001D7E96" w:rsidP="001D7E96" w:rsidRDefault="00176AF7" w14:paraId="65FFAB4D" w14:textId="36009E76">
            <w:pPr>
              <w:ind w:firstLine="0"/>
              <w:jc w:val="both"/>
              <w:rPr>
                <w:rFonts w:cs="Times New Roman"/>
                <w:sz w:val="24"/>
                <w:szCs w:val="24"/>
              </w:rPr>
            </w:pPr>
            <w:r>
              <w:rPr>
                <w:rFonts w:cs="Times New Roman"/>
                <w:sz w:val="24"/>
                <w:szCs w:val="24"/>
              </w:rPr>
              <w:t>L</w:t>
            </w:r>
            <w:r w:rsidRPr="00176AF7" w:rsidR="00D00087">
              <w:rPr>
                <w:rFonts w:cs="Times New Roman"/>
                <w:sz w:val="24"/>
                <w:szCs w:val="24"/>
              </w:rPr>
              <w:t>icences un licences kartītes tik</w:t>
            </w:r>
            <w:r>
              <w:rPr>
                <w:rFonts w:cs="Times New Roman"/>
                <w:sz w:val="24"/>
                <w:szCs w:val="24"/>
              </w:rPr>
              <w:t>a</w:t>
            </w:r>
            <w:r w:rsidRPr="00176AF7" w:rsidR="00D00087">
              <w:rPr>
                <w:rFonts w:cs="Times New Roman"/>
                <w:sz w:val="24"/>
                <w:szCs w:val="24"/>
              </w:rPr>
              <w:t xml:space="preserve"> izsniegtas papīra veidā uz speciālas veidlapas</w:t>
            </w:r>
            <w:r w:rsidR="00917A4E">
              <w:rPr>
                <w:rFonts w:cs="Times New Roman"/>
                <w:sz w:val="24"/>
                <w:szCs w:val="24"/>
              </w:rPr>
              <w:t xml:space="preserve">, vienlaikus izdarot ierakstu Autopārvadātāju informatīvajā datubāzē. </w:t>
            </w:r>
            <w:r w:rsidRPr="00E15D2A" w:rsidR="00D00087">
              <w:rPr>
                <w:rFonts w:cs="Times New Roman"/>
                <w:sz w:val="24"/>
                <w:szCs w:val="24"/>
              </w:rPr>
              <w:t>Licence atrodas pie pārvadātāja, licences kartīte</w:t>
            </w:r>
            <w:r w:rsidR="00035FA8">
              <w:rPr>
                <w:rFonts w:cs="Times New Roman"/>
                <w:sz w:val="24"/>
                <w:szCs w:val="24"/>
              </w:rPr>
              <w:t>i jāatrodas</w:t>
            </w:r>
            <w:r w:rsidRPr="00E15D2A" w:rsidR="00D00087">
              <w:rPr>
                <w:rFonts w:cs="Times New Roman"/>
                <w:sz w:val="24"/>
                <w:szCs w:val="24"/>
              </w:rPr>
              <w:t xml:space="preserve"> pie autovadītāja konkrētajā transportlīdzeklī</w:t>
            </w:r>
            <w:r w:rsidR="00035FA8">
              <w:rPr>
                <w:rFonts w:cs="Times New Roman"/>
                <w:sz w:val="24"/>
                <w:szCs w:val="24"/>
              </w:rPr>
              <w:t xml:space="preserve"> un jāuzrāda kontroles institūcijām pēc to pieprasījuma</w:t>
            </w:r>
            <w:r w:rsidRPr="00E15D2A" w:rsidR="00D00087">
              <w:rPr>
                <w:rFonts w:cs="Times New Roman"/>
                <w:sz w:val="24"/>
                <w:szCs w:val="24"/>
              </w:rPr>
              <w:t xml:space="preserve">. </w:t>
            </w:r>
            <w:r w:rsidRPr="00E15D2A" w:rsidR="00DE35B0">
              <w:rPr>
                <w:rFonts w:cs="Times New Roman"/>
                <w:sz w:val="24"/>
                <w:szCs w:val="24"/>
              </w:rPr>
              <w:t xml:space="preserve">Licences kartīte ir </w:t>
            </w:r>
            <w:r w:rsidR="00DE35B0">
              <w:t xml:space="preserve"> </w:t>
            </w:r>
            <w:r w:rsidRPr="00DE35B0" w:rsidR="00DE35B0">
              <w:rPr>
                <w:rFonts w:cs="Times New Roman"/>
                <w:sz w:val="24"/>
                <w:szCs w:val="24"/>
              </w:rPr>
              <w:t>noteiktas formas dokuments vai ieraksts valsts informācijas sistēmā, kas apliecina, ka pārvadātājs ar konkrēto autotransporta līdzekli var veikt dokumentā vai ierakstā norādītā veida komercpārvadājumus</w:t>
            </w:r>
            <w:r w:rsidR="00D12A34">
              <w:rPr>
                <w:rFonts w:cs="Times New Roman"/>
                <w:sz w:val="24"/>
                <w:szCs w:val="24"/>
              </w:rPr>
              <w:t>.</w:t>
            </w:r>
            <w:r w:rsidRPr="00DE35B0" w:rsidR="00DE35B0">
              <w:rPr>
                <w:rFonts w:cs="Times New Roman"/>
                <w:sz w:val="24"/>
                <w:szCs w:val="24"/>
              </w:rPr>
              <w:t xml:space="preserve"> </w:t>
            </w:r>
            <w:r w:rsidRPr="00E15D2A" w:rsidR="001D7E96">
              <w:rPr>
                <w:rFonts w:cs="Times New Roman"/>
                <w:sz w:val="24"/>
                <w:szCs w:val="24"/>
              </w:rPr>
              <w:t xml:space="preserve">Licences kartīte tiek </w:t>
            </w:r>
            <w:r w:rsidR="00035FA8">
              <w:rPr>
                <w:rFonts w:cs="Times New Roman"/>
                <w:sz w:val="24"/>
                <w:szCs w:val="24"/>
              </w:rPr>
              <w:t>izsniegta</w:t>
            </w:r>
            <w:r w:rsidRPr="00E15D2A" w:rsidR="00035FA8">
              <w:rPr>
                <w:rFonts w:cs="Times New Roman"/>
                <w:sz w:val="24"/>
                <w:szCs w:val="24"/>
              </w:rPr>
              <w:t xml:space="preserve"> </w:t>
            </w:r>
            <w:r w:rsidRPr="00E15D2A" w:rsidR="001D7E96">
              <w:rPr>
                <w:rFonts w:cs="Times New Roman"/>
                <w:sz w:val="24"/>
                <w:szCs w:val="24"/>
              </w:rPr>
              <w:t>tikai tiem pārvadātāja transportlīdzekļiem, kuri ir piemēroti pārvadājumu veikšanai</w:t>
            </w:r>
            <w:r w:rsidR="00555B57">
              <w:rPr>
                <w:rFonts w:cs="Times New Roman"/>
                <w:sz w:val="24"/>
                <w:szCs w:val="24"/>
              </w:rPr>
              <w:t>.</w:t>
            </w:r>
            <w:r w:rsidRPr="00E15D2A" w:rsidR="001D7E96">
              <w:rPr>
                <w:rFonts w:cs="Times New Roman"/>
                <w:sz w:val="24"/>
                <w:szCs w:val="24"/>
              </w:rPr>
              <w:t xml:space="preserve"> </w:t>
            </w:r>
            <w:r w:rsidR="00555B57">
              <w:rPr>
                <w:rFonts w:cs="Times New Roman"/>
                <w:sz w:val="24"/>
                <w:szCs w:val="24"/>
              </w:rPr>
              <w:t>Tādējādi</w:t>
            </w:r>
            <w:r w:rsidRPr="00E15D2A" w:rsidR="001D7E96">
              <w:rPr>
                <w:rFonts w:cs="Times New Roman"/>
                <w:sz w:val="24"/>
                <w:szCs w:val="24"/>
              </w:rPr>
              <w:t xml:space="preserve"> </w:t>
            </w:r>
            <w:r w:rsidR="00D12A34">
              <w:rPr>
                <w:rFonts w:cs="Times New Roman"/>
                <w:sz w:val="24"/>
                <w:szCs w:val="24"/>
              </w:rPr>
              <w:t>ATD</w:t>
            </w:r>
            <w:r w:rsidRPr="00E15D2A" w:rsidR="001D7E96">
              <w:rPr>
                <w:rFonts w:cs="Times New Roman"/>
                <w:sz w:val="24"/>
                <w:szCs w:val="24"/>
              </w:rPr>
              <w:t xml:space="preserve"> pārliecinās par</w:t>
            </w:r>
            <w:r w:rsidR="00555B57">
              <w:rPr>
                <w:rFonts w:cs="Times New Roman"/>
                <w:sz w:val="24"/>
                <w:szCs w:val="24"/>
              </w:rPr>
              <w:t xml:space="preserve"> autotransporta līdzekļa</w:t>
            </w:r>
            <w:r w:rsidRPr="00E15D2A" w:rsidR="001D7E96">
              <w:rPr>
                <w:rFonts w:cs="Times New Roman"/>
                <w:sz w:val="24"/>
                <w:szCs w:val="24"/>
              </w:rPr>
              <w:t xml:space="preserve"> atbilstošu tehniskā stāvokļa vērtējumu, pārvadātāja tiesībām rīkoties ar transportlīdzekli, kā arī pārvadātāja pietiekošu finansiālo nodrošinājumu atbilstoši autoparka lielumam. Tādējādi </w:t>
            </w:r>
            <w:r w:rsidRPr="00E15D2A" w:rsidR="001D7E96">
              <w:rPr>
                <w:rFonts w:cs="Times New Roman"/>
                <w:sz w:val="24"/>
                <w:szCs w:val="24"/>
                <w:shd w:val="clear" w:color="auto" w:fill="FFFFFF" w:themeFill="background1"/>
              </w:rPr>
              <w:t>licences kartīte ir atsevišķs administratīvais akts.</w:t>
            </w:r>
            <w:r w:rsidRPr="00E15D2A" w:rsidR="001D7E96">
              <w:rPr>
                <w:rFonts w:eastAsia="Times New Roman" w:cs="Times New Roman"/>
                <w:sz w:val="24"/>
                <w:szCs w:val="24"/>
                <w:lang w:eastAsia="lv-LV"/>
              </w:rPr>
              <w:t xml:space="preserve"> Lēmums par licences kartītes izsniegšanu, apturēšanu uz laiku vai anulēšanu ir administratīvais akts, ko var apstrīdēt Satiksmes ministrijā Administratīvā procesa likumā noteiktajā kārtībā.</w:t>
            </w:r>
            <w:r w:rsidRPr="00E15D2A" w:rsidR="001D7E96">
              <w:rPr>
                <w:rFonts w:cs="Times New Roman"/>
                <w:sz w:val="24"/>
                <w:szCs w:val="24"/>
              </w:rPr>
              <w:t xml:space="preserve">  </w:t>
            </w:r>
          </w:p>
          <w:p w:rsidRPr="00E15D2A" w:rsidR="00B64EC3" w:rsidP="00B64EC3" w:rsidRDefault="00D00087" w14:paraId="44D4D920" w14:textId="5E4E0DF8">
            <w:pPr>
              <w:ind w:firstLine="0"/>
              <w:jc w:val="both"/>
              <w:rPr>
                <w:rFonts w:cs="Times New Roman"/>
                <w:sz w:val="24"/>
                <w:szCs w:val="24"/>
              </w:rPr>
            </w:pPr>
            <w:r w:rsidRPr="00E15D2A">
              <w:rPr>
                <w:rFonts w:cs="Times New Roman"/>
                <w:sz w:val="24"/>
                <w:szCs w:val="24"/>
              </w:rPr>
              <w:t xml:space="preserve">Gada laikā vidēji ATD izsniedz </w:t>
            </w:r>
            <w:r w:rsidR="00035FA8">
              <w:rPr>
                <w:rFonts w:cs="Times New Roman"/>
                <w:sz w:val="24"/>
                <w:szCs w:val="24"/>
              </w:rPr>
              <w:t>700</w:t>
            </w:r>
            <w:r w:rsidRPr="00E15D2A" w:rsidR="00035FA8">
              <w:rPr>
                <w:rFonts w:cs="Times New Roman"/>
                <w:sz w:val="24"/>
                <w:szCs w:val="24"/>
              </w:rPr>
              <w:t xml:space="preserve"> </w:t>
            </w:r>
            <w:r w:rsidRPr="00E15D2A">
              <w:rPr>
                <w:rFonts w:cs="Times New Roman"/>
                <w:sz w:val="24"/>
                <w:szCs w:val="24"/>
              </w:rPr>
              <w:t xml:space="preserve">licences un </w:t>
            </w:r>
            <w:r w:rsidRPr="00E15D2A" w:rsidR="0043695C">
              <w:rPr>
                <w:rFonts w:cs="Times New Roman"/>
                <w:sz w:val="24"/>
                <w:szCs w:val="24"/>
              </w:rPr>
              <w:t>10</w:t>
            </w:r>
            <w:r w:rsidRPr="00E15D2A" w:rsidR="00E50734">
              <w:rPr>
                <w:rFonts w:cs="Times New Roman"/>
                <w:sz w:val="24"/>
                <w:szCs w:val="24"/>
              </w:rPr>
              <w:t> </w:t>
            </w:r>
            <w:r w:rsidRPr="00E15D2A" w:rsidR="0043695C">
              <w:rPr>
                <w:rFonts w:cs="Times New Roman"/>
                <w:sz w:val="24"/>
                <w:szCs w:val="24"/>
              </w:rPr>
              <w:t xml:space="preserve">000 </w:t>
            </w:r>
            <w:r w:rsidRPr="00E15D2A" w:rsidR="00B64EC3">
              <w:rPr>
                <w:rFonts w:cs="Times New Roman"/>
                <w:sz w:val="24"/>
                <w:szCs w:val="24"/>
              </w:rPr>
              <w:t>licences kartītes</w:t>
            </w:r>
            <w:r w:rsidRPr="00E15D2A" w:rsidR="00CE361C">
              <w:rPr>
                <w:rFonts w:cs="Times New Roman"/>
                <w:sz w:val="24"/>
                <w:szCs w:val="24"/>
              </w:rPr>
              <w:t>.</w:t>
            </w:r>
          </w:p>
          <w:p w:rsidRPr="00E15D2A" w:rsidR="00FA2936" w:rsidP="00FA2936" w:rsidRDefault="00FA2936" w14:paraId="349A8ACD" w14:textId="50CBD741">
            <w:pPr>
              <w:ind w:firstLine="0"/>
              <w:jc w:val="both"/>
              <w:rPr>
                <w:rFonts w:cs="Times New Roman"/>
                <w:sz w:val="24"/>
                <w:szCs w:val="24"/>
              </w:rPr>
            </w:pPr>
            <w:r w:rsidRPr="00E15D2A">
              <w:rPr>
                <w:rFonts w:cs="Times New Roman"/>
                <w:sz w:val="24"/>
                <w:szCs w:val="24"/>
              </w:rPr>
              <w:t>Saskaņā ar noteikumu Nr.121 31.punktu licences kartītei jābūt transportlīdzeklī, ar ko tiek veikts autotransporta komercpārvadājums</w:t>
            </w:r>
            <w:r w:rsidR="00555B57">
              <w:rPr>
                <w:rFonts w:cs="Times New Roman"/>
                <w:sz w:val="24"/>
                <w:szCs w:val="24"/>
              </w:rPr>
              <w:t>,</w:t>
            </w:r>
            <w:r w:rsidRPr="00E15D2A">
              <w:rPr>
                <w:rFonts w:cs="Times New Roman"/>
                <w:sz w:val="24"/>
                <w:szCs w:val="24"/>
              </w:rPr>
              <w:t xml:space="preserve"> un par tās esamību Latvijas teritorijā saskaņā ar </w:t>
            </w:r>
            <w:r w:rsidR="004F45A3">
              <w:rPr>
                <w:rFonts w:cs="Times New Roman"/>
                <w:sz w:val="24"/>
                <w:szCs w:val="24"/>
              </w:rPr>
              <w:t>MK</w:t>
            </w:r>
            <w:r w:rsidR="00BE1A0E">
              <w:rPr>
                <w:rFonts w:cs="Times New Roman"/>
                <w:sz w:val="24"/>
                <w:szCs w:val="24"/>
              </w:rPr>
              <w:t xml:space="preserve"> </w:t>
            </w:r>
            <w:r w:rsidRPr="00E15D2A">
              <w:rPr>
                <w:rFonts w:cs="Times New Roman"/>
                <w:sz w:val="24"/>
                <w:szCs w:val="24"/>
              </w:rPr>
              <w:t xml:space="preserve">2011.gada 24.maija noteikumu Nr.411 „Autopārvadājumu kontroles organizēšanas un īstenošanas kārtība” jāpārliecinās pārvadātāju kontroles dienestiem (Valsts policija, pašvaldību kontroles dienesti), pieprasot </w:t>
            </w:r>
            <w:r w:rsidR="00555B57">
              <w:rPr>
                <w:rFonts w:cs="Times New Roman"/>
                <w:sz w:val="24"/>
                <w:szCs w:val="24"/>
              </w:rPr>
              <w:t>auto</w:t>
            </w:r>
            <w:r w:rsidRPr="00E15D2A">
              <w:rPr>
                <w:rFonts w:cs="Times New Roman"/>
                <w:sz w:val="24"/>
                <w:szCs w:val="24"/>
              </w:rPr>
              <w:t>transporta līdzekļa vadītājam vai pārvadātāja pārstāvim uzrādīt autopārvadājumus reglamentējošajos normatīvajos aktos norādītos dokumentus.</w:t>
            </w:r>
          </w:p>
          <w:p w:rsidRPr="00E15D2A" w:rsidR="0061275A" w:rsidP="00B64EC3" w:rsidRDefault="0061275A" w14:paraId="27CB9CB6" w14:textId="23222236">
            <w:pPr>
              <w:ind w:firstLine="0"/>
              <w:jc w:val="both"/>
              <w:rPr>
                <w:rFonts w:cs="Times New Roman"/>
                <w:sz w:val="24"/>
                <w:szCs w:val="24"/>
              </w:rPr>
            </w:pPr>
            <w:r w:rsidRPr="00E15D2A">
              <w:rPr>
                <w:rFonts w:cs="Times New Roman"/>
                <w:sz w:val="24"/>
                <w:szCs w:val="24"/>
              </w:rPr>
              <w:t xml:space="preserve">Ir </w:t>
            </w:r>
            <w:r w:rsidRPr="00E15D2A" w:rsidR="00FA2936">
              <w:rPr>
                <w:rFonts w:cs="Times New Roman"/>
                <w:sz w:val="24"/>
                <w:szCs w:val="24"/>
              </w:rPr>
              <w:t>veikti</w:t>
            </w:r>
            <w:r w:rsidRPr="00E15D2A">
              <w:rPr>
                <w:rFonts w:cs="Times New Roman"/>
                <w:sz w:val="24"/>
                <w:szCs w:val="24"/>
              </w:rPr>
              <w:t xml:space="preserve"> grozījumi Autopārvadājumu likuma 1.panta 18.</w:t>
            </w:r>
            <w:r w:rsidRPr="00E15D2A">
              <w:rPr>
                <w:rFonts w:cs="Times New Roman"/>
                <w:sz w:val="24"/>
                <w:szCs w:val="24"/>
                <w:vertAlign w:val="superscript"/>
              </w:rPr>
              <w:t>1</w:t>
            </w:r>
            <w:r w:rsidR="00BE1A0E">
              <w:rPr>
                <w:rFonts w:cs="Times New Roman"/>
                <w:sz w:val="24"/>
                <w:szCs w:val="24"/>
              </w:rPr>
              <w:t xml:space="preserve"> </w:t>
            </w:r>
            <w:r w:rsidRPr="00E15D2A">
              <w:rPr>
                <w:rFonts w:cs="Times New Roman"/>
                <w:sz w:val="24"/>
                <w:szCs w:val="24"/>
              </w:rPr>
              <w:t>punktā</w:t>
            </w:r>
            <w:r w:rsidR="00555B57">
              <w:rPr>
                <w:rFonts w:cs="Times New Roman"/>
                <w:sz w:val="24"/>
                <w:szCs w:val="24"/>
              </w:rPr>
              <w:t>,</w:t>
            </w:r>
            <w:r w:rsidRPr="00E15D2A">
              <w:rPr>
                <w:rFonts w:cs="Times New Roman"/>
                <w:sz w:val="24"/>
                <w:szCs w:val="24"/>
              </w:rPr>
              <w:t xml:space="preserve"> licences kartītes definīcijā</w:t>
            </w:r>
            <w:r w:rsidRPr="00E15D2A" w:rsidR="00F76C8F">
              <w:rPr>
                <w:rFonts w:cs="Times New Roman"/>
                <w:sz w:val="24"/>
                <w:szCs w:val="24"/>
              </w:rPr>
              <w:t xml:space="preserve"> paredzot, ka licences kartīte ir dokuments vai ieraksts valsts informācijas sistēmā</w:t>
            </w:r>
            <w:r w:rsidR="00AF48FE">
              <w:rPr>
                <w:rFonts w:cs="Times New Roman"/>
                <w:sz w:val="24"/>
                <w:szCs w:val="24"/>
              </w:rPr>
              <w:t>,</w:t>
            </w:r>
            <w:r w:rsidRPr="00E15D2A" w:rsidR="00D00087">
              <w:rPr>
                <w:rFonts w:cs="Times New Roman"/>
                <w:sz w:val="24"/>
                <w:szCs w:val="24"/>
              </w:rPr>
              <w:t xml:space="preserve"> un grozījumi  Autopārvadājumu likuma 6.panta ceturtajā daļā, kā arī 30. panta septītajā daļā, kas paredz licences izsniegšanu, izdarot ierakstu Autopārvadātāju informatīvajā datu bāzē.</w:t>
            </w:r>
            <w:r w:rsidRPr="00E15D2A">
              <w:rPr>
                <w:rFonts w:cs="Times New Roman"/>
                <w:sz w:val="24"/>
                <w:szCs w:val="24"/>
              </w:rPr>
              <w:t xml:space="preserve">  </w:t>
            </w:r>
            <w:r w:rsidRPr="005C6D7E" w:rsidR="00337042">
              <w:rPr>
                <w:sz w:val="24"/>
                <w:szCs w:val="24"/>
              </w:rPr>
              <w:t xml:space="preserve"> Licences kartīte </w:t>
            </w:r>
            <w:r w:rsidR="00337042">
              <w:rPr>
                <w:sz w:val="24"/>
                <w:szCs w:val="24"/>
              </w:rPr>
              <w:t xml:space="preserve">ir </w:t>
            </w:r>
            <w:r w:rsidRPr="005C6D7E" w:rsidR="00337042">
              <w:rPr>
                <w:sz w:val="24"/>
                <w:szCs w:val="24"/>
              </w:rPr>
              <w:t xml:space="preserve">dokuments, ko izsniedz pārvadātājam attiecībā uz katru autotransporta </w:t>
            </w:r>
            <w:r w:rsidRPr="005C6D7E" w:rsidR="00337042">
              <w:rPr>
                <w:sz w:val="24"/>
                <w:szCs w:val="24"/>
              </w:rPr>
              <w:lastRenderedPageBreak/>
              <w:t>līdzekli un kas apliecina, ka pārvadātājs kā autotransporta līdzekļa īpašnieks vai turētājs ir noteikumos paredzētajā kārtībā saņēmis speciālo atļauju (licenci) komercpārvadājumu veikšanai.</w:t>
            </w:r>
            <w:r w:rsidRPr="00FE273B" w:rsidR="00337042">
              <w:rPr>
                <w:sz w:val="24"/>
                <w:szCs w:val="24"/>
              </w:rPr>
              <w:t xml:space="preserve"> </w:t>
            </w:r>
            <w:r w:rsidR="00337042">
              <w:rPr>
                <w:sz w:val="24"/>
                <w:szCs w:val="24"/>
              </w:rPr>
              <w:t>Licences kartīte tiek piešķirta tikai tiem pārvadātāja transportlīdzekļiem, kuri ir piemēroti pārvadājumu veikšanai</w:t>
            </w:r>
            <w:r w:rsidR="00555B57">
              <w:rPr>
                <w:sz w:val="24"/>
                <w:szCs w:val="24"/>
              </w:rPr>
              <w:t>.</w:t>
            </w:r>
            <w:r w:rsidR="00337042">
              <w:rPr>
                <w:sz w:val="24"/>
                <w:szCs w:val="24"/>
              </w:rPr>
              <w:t xml:space="preserve"> </w:t>
            </w:r>
            <w:r w:rsidR="00555B57">
              <w:rPr>
                <w:sz w:val="24"/>
                <w:szCs w:val="24"/>
              </w:rPr>
              <w:t>Tādējādi</w:t>
            </w:r>
            <w:r w:rsidR="00337042">
              <w:rPr>
                <w:sz w:val="24"/>
                <w:szCs w:val="24"/>
              </w:rPr>
              <w:t xml:space="preserve"> </w:t>
            </w:r>
            <w:r w:rsidR="00555B57">
              <w:rPr>
                <w:sz w:val="24"/>
                <w:szCs w:val="24"/>
              </w:rPr>
              <w:t>ATD</w:t>
            </w:r>
            <w:r w:rsidR="00337042">
              <w:rPr>
                <w:sz w:val="24"/>
                <w:szCs w:val="24"/>
              </w:rPr>
              <w:t xml:space="preserve"> pārliecinās par</w:t>
            </w:r>
            <w:r w:rsidR="00555B57">
              <w:rPr>
                <w:sz w:val="24"/>
                <w:szCs w:val="24"/>
              </w:rPr>
              <w:t xml:space="preserve"> autotransporta līdzekļa </w:t>
            </w:r>
            <w:r w:rsidR="00337042">
              <w:rPr>
                <w:sz w:val="24"/>
                <w:szCs w:val="24"/>
              </w:rPr>
              <w:t xml:space="preserve"> atbilstošu tehniskā stāvokļa vērtējumu, pārvadātāja tiesībām rīkoties ar transportlīdzekli, kā arī pārvadātāja pietiekošu finansiālo nodrošinājumu atbilstoši autoparka lielumam.</w:t>
            </w:r>
            <w:r w:rsidRPr="00946F3E" w:rsidR="00337042">
              <w:rPr>
                <w:sz w:val="24"/>
                <w:szCs w:val="24"/>
              </w:rPr>
              <w:t xml:space="preserve"> </w:t>
            </w:r>
            <w:r w:rsidR="00337042">
              <w:rPr>
                <w:sz w:val="24"/>
                <w:szCs w:val="24"/>
              </w:rPr>
              <w:t xml:space="preserve">Tādējādi </w:t>
            </w:r>
            <w:r w:rsidRPr="00360823" w:rsidR="00337042">
              <w:rPr>
                <w:sz w:val="24"/>
                <w:szCs w:val="24"/>
                <w:shd w:val="clear" w:color="auto" w:fill="FFFFFF"/>
              </w:rPr>
              <w:t>licences kartīte ir atsevišķs administratīvais akts.</w:t>
            </w:r>
            <w:r w:rsidRPr="00BB6297" w:rsidR="00337042">
              <w:rPr>
                <w:rFonts w:eastAsia="Times New Roman"/>
                <w:sz w:val="24"/>
                <w:szCs w:val="24"/>
                <w:lang w:eastAsia="lv-LV"/>
              </w:rPr>
              <w:t xml:space="preserve"> Lēmums par licences kartītes izsniegšanu, apturēšanu uz laiku vai anulēšanu ir administratīvais akts, ko var apstrīdēt Satiksmes ministrijā Administratīvā procesa likumā noteiktajā kārtībā</w:t>
            </w:r>
            <w:r w:rsidR="00337042">
              <w:rPr>
                <w:rFonts w:eastAsia="Times New Roman"/>
                <w:sz w:val="24"/>
                <w:szCs w:val="24"/>
                <w:lang w:eastAsia="lv-LV"/>
              </w:rPr>
              <w:t>.</w:t>
            </w:r>
            <w:r w:rsidR="00337042">
              <w:rPr>
                <w:sz w:val="24"/>
                <w:szCs w:val="24"/>
              </w:rPr>
              <w:t xml:space="preserve"> </w:t>
            </w:r>
            <w:r w:rsidR="00337042">
              <w:t xml:space="preserve"> </w:t>
            </w:r>
          </w:p>
          <w:p w:rsidRPr="00E15D2A" w:rsidR="00C83D9E" w:rsidP="00C83D9E" w:rsidRDefault="00917A4E" w14:paraId="399E3062" w14:textId="7F576F7D">
            <w:pPr>
              <w:ind w:firstLine="0"/>
              <w:jc w:val="both"/>
              <w:rPr>
                <w:rFonts w:cs="Times New Roman"/>
                <w:sz w:val="24"/>
                <w:szCs w:val="24"/>
              </w:rPr>
            </w:pPr>
            <w:r>
              <w:rPr>
                <w:rFonts w:cs="Times New Roman"/>
                <w:sz w:val="24"/>
                <w:szCs w:val="24"/>
              </w:rPr>
              <w:t>Atbilstoši Autopārvadājumu likumā veiktajiem grozījumiem</w:t>
            </w:r>
            <w:r w:rsidRPr="00E15D2A" w:rsidR="00B64EC3">
              <w:rPr>
                <w:rFonts w:cs="Times New Roman"/>
                <w:sz w:val="24"/>
                <w:szCs w:val="24"/>
              </w:rPr>
              <w:t xml:space="preserve">, </w:t>
            </w:r>
            <w:r>
              <w:rPr>
                <w:rFonts w:cs="Times New Roman"/>
                <w:sz w:val="24"/>
                <w:szCs w:val="24"/>
              </w:rPr>
              <w:t xml:space="preserve">noteikumi </w:t>
            </w:r>
            <w:r w:rsidR="001D7E96">
              <w:rPr>
                <w:rFonts w:cs="Times New Roman"/>
                <w:sz w:val="24"/>
                <w:szCs w:val="24"/>
              </w:rPr>
              <w:t>paredz</w:t>
            </w:r>
            <w:r>
              <w:rPr>
                <w:rFonts w:cs="Times New Roman"/>
                <w:sz w:val="24"/>
                <w:szCs w:val="24"/>
              </w:rPr>
              <w:t xml:space="preserve"> kārtību </w:t>
            </w:r>
            <w:r w:rsidRPr="00E15D2A" w:rsidR="00D00087">
              <w:rPr>
                <w:rFonts w:cs="Times New Roman"/>
                <w:sz w:val="24"/>
                <w:szCs w:val="24"/>
              </w:rPr>
              <w:t xml:space="preserve">licences un </w:t>
            </w:r>
            <w:r w:rsidRPr="00E15D2A" w:rsidR="00B64EC3">
              <w:rPr>
                <w:rFonts w:cs="Times New Roman"/>
                <w:sz w:val="24"/>
                <w:szCs w:val="24"/>
              </w:rPr>
              <w:t xml:space="preserve">licences kartītes </w:t>
            </w:r>
            <w:r w:rsidRPr="00E15D2A" w:rsidR="007B4239">
              <w:rPr>
                <w:rFonts w:cs="Times New Roman"/>
                <w:sz w:val="24"/>
                <w:szCs w:val="24"/>
              </w:rPr>
              <w:t>izsnieg</w:t>
            </w:r>
            <w:r>
              <w:rPr>
                <w:rFonts w:cs="Times New Roman"/>
                <w:sz w:val="24"/>
                <w:szCs w:val="24"/>
              </w:rPr>
              <w:t>šanai</w:t>
            </w:r>
            <w:r w:rsidRPr="00E15D2A" w:rsidR="007B4239">
              <w:rPr>
                <w:rFonts w:cs="Times New Roman"/>
                <w:sz w:val="24"/>
                <w:szCs w:val="24"/>
              </w:rPr>
              <w:t xml:space="preserve"> elektroniski, </w:t>
            </w:r>
            <w:r w:rsidR="001D7E96">
              <w:rPr>
                <w:rFonts w:cs="Times New Roman"/>
                <w:sz w:val="24"/>
                <w:szCs w:val="24"/>
              </w:rPr>
              <w:t>izdarot ierakstu</w:t>
            </w:r>
            <w:r w:rsidRPr="00E15D2A" w:rsidR="001D7E96">
              <w:rPr>
                <w:rFonts w:cs="Times New Roman"/>
                <w:sz w:val="24"/>
                <w:szCs w:val="24"/>
              </w:rPr>
              <w:t xml:space="preserve">  Autopārvadātāju informatīvajā datubāzē </w:t>
            </w:r>
            <w:r w:rsidR="001D7E96">
              <w:rPr>
                <w:rFonts w:cs="Times New Roman"/>
                <w:sz w:val="24"/>
                <w:szCs w:val="24"/>
              </w:rPr>
              <w:t xml:space="preserve">un </w:t>
            </w:r>
            <w:r w:rsidRPr="00E15D2A" w:rsidR="007B4239">
              <w:rPr>
                <w:rFonts w:cs="Times New Roman"/>
                <w:sz w:val="24"/>
                <w:szCs w:val="24"/>
              </w:rPr>
              <w:t xml:space="preserve">informāciju </w:t>
            </w:r>
            <w:r w:rsidRPr="00E15D2A" w:rsidR="00B64EC3">
              <w:rPr>
                <w:rFonts w:cs="Times New Roman"/>
                <w:sz w:val="24"/>
                <w:szCs w:val="24"/>
              </w:rPr>
              <w:t>publicē</w:t>
            </w:r>
            <w:r w:rsidRPr="00E15D2A" w:rsidR="007B4239">
              <w:rPr>
                <w:rFonts w:cs="Times New Roman"/>
                <w:sz w:val="24"/>
                <w:szCs w:val="24"/>
              </w:rPr>
              <w:t>jo</w:t>
            </w:r>
            <w:r w:rsidRPr="00E15D2A" w:rsidR="00B64EC3">
              <w:rPr>
                <w:rFonts w:cs="Times New Roman"/>
                <w:sz w:val="24"/>
                <w:szCs w:val="24"/>
              </w:rPr>
              <w:t xml:space="preserve">t </w:t>
            </w:r>
            <w:r w:rsidRPr="00E15D2A" w:rsidR="00C806C9">
              <w:rPr>
                <w:rFonts w:cs="Times New Roman"/>
                <w:sz w:val="24"/>
                <w:szCs w:val="24"/>
              </w:rPr>
              <w:t xml:space="preserve">ATD </w:t>
            </w:r>
            <w:r w:rsidR="00D12A34">
              <w:rPr>
                <w:rFonts w:cs="Times New Roman"/>
                <w:sz w:val="24"/>
                <w:szCs w:val="24"/>
              </w:rPr>
              <w:t>tīmekļa vietnē</w:t>
            </w:r>
            <w:r w:rsidRPr="00E15D2A" w:rsidR="00B64EC3">
              <w:rPr>
                <w:rFonts w:cs="Times New Roman"/>
                <w:sz w:val="24"/>
                <w:szCs w:val="24"/>
              </w:rPr>
              <w:t xml:space="preserve">, tādējādi atsakoties no </w:t>
            </w:r>
            <w:r w:rsidRPr="00E15D2A" w:rsidR="00D00087">
              <w:rPr>
                <w:rFonts w:cs="Times New Roman"/>
                <w:sz w:val="24"/>
                <w:szCs w:val="24"/>
              </w:rPr>
              <w:t xml:space="preserve">licences un </w:t>
            </w:r>
            <w:r w:rsidRPr="00E15D2A" w:rsidR="00B64EC3">
              <w:rPr>
                <w:rFonts w:cs="Times New Roman"/>
                <w:sz w:val="24"/>
                <w:szCs w:val="24"/>
              </w:rPr>
              <w:t>licences kartītes izsniegšanas</w:t>
            </w:r>
            <w:r w:rsidRPr="00E15D2A" w:rsidR="00067A2C">
              <w:rPr>
                <w:rFonts w:cs="Times New Roman"/>
                <w:sz w:val="24"/>
                <w:szCs w:val="24"/>
              </w:rPr>
              <w:t xml:space="preserve"> papīra formā</w:t>
            </w:r>
            <w:r w:rsidRPr="00E15D2A" w:rsidR="00B64EC3">
              <w:rPr>
                <w:rFonts w:cs="Times New Roman"/>
                <w:sz w:val="24"/>
                <w:szCs w:val="24"/>
              </w:rPr>
              <w:t>.</w:t>
            </w:r>
            <w:r w:rsidRPr="00E15D2A" w:rsidR="00067A2C">
              <w:rPr>
                <w:rFonts w:cs="Times New Roman"/>
                <w:sz w:val="24"/>
                <w:szCs w:val="24"/>
              </w:rPr>
              <w:t xml:space="preserve"> </w:t>
            </w:r>
            <w:r w:rsidRPr="00E15D2A" w:rsidR="00C83D9E">
              <w:rPr>
                <w:rFonts w:cs="Times New Roman"/>
                <w:sz w:val="24"/>
                <w:szCs w:val="24"/>
              </w:rPr>
              <w:t xml:space="preserve">Informācija par ATD sagatavoto </w:t>
            </w:r>
            <w:r w:rsidRPr="00E15D2A" w:rsidR="00366A34">
              <w:rPr>
                <w:rFonts w:cs="Times New Roman"/>
                <w:sz w:val="24"/>
                <w:szCs w:val="24"/>
              </w:rPr>
              <w:t xml:space="preserve">licenci un </w:t>
            </w:r>
            <w:r w:rsidRPr="00E15D2A" w:rsidR="00C83D9E">
              <w:rPr>
                <w:rFonts w:cs="Times New Roman"/>
                <w:sz w:val="24"/>
                <w:szCs w:val="24"/>
              </w:rPr>
              <w:t>licences kartīti pārvadātājam tiks nosūtīta uz pārvadātāja e-pasta adresi</w:t>
            </w:r>
            <w:r w:rsidRPr="00546223" w:rsidR="00C83D9E">
              <w:rPr>
                <w:rFonts w:cs="Times New Roman"/>
                <w:sz w:val="24"/>
                <w:szCs w:val="24"/>
              </w:rPr>
              <w:t xml:space="preserve">. </w:t>
            </w:r>
            <w:r w:rsidRPr="00546223" w:rsidR="00A226E7">
              <w:rPr>
                <w:rFonts w:cs="Times New Roman"/>
                <w:sz w:val="24"/>
                <w:szCs w:val="24"/>
              </w:rPr>
              <w:t xml:space="preserve">Gadījumā, ja </w:t>
            </w:r>
            <w:r w:rsidR="007A62AC">
              <w:rPr>
                <w:rFonts w:cs="Times New Roman"/>
                <w:sz w:val="24"/>
                <w:szCs w:val="24"/>
              </w:rPr>
              <w:t xml:space="preserve">iepriekš izsniegtais </w:t>
            </w:r>
            <w:r w:rsidRPr="00546223" w:rsidR="00A226E7">
              <w:rPr>
                <w:rFonts w:cs="Times New Roman"/>
                <w:sz w:val="24"/>
                <w:szCs w:val="24"/>
              </w:rPr>
              <w:t>dokuments</w:t>
            </w:r>
            <w:r w:rsidR="007A62AC">
              <w:rPr>
                <w:rFonts w:cs="Times New Roman"/>
                <w:sz w:val="24"/>
                <w:szCs w:val="24"/>
              </w:rPr>
              <w:t xml:space="preserve"> papīra veidā</w:t>
            </w:r>
            <w:r w:rsidRPr="00546223" w:rsidR="00A226E7">
              <w:rPr>
                <w:rFonts w:cs="Times New Roman"/>
                <w:sz w:val="24"/>
                <w:szCs w:val="24"/>
              </w:rPr>
              <w:t xml:space="preserve"> būs nozaudēts, dublikāts vairs netiks izsniegts.</w:t>
            </w:r>
            <w:r w:rsidR="009C1557">
              <w:rPr>
                <w:rFonts w:cs="Times New Roman"/>
                <w:sz w:val="24"/>
                <w:szCs w:val="24"/>
              </w:rPr>
              <w:t xml:space="preserve"> </w:t>
            </w:r>
            <w:r w:rsidR="00D12A34">
              <w:rPr>
                <w:rFonts w:cs="Times New Roman"/>
                <w:sz w:val="24"/>
                <w:szCs w:val="24"/>
              </w:rPr>
              <w:t>ATD</w:t>
            </w:r>
            <w:r w:rsidRPr="009C1557" w:rsidR="009C1557">
              <w:rPr>
                <w:rFonts w:cs="Times New Roman"/>
                <w:sz w:val="24"/>
                <w:szCs w:val="24"/>
              </w:rPr>
              <w:t xml:space="preserve"> izsniegtā licence </w:t>
            </w:r>
            <w:r w:rsidR="009C1557">
              <w:rPr>
                <w:rFonts w:cs="Times New Roman"/>
                <w:sz w:val="24"/>
                <w:szCs w:val="24"/>
              </w:rPr>
              <w:t xml:space="preserve">un licences kartīte </w:t>
            </w:r>
            <w:r w:rsidRPr="009C1557" w:rsidR="009C1557">
              <w:rPr>
                <w:rFonts w:cs="Times New Roman"/>
                <w:sz w:val="24"/>
                <w:szCs w:val="24"/>
              </w:rPr>
              <w:t>stā</w:t>
            </w:r>
            <w:r w:rsidR="009C1557">
              <w:rPr>
                <w:rFonts w:cs="Times New Roman"/>
                <w:sz w:val="24"/>
                <w:szCs w:val="24"/>
              </w:rPr>
              <w:t>sies</w:t>
            </w:r>
            <w:r w:rsidRPr="009C1557" w:rsidR="009C1557">
              <w:rPr>
                <w:rFonts w:cs="Times New Roman"/>
                <w:sz w:val="24"/>
                <w:szCs w:val="24"/>
              </w:rPr>
              <w:t xml:space="preserve"> spēkā ar dienu, kad informācija par licences izsniegšanu ti</w:t>
            </w:r>
            <w:r w:rsidR="009C1557">
              <w:rPr>
                <w:rFonts w:cs="Times New Roman"/>
                <w:sz w:val="24"/>
                <w:szCs w:val="24"/>
              </w:rPr>
              <w:t>ks</w:t>
            </w:r>
            <w:r w:rsidRPr="009C1557" w:rsidR="009C1557">
              <w:rPr>
                <w:rFonts w:cs="Times New Roman"/>
                <w:sz w:val="24"/>
                <w:szCs w:val="24"/>
              </w:rPr>
              <w:t xml:space="preserve"> publicēta </w:t>
            </w:r>
            <w:r w:rsidR="00D12A34">
              <w:rPr>
                <w:rFonts w:cs="Times New Roman"/>
                <w:sz w:val="24"/>
                <w:szCs w:val="24"/>
              </w:rPr>
              <w:t>ATD</w:t>
            </w:r>
            <w:r w:rsidRPr="009C1557" w:rsidR="009C1557">
              <w:rPr>
                <w:rFonts w:cs="Times New Roman"/>
                <w:sz w:val="24"/>
                <w:szCs w:val="24"/>
              </w:rPr>
              <w:t xml:space="preserve"> tīmekļ</w:t>
            </w:r>
            <w:r w:rsidR="00D12A34">
              <w:rPr>
                <w:rFonts w:cs="Times New Roman"/>
                <w:sz w:val="24"/>
                <w:szCs w:val="24"/>
              </w:rPr>
              <w:t xml:space="preserve">a </w:t>
            </w:r>
            <w:r w:rsidRPr="009C1557" w:rsidR="009C1557">
              <w:rPr>
                <w:rFonts w:cs="Times New Roman"/>
                <w:sz w:val="24"/>
                <w:szCs w:val="24"/>
              </w:rPr>
              <w:t>vietnē</w:t>
            </w:r>
            <w:r w:rsidR="009C1557">
              <w:rPr>
                <w:rFonts w:cs="Times New Roman"/>
                <w:sz w:val="24"/>
                <w:szCs w:val="24"/>
              </w:rPr>
              <w:t>.</w:t>
            </w:r>
          </w:p>
          <w:p w:rsidR="0052743F" w:rsidP="0052743F" w:rsidRDefault="00B64EC3" w14:paraId="1EF5F5AA" w14:textId="1BEA8E02">
            <w:pPr>
              <w:ind w:firstLine="0"/>
              <w:jc w:val="both"/>
              <w:rPr>
                <w:rFonts w:cs="Times New Roman"/>
                <w:sz w:val="24"/>
                <w:szCs w:val="24"/>
              </w:rPr>
            </w:pPr>
            <w:r w:rsidRPr="00E15D2A">
              <w:rPr>
                <w:rFonts w:cs="Times New Roman"/>
                <w:sz w:val="24"/>
                <w:szCs w:val="24"/>
              </w:rPr>
              <w:t xml:space="preserve">Kontrolējošām institūcijām, veicot komercpārvadājumu uzraudzību un kontroli, nepieciešamo informāciju par </w:t>
            </w:r>
            <w:r w:rsidRPr="00E15D2A" w:rsidR="00D00087">
              <w:rPr>
                <w:rFonts w:cs="Times New Roman"/>
                <w:sz w:val="24"/>
                <w:szCs w:val="24"/>
              </w:rPr>
              <w:t xml:space="preserve">licences un </w:t>
            </w:r>
            <w:r w:rsidRPr="00E15D2A" w:rsidR="00C806C9">
              <w:rPr>
                <w:rFonts w:cs="Times New Roman"/>
                <w:sz w:val="24"/>
                <w:szCs w:val="24"/>
              </w:rPr>
              <w:t xml:space="preserve">licences kartītes </w:t>
            </w:r>
            <w:r w:rsidRPr="00E15D2A">
              <w:rPr>
                <w:rFonts w:cs="Times New Roman"/>
                <w:sz w:val="24"/>
                <w:szCs w:val="24"/>
              </w:rPr>
              <w:t xml:space="preserve">izsniegšanu un spēkā esamību būs iespējams pārbaudīt ATD </w:t>
            </w:r>
            <w:r w:rsidR="00D12A34">
              <w:rPr>
                <w:rFonts w:cs="Times New Roman"/>
                <w:sz w:val="24"/>
                <w:szCs w:val="24"/>
              </w:rPr>
              <w:t>tīmekļvietnē</w:t>
            </w:r>
            <w:r w:rsidRPr="00E15D2A" w:rsidR="00D00087">
              <w:rPr>
                <w:rFonts w:cs="Times New Roman"/>
                <w:sz w:val="24"/>
                <w:szCs w:val="24"/>
              </w:rPr>
              <w:t>, kā arī  tiešsaistes režīmā ar tīmekļa vietnes starpniecību Autopārvadātāju informatīv</w:t>
            </w:r>
            <w:r w:rsidRPr="00E15D2A" w:rsidR="00E50734">
              <w:rPr>
                <w:rFonts w:cs="Times New Roman"/>
                <w:sz w:val="24"/>
                <w:szCs w:val="24"/>
              </w:rPr>
              <w:t>aj</w:t>
            </w:r>
            <w:r w:rsidRPr="00E15D2A" w:rsidR="00D00087">
              <w:rPr>
                <w:rFonts w:cs="Times New Roman"/>
                <w:sz w:val="24"/>
                <w:szCs w:val="24"/>
              </w:rPr>
              <w:t>ā datubāzē.</w:t>
            </w:r>
            <w:r w:rsidRPr="00E15D2A">
              <w:rPr>
                <w:rFonts w:cs="Times New Roman"/>
                <w:sz w:val="24"/>
                <w:szCs w:val="24"/>
              </w:rPr>
              <w:t xml:space="preserve"> </w:t>
            </w:r>
            <w:r w:rsidRPr="00E15D2A" w:rsidR="00FE273B">
              <w:rPr>
                <w:rFonts w:cs="Times New Roman"/>
                <w:sz w:val="24"/>
                <w:szCs w:val="24"/>
              </w:rPr>
              <w:t xml:space="preserve">Publiskajā piekļuvē ATD </w:t>
            </w:r>
            <w:r w:rsidR="00D12A34">
              <w:rPr>
                <w:rFonts w:cs="Times New Roman"/>
                <w:sz w:val="24"/>
                <w:szCs w:val="24"/>
              </w:rPr>
              <w:t>tīmekļa vietnē</w:t>
            </w:r>
            <w:r w:rsidRPr="00E15D2A" w:rsidR="00FE273B">
              <w:rPr>
                <w:rFonts w:cs="Times New Roman"/>
                <w:sz w:val="24"/>
                <w:szCs w:val="24"/>
              </w:rPr>
              <w:t xml:space="preserve"> būs pieejama informācija par spēkā esošajām </w:t>
            </w:r>
            <w:r w:rsidR="007A62AC">
              <w:rPr>
                <w:rFonts w:cs="Times New Roman"/>
                <w:sz w:val="24"/>
                <w:szCs w:val="24"/>
              </w:rPr>
              <w:t xml:space="preserve">licencēm un </w:t>
            </w:r>
            <w:r w:rsidRPr="00E15D2A" w:rsidR="00FE273B">
              <w:rPr>
                <w:rFonts w:cs="Times New Roman"/>
                <w:sz w:val="24"/>
                <w:szCs w:val="24"/>
              </w:rPr>
              <w:t xml:space="preserve">licences kartītēm, bet kontrolējošām institūcijām ar autorizēto piekļuvi būs </w:t>
            </w:r>
            <w:r w:rsidR="00D959FF">
              <w:rPr>
                <w:rFonts w:cs="Times New Roman"/>
                <w:sz w:val="24"/>
                <w:szCs w:val="24"/>
              </w:rPr>
              <w:t>piekļuve</w:t>
            </w:r>
            <w:r w:rsidRPr="00E15D2A" w:rsidR="00D959FF">
              <w:rPr>
                <w:rFonts w:cs="Times New Roman"/>
                <w:sz w:val="24"/>
                <w:szCs w:val="24"/>
              </w:rPr>
              <w:t xml:space="preserve"> </w:t>
            </w:r>
            <w:r w:rsidRPr="00E15D2A" w:rsidR="00FE273B">
              <w:rPr>
                <w:rFonts w:cs="Times New Roman"/>
                <w:sz w:val="24"/>
                <w:szCs w:val="24"/>
              </w:rPr>
              <w:t xml:space="preserve">pilnai informācijai par </w:t>
            </w:r>
            <w:r w:rsidR="007A62AC">
              <w:rPr>
                <w:rFonts w:cs="Times New Roman"/>
                <w:sz w:val="24"/>
                <w:szCs w:val="24"/>
              </w:rPr>
              <w:t xml:space="preserve">licencēm un </w:t>
            </w:r>
            <w:r w:rsidRPr="00E15D2A" w:rsidR="00FE273B">
              <w:rPr>
                <w:rFonts w:cs="Times New Roman"/>
                <w:sz w:val="24"/>
                <w:szCs w:val="24"/>
              </w:rPr>
              <w:t xml:space="preserve">licences kartītēm. ATD </w:t>
            </w:r>
            <w:r w:rsidR="00D12A34">
              <w:rPr>
                <w:rFonts w:cs="Times New Roman"/>
                <w:sz w:val="24"/>
                <w:szCs w:val="24"/>
              </w:rPr>
              <w:t>tīmekļa vietnē</w:t>
            </w:r>
            <w:r w:rsidRPr="00E15D2A" w:rsidR="00FE273B">
              <w:rPr>
                <w:rFonts w:cs="Times New Roman"/>
                <w:sz w:val="24"/>
                <w:szCs w:val="24"/>
              </w:rPr>
              <w:t xml:space="preserve"> publiskotā informācija būs pieejama mobilajās ierīcēs, kā arī datorā ar interneta </w:t>
            </w:r>
            <w:proofErr w:type="spellStart"/>
            <w:r w:rsidRPr="00E15D2A" w:rsidR="00FE273B">
              <w:rPr>
                <w:rFonts w:cs="Times New Roman"/>
                <w:sz w:val="24"/>
                <w:szCs w:val="24"/>
              </w:rPr>
              <w:t>pieslēgumu</w:t>
            </w:r>
            <w:proofErr w:type="spellEnd"/>
            <w:r w:rsidRPr="00E15D2A" w:rsidR="00FE273B">
              <w:rPr>
                <w:rFonts w:cs="Times New Roman"/>
                <w:sz w:val="24"/>
                <w:szCs w:val="24"/>
              </w:rPr>
              <w:t>, papildu ierīces informācijas piekļuvei nebūs nepieciešamas.</w:t>
            </w:r>
          </w:p>
          <w:p w:rsidRPr="00E15D2A" w:rsidR="001D7E96" w:rsidP="001D7E96" w:rsidRDefault="001D7E96" w14:paraId="57252931" w14:textId="585D1834">
            <w:pPr>
              <w:ind w:firstLine="0"/>
              <w:jc w:val="both"/>
              <w:rPr>
                <w:rFonts w:cs="Times New Roman"/>
                <w:sz w:val="24"/>
                <w:szCs w:val="24"/>
              </w:rPr>
            </w:pPr>
            <w:r w:rsidRPr="00E15D2A">
              <w:rPr>
                <w:rFonts w:cs="Times New Roman"/>
                <w:sz w:val="24"/>
                <w:szCs w:val="24"/>
              </w:rPr>
              <w:t xml:space="preserve">Autopārvadātāju informatīvā datubāzē esošie dati jau šobrīd ir pieejami autopārvadājumus kontrolējošām institūcijām. Pēc atteikšanās no dokumentiem papīra veidā, uzkrājamo datu apjoms par izsniegtajām licences kartītēm un licencēm Autopārvadātāju informatīvā datubāzē neatšķirsies no tagadējā, vienīgi </w:t>
            </w:r>
            <w:r w:rsidRPr="00E15D2A" w:rsidR="004642A3">
              <w:rPr>
                <w:rFonts w:cs="Times New Roman"/>
                <w:sz w:val="24"/>
                <w:szCs w:val="24"/>
              </w:rPr>
              <w:t>dokument</w:t>
            </w:r>
            <w:r w:rsidR="004642A3">
              <w:rPr>
                <w:rFonts w:cs="Times New Roman"/>
                <w:sz w:val="24"/>
                <w:szCs w:val="24"/>
              </w:rPr>
              <w:t>s</w:t>
            </w:r>
            <w:r w:rsidRPr="00E15D2A" w:rsidR="004642A3">
              <w:rPr>
                <w:rFonts w:cs="Times New Roman"/>
                <w:sz w:val="24"/>
                <w:szCs w:val="24"/>
              </w:rPr>
              <w:t xml:space="preserve"> </w:t>
            </w:r>
            <w:r w:rsidRPr="00E15D2A">
              <w:rPr>
                <w:rFonts w:cs="Times New Roman"/>
                <w:sz w:val="24"/>
                <w:szCs w:val="24"/>
              </w:rPr>
              <w:t xml:space="preserve">netiks izdrukāts papīra veidā. Licences un licences kartītes izsniegšanai Autopārvadātāju informatīvā datubāzē tiek </w:t>
            </w:r>
            <w:r w:rsidRPr="00E15D2A">
              <w:rPr>
                <w:rFonts w:cs="Times New Roman"/>
                <w:sz w:val="24"/>
                <w:szCs w:val="24"/>
              </w:rPr>
              <w:lastRenderedPageBreak/>
              <w:t xml:space="preserve">iegūti un saglabāti dati no </w:t>
            </w:r>
            <w:r w:rsidR="00ED2FA1">
              <w:rPr>
                <w:rFonts w:cs="Times New Roman"/>
                <w:sz w:val="24"/>
                <w:szCs w:val="24"/>
              </w:rPr>
              <w:t>V</w:t>
            </w:r>
            <w:r w:rsidRPr="00E15D2A">
              <w:rPr>
                <w:rFonts w:cs="Times New Roman"/>
                <w:sz w:val="24"/>
                <w:szCs w:val="24"/>
              </w:rPr>
              <w:t xml:space="preserve">AS “Ceļu satiksmes drošības direkcija” un Uzņēmumu reģistra </w:t>
            </w:r>
            <w:r w:rsidR="00555B57">
              <w:rPr>
                <w:rFonts w:cs="Times New Roman"/>
                <w:sz w:val="24"/>
                <w:szCs w:val="24"/>
              </w:rPr>
              <w:t>vestajiem reģistriem.</w:t>
            </w:r>
          </w:p>
          <w:p w:rsidRPr="00E15D2A" w:rsidR="001D7E96" w:rsidP="001D7E96" w:rsidRDefault="001D7E96" w14:paraId="47AA1F2E" w14:textId="06765E3B">
            <w:pPr>
              <w:ind w:firstLine="0"/>
              <w:jc w:val="both"/>
              <w:rPr>
                <w:rFonts w:cs="Times New Roman"/>
                <w:sz w:val="24"/>
                <w:szCs w:val="24"/>
              </w:rPr>
            </w:pPr>
            <w:r w:rsidRPr="00E15D2A">
              <w:rPr>
                <w:rFonts w:cs="Times New Roman"/>
                <w:sz w:val="24"/>
                <w:szCs w:val="24"/>
              </w:rPr>
              <w:t>Šāda</w:t>
            </w:r>
            <w:r w:rsidR="00555B57">
              <w:rPr>
                <w:rFonts w:cs="Times New Roman"/>
                <w:sz w:val="24"/>
                <w:szCs w:val="24"/>
              </w:rPr>
              <w:t>i</w:t>
            </w:r>
            <w:r w:rsidRPr="00E15D2A">
              <w:rPr>
                <w:rFonts w:cs="Times New Roman"/>
                <w:sz w:val="24"/>
                <w:szCs w:val="24"/>
              </w:rPr>
              <w:t xml:space="preserve"> kārtībai nav negatīva ietekme uz kontrolējoš</w:t>
            </w:r>
            <w:r w:rsidR="00555B57">
              <w:rPr>
                <w:rFonts w:cs="Times New Roman"/>
                <w:sz w:val="24"/>
                <w:szCs w:val="24"/>
              </w:rPr>
              <w:t>o</w:t>
            </w:r>
            <w:r w:rsidRPr="00E15D2A">
              <w:rPr>
                <w:rFonts w:cs="Times New Roman"/>
                <w:sz w:val="24"/>
                <w:szCs w:val="24"/>
              </w:rPr>
              <w:t xml:space="preserve"> institūciju darbu un tā nepalielina kontrolējošo institūciju slogu, kā arī nepadara komercpārvadājumu uzraudzības un kontroles procesu laikietilpīgāku. </w:t>
            </w:r>
          </w:p>
          <w:p w:rsidR="003C6B4A" w:rsidP="00B64EC3" w:rsidRDefault="007327CC" w14:paraId="15E84F8B" w14:textId="6C43333D">
            <w:pPr>
              <w:ind w:firstLine="0"/>
              <w:jc w:val="both"/>
              <w:rPr>
                <w:rFonts w:eastAsia="Times New Roman"/>
                <w:sz w:val="24"/>
                <w:szCs w:val="24"/>
                <w:lang w:eastAsia="lv-LV"/>
              </w:rPr>
            </w:pPr>
            <w:r w:rsidRPr="003259A0">
              <w:rPr>
                <w:rFonts w:eastAsia="Times New Roman"/>
                <w:sz w:val="24"/>
                <w:szCs w:val="24"/>
                <w:lang w:eastAsia="lv-LV"/>
              </w:rPr>
              <w:t xml:space="preserve">Licences kartītes darbību aptur, ja tiek apturēta licences darbība. </w:t>
            </w:r>
            <w:r w:rsidRPr="004A60F2">
              <w:rPr>
                <w:rFonts w:eastAsia="Times New Roman"/>
                <w:sz w:val="24"/>
                <w:szCs w:val="24"/>
                <w:lang w:eastAsia="lv-LV"/>
              </w:rPr>
              <w:t xml:space="preserve">Kad licences darbība pēc tās apturēšanas tiek atjaunota, atbilstoši noteikumu projekta </w:t>
            </w:r>
            <w:r w:rsidRPr="004A60F2" w:rsidR="00A1743C">
              <w:rPr>
                <w:rFonts w:eastAsia="Times New Roman"/>
                <w:sz w:val="24"/>
                <w:szCs w:val="24"/>
                <w:lang w:eastAsia="lv-LV"/>
              </w:rPr>
              <w:t>17</w:t>
            </w:r>
            <w:r w:rsidRPr="004A60F2">
              <w:rPr>
                <w:rFonts w:eastAsia="Times New Roman"/>
                <w:sz w:val="24"/>
                <w:szCs w:val="24"/>
                <w:lang w:eastAsia="lv-LV"/>
              </w:rPr>
              <w:t xml:space="preserve">.punktam pārvadātājs iesniedz iesniegumu un </w:t>
            </w:r>
            <w:r w:rsidRPr="004A60F2" w:rsidR="00ED2FA1">
              <w:rPr>
                <w:rFonts w:eastAsia="Times New Roman"/>
                <w:sz w:val="24"/>
                <w:szCs w:val="24"/>
                <w:lang w:eastAsia="lv-LV"/>
              </w:rPr>
              <w:t>ATD</w:t>
            </w:r>
            <w:r w:rsidRPr="004A60F2">
              <w:rPr>
                <w:rFonts w:eastAsia="Times New Roman"/>
                <w:sz w:val="24"/>
                <w:szCs w:val="24"/>
                <w:lang w:eastAsia="lv-LV"/>
              </w:rPr>
              <w:t xml:space="preserve"> veic pārbaudes. Pēc iesnieguma saņemšanas un sekmīgas pārbaudes tiek </w:t>
            </w:r>
            <w:r w:rsidRPr="004A60F2" w:rsidR="00D171FD">
              <w:rPr>
                <w:rFonts w:eastAsia="Times New Roman"/>
                <w:sz w:val="24"/>
                <w:szCs w:val="24"/>
                <w:lang w:eastAsia="lv-LV"/>
              </w:rPr>
              <w:t xml:space="preserve">atjaunota </w:t>
            </w:r>
            <w:r w:rsidRPr="004A60F2">
              <w:rPr>
                <w:rFonts w:eastAsia="Times New Roman"/>
                <w:sz w:val="24"/>
                <w:szCs w:val="24"/>
                <w:lang w:eastAsia="lv-LV"/>
              </w:rPr>
              <w:t xml:space="preserve">licence un licences kartīte, un datu bāzē parādās jauns ieraksts par licences kartītes </w:t>
            </w:r>
            <w:r w:rsidRPr="004A60F2" w:rsidR="00D171FD">
              <w:rPr>
                <w:rFonts w:eastAsia="Times New Roman"/>
                <w:sz w:val="24"/>
                <w:szCs w:val="24"/>
                <w:lang w:eastAsia="lv-LV"/>
              </w:rPr>
              <w:t xml:space="preserve"> atjaunošanu</w:t>
            </w:r>
            <w:r w:rsidRPr="004A60F2" w:rsidR="009008BE">
              <w:rPr>
                <w:rFonts w:eastAsia="Times New Roman"/>
                <w:sz w:val="24"/>
                <w:szCs w:val="24"/>
                <w:lang w:eastAsia="lv-LV"/>
              </w:rPr>
              <w:t xml:space="preserve"> </w:t>
            </w:r>
            <w:r w:rsidRPr="004A60F2" w:rsidR="009008BE">
              <w:t xml:space="preserve"> </w:t>
            </w:r>
            <w:r w:rsidRPr="004A60F2" w:rsidR="009008BE">
              <w:rPr>
                <w:rFonts w:eastAsia="Times New Roman"/>
                <w:sz w:val="24"/>
                <w:szCs w:val="24"/>
                <w:lang w:eastAsia="lv-LV"/>
              </w:rPr>
              <w:t>uz atlikušo licences kartītes darbības laiku</w:t>
            </w:r>
            <w:r w:rsidRPr="004A60F2">
              <w:rPr>
                <w:rFonts w:eastAsia="Times New Roman"/>
                <w:sz w:val="24"/>
                <w:szCs w:val="24"/>
                <w:lang w:eastAsia="lv-LV"/>
              </w:rPr>
              <w:t xml:space="preserve">. </w:t>
            </w:r>
            <w:r w:rsidRPr="003259A0">
              <w:rPr>
                <w:rFonts w:eastAsia="Times New Roman"/>
                <w:sz w:val="24"/>
                <w:szCs w:val="24"/>
                <w:lang w:eastAsia="lv-LV"/>
              </w:rPr>
              <w:t xml:space="preserve">Kontrolējošajām institūcijām būs pieejama pilna informācija par spēkā esošajām, anulētajām un apturētajām </w:t>
            </w:r>
            <w:r w:rsidR="00F43741">
              <w:rPr>
                <w:rFonts w:eastAsia="Times New Roman"/>
                <w:sz w:val="24"/>
                <w:szCs w:val="24"/>
                <w:lang w:eastAsia="lv-LV"/>
              </w:rPr>
              <w:t xml:space="preserve">licencēm un </w:t>
            </w:r>
            <w:r w:rsidRPr="003259A0">
              <w:rPr>
                <w:rFonts w:eastAsia="Times New Roman"/>
                <w:sz w:val="24"/>
                <w:szCs w:val="24"/>
                <w:lang w:eastAsia="lv-LV"/>
              </w:rPr>
              <w:t>licences kartītēm.</w:t>
            </w:r>
          </w:p>
          <w:p w:rsidR="00D959FF" w:rsidP="00F52130" w:rsidRDefault="00F52130" w14:paraId="1F1CFF8B" w14:textId="0609C106">
            <w:pPr>
              <w:ind w:firstLine="0"/>
              <w:jc w:val="both"/>
              <w:rPr>
                <w:rFonts w:cs="Times New Roman"/>
                <w:sz w:val="24"/>
                <w:szCs w:val="24"/>
              </w:rPr>
            </w:pPr>
            <w:r w:rsidRPr="00F52130">
              <w:rPr>
                <w:rFonts w:cs="Times New Roman"/>
                <w:sz w:val="24"/>
                <w:szCs w:val="24"/>
              </w:rPr>
              <w:t xml:space="preserve">Informācija par licences darbības apturēšanu vai anulēšanu tiek publicēta </w:t>
            </w:r>
            <w:r w:rsidR="00555B57">
              <w:rPr>
                <w:rFonts w:cs="Times New Roman"/>
                <w:sz w:val="24"/>
                <w:szCs w:val="24"/>
              </w:rPr>
              <w:t>ATD</w:t>
            </w:r>
            <w:r w:rsidRPr="00F52130">
              <w:rPr>
                <w:rFonts w:cs="Times New Roman"/>
                <w:sz w:val="24"/>
                <w:szCs w:val="24"/>
              </w:rPr>
              <w:t xml:space="preserve"> tīmekļa vietnē</w:t>
            </w:r>
            <w:r>
              <w:rPr>
                <w:rFonts w:cs="Times New Roman"/>
                <w:sz w:val="24"/>
                <w:szCs w:val="24"/>
              </w:rPr>
              <w:t xml:space="preserve"> un tiek</w:t>
            </w:r>
            <w:r w:rsidRPr="00F52130">
              <w:rPr>
                <w:rFonts w:cs="Times New Roman"/>
                <w:sz w:val="24"/>
                <w:szCs w:val="24"/>
              </w:rPr>
              <w:t xml:space="preserve"> saglabāta vienu gadu no lēmuma stāšanās spēkā.</w:t>
            </w:r>
            <w:r>
              <w:rPr>
                <w:rFonts w:cs="Times New Roman"/>
                <w:sz w:val="24"/>
                <w:szCs w:val="24"/>
              </w:rPr>
              <w:t xml:space="preserve"> ATD ir izvērtējusi informācijas glabāšanas ilguma lietderību un secinājusi, ka dati, kas vecāki par vienu gadu, nav noderīgi. Savukārt kontrolējošām institūcijām šie dati būs pieejami </w:t>
            </w:r>
            <w:r w:rsidRPr="00E15D2A" w:rsidR="00966152">
              <w:rPr>
                <w:rFonts w:cs="Times New Roman"/>
                <w:sz w:val="24"/>
                <w:szCs w:val="24"/>
              </w:rPr>
              <w:t xml:space="preserve"> Autopārvadātāju informatīvā datubāzē </w:t>
            </w:r>
            <w:r>
              <w:rPr>
                <w:rFonts w:cs="Times New Roman"/>
                <w:sz w:val="24"/>
                <w:szCs w:val="24"/>
              </w:rPr>
              <w:t xml:space="preserve">divus gadus. </w:t>
            </w:r>
          </w:p>
          <w:p w:rsidRPr="00E15D2A" w:rsidR="00555B57" w:rsidP="00F52130" w:rsidRDefault="00555B57" w14:paraId="60D45B49" w14:textId="77777777">
            <w:pPr>
              <w:ind w:firstLine="0"/>
              <w:jc w:val="both"/>
              <w:rPr>
                <w:rFonts w:cs="Times New Roman"/>
                <w:sz w:val="24"/>
                <w:szCs w:val="24"/>
              </w:rPr>
            </w:pPr>
          </w:p>
          <w:p w:rsidRPr="00E15D2A" w:rsidR="00552B69" w:rsidP="00552B69" w:rsidRDefault="00552B69" w14:paraId="0C403368" w14:textId="6306674E">
            <w:pPr>
              <w:ind w:firstLine="0"/>
              <w:jc w:val="both"/>
              <w:rPr>
                <w:rFonts w:cs="Times New Roman"/>
                <w:sz w:val="24"/>
                <w:szCs w:val="24"/>
              </w:rPr>
            </w:pPr>
            <w:r w:rsidRPr="00E15D2A">
              <w:rPr>
                <w:rFonts w:cs="Times New Roman"/>
                <w:sz w:val="24"/>
                <w:szCs w:val="24"/>
              </w:rPr>
              <w:t>3. Šobrīd licences tiek izsniegtas šād</w:t>
            </w:r>
            <w:r w:rsidR="00555B57">
              <w:rPr>
                <w:rFonts w:cs="Times New Roman"/>
                <w:sz w:val="24"/>
                <w:szCs w:val="24"/>
              </w:rPr>
              <w:t>a</w:t>
            </w:r>
            <w:r w:rsidRPr="00E15D2A">
              <w:rPr>
                <w:rFonts w:cs="Times New Roman"/>
                <w:sz w:val="24"/>
                <w:szCs w:val="24"/>
              </w:rPr>
              <w:t xml:space="preserve"> veid</w:t>
            </w:r>
            <w:r w:rsidR="00555B57">
              <w:rPr>
                <w:rFonts w:cs="Times New Roman"/>
                <w:sz w:val="24"/>
                <w:szCs w:val="24"/>
              </w:rPr>
              <w:t>a</w:t>
            </w:r>
            <w:r w:rsidRPr="00E15D2A">
              <w:rPr>
                <w:rFonts w:cs="Times New Roman"/>
                <w:sz w:val="24"/>
                <w:szCs w:val="24"/>
              </w:rPr>
              <w:t xml:space="preserve"> autotransporta komercpārvadājumiem:</w:t>
            </w:r>
          </w:p>
          <w:p w:rsidRPr="00E15D2A" w:rsidR="00552B69" w:rsidP="00552B69" w:rsidRDefault="00552B69" w14:paraId="1600E132" w14:textId="77777777">
            <w:pPr>
              <w:ind w:firstLine="0"/>
              <w:jc w:val="both"/>
              <w:rPr>
                <w:rFonts w:cs="Times New Roman"/>
                <w:sz w:val="24"/>
                <w:szCs w:val="24"/>
              </w:rPr>
            </w:pPr>
            <w:r w:rsidRPr="00E15D2A">
              <w:rPr>
                <w:rFonts w:cs="Times New Roman"/>
                <w:sz w:val="24"/>
                <w:szCs w:val="24"/>
              </w:rPr>
              <w:t xml:space="preserve">1) </w:t>
            </w:r>
            <w:bookmarkStart w:name="_Hlk14432633" w:id="3"/>
            <w:r w:rsidRPr="00E15D2A">
              <w:rPr>
                <w:rFonts w:cs="Times New Roman"/>
                <w:sz w:val="24"/>
                <w:szCs w:val="24"/>
              </w:rPr>
              <w:t>pasažieru komercpārvadājumiem ar autobusiem Latvijas teritorijā;</w:t>
            </w:r>
          </w:p>
          <w:p w:rsidRPr="00E15D2A" w:rsidR="00552B69" w:rsidP="00552B69" w:rsidRDefault="00552B69" w14:paraId="3ACBE86C" w14:textId="77777777">
            <w:pPr>
              <w:ind w:firstLine="0"/>
              <w:jc w:val="both"/>
              <w:rPr>
                <w:rFonts w:cs="Times New Roman"/>
                <w:sz w:val="24"/>
                <w:szCs w:val="24"/>
              </w:rPr>
            </w:pPr>
            <w:r w:rsidRPr="00E15D2A">
              <w:rPr>
                <w:rFonts w:cs="Times New Roman"/>
                <w:sz w:val="24"/>
                <w:szCs w:val="24"/>
              </w:rPr>
              <w:t>2) kravas komercpārvadājumiem ar kravas automobiļiem Latvijas teritorijā;</w:t>
            </w:r>
          </w:p>
          <w:p w:rsidRPr="00E15D2A" w:rsidR="00552B69" w:rsidP="00552B69" w:rsidRDefault="00552B69" w14:paraId="3BA045FC" w14:textId="5B5FCFFE">
            <w:pPr>
              <w:ind w:firstLine="0"/>
              <w:jc w:val="both"/>
              <w:rPr>
                <w:rFonts w:cs="Times New Roman"/>
                <w:sz w:val="24"/>
                <w:szCs w:val="24"/>
              </w:rPr>
            </w:pPr>
            <w:r w:rsidRPr="00E15D2A">
              <w:rPr>
                <w:rFonts w:cs="Times New Roman"/>
                <w:sz w:val="24"/>
                <w:szCs w:val="24"/>
              </w:rPr>
              <w:t>3) starptautiskajiem pasažieru komercpārvadājumiem ar autobusiem;</w:t>
            </w:r>
          </w:p>
          <w:p w:rsidRPr="00E15D2A" w:rsidR="00552B69" w:rsidP="00552B69" w:rsidRDefault="00552B69" w14:paraId="0EA9AAB8" w14:textId="4240A05F">
            <w:pPr>
              <w:ind w:firstLine="0"/>
              <w:jc w:val="both"/>
              <w:rPr>
                <w:rFonts w:cs="Times New Roman"/>
                <w:sz w:val="24"/>
                <w:szCs w:val="24"/>
              </w:rPr>
            </w:pPr>
            <w:r w:rsidRPr="00E15D2A">
              <w:rPr>
                <w:rFonts w:cs="Times New Roman"/>
                <w:sz w:val="24"/>
                <w:szCs w:val="24"/>
              </w:rPr>
              <w:t>4) starptautiskajiem kravas komercpārvadājumiem ar kravas automobiļiem.</w:t>
            </w:r>
          </w:p>
          <w:bookmarkEnd w:id="3"/>
          <w:p w:rsidR="00AF48FE" w:rsidP="00EF0B9A" w:rsidRDefault="00EF0B9A" w14:paraId="32E21F20" w14:textId="6F205C41">
            <w:pPr>
              <w:ind w:firstLine="0"/>
              <w:jc w:val="both"/>
              <w:rPr>
                <w:rFonts w:cs="Times New Roman"/>
                <w:sz w:val="24"/>
                <w:szCs w:val="24"/>
              </w:rPr>
            </w:pPr>
            <w:r w:rsidRPr="00E15D2A">
              <w:rPr>
                <w:rFonts w:cs="Times New Roman"/>
                <w:sz w:val="24"/>
                <w:szCs w:val="24"/>
              </w:rPr>
              <w:t xml:space="preserve">Izsniegto licenču skaits pārvadājumiem Latvijas teritorijā pēdējo gadu laikā ir </w:t>
            </w:r>
            <w:r w:rsidR="00555B57">
              <w:rPr>
                <w:rFonts w:cs="Times New Roman"/>
                <w:sz w:val="24"/>
                <w:szCs w:val="24"/>
              </w:rPr>
              <w:t>būtiski</w:t>
            </w:r>
            <w:r w:rsidRPr="00E15D2A" w:rsidR="00555B57">
              <w:rPr>
                <w:rFonts w:cs="Times New Roman"/>
                <w:sz w:val="24"/>
                <w:szCs w:val="24"/>
              </w:rPr>
              <w:t xml:space="preserve"> </w:t>
            </w:r>
            <w:r w:rsidRPr="00E15D2A">
              <w:rPr>
                <w:rFonts w:cs="Times New Roman"/>
                <w:sz w:val="24"/>
                <w:szCs w:val="24"/>
              </w:rPr>
              <w:t>samazinājies. 20</w:t>
            </w:r>
            <w:r w:rsidR="00516B3E">
              <w:rPr>
                <w:rFonts w:cs="Times New Roman"/>
                <w:sz w:val="24"/>
                <w:szCs w:val="24"/>
              </w:rPr>
              <w:t>1</w:t>
            </w:r>
            <w:r w:rsidRPr="00E15D2A">
              <w:rPr>
                <w:rFonts w:cs="Times New Roman"/>
                <w:sz w:val="24"/>
                <w:szCs w:val="24"/>
              </w:rPr>
              <w:t xml:space="preserve">4.gadā izsniegtas 1296 kravas licences pārvadājumiem Latvijas teritorijā, 2018.gadā – tikai 274 licences. 2014.gadā izsniegtas 125 pasažieru licences pārvadājumiem Latvijas teritorijā, 2018.gadā – tikai 9 licences. </w:t>
            </w:r>
          </w:p>
          <w:p w:rsidRPr="00E15D2A" w:rsidR="00552B69" w:rsidP="00EF0B9A" w:rsidRDefault="00237D11" w14:paraId="1E0703FA" w14:textId="103FDF46">
            <w:pPr>
              <w:ind w:firstLine="0"/>
              <w:jc w:val="both"/>
              <w:rPr>
                <w:rFonts w:cs="Times New Roman"/>
                <w:sz w:val="24"/>
                <w:szCs w:val="24"/>
              </w:rPr>
            </w:pPr>
            <w:r>
              <w:rPr>
                <w:rFonts w:cs="Times New Roman"/>
                <w:sz w:val="24"/>
                <w:szCs w:val="24"/>
              </w:rPr>
              <w:t>Atbilstoši Autopārvadājumu likumā noteiktajam turpmāk tiks izsniegtas divu veidu licences</w:t>
            </w:r>
            <w:r w:rsidR="00AF48FE">
              <w:rPr>
                <w:rFonts w:cs="Times New Roman"/>
                <w:sz w:val="24"/>
                <w:szCs w:val="24"/>
              </w:rPr>
              <w:t>:</w:t>
            </w:r>
            <w:r>
              <w:rPr>
                <w:rFonts w:cs="Times New Roman"/>
                <w:sz w:val="24"/>
                <w:szCs w:val="24"/>
              </w:rPr>
              <w:t xml:space="preserve"> </w:t>
            </w:r>
          </w:p>
          <w:p w:rsidRPr="00E15D2A" w:rsidR="00552B69" w:rsidP="00552B69" w:rsidRDefault="00552B69" w14:paraId="0E304AF7" w14:textId="5DE008F1">
            <w:pPr>
              <w:ind w:firstLine="0"/>
              <w:jc w:val="both"/>
              <w:rPr>
                <w:rFonts w:cs="Times New Roman"/>
                <w:sz w:val="24"/>
                <w:szCs w:val="24"/>
              </w:rPr>
            </w:pPr>
            <w:r w:rsidRPr="00E15D2A">
              <w:rPr>
                <w:rFonts w:cs="Times New Roman"/>
                <w:sz w:val="24"/>
                <w:szCs w:val="24"/>
              </w:rPr>
              <w:t>1) pasažieru komercpārvadājumiem ar autobusiem;</w:t>
            </w:r>
          </w:p>
          <w:p w:rsidRPr="00E15D2A" w:rsidR="00144442" w:rsidP="00552B69" w:rsidRDefault="00552B69" w14:paraId="71A1AFBD" w14:textId="2F586D1A">
            <w:pPr>
              <w:ind w:firstLine="0"/>
              <w:jc w:val="both"/>
              <w:rPr>
                <w:rFonts w:cs="Times New Roman"/>
                <w:sz w:val="24"/>
                <w:szCs w:val="24"/>
              </w:rPr>
            </w:pPr>
            <w:r w:rsidRPr="00E15D2A">
              <w:rPr>
                <w:rFonts w:cs="Times New Roman"/>
                <w:sz w:val="24"/>
                <w:szCs w:val="24"/>
              </w:rPr>
              <w:t>2) kravas komercpārvadājumiem ar kravas automobiļiem.</w:t>
            </w:r>
          </w:p>
          <w:p w:rsidRPr="00E15D2A" w:rsidR="00D77280" w:rsidP="00366A34" w:rsidRDefault="00144442" w14:paraId="4D53B87F" w14:textId="324D7738">
            <w:pPr>
              <w:ind w:firstLine="0"/>
              <w:jc w:val="both"/>
              <w:rPr>
                <w:rFonts w:cs="Times New Roman"/>
                <w:sz w:val="24"/>
                <w:szCs w:val="24"/>
              </w:rPr>
            </w:pPr>
            <w:r w:rsidRPr="00E15D2A">
              <w:rPr>
                <w:rFonts w:cs="Times New Roman"/>
                <w:sz w:val="24"/>
                <w:szCs w:val="24"/>
              </w:rPr>
              <w:t xml:space="preserve">4. Noteikumu projekts precizē iesniegumā norādāmo informāciju licences saņemšanai, papildinot to ar informāciju par komersanta, zemnieka vai zvejnieka saimniecības elektroniskā pasta adresi, kas nepieciešamas saziņai, pārvadājuma vadītāja vārdu, uzvārdu, sertifikāta numuru, personas kodu vai personas dzimšanas datumu, ja </w:t>
            </w:r>
            <w:r w:rsidRPr="00E15D2A">
              <w:rPr>
                <w:rFonts w:cs="Times New Roman"/>
                <w:sz w:val="24"/>
                <w:szCs w:val="24"/>
              </w:rPr>
              <w:lastRenderedPageBreak/>
              <w:t xml:space="preserve">personas kods nav piešķirts, </w:t>
            </w:r>
            <w:r w:rsidR="00961D14">
              <w:rPr>
                <w:rFonts w:cs="Times New Roman"/>
                <w:sz w:val="24"/>
                <w:szCs w:val="24"/>
              </w:rPr>
              <w:t>norādītās</w:t>
            </w:r>
            <w:r w:rsidRPr="00E15D2A" w:rsidR="00961D14">
              <w:rPr>
                <w:rFonts w:cs="Times New Roman"/>
                <w:sz w:val="24"/>
                <w:szCs w:val="24"/>
              </w:rPr>
              <w:t xml:space="preserve"> </w:t>
            </w:r>
            <w:r w:rsidRPr="00E15D2A">
              <w:rPr>
                <w:rFonts w:cs="Times New Roman"/>
                <w:sz w:val="24"/>
                <w:szCs w:val="24"/>
              </w:rPr>
              <w:t>dzīvesvietas adresi, ja L</w:t>
            </w:r>
            <w:r w:rsidR="00B34117">
              <w:rPr>
                <w:rFonts w:cs="Times New Roman"/>
                <w:sz w:val="24"/>
                <w:szCs w:val="24"/>
              </w:rPr>
              <w:t xml:space="preserve">atvijas </w:t>
            </w:r>
            <w:r w:rsidRPr="00E15D2A">
              <w:rPr>
                <w:rFonts w:cs="Times New Roman"/>
                <w:sz w:val="24"/>
                <w:szCs w:val="24"/>
              </w:rPr>
              <w:t>R</w:t>
            </w:r>
            <w:r w:rsidR="00B34117">
              <w:rPr>
                <w:rFonts w:cs="Times New Roman"/>
                <w:sz w:val="24"/>
                <w:szCs w:val="24"/>
              </w:rPr>
              <w:t>epublikas</w:t>
            </w:r>
            <w:r w:rsidRPr="00E15D2A">
              <w:rPr>
                <w:rFonts w:cs="Times New Roman"/>
                <w:sz w:val="24"/>
                <w:szCs w:val="24"/>
              </w:rPr>
              <w:t xml:space="preserve"> iedzīvotāju reģistrā tāda nav reģistrēta.</w:t>
            </w:r>
            <w:r w:rsidRPr="00E15D2A" w:rsidR="00D77280">
              <w:rPr>
                <w:rFonts w:cs="Times New Roman"/>
                <w:bCs/>
                <w:sz w:val="24"/>
                <w:szCs w:val="24"/>
              </w:rPr>
              <w:t xml:space="preserve">  </w:t>
            </w:r>
          </w:p>
          <w:p w:rsidRPr="00E15D2A" w:rsidR="00366A34" w:rsidP="00366A34" w:rsidRDefault="00366A34" w14:paraId="7163C34B" w14:textId="47800999">
            <w:pPr>
              <w:ind w:firstLine="0"/>
              <w:jc w:val="both"/>
              <w:rPr>
                <w:rFonts w:cs="Times New Roman"/>
                <w:sz w:val="24"/>
                <w:szCs w:val="24"/>
              </w:rPr>
            </w:pPr>
            <w:r w:rsidRPr="00E15D2A">
              <w:rPr>
                <w:rFonts w:cs="Times New Roman"/>
                <w:sz w:val="24"/>
                <w:szCs w:val="24"/>
              </w:rPr>
              <w:t xml:space="preserve">Atbilstoši regulas Nr. 1071/2009 4.panta prasībām pārvadātājam ir jāizraugās pārvadājumu vadītājs. </w:t>
            </w:r>
            <w:r w:rsidR="008B3B28">
              <w:rPr>
                <w:rFonts w:cs="Times New Roman"/>
                <w:sz w:val="24"/>
                <w:szCs w:val="24"/>
              </w:rPr>
              <w:t>Ievērojot minēto, n</w:t>
            </w:r>
            <w:r w:rsidRPr="00E15D2A">
              <w:rPr>
                <w:rFonts w:cs="Times New Roman"/>
                <w:sz w:val="24"/>
                <w:szCs w:val="24"/>
              </w:rPr>
              <w:t>epieciešams papildināt iesniegumu, kurā pārvadātājs atbilstoši regulas Nr. 1071/2009 4.pantā noteiktajam norāda izraudzīto pārvadājumu vadītāju</w:t>
            </w:r>
            <w:r w:rsidR="00B34117">
              <w:rPr>
                <w:rFonts w:cs="Times New Roman"/>
                <w:sz w:val="24"/>
                <w:szCs w:val="24"/>
              </w:rPr>
              <w:t>.</w:t>
            </w:r>
            <w:r w:rsidRPr="00E15D2A">
              <w:rPr>
                <w:rFonts w:cs="Times New Roman"/>
                <w:sz w:val="24"/>
                <w:szCs w:val="24"/>
              </w:rPr>
              <w:t xml:space="preserve"> Personas kods ir nepieciešams, </w:t>
            </w:r>
            <w:r w:rsidRPr="00E15D2A" w:rsidR="00AB3575">
              <w:rPr>
                <w:rFonts w:cs="Times New Roman"/>
                <w:sz w:val="24"/>
                <w:szCs w:val="24"/>
              </w:rPr>
              <w:t xml:space="preserve">lai pārliecinātos par norādītā sertifikāta atbilstību personai, </w:t>
            </w:r>
            <w:r w:rsidRPr="00E15D2A" w:rsidR="00AB3575">
              <w:rPr>
                <w:rFonts w:cs="Times New Roman"/>
                <w:bCs/>
                <w:sz w:val="24"/>
                <w:szCs w:val="24"/>
              </w:rPr>
              <w:t>ļaujot šo personu identificēt</w:t>
            </w:r>
            <w:r w:rsidRPr="00E15D2A">
              <w:rPr>
                <w:rFonts w:cs="Times New Roman"/>
                <w:sz w:val="24"/>
                <w:szCs w:val="24"/>
              </w:rPr>
              <w:t>, kā arī lai pārliecinātos par to, ka persona nav mirusi un iegūtu Iedzīvotāju reģistrā deklarētās dzīvesvietas adresi saziņai, piemēram, lēmuma par labas reputācijas zaudēšanu nosūtīšanai, kas attiecas konkrēti uz pārvadājumu vadītāju.</w:t>
            </w:r>
          </w:p>
          <w:p w:rsidRPr="00E15D2A" w:rsidR="00366A34" w:rsidP="00366A34" w:rsidRDefault="00366A34" w14:paraId="1B480577" w14:textId="31013CAA">
            <w:pPr>
              <w:ind w:firstLine="0"/>
              <w:jc w:val="both"/>
              <w:rPr>
                <w:rFonts w:cs="Times New Roman"/>
                <w:sz w:val="24"/>
                <w:szCs w:val="24"/>
              </w:rPr>
            </w:pPr>
            <w:r w:rsidRPr="0079578A">
              <w:rPr>
                <w:rFonts w:cs="Times New Roman"/>
                <w:sz w:val="24"/>
                <w:szCs w:val="24"/>
              </w:rPr>
              <w:t>Savukārt dzimšanas datumu</w:t>
            </w:r>
            <w:r w:rsidRPr="0079578A" w:rsidR="00DE637C">
              <w:rPr>
                <w:rFonts w:cs="Times New Roman"/>
                <w:sz w:val="24"/>
                <w:szCs w:val="24"/>
              </w:rPr>
              <w:t xml:space="preserve">  un dzimšanas vietu </w:t>
            </w:r>
            <w:r w:rsidRPr="0079578A" w:rsidR="00386640">
              <w:rPr>
                <w:rFonts w:cs="Times New Roman"/>
                <w:sz w:val="24"/>
                <w:szCs w:val="24"/>
              </w:rPr>
              <w:t xml:space="preserve">norādīt </w:t>
            </w:r>
            <w:r w:rsidRPr="0079578A">
              <w:rPr>
                <w:rFonts w:cs="Times New Roman"/>
                <w:sz w:val="24"/>
                <w:szCs w:val="24"/>
              </w:rPr>
              <w:t xml:space="preserve">nepieciešams </w:t>
            </w:r>
            <w:r w:rsidRPr="0079578A" w:rsidR="00386640">
              <w:rPr>
                <w:rFonts w:cs="Times New Roman"/>
                <w:sz w:val="24"/>
                <w:szCs w:val="24"/>
              </w:rPr>
              <w:t xml:space="preserve">personām, kuras saņēmušas </w:t>
            </w:r>
            <w:r w:rsidRPr="0079578A">
              <w:rPr>
                <w:rFonts w:cs="Times New Roman"/>
                <w:sz w:val="24"/>
                <w:szCs w:val="24"/>
              </w:rPr>
              <w:t>sertifikātu ārzemēs,</w:t>
            </w:r>
            <w:r w:rsidRPr="00E15D2A">
              <w:rPr>
                <w:rFonts w:cs="Times New Roman"/>
                <w:sz w:val="24"/>
                <w:szCs w:val="24"/>
              </w:rPr>
              <w:t xml:space="preserve"> lai </w:t>
            </w:r>
            <w:r w:rsidR="00B34117">
              <w:rPr>
                <w:rFonts w:cs="Times New Roman"/>
                <w:sz w:val="24"/>
                <w:szCs w:val="24"/>
              </w:rPr>
              <w:t xml:space="preserve">ATD </w:t>
            </w:r>
            <w:r w:rsidRPr="00E15D2A">
              <w:rPr>
                <w:rFonts w:cs="Times New Roman"/>
                <w:sz w:val="24"/>
                <w:szCs w:val="24"/>
              </w:rPr>
              <w:t xml:space="preserve"> iegūtu datus par sertifikātu Eiropas autotransporta uzņēmumu reģistrā ERRU, kurā notiek informācijas apmaiņa starp dalībvalstīm</w:t>
            </w:r>
            <w:r w:rsidR="00542581">
              <w:rPr>
                <w:rFonts w:cs="Times New Roman"/>
                <w:sz w:val="24"/>
                <w:szCs w:val="24"/>
              </w:rPr>
              <w:t xml:space="preserve">, jo personas identifikācija </w:t>
            </w:r>
            <w:r w:rsidR="00095677">
              <w:rPr>
                <w:rFonts w:cs="Times New Roman"/>
                <w:sz w:val="24"/>
                <w:szCs w:val="24"/>
              </w:rPr>
              <w:t xml:space="preserve">ERRU reģistrā </w:t>
            </w:r>
            <w:r w:rsidR="00542581">
              <w:rPr>
                <w:rFonts w:cs="Times New Roman"/>
                <w:sz w:val="24"/>
                <w:szCs w:val="24"/>
              </w:rPr>
              <w:t>notiek pēc dzimšanas datuma un vietas</w:t>
            </w:r>
            <w:r w:rsidRPr="00E15D2A">
              <w:rPr>
                <w:rFonts w:cs="Times New Roman"/>
                <w:sz w:val="24"/>
                <w:szCs w:val="24"/>
              </w:rPr>
              <w:t>.</w:t>
            </w:r>
            <w:r w:rsidRPr="00E15D2A" w:rsidR="00D77280">
              <w:rPr>
                <w:rFonts w:cs="Times New Roman"/>
                <w:sz w:val="24"/>
                <w:szCs w:val="24"/>
              </w:rPr>
              <w:t xml:space="preserve"> Tāpat </w:t>
            </w:r>
            <w:r w:rsidRPr="00E15D2A" w:rsidR="00D77280">
              <w:rPr>
                <w:rFonts w:cs="Times New Roman"/>
                <w:bCs/>
                <w:sz w:val="24"/>
                <w:szCs w:val="24"/>
              </w:rPr>
              <w:t xml:space="preserve">personas datus nepieciešams </w:t>
            </w:r>
            <w:r w:rsidRPr="00E15D2A" w:rsidR="008473A3">
              <w:rPr>
                <w:rFonts w:cs="Times New Roman"/>
                <w:bCs/>
                <w:sz w:val="24"/>
                <w:szCs w:val="24"/>
              </w:rPr>
              <w:t xml:space="preserve">ievadīt </w:t>
            </w:r>
            <w:r w:rsidRPr="00E15D2A" w:rsidR="0079168D">
              <w:rPr>
                <w:rFonts w:cs="Times New Roman"/>
                <w:sz w:val="24"/>
                <w:szCs w:val="24"/>
              </w:rPr>
              <w:t>Autopārvadātāju informatīvajā datubāzē</w:t>
            </w:r>
            <w:r w:rsidRPr="00E15D2A" w:rsidR="00D77280">
              <w:rPr>
                <w:rFonts w:cs="Times New Roman"/>
                <w:bCs/>
                <w:sz w:val="24"/>
                <w:szCs w:val="24"/>
              </w:rPr>
              <w:t>.</w:t>
            </w:r>
            <w:r w:rsidR="00095677">
              <w:rPr>
                <w:rFonts w:cs="Times New Roman"/>
                <w:bCs/>
                <w:sz w:val="24"/>
                <w:szCs w:val="24"/>
              </w:rPr>
              <w:t xml:space="preserve"> </w:t>
            </w:r>
            <w:r w:rsidRPr="0079578A" w:rsidR="00095677">
              <w:rPr>
                <w:rFonts w:cs="Times New Roman"/>
                <w:bCs/>
                <w:sz w:val="24"/>
                <w:szCs w:val="24"/>
              </w:rPr>
              <w:t>Ziņas par personas dzimšanas datumu un vietu būs nepieciešamas par personām, kuras ir iekļautas Iedzīvotāju reģistrā.</w:t>
            </w:r>
            <w:r w:rsidR="00095677">
              <w:rPr>
                <w:rFonts w:cs="Times New Roman"/>
                <w:bCs/>
                <w:sz w:val="24"/>
                <w:szCs w:val="24"/>
              </w:rPr>
              <w:t xml:space="preserve"> </w:t>
            </w:r>
          </w:p>
          <w:p w:rsidRPr="00E15D2A" w:rsidR="00961C1F" w:rsidP="00961C1F" w:rsidRDefault="00FB6448" w14:paraId="4FEA4E63" w14:textId="15FD0049">
            <w:pPr>
              <w:ind w:firstLine="0"/>
              <w:jc w:val="both"/>
              <w:rPr>
                <w:rFonts w:cs="Times New Roman"/>
                <w:sz w:val="24"/>
                <w:szCs w:val="24"/>
              </w:rPr>
            </w:pPr>
            <w:r>
              <w:rPr>
                <w:rFonts w:cs="Times New Roman"/>
                <w:sz w:val="24"/>
                <w:szCs w:val="24"/>
              </w:rPr>
              <w:t>I</w:t>
            </w:r>
            <w:r w:rsidRPr="00E15D2A">
              <w:rPr>
                <w:rFonts w:cs="Times New Roman"/>
                <w:sz w:val="24"/>
                <w:szCs w:val="24"/>
              </w:rPr>
              <w:t>esniegumā norādām</w:t>
            </w:r>
            <w:r>
              <w:rPr>
                <w:rFonts w:cs="Times New Roman"/>
                <w:sz w:val="24"/>
                <w:szCs w:val="24"/>
              </w:rPr>
              <w:t>ās</w:t>
            </w:r>
            <w:r w:rsidRPr="00E15D2A">
              <w:rPr>
                <w:rFonts w:cs="Times New Roman"/>
                <w:sz w:val="24"/>
                <w:szCs w:val="24"/>
              </w:rPr>
              <w:t xml:space="preserve"> </w:t>
            </w:r>
            <w:r>
              <w:rPr>
                <w:rFonts w:cs="Times New Roman"/>
                <w:sz w:val="24"/>
                <w:szCs w:val="24"/>
              </w:rPr>
              <w:t>i</w:t>
            </w:r>
            <w:r w:rsidRPr="00E15D2A" w:rsidR="00961C1F">
              <w:rPr>
                <w:rFonts w:cs="Times New Roman"/>
                <w:sz w:val="24"/>
                <w:szCs w:val="24"/>
              </w:rPr>
              <w:t xml:space="preserve">nformācijas papildināšana ir nepieciešama, lai atbilstoši Fizisko personu datu apstrādes likumam fizisko personu datu apstrāde būtu likumīga. Fizisko personu datu apstrāde tiek veikta konkrētiem mērķiem un apstrādāta saskaņā ar datu subjekta tiesībām, kas izriet no normatīvajiem aktiem par fizisko personu datu aizsardzību. </w:t>
            </w:r>
          </w:p>
          <w:p w:rsidR="00581E76" w:rsidP="00144442" w:rsidRDefault="008B3B28" w14:paraId="6537B7D0" w14:textId="2600B1DC">
            <w:pPr>
              <w:ind w:firstLine="0"/>
              <w:jc w:val="both"/>
              <w:rPr>
                <w:rFonts w:cs="Times New Roman"/>
                <w:sz w:val="24"/>
                <w:szCs w:val="24"/>
              </w:rPr>
            </w:pPr>
            <w:r>
              <w:rPr>
                <w:rFonts w:cs="Times New Roman"/>
                <w:sz w:val="24"/>
                <w:szCs w:val="24"/>
              </w:rPr>
              <w:t>Noteikumu projektā netiek saglabāta līdzšinējā</w:t>
            </w:r>
            <w:r w:rsidRPr="00E15D2A" w:rsidR="007B4239">
              <w:rPr>
                <w:rFonts w:cs="Times New Roman"/>
                <w:sz w:val="24"/>
                <w:szCs w:val="24"/>
              </w:rPr>
              <w:t xml:space="preserve"> prasība iesniegt rakstisku apliecinājumu atbilstībai labas reputācijas prasībām</w:t>
            </w:r>
            <w:r w:rsidRPr="00E15D2A" w:rsidR="00AB3575">
              <w:rPr>
                <w:rFonts w:cs="Times New Roman"/>
                <w:sz w:val="24"/>
                <w:szCs w:val="24"/>
              </w:rPr>
              <w:t xml:space="preserve">, jo </w:t>
            </w:r>
            <w:r w:rsidRPr="00A20F65" w:rsidR="00AB3575">
              <w:rPr>
                <w:rFonts w:cs="Times New Roman"/>
                <w:sz w:val="24"/>
                <w:szCs w:val="24"/>
              </w:rPr>
              <w:t xml:space="preserve">labā reputācija tiek pārbaudīta Iekšlietu </w:t>
            </w:r>
            <w:r w:rsidRPr="00A20F65" w:rsidR="00961C1F">
              <w:rPr>
                <w:rFonts w:cs="Times New Roman"/>
                <w:sz w:val="24"/>
                <w:szCs w:val="24"/>
              </w:rPr>
              <w:t>m</w:t>
            </w:r>
            <w:r w:rsidRPr="00A20F65" w:rsidR="00AB3575">
              <w:rPr>
                <w:rFonts w:cs="Times New Roman"/>
                <w:sz w:val="24"/>
                <w:szCs w:val="24"/>
              </w:rPr>
              <w:t>inistrijas Informācijas centra Sodu reģistrā</w:t>
            </w:r>
            <w:r w:rsidR="00A20F65">
              <w:rPr>
                <w:rFonts w:cs="Times New Roman"/>
                <w:sz w:val="24"/>
                <w:szCs w:val="24"/>
              </w:rPr>
              <w:t xml:space="preserve"> </w:t>
            </w:r>
            <w:r w:rsidRPr="003259A0" w:rsidR="00A20F65">
              <w:rPr>
                <w:rFonts w:cs="Times New Roman"/>
                <w:sz w:val="24"/>
                <w:szCs w:val="24"/>
              </w:rPr>
              <w:t>(ziņas</w:t>
            </w:r>
            <w:r w:rsidRPr="003259A0" w:rsidR="00A20F65">
              <w:t xml:space="preserve"> </w:t>
            </w:r>
            <w:r w:rsidRPr="003259A0" w:rsidR="00A20F65">
              <w:rPr>
                <w:rFonts w:cs="Times New Roman"/>
                <w:sz w:val="24"/>
                <w:szCs w:val="24"/>
              </w:rPr>
              <w:t xml:space="preserve">par uzņēmuma likumisko pārstāvju un pārvadājumu vadītāja sodāmību par noziedzīgiem nodarījumiem tautsaimniecībā, pret satiksmes drošību, par cilvēku tirdzniecību, par narkotisko un psihotropo vielu neatļautu izgatavošanu, iegādāšanos, glabāšanu, pārvadāšanu, pārsūtīšanu realizācijas nolūkā un realizēšanu vai narkotisko un psihotropo vielu ražošanas, iegādāšanās, glabāšanas, uzskaites, izsniegšanas, pārvadāšanas un pārsūtīšanas noteikumu pārkāpšanu, </w:t>
            </w:r>
            <w:proofErr w:type="spellStart"/>
            <w:r w:rsidRPr="003259A0" w:rsidR="00A20F65">
              <w:rPr>
                <w:rFonts w:cs="Times New Roman"/>
                <w:sz w:val="24"/>
                <w:szCs w:val="24"/>
              </w:rPr>
              <w:t>kriminālsodāmību</w:t>
            </w:r>
            <w:proofErr w:type="spellEnd"/>
            <w:r w:rsidRPr="003259A0" w:rsidR="00A20F65">
              <w:rPr>
                <w:rFonts w:cs="Times New Roman"/>
                <w:sz w:val="24"/>
                <w:szCs w:val="24"/>
              </w:rPr>
              <w:t xml:space="preserve"> Eiropas Savienības dalībvalstīs, kā arī par uzņēmumam, uzņēmuma likumiskajiem pārstāvjiem un pārvadājumu vadītājam uzliktajiem administratīvajiem sodiem autopārvadājumu jomā atbilstoši regulas Nr. 1071/2009 6.panta prasībām</w:t>
            </w:r>
            <w:r>
              <w:rPr>
                <w:rFonts w:cs="Times New Roman"/>
                <w:sz w:val="24"/>
                <w:szCs w:val="24"/>
              </w:rPr>
              <w:t>)</w:t>
            </w:r>
            <w:r w:rsidRPr="003259A0" w:rsidR="00AB3575">
              <w:rPr>
                <w:rFonts w:cs="Times New Roman"/>
                <w:sz w:val="24"/>
                <w:szCs w:val="24"/>
              </w:rPr>
              <w:t>.</w:t>
            </w:r>
            <w:r w:rsidRPr="00E15D2A" w:rsidR="007B4239">
              <w:rPr>
                <w:rFonts w:cs="Times New Roman"/>
                <w:sz w:val="24"/>
                <w:szCs w:val="24"/>
              </w:rPr>
              <w:t xml:space="preserve"> </w:t>
            </w:r>
            <w:r w:rsidR="00581E76">
              <w:rPr>
                <w:rFonts w:cs="Times New Roman"/>
                <w:sz w:val="24"/>
                <w:szCs w:val="24"/>
              </w:rPr>
              <w:t xml:space="preserve">Ziņas par </w:t>
            </w:r>
            <w:r w:rsidRPr="003259A0" w:rsidR="00581E76">
              <w:rPr>
                <w:rFonts w:cs="Times New Roman"/>
                <w:sz w:val="24"/>
                <w:szCs w:val="24"/>
              </w:rPr>
              <w:t xml:space="preserve">narkotisko un psihotropo vielu neatļautu izgatavošanu, iegādāšanos, glabāšanu, </w:t>
            </w:r>
            <w:r w:rsidRPr="003259A0" w:rsidR="00581E76">
              <w:rPr>
                <w:rFonts w:cs="Times New Roman"/>
                <w:sz w:val="24"/>
                <w:szCs w:val="24"/>
              </w:rPr>
              <w:lastRenderedPageBreak/>
              <w:t>pārvadāšanu, pārsūtīšanu realizācijas nolūkā un realizēšanu vai narkotisko un psihotropo vielu ražošanas, iegādāšanās, glabāšanas, uzskaites, izsniegšanas, pārvadāšanas un pārsūtīšanas noteikumu pārkāpšanu</w:t>
            </w:r>
            <w:r w:rsidR="00581E76">
              <w:rPr>
                <w:rFonts w:cs="Times New Roman"/>
                <w:sz w:val="24"/>
                <w:szCs w:val="24"/>
              </w:rPr>
              <w:t xml:space="preserve"> ir izsniedzamas atbilstoši Krimināllikuma 249.</w:t>
            </w:r>
            <w:r w:rsidR="00FF22B7">
              <w:rPr>
                <w:rFonts w:cs="Times New Roman"/>
                <w:sz w:val="24"/>
                <w:szCs w:val="24"/>
              </w:rPr>
              <w:t xml:space="preserve"> un</w:t>
            </w:r>
            <w:r w:rsidR="00581E76">
              <w:rPr>
                <w:rFonts w:cs="Times New Roman"/>
                <w:sz w:val="24"/>
                <w:szCs w:val="24"/>
              </w:rPr>
              <w:t xml:space="preserve"> 253.</w:t>
            </w:r>
            <w:r w:rsidRPr="00581E76" w:rsidR="00581E76">
              <w:rPr>
                <w:rFonts w:cs="Times New Roman"/>
                <w:sz w:val="24"/>
                <w:szCs w:val="24"/>
                <w:vertAlign w:val="superscript"/>
              </w:rPr>
              <w:t>1</w:t>
            </w:r>
            <w:r w:rsidR="00581E76">
              <w:rPr>
                <w:rFonts w:cs="Times New Roman"/>
                <w:sz w:val="24"/>
                <w:szCs w:val="24"/>
              </w:rPr>
              <w:t xml:space="preserve"> pantam. </w:t>
            </w:r>
          </w:p>
          <w:p w:rsidRPr="00E15D2A" w:rsidR="00144442" w:rsidP="00144442" w:rsidRDefault="008B3B28" w14:paraId="35BB7D92" w14:textId="03B40763">
            <w:pPr>
              <w:ind w:firstLine="0"/>
              <w:jc w:val="both"/>
              <w:rPr>
                <w:rFonts w:cs="Times New Roman"/>
                <w:sz w:val="24"/>
                <w:szCs w:val="24"/>
              </w:rPr>
            </w:pPr>
            <w:r>
              <w:rPr>
                <w:rFonts w:cs="Times New Roman"/>
                <w:sz w:val="24"/>
                <w:szCs w:val="24"/>
              </w:rPr>
              <w:t xml:space="preserve">Noteikumu projektā netiek saglabāta līdzšinējā prasība </w:t>
            </w:r>
            <w:r w:rsidRPr="00E15D2A" w:rsidR="007B4239">
              <w:rPr>
                <w:rFonts w:cs="Times New Roman"/>
                <w:sz w:val="24"/>
                <w:szCs w:val="24"/>
              </w:rPr>
              <w:t>uzrādīt profesionālās kompetences sertifikāta oriģinālu, saņemot licenci</w:t>
            </w:r>
            <w:r w:rsidRPr="00E15D2A" w:rsidR="00AB3575">
              <w:rPr>
                <w:rFonts w:cs="Times New Roman"/>
                <w:sz w:val="24"/>
                <w:szCs w:val="24"/>
              </w:rPr>
              <w:t xml:space="preserve">, jo pārliecināties par ārzemēs izsniegtu sertifikātu </w:t>
            </w:r>
            <w:r>
              <w:rPr>
                <w:rFonts w:cs="Times New Roman"/>
                <w:sz w:val="24"/>
                <w:szCs w:val="24"/>
              </w:rPr>
              <w:t xml:space="preserve">ATD </w:t>
            </w:r>
            <w:r w:rsidRPr="00E15D2A" w:rsidR="00AB3575">
              <w:rPr>
                <w:rFonts w:cs="Times New Roman"/>
                <w:sz w:val="24"/>
                <w:szCs w:val="24"/>
              </w:rPr>
              <w:t>var  Eiropas autotransporta uzņēmumu reģistrā ERRU.</w:t>
            </w:r>
            <w:r w:rsidRPr="00E15D2A" w:rsidR="007B4239">
              <w:rPr>
                <w:rFonts w:cs="Times New Roman"/>
                <w:sz w:val="24"/>
                <w:szCs w:val="24"/>
              </w:rPr>
              <w:t xml:space="preserve"> </w:t>
            </w:r>
          </w:p>
          <w:p w:rsidR="008177C9" w:rsidP="00144442" w:rsidRDefault="008177C9" w14:paraId="125D05BB" w14:textId="507E7DC0">
            <w:pPr>
              <w:ind w:firstLine="0"/>
              <w:jc w:val="both"/>
              <w:rPr>
                <w:rFonts w:cs="Times New Roman"/>
                <w:sz w:val="24"/>
                <w:szCs w:val="24"/>
              </w:rPr>
            </w:pPr>
            <w:r w:rsidRPr="00E15D2A">
              <w:rPr>
                <w:rFonts w:cs="Times New Roman"/>
                <w:sz w:val="24"/>
                <w:szCs w:val="24"/>
              </w:rPr>
              <w:t xml:space="preserve">Licences kartītes saņemšanai iesniegumā turpmāk nebūs jānorāda </w:t>
            </w:r>
            <w:r w:rsidRPr="00E15D2A" w:rsidR="00002C1B">
              <w:rPr>
                <w:rFonts w:cs="Times New Roman"/>
                <w:sz w:val="24"/>
                <w:szCs w:val="24"/>
              </w:rPr>
              <w:t xml:space="preserve">saņemtās </w:t>
            </w:r>
            <w:r w:rsidRPr="00E15D2A">
              <w:rPr>
                <w:rFonts w:cs="Times New Roman"/>
                <w:sz w:val="24"/>
                <w:szCs w:val="24"/>
              </w:rPr>
              <w:t>licences veids un numurs,</w:t>
            </w:r>
            <w:r w:rsidRPr="00E15D2A" w:rsidR="00002C1B">
              <w:rPr>
                <w:rFonts w:cs="Times New Roman"/>
                <w:sz w:val="24"/>
                <w:szCs w:val="24"/>
              </w:rPr>
              <w:t xml:space="preserve"> komersanta veids un juridiskā adrese, ārvalstu komersanta filiāles reģistrācijas numurs un datums</w:t>
            </w:r>
            <w:r w:rsidR="00F267BC">
              <w:rPr>
                <w:rFonts w:cs="Times New Roman"/>
                <w:sz w:val="24"/>
                <w:szCs w:val="24"/>
              </w:rPr>
              <w:t>.</w:t>
            </w:r>
            <w:r w:rsidRPr="00E15D2A">
              <w:rPr>
                <w:rFonts w:cs="Times New Roman"/>
                <w:sz w:val="24"/>
                <w:szCs w:val="24"/>
              </w:rPr>
              <w:t xml:space="preserve"> </w:t>
            </w:r>
          </w:p>
          <w:p w:rsidR="00A53C8B" w:rsidP="00144442" w:rsidRDefault="00A53C8B" w14:paraId="1FAB1DB9" w14:textId="5E27EDBB">
            <w:pPr>
              <w:ind w:firstLine="0"/>
              <w:jc w:val="both"/>
              <w:rPr>
                <w:rFonts w:cs="Times New Roman"/>
                <w:sz w:val="24"/>
                <w:szCs w:val="24"/>
              </w:rPr>
            </w:pPr>
            <w:r>
              <w:rPr>
                <w:rFonts w:cs="Times New Roman"/>
                <w:sz w:val="24"/>
                <w:szCs w:val="24"/>
              </w:rPr>
              <w:t>Pēc Iekšlietu ministrijas ierosinājuma noteikumu projekta 4.3.apakšpunkts par ziņām, kuras ATD iegūst no Iedzīvotāju reģistra</w:t>
            </w:r>
            <w:r w:rsidR="008C3E36">
              <w:rPr>
                <w:rFonts w:cs="Times New Roman"/>
                <w:sz w:val="24"/>
                <w:szCs w:val="24"/>
              </w:rPr>
              <w:t>,</w:t>
            </w:r>
            <w:r>
              <w:rPr>
                <w:rFonts w:cs="Times New Roman"/>
                <w:sz w:val="24"/>
                <w:szCs w:val="24"/>
              </w:rPr>
              <w:t xml:space="preserve"> ir papildināts ar </w:t>
            </w:r>
            <w:r w:rsidRPr="00866087">
              <w:rPr>
                <w:rFonts w:eastAsia="Times New Roman"/>
                <w:bCs/>
                <w:iCs/>
                <w:sz w:val="24"/>
                <w:szCs w:val="24"/>
                <w:lang w:eastAsia="lv-LV"/>
              </w:rPr>
              <w:t xml:space="preserve"> šādiem datiem: </w:t>
            </w:r>
            <w:r w:rsidRPr="00184BA3">
              <w:rPr>
                <w:rFonts w:eastAsia="Times New Roman"/>
                <w:bCs/>
                <w:iCs/>
                <w:sz w:val="24"/>
                <w:szCs w:val="24"/>
                <w:lang w:eastAsia="lv-LV"/>
              </w:rPr>
              <w:t>vārds, uzvārds, personas kods, iepriekšējais personas kods, miršanas datums un statuss Iedzīvotāju reģistrā</w:t>
            </w:r>
            <w:r>
              <w:rPr>
                <w:rFonts w:cs="Times New Roman"/>
                <w:sz w:val="24"/>
                <w:szCs w:val="24"/>
              </w:rPr>
              <w:t>.</w:t>
            </w:r>
          </w:p>
          <w:p w:rsidR="00A53C8B" w:rsidP="00A53C8B" w:rsidRDefault="00A53C8B" w14:paraId="4DAF6B99" w14:textId="2C8C18DD">
            <w:pPr>
              <w:ind w:firstLine="0"/>
              <w:jc w:val="both"/>
              <w:rPr>
                <w:rFonts w:cs="Times New Roman"/>
                <w:sz w:val="24"/>
                <w:szCs w:val="24"/>
              </w:rPr>
            </w:pPr>
            <w:r w:rsidRPr="00A53C8B">
              <w:rPr>
                <w:rFonts w:cs="Times New Roman"/>
                <w:bCs/>
                <w:sz w:val="24"/>
                <w:szCs w:val="24"/>
              </w:rPr>
              <w:t xml:space="preserve">Iedzīvotāju reģistrā personai norāda, ka tai ir statuss “aktīvs”, ja persona ir Latvijas pilsonis vai </w:t>
            </w:r>
            <w:proofErr w:type="spellStart"/>
            <w:r w:rsidRPr="00A53C8B">
              <w:rPr>
                <w:rFonts w:cs="Times New Roman"/>
                <w:bCs/>
                <w:sz w:val="24"/>
                <w:szCs w:val="24"/>
              </w:rPr>
              <w:t>nepilsonis</w:t>
            </w:r>
            <w:proofErr w:type="spellEnd"/>
            <w:r w:rsidRPr="00A53C8B">
              <w:rPr>
                <w:rFonts w:cs="Times New Roman"/>
                <w:bCs/>
                <w:sz w:val="24"/>
                <w:szCs w:val="24"/>
              </w:rPr>
              <w:t xml:space="preserve">, un par personām, kuras Latvijā saņēmušas uzturēšanās atļauju, reģistrācijas apliecību vai pastāvīgās uzturēšanās apliecību. Savukārt “pasīvs” statuss, ja personai Latvijā zudis tiesiskais statuss un jauns statuss nav noteikts. Tādējādi personai, kurai ir zudis tiesiskais statuss Latvijā un jauns statuss nav noteikts, Iedzīvotāju reģistrā ir “pasīvs” statuss no statusa zaudēšanas datuma, proti, Iedzīvotāju reģistrā par šo personu vairs netiek aktualizētas ziņas. </w:t>
            </w:r>
            <w:r>
              <w:rPr>
                <w:rFonts w:cs="Times New Roman"/>
                <w:bCs/>
                <w:sz w:val="24"/>
                <w:szCs w:val="24"/>
              </w:rPr>
              <w:t>Š</w:t>
            </w:r>
            <w:r w:rsidRPr="00A53C8B">
              <w:rPr>
                <w:rFonts w:cs="Times New Roman"/>
                <w:bCs/>
                <w:sz w:val="24"/>
                <w:szCs w:val="24"/>
              </w:rPr>
              <w:t>obrīd spēkā esošā Iedzīvotāju reģistra likuma pārejas noteikumu 7. punkta redakcija nosaka, ka līdz 2017. gada 30. jūnijam personai tika piešķirts personas kods, kuru veido vienpadsmit ciparu virkne, no kuriem pirmie seši cipari norāda personas dzimšanas datumu, mēnesi, gadu, bet septītais cipars norāda gadsimtu. Tādējādi, apstrādājot personas kodu, kurā norādīts dzimšanas datums, ir iespējams noskaidrot informāciju par personas vecumu. Iedzīvotāju reģistra likuma pārejas noteikumu 8. punktā noteikts, ka persona, kurai personas kods piešķirts līdz 2017. gada 30. jūnijam, sākot ar 2017. gada 1. jūliju, ir tiesīga vienu reizi, personīgi iesniedzot Pilsonības un migrācijas lietu pārvaldei iesniegumu, lūgt, lai maina tai piešķirto personas kodu uz tādu personas kodu, kurā netiek norādīts dzimšanas datums. Gadījumā, ja personai personas kods bijis mainīts, Iedzīvotāju reģistra meklēšanas parametros ievadot jauno personas kodu, kas piešķirts no 2017. gada 1. jūlija, būs iespēja saņemt informāciju par personas iepriekšējo personas kodu.</w:t>
            </w:r>
          </w:p>
          <w:p w:rsidR="002A31A5" w:rsidP="002A31A5" w:rsidRDefault="002A31A5" w14:paraId="5EDD24EB" w14:textId="11560FC1">
            <w:pPr>
              <w:ind w:firstLine="0"/>
              <w:jc w:val="both"/>
              <w:rPr>
                <w:rFonts w:cs="Times New Roman"/>
                <w:sz w:val="24"/>
                <w:szCs w:val="24"/>
              </w:rPr>
            </w:pPr>
            <w:r w:rsidRPr="002A31A5">
              <w:rPr>
                <w:rFonts w:cs="Times New Roman"/>
                <w:sz w:val="24"/>
                <w:szCs w:val="24"/>
              </w:rPr>
              <w:lastRenderedPageBreak/>
              <w:t>Ja mainīju</w:t>
            </w:r>
            <w:r>
              <w:rPr>
                <w:rFonts w:cs="Times New Roman"/>
                <w:sz w:val="24"/>
                <w:szCs w:val="24"/>
              </w:rPr>
              <w:t>š</w:t>
            </w:r>
            <w:r w:rsidRPr="002A31A5">
              <w:rPr>
                <w:rFonts w:cs="Times New Roman"/>
                <w:sz w:val="24"/>
                <w:szCs w:val="24"/>
              </w:rPr>
              <w:t>ies pārvadātāj</w:t>
            </w:r>
            <w:r>
              <w:rPr>
                <w:rFonts w:cs="Times New Roman"/>
                <w:sz w:val="24"/>
                <w:szCs w:val="24"/>
              </w:rPr>
              <w:t xml:space="preserve">a rekvizīti, </w:t>
            </w:r>
            <w:r w:rsidRPr="00097FF3">
              <w:rPr>
                <w:rFonts w:cs="Times New Roman"/>
                <w:sz w:val="24"/>
                <w:szCs w:val="24"/>
              </w:rPr>
              <w:t>pārvadātājam</w:t>
            </w:r>
            <w:r>
              <w:rPr>
                <w:rFonts w:cs="Times New Roman"/>
                <w:sz w:val="24"/>
                <w:szCs w:val="24"/>
              </w:rPr>
              <w:t xml:space="preserve"> jāiesniedz iesniegums, tādējādi</w:t>
            </w:r>
            <w:r>
              <w:t xml:space="preserve"> </w:t>
            </w:r>
            <w:r w:rsidRPr="002A31A5">
              <w:rPr>
                <w:rFonts w:cs="Times New Roman"/>
                <w:sz w:val="24"/>
                <w:szCs w:val="24"/>
              </w:rPr>
              <w:t>nodrošin</w:t>
            </w:r>
            <w:r>
              <w:rPr>
                <w:rFonts w:cs="Times New Roman"/>
                <w:sz w:val="24"/>
                <w:szCs w:val="24"/>
              </w:rPr>
              <w:t>ot</w:t>
            </w:r>
            <w:r w:rsidRPr="002A31A5">
              <w:rPr>
                <w:rFonts w:cs="Times New Roman"/>
                <w:sz w:val="24"/>
                <w:szCs w:val="24"/>
              </w:rPr>
              <w:t xml:space="preserve"> rekvizītu maiņas fiksēšan</w:t>
            </w:r>
            <w:r>
              <w:rPr>
                <w:rFonts w:cs="Times New Roman"/>
                <w:sz w:val="24"/>
                <w:szCs w:val="24"/>
              </w:rPr>
              <w:t>u</w:t>
            </w:r>
            <w:r w:rsidRPr="002A31A5">
              <w:rPr>
                <w:rFonts w:cs="Times New Roman"/>
                <w:sz w:val="24"/>
                <w:szCs w:val="24"/>
              </w:rPr>
              <w:t xml:space="preserve"> un aktuālās informācijas attēlošan</w:t>
            </w:r>
            <w:r>
              <w:rPr>
                <w:rFonts w:cs="Times New Roman"/>
                <w:sz w:val="24"/>
                <w:szCs w:val="24"/>
              </w:rPr>
              <w:t>u</w:t>
            </w:r>
            <w:r w:rsidRPr="002A31A5">
              <w:rPr>
                <w:rFonts w:cs="Times New Roman"/>
                <w:sz w:val="24"/>
                <w:szCs w:val="24"/>
              </w:rPr>
              <w:t xml:space="preserve"> </w:t>
            </w:r>
            <w:r w:rsidRPr="00E15D2A">
              <w:rPr>
                <w:rFonts w:cs="Times New Roman"/>
                <w:sz w:val="24"/>
                <w:szCs w:val="24"/>
              </w:rPr>
              <w:t xml:space="preserve"> Autopārvadātāju informatīvajā datubāzē</w:t>
            </w:r>
            <w:r w:rsidRPr="002A31A5">
              <w:rPr>
                <w:rFonts w:cs="Times New Roman"/>
                <w:sz w:val="24"/>
                <w:szCs w:val="24"/>
              </w:rPr>
              <w:t xml:space="preserve"> un ATD </w:t>
            </w:r>
            <w:r w:rsidR="00B34117">
              <w:rPr>
                <w:rFonts w:cs="Times New Roman"/>
                <w:sz w:val="24"/>
                <w:szCs w:val="24"/>
              </w:rPr>
              <w:t>tīmekļa vietnē</w:t>
            </w:r>
            <w:r>
              <w:rPr>
                <w:rFonts w:cs="Times New Roman"/>
                <w:sz w:val="24"/>
                <w:szCs w:val="24"/>
              </w:rPr>
              <w:t xml:space="preserve">. </w:t>
            </w:r>
            <w:r w:rsidR="00097FF3">
              <w:rPr>
                <w:rFonts w:cs="Times New Roman"/>
                <w:sz w:val="24"/>
                <w:szCs w:val="24"/>
              </w:rPr>
              <w:t xml:space="preserve">Ja mainās pārvadājumu vadītājs, </w:t>
            </w:r>
            <w:r w:rsidRPr="00DE6122" w:rsidR="00097FF3">
              <w:rPr>
                <w:rFonts w:cs="Times New Roman"/>
                <w:sz w:val="24"/>
                <w:szCs w:val="24"/>
              </w:rPr>
              <w:t>pārvadātājam</w:t>
            </w:r>
            <w:r w:rsidR="00097FF3">
              <w:rPr>
                <w:rFonts w:cs="Times New Roman"/>
                <w:sz w:val="24"/>
                <w:szCs w:val="24"/>
              </w:rPr>
              <w:t xml:space="preserve"> jāiesniedz iesniegums, </w:t>
            </w:r>
            <w:r w:rsidRPr="002A31A5" w:rsidR="00097FF3">
              <w:rPr>
                <w:rFonts w:cs="Times New Roman"/>
                <w:sz w:val="24"/>
                <w:szCs w:val="24"/>
              </w:rPr>
              <w:t>nodrošin</w:t>
            </w:r>
            <w:r w:rsidR="00097FF3">
              <w:rPr>
                <w:rFonts w:cs="Times New Roman"/>
                <w:sz w:val="24"/>
                <w:szCs w:val="24"/>
              </w:rPr>
              <w:t>ot</w:t>
            </w:r>
            <w:r w:rsidRPr="002A31A5" w:rsidR="00097FF3">
              <w:rPr>
                <w:rFonts w:cs="Times New Roman"/>
                <w:sz w:val="24"/>
                <w:szCs w:val="24"/>
              </w:rPr>
              <w:t xml:space="preserve"> </w:t>
            </w:r>
            <w:r w:rsidRPr="00097FF3" w:rsidR="00097FF3">
              <w:rPr>
                <w:rFonts w:cs="Times New Roman"/>
                <w:sz w:val="24"/>
                <w:szCs w:val="24"/>
              </w:rPr>
              <w:t>Regula</w:t>
            </w:r>
            <w:r w:rsidR="00097FF3">
              <w:rPr>
                <w:rFonts w:cs="Times New Roman"/>
                <w:sz w:val="24"/>
                <w:szCs w:val="24"/>
              </w:rPr>
              <w:t>s</w:t>
            </w:r>
            <w:r w:rsidRPr="00097FF3" w:rsidR="00097FF3">
              <w:rPr>
                <w:rFonts w:cs="Times New Roman"/>
                <w:sz w:val="24"/>
                <w:szCs w:val="24"/>
              </w:rPr>
              <w:t xml:space="preserve"> </w:t>
            </w:r>
            <w:r w:rsidR="00097FF3">
              <w:rPr>
                <w:rFonts w:cs="Times New Roman"/>
                <w:sz w:val="24"/>
                <w:szCs w:val="24"/>
              </w:rPr>
              <w:t>Nr.1071/2009 prasību,</w:t>
            </w:r>
            <w:r w:rsidRPr="00097FF3" w:rsidR="00097FF3">
              <w:rPr>
                <w:rFonts w:cs="Times New Roman"/>
                <w:sz w:val="24"/>
                <w:szCs w:val="24"/>
              </w:rPr>
              <w:t xml:space="preserve"> ka pārvadājumu vadītājam ir jāatbilst labas reputācijas prasībām</w:t>
            </w:r>
            <w:r w:rsidR="00097FF3">
              <w:rPr>
                <w:rFonts w:cs="Times New Roman"/>
                <w:sz w:val="24"/>
                <w:szCs w:val="24"/>
              </w:rPr>
              <w:t>. J</w:t>
            </w:r>
            <w:r w:rsidRPr="00097FF3" w:rsidR="00097FF3">
              <w:rPr>
                <w:rFonts w:cs="Times New Roman"/>
                <w:sz w:val="24"/>
                <w:szCs w:val="24"/>
              </w:rPr>
              <w:t xml:space="preserve">a </w:t>
            </w:r>
            <w:r w:rsidR="00097FF3">
              <w:rPr>
                <w:rFonts w:cs="Times New Roman"/>
                <w:sz w:val="24"/>
                <w:szCs w:val="24"/>
              </w:rPr>
              <w:t xml:space="preserve">tiek konstatēts, ka </w:t>
            </w:r>
            <w:r w:rsidR="003C30A9">
              <w:rPr>
                <w:rFonts w:cs="Times New Roman"/>
                <w:sz w:val="24"/>
                <w:szCs w:val="24"/>
              </w:rPr>
              <w:t xml:space="preserve">jaunais </w:t>
            </w:r>
            <w:r w:rsidRPr="00097FF3" w:rsidR="00097FF3">
              <w:rPr>
                <w:rFonts w:cs="Times New Roman"/>
                <w:sz w:val="24"/>
                <w:szCs w:val="24"/>
              </w:rPr>
              <w:t>pārvadājumu vadītājs tām neatbilst un noteiktajā termiņā netiek norādīts cits pārvadājumu vadītājs, tad tiks izskatīts jautājums par licences anulēšanu.</w:t>
            </w:r>
          </w:p>
          <w:p w:rsidR="002C0795" w:rsidP="002A31A5" w:rsidRDefault="0052166C" w14:paraId="2F2D01E8" w14:textId="033ACC2E">
            <w:pPr>
              <w:ind w:firstLine="0"/>
              <w:jc w:val="both"/>
              <w:rPr>
                <w:rFonts w:cs="Times New Roman"/>
                <w:sz w:val="24"/>
                <w:szCs w:val="24"/>
              </w:rPr>
            </w:pPr>
            <w:r>
              <w:rPr>
                <w:rFonts w:cs="Times New Roman"/>
                <w:sz w:val="24"/>
                <w:szCs w:val="24"/>
              </w:rPr>
              <w:t xml:space="preserve">5. </w:t>
            </w:r>
            <w:r w:rsidRPr="002C0795" w:rsidR="002C0795">
              <w:rPr>
                <w:rFonts w:cs="Times New Roman"/>
                <w:sz w:val="24"/>
                <w:szCs w:val="24"/>
              </w:rPr>
              <w:t xml:space="preserve">Ja </w:t>
            </w:r>
            <w:r w:rsidR="00B34117">
              <w:rPr>
                <w:rFonts w:cs="Times New Roman"/>
                <w:sz w:val="24"/>
                <w:szCs w:val="24"/>
              </w:rPr>
              <w:t>ATD</w:t>
            </w:r>
            <w:r w:rsidRPr="002C0795" w:rsidR="002C0795">
              <w:rPr>
                <w:rFonts w:cs="Times New Roman"/>
                <w:sz w:val="24"/>
                <w:szCs w:val="24"/>
              </w:rPr>
              <w:t xml:space="preserve"> konstatē, ka pārvadātājs neatbilst regulas Nr. 1071/2009 prasībām un šajos noteikumos noteiktajam</w:t>
            </w:r>
            <w:r w:rsidR="00B34117">
              <w:rPr>
                <w:rFonts w:cs="Times New Roman"/>
                <w:sz w:val="24"/>
                <w:szCs w:val="24"/>
              </w:rPr>
              <w:t xml:space="preserve">, </w:t>
            </w:r>
            <w:r w:rsidRPr="002C0795" w:rsidR="002C0795">
              <w:rPr>
                <w:rFonts w:cs="Times New Roman"/>
                <w:sz w:val="24"/>
                <w:szCs w:val="24"/>
              </w:rPr>
              <w:t xml:space="preserve">vai ir konstatēti </w:t>
            </w:r>
            <w:r>
              <w:rPr>
                <w:rFonts w:cs="Times New Roman"/>
                <w:sz w:val="24"/>
                <w:szCs w:val="24"/>
              </w:rPr>
              <w:t>r</w:t>
            </w:r>
            <w:r w:rsidRPr="002C0795" w:rsidR="002C0795">
              <w:rPr>
                <w:rFonts w:cs="Times New Roman"/>
                <w:sz w:val="24"/>
                <w:szCs w:val="24"/>
              </w:rPr>
              <w:t xml:space="preserve">egulā </w:t>
            </w:r>
            <w:r>
              <w:rPr>
                <w:rFonts w:cs="Times New Roman"/>
                <w:sz w:val="24"/>
                <w:szCs w:val="24"/>
              </w:rPr>
              <w:t>Nr.</w:t>
            </w:r>
            <w:r w:rsidRPr="002C0795" w:rsidR="002C0795">
              <w:rPr>
                <w:rFonts w:cs="Times New Roman"/>
                <w:sz w:val="24"/>
                <w:szCs w:val="24"/>
              </w:rPr>
              <w:t xml:space="preserve"> 2016/403, minētie pārkāpumi, kā arī ja </w:t>
            </w:r>
            <w:r w:rsidR="00B34117">
              <w:rPr>
                <w:rFonts w:cs="Times New Roman"/>
                <w:sz w:val="24"/>
                <w:szCs w:val="24"/>
              </w:rPr>
              <w:t>ATD</w:t>
            </w:r>
            <w:r w:rsidRPr="002C0795" w:rsidR="002C0795">
              <w:rPr>
                <w:rFonts w:cs="Times New Roman"/>
                <w:sz w:val="24"/>
                <w:szCs w:val="24"/>
              </w:rPr>
              <w:t xml:space="preserve"> no kontrolējošajām institūcijām saņem informāciju par Latvijas Republikas normatīvo aktu, kā arī Latvijai saistošo starptautisko nolīgumu prasību autopārvadājumu, sabiedriskā transporta un ceļu satiksmes drošības jomā pārkāpumiem, tiek lemts par licences kartītes,  vai licences anulēšanu</w:t>
            </w:r>
            <w:r w:rsidR="002C0795">
              <w:rPr>
                <w:rFonts w:cs="Times New Roman"/>
                <w:sz w:val="24"/>
                <w:szCs w:val="24"/>
              </w:rPr>
              <w:t xml:space="preserve">. </w:t>
            </w:r>
            <w:r w:rsidR="002C0795">
              <w:t xml:space="preserve"> </w:t>
            </w:r>
            <w:r w:rsidRPr="002C0795" w:rsidR="002C0795">
              <w:rPr>
                <w:rFonts w:cs="Times New Roman"/>
                <w:sz w:val="24"/>
                <w:szCs w:val="24"/>
              </w:rPr>
              <w:t xml:space="preserve">Ja </w:t>
            </w:r>
            <w:r w:rsidR="00B34117">
              <w:rPr>
                <w:rFonts w:cs="Times New Roman"/>
                <w:sz w:val="24"/>
                <w:szCs w:val="24"/>
              </w:rPr>
              <w:t>ATD</w:t>
            </w:r>
            <w:r w:rsidRPr="002C0795" w:rsidR="002C0795">
              <w:rPr>
                <w:rFonts w:cs="Times New Roman"/>
                <w:sz w:val="24"/>
                <w:szCs w:val="24"/>
              </w:rPr>
              <w:t xml:space="preserve"> pieņem </w:t>
            </w:r>
            <w:r w:rsidR="002C0795">
              <w:rPr>
                <w:rFonts w:cs="Times New Roman"/>
                <w:sz w:val="24"/>
                <w:szCs w:val="24"/>
              </w:rPr>
              <w:t>iepriekš</w:t>
            </w:r>
            <w:r w:rsidRPr="002C0795" w:rsidR="002C0795">
              <w:rPr>
                <w:rFonts w:cs="Times New Roman"/>
                <w:sz w:val="24"/>
                <w:szCs w:val="24"/>
              </w:rPr>
              <w:t>minēto lēmumu par licences anulēšanu, pārvadājumu vadītājs, kas pārkāpumu izdarīšanas brīd</w:t>
            </w:r>
            <w:r w:rsidR="001962CE">
              <w:rPr>
                <w:rFonts w:cs="Times New Roman"/>
                <w:sz w:val="24"/>
                <w:szCs w:val="24"/>
              </w:rPr>
              <w:t>ī</w:t>
            </w:r>
            <w:r w:rsidRPr="002C0795" w:rsidR="002C0795">
              <w:rPr>
                <w:rFonts w:cs="Times New Roman"/>
                <w:sz w:val="24"/>
                <w:szCs w:val="24"/>
              </w:rPr>
              <w:t xml:space="preserve"> bija nozīmēts kā pārvadājumu vadītājs atbilstošajam pārvadājumu veidam, tiek atzīts par neatbilstošu labas reputācijas prasībām uz vienu gadu kopš lēmuma pieņemšanas brīža.</w:t>
            </w:r>
          </w:p>
          <w:p w:rsidR="002C0795" w:rsidP="002A31A5" w:rsidRDefault="002C0795" w14:paraId="40AD7002" w14:textId="516C1FF3">
            <w:pPr>
              <w:ind w:firstLine="0"/>
              <w:jc w:val="both"/>
              <w:rPr>
                <w:rFonts w:cs="Times New Roman"/>
                <w:sz w:val="24"/>
                <w:szCs w:val="24"/>
              </w:rPr>
            </w:pPr>
            <w:r w:rsidRPr="002C0795">
              <w:rPr>
                <w:rFonts w:cs="Times New Roman"/>
                <w:sz w:val="24"/>
                <w:szCs w:val="24"/>
              </w:rPr>
              <w:t xml:space="preserve">Ja </w:t>
            </w:r>
            <w:r w:rsidR="001962CE">
              <w:rPr>
                <w:rFonts w:cs="Times New Roman"/>
                <w:sz w:val="24"/>
                <w:szCs w:val="24"/>
              </w:rPr>
              <w:t>ATD</w:t>
            </w:r>
            <w:r w:rsidRPr="002C0795">
              <w:rPr>
                <w:rFonts w:cs="Times New Roman"/>
                <w:sz w:val="24"/>
                <w:szCs w:val="24"/>
              </w:rPr>
              <w:t xml:space="preserve"> konstatē vai ir saņemta informācija no kontrolējošajām institūcijām, ka pārvadātājam nav tiesiska pamata izmantot autotransporta līdzekli, konkrēto licences kartīti anulē.</w:t>
            </w:r>
            <w:r>
              <w:rPr>
                <w:rFonts w:cs="Times New Roman"/>
                <w:sz w:val="24"/>
                <w:szCs w:val="24"/>
              </w:rPr>
              <w:t xml:space="preserve"> </w:t>
            </w:r>
          </w:p>
          <w:p w:rsidRPr="00E15D2A" w:rsidR="002C0795" w:rsidP="002A31A5" w:rsidRDefault="002C0795" w14:paraId="40555261" w14:textId="137BB3B0">
            <w:pPr>
              <w:ind w:firstLine="0"/>
              <w:jc w:val="both"/>
              <w:rPr>
                <w:rFonts w:cs="Times New Roman"/>
                <w:sz w:val="24"/>
                <w:szCs w:val="24"/>
              </w:rPr>
            </w:pPr>
            <w:r w:rsidRPr="002C0795">
              <w:rPr>
                <w:rFonts w:cs="Times New Roman"/>
                <w:sz w:val="24"/>
                <w:szCs w:val="24"/>
              </w:rPr>
              <w:t xml:space="preserve">Licences darbību </w:t>
            </w:r>
            <w:r w:rsidR="001962CE">
              <w:rPr>
                <w:rFonts w:cs="Times New Roman"/>
                <w:sz w:val="24"/>
                <w:szCs w:val="24"/>
              </w:rPr>
              <w:t>ATD</w:t>
            </w:r>
            <w:r w:rsidRPr="002C0795">
              <w:rPr>
                <w:rFonts w:cs="Times New Roman"/>
                <w:sz w:val="24"/>
                <w:szCs w:val="24"/>
              </w:rPr>
              <w:t xml:space="preserve"> aptur Komerclikuma 333.</w:t>
            </w:r>
            <w:r w:rsidRPr="002C0795">
              <w:rPr>
                <w:rFonts w:cs="Times New Roman"/>
                <w:sz w:val="24"/>
                <w:szCs w:val="24"/>
                <w:vertAlign w:val="superscript"/>
              </w:rPr>
              <w:t>1</w:t>
            </w:r>
            <w:r w:rsidRPr="002C0795">
              <w:rPr>
                <w:rFonts w:cs="Times New Roman"/>
                <w:sz w:val="24"/>
                <w:szCs w:val="24"/>
              </w:rPr>
              <w:t xml:space="preserve"> pantā noteiktajos gadījumos</w:t>
            </w:r>
            <w:r>
              <w:rPr>
                <w:rFonts w:cs="Times New Roman"/>
                <w:sz w:val="24"/>
                <w:szCs w:val="24"/>
              </w:rPr>
              <w:t xml:space="preserve"> – ja komersantam ir apturēta </w:t>
            </w:r>
            <w:r w:rsidR="000607BE">
              <w:rPr>
                <w:rFonts w:cs="Times New Roman"/>
                <w:sz w:val="24"/>
                <w:szCs w:val="24"/>
              </w:rPr>
              <w:t xml:space="preserve">saimnieciskā </w:t>
            </w:r>
            <w:r>
              <w:rPr>
                <w:rFonts w:cs="Times New Roman"/>
                <w:sz w:val="24"/>
                <w:szCs w:val="24"/>
              </w:rPr>
              <w:t xml:space="preserve">darbība. </w:t>
            </w:r>
            <w:r w:rsidR="000607BE">
              <w:t xml:space="preserve"> </w:t>
            </w:r>
          </w:p>
          <w:p w:rsidR="00C12B3C" w:rsidP="00144442" w:rsidRDefault="0052166C" w14:paraId="575B0102" w14:textId="432D994C">
            <w:pPr>
              <w:ind w:firstLine="0"/>
              <w:jc w:val="both"/>
              <w:rPr>
                <w:rFonts w:cs="Times New Roman"/>
                <w:sz w:val="24"/>
                <w:szCs w:val="24"/>
              </w:rPr>
            </w:pPr>
            <w:r>
              <w:rPr>
                <w:rFonts w:cs="Times New Roman"/>
                <w:sz w:val="24"/>
                <w:szCs w:val="24"/>
              </w:rPr>
              <w:t xml:space="preserve">6. </w:t>
            </w:r>
            <w:r w:rsidRPr="00E15D2A" w:rsidR="00C12B3C">
              <w:rPr>
                <w:rFonts w:cs="Times New Roman"/>
                <w:sz w:val="24"/>
                <w:szCs w:val="24"/>
              </w:rPr>
              <w:t xml:space="preserve">Atbilstoši Oficiālās elektroniskās adreses likuma 12.panta trešajai daļai dokumentu, kas atbilstoši normatīvajiem aktiem sūtāms uz elektroniskā pasta adresi, </w:t>
            </w:r>
            <w:r w:rsidRPr="00E15D2A" w:rsidR="00054322">
              <w:rPr>
                <w:rFonts w:cs="Times New Roman"/>
                <w:sz w:val="24"/>
                <w:szCs w:val="24"/>
              </w:rPr>
              <w:t xml:space="preserve"> primāri </w:t>
            </w:r>
            <w:r w:rsidRPr="00E15D2A" w:rsidR="00C12B3C">
              <w:rPr>
                <w:rFonts w:cs="Times New Roman"/>
                <w:sz w:val="24"/>
                <w:szCs w:val="24"/>
              </w:rPr>
              <w:t>nosūta uz oficiālo elektronisko adresi, ja ir aktivizēts oficiālās elektroniskās adreses konts.</w:t>
            </w:r>
            <w:r w:rsidRPr="00E15D2A" w:rsidR="00054322">
              <w:rPr>
                <w:rFonts w:cs="Times New Roman"/>
                <w:sz w:val="24"/>
                <w:szCs w:val="24"/>
              </w:rPr>
              <w:t xml:space="preserve"> Savukārt </w:t>
            </w:r>
            <w:r w:rsidRPr="00E15D2A" w:rsidR="00A114E1">
              <w:rPr>
                <w:rFonts w:cs="Times New Roman"/>
                <w:sz w:val="24"/>
                <w:szCs w:val="24"/>
              </w:rPr>
              <w:t xml:space="preserve"> elektroniskā pasta adrese saziņai tiek izmantota tikai gadījumos, kad pārvadātājam</w:t>
            </w:r>
            <w:r w:rsidRPr="00E15D2A" w:rsidR="00835CE6">
              <w:rPr>
                <w:rFonts w:cs="Times New Roman"/>
                <w:sz w:val="24"/>
                <w:szCs w:val="24"/>
              </w:rPr>
              <w:t xml:space="preserve">  oficiālās elektroniskās </w:t>
            </w:r>
            <w:r w:rsidRPr="00E15D2A" w:rsidR="00A114E1">
              <w:rPr>
                <w:rFonts w:cs="Times New Roman"/>
                <w:sz w:val="24"/>
                <w:szCs w:val="24"/>
              </w:rPr>
              <w:t xml:space="preserve">adreses konts nav aktivizēts. </w:t>
            </w:r>
          </w:p>
          <w:p w:rsidR="00CD64A7" w:rsidP="00B64EC3" w:rsidRDefault="001C3D1E" w14:paraId="56D9315C" w14:textId="77777777">
            <w:pPr>
              <w:ind w:firstLine="0"/>
              <w:jc w:val="both"/>
              <w:rPr>
                <w:rFonts w:eastAsia="Times New Roman"/>
                <w:bCs/>
                <w:sz w:val="24"/>
                <w:szCs w:val="24"/>
                <w:lang w:eastAsia="lv-LV"/>
              </w:rPr>
            </w:pPr>
            <w:r>
              <w:rPr>
                <w:rFonts w:cs="Times New Roman"/>
                <w:sz w:val="24"/>
                <w:szCs w:val="24"/>
              </w:rPr>
              <w:t>N</w:t>
            </w:r>
            <w:r w:rsidRPr="001C3D1E">
              <w:rPr>
                <w:rFonts w:cs="Times New Roman"/>
                <w:sz w:val="24"/>
                <w:szCs w:val="24"/>
              </w:rPr>
              <w:t>oteikum</w:t>
            </w:r>
            <w:r>
              <w:rPr>
                <w:rFonts w:cs="Times New Roman"/>
                <w:sz w:val="24"/>
                <w:szCs w:val="24"/>
              </w:rPr>
              <w:t xml:space="preserve">u </w:t>
            </w:r>
            <w:r w:rsidR="00DC011E">
              <w:rPr>
                <w:rFonts w:cs="Times New Roman"/>
                <w:sz w:val="24"/>
                <w:szCs w:val="24"/>
              </w:rPr>
              <w:t>2</w:t>
            </w:r>
            <w:r>
              <w:rPr>
                <w:rFonts w:cs="Times New Roman"/>
                <w:sz w:val="24"/>
                <w:szCs w:val="24"/>
              </w:rPr>
              <w:t>.punkts paredz, ka noteikumos</w:t>
            </w:r>
            <w:r w:rsidRPr="001C3D1E">
              <w:rPr>
                <w:rFonts w:cs="Times New Roman"/>
                <w:sz w:val="24"/>
                <w:szCs w:val="24"/>
              </w:rPr>
              <w:t xml:space="preserve"> minētos iesniegumus un iesniegumiem pievienotos dokumentus var iesniegt </w:t>
            </w:r>
            <w:r w:rsidR="00276870">
              <w:rPr>
                <w:rFonts w:cs="Times New Roman"/>
                <w:sz w:val="24"/>
                <w:szCs w:val="24"/>
              </w:rPr>
              <w:t>arī</w:t>
            </w:r>
            <w:r w:rsidRPr="001C3D1E">
              <w:rPr>
                <w:rFonts w:cs="Times New Roman"/>
                <w:sz w:val="24"/>
                <w:szCs w:val="24"/>
              </w:rPr>
              <w:t xml:space="preserve"> elektroniski, aizpildot speciālu tiešsaistes formu </w:t>
            </w:r>
            <w:r w:rsidR="001962CE">
              <w:rPr>
                <w:rFonts w:cs="Times New Roman"/>
                <w:sz w:val="24"/>
                <w:szCs w:val="24"/>
              </w:rPr>
              <w:t>ATD</w:t>
            </w:r>
            <w:r w:rsidRPr="001C3D1E">
              <w:rPr>
                <w:rFonts w:cs="Times New Roman"/>
                <w:sz w:val="24"/>
                <w:szCs w:val="24"/>
              </w:rPr>
              <w:t xml:space="preserve"> tīmekļ</w:t>
            </w:r>
            <w:r w:rsidR="001962CE">
              <w:rPr>
                <w:rFonts w:cs="Times New Roman"/>
                <w:sz w:val="24"/>
                <w:szCs w:val="24"/>
              </w:rPr>
              <w:t xml:space="preserve">a </w:t>
            </w:r>
            <w:r w:rsidRPr="001C3D1E">
              <w:rPr>
                <w:rFonts w:cs="Times New Roman"/>
                <w:sz w:val="24"/>
                <w:szCs w:val="24"/>
              </w:rPr>
              <w:t>vietnē www.atd.lv (e-pakalpojums), norādot elektroniskā pasta adresi saziņai. Identifikācijai izmanto Valsts reģionālās attīstības aģentūras nodrošinātajā Vienotajā pieteikšanās modulī pieejamos personas identifikācijas līdzekļus</w:t>
            </w:r>
            <w:r>
              <w:rPr>
                <w:rFonts w:cs="Times New Roman"/>
                <w:sz w:val="24"/>
                <w:szCs w:val="24"/>
              </w:rPr>
              <w:t>. Šāda redakcija</w:t>
            </w:r>
            <w:r>
              <w:rPr>
                <w:rFonts w:eastAsia="Times New Roman"/>
                <w:bCs/>
                <w:sz w:val="24"/>
                <w:szCs w:val="24"/>
                <w:lang w:eastAsia="lv-LV"/>
              </w:rPr>
              <w:t xml:space="preserve"> tika </w:t>
            </w:r>
            <w:r w:rsidRPr="00465EB3">
              <w:rPr>
                <w:rFonts w:eastAsia="Times New Roman"/>
                <w:bCs/>
                <w:sz w:val="24"/>
                <w:szCs w:val="24"/>
                <w:lang w:eastAsia="lv-LV"/>
              </w:rPr>
              <w:t>saskaņot</w:t>
            </w:r>
            <w:r>
              <w:rPr>
                <w:rFonts w:eastAsia="Times New Roman"/>
                <w:bCs/>
                <w:sz w:val="24"/>
                <w:szCs w:val="24"/>
                <w:lang w:eastAsia="lv-LV"/>
              </w:rPr>
              <w:t>a</w:t>
            </w:r>
            <w:r w:rsidRPr="00465EB3">
              <w:rPr>
                <w:rFonts w:eastAsia="Times New Roman"/>
                <w:bCs/>
                <w:sz w:val="24"/>
                <w:szCs w:val="24"/>
                <w:lang w:eastAsia="lv-LV"/>
              </w:rPr>
              <w:t xml:space="preserve"> ar Vides aizsardzības</w:t>
            </w:r>
            <w:r>
              <w:rPr>
                <w:rFonts w:eastAsia="Times New Roman"/>
                <w:bCs/>
                <w:sz w:val="24"/>
                <w:szCs w:val="24"/>
                <w:lang w:eastAsia="lv-LV"/>
              </w:rPr>
              <w:t xml:space="preserve"> un reģionālās attīstības ministriju, izstrādājot Ministru kabineta 2019.gada </w:t>
            </w:r>
            <w:r>
              <w:rPr>
                <w:rFonts w:eastAsia="Times New Roman"/>
                <w:bCs/>
                <w:sz w:val="24"/>
                <w:szCs w:val="24"/>
                <w:lang w:eastAsia="lv-LV"/>
              </w:rPr>
              <w:lastRenderedPageBreak/>
              <w:t>27.augusta noteikumus Nr.389 “</w:t>
            </w:r>
            <w:r w:rsidRPr="00CB0AB1">
              <w:rPr>
                <w:rFonts w:eastAsia="Times New Roman"/>
                <w:bCs/>
                <w:sz w:val="24"/>
                <w:szCs w:val="24"/>
                <w:lang w:eastAsia="lv-LV"/>
              </w:rPr>
              <w:t>Noteikumi par pasažieru komercpārvadājumiem ar vieglo automobili</w:t>
            </w:r>
            <w:r>
              <w:rPr>
                <w:rFonts w:eastAsia="Times New Roman"/>
                <w:bCs/>
                <w:sz w:val="24"/>
                <w:szCs w:val="24"/>
                <w:lang w:eastAsia="lv-LV"/>
              </w:rPr>
              <w:t xml:space="preserve">”. Šāds regulējums nepieciešams, lai pārvadātājs varētu saņemt e-pakalpojumu, autentificējoties </w:t>
            </w:r>
            <w:r w:rsidRPr="004161C0">
              <w:rPr>
                <w:rFonts w:eastAsia="Times New Roman"/>
                <w:bCs/>
                <w:sz w:val="24"/>
                <w:szCs w:val="24"/>
                <w:lang w:eastAsia="lv-LV"/>
              </w:rPr>
              <w:t>Valsts reģionālās attīstības aģentūras nodrošinātajā Vienotajā pieteikšanās modulī</w:t>
            </w:r>
            <w:r>
              <w:rPr>
                <w:rFonts w:eastAsia="Times New Roman"/>
                <w:bCs/>
                <w:sz w:val="24"/>
                <w:szCs w:val="24"/>
                <w:lang w:eastAsia="lv-LV"/>
              </w:rPr>
              <w:t>,</w:t>
            </w:r>
            <w:r w:rsidRPr="004161C0">
              <w:rPr>
                <w:rFonts w:eastAsia="Times New Roman"/>
                <w:bCs/>
                <w:sz w:val="24"/>
                <w:szCs w:val="24"/>
                <w:lang w:eastAsia="lv-LV"/>
              </w:rPr>
              <w:t xml:space="preserve"> </w:t>
            </w:r>
            <w:r>
              <w:rPr>
                <w:rFonts w:eastAsia="Times New Roman"/>
                <w:bCs/>
                <w:sz w:val="24"/>
                <w:szCs w:val="24"/>
                <w:lang w:eastAsia="lv-LV"/>
              </w:rPr>
              <w:t>neizmantojot drošu elektronisko parakstu.</w:t>
            </w:r>
          </w:p>
          <w:p w:rsidR="00606716" w:rsidP="00B64EC3" w:rsidRDefault="00B64EC3" w14:paraId="4C85AD76" w14:textId="63B2A10C">
            <w:pPr>
              <w:ind w:firstLine="0"/>
              <w:jc w:val="both"/>
              <w:rPr>
                <w:rFonts w:cs="Times New Roman"/>
                <w:sz w:val="24"/>
                <w:szCs w:val="24"/>
              </w:rPr>
            </w:pPr>
            <w:r w:rsidRPr="00E15D2A">
              <w:rPr>
                <w:rFonts w:cs="Times New Roman"/>
                <w:sz w:val="24"/>
                <w:szCs w:val="24"/>
              </w:rPr>
              <w:t xml:space="preserve">Noteikumu projekts attiecībā uz jauno licences </w:t>
            </w:r>
            <w:r w:rsidRPr="00E15D2A" w:rsidR="00B872E8">
              <w:rPr>
                <w:rFonts w:cs="Times New Roman"/>
                <w:sz w:val="24"/>
                <w:szCs w:val="24"/>
              </w:rPr>
              <w:t xml:space="preserve">un licences </w:t>
            </w:r>
            <w:r w:rsidRPr="00E15D2A">
              <w:rPr>
                <w:rFonts w:cs="Times New Roman"/>
                <w:sz w:val="24"/>
                <w:szCs w:val="24"/>
              </w:rPr>
              <w:t xml:space="preserve">kartītes sagatavošanas kārtību paredz </w:t>
            </w:r>
            <w:r w:rsidRPr="000D0257">
              <w:rPr>
                <w:rFonts w:cs="Times New Roman"/>
                <w:sz w:val="24"/>
                <w:szCs w:val="24"/>
              </w:rPr>
              <w:t>pārejas nosacījumu</w:t>
            </w:r>
            <w:r w:rsidRPr="00E15D2A">
              <w:rPr>
                <w:rFonts w:cs="Times New Roman"/>
                <w:sz w:val="24"/>
                <w:szCs w:val="24"/>
              </w:rPr>
              <w:t xml:space="preserve">, nosakot, ka </w:t>
            </w:r>
            <w:r w:rsidRPr="000D0257" w:rsidR="00B872E8">
              <w:rPr>
                <w:rFonts w:cs="Times New Roman"/>
                <w:sz w:val="24"/>
                <w:szCs w:val="24"/>
              </w:rPr>
              <w:t xml:space="preserve">licences un </w:t>
            </w:r>
            <w:r w:rsidRPr="000D0257">
              <w:rPr>
                <w:rFonts w:cs="Times New Roman"/>
                <w:sz w:val="24"/>
                <w:szCs w:val="24"/>
              </w:rPr>
              <w:t xml:space="preserve">licences kartītes, kas ir izsniegtas līdz </w:t>
            </w:r>
            <w:r w:rsidRPr="000D0257" w:rsidR="001D612C">
              <w:rPr>
                <w:rFonts w:cs="Times New Roman"/>
                <w:sz w:val="24"/>
                <w:szCs w:val="24"/>
              </w:rPr>
              <w:t>noteikumu</w:t>
            </w:r>
            <w:r w:rsidRPr="000D0257">
              <w:rPr>
                <w:rFonts w:cs="Times New Roman"/>
                <w:sz w:val="24"/>
                <w:szCs w:val="24"/>
              </w:rPr>
              <w:t xml:space="preserve"> spēkā stāšanās dienai</w:t>
            </w:r>
            <w:r w:rsidRPr="000D0257" w:rsidR="00C806C9">
              <w:rPr>
                <w:rFonts w:cs="Times New Roman"/>
                <w:sz w:val="24"/>
                <w:szCs w:val="24"/>
              </w:rPr>
              <w:t>,</w:t>
            </w:r>
            <w:r w:rsidRPr="000D0257">
              <w:rPr>
                <w:rFonts w:cs="Times New Roman"/>
                <w:sz w:val="24"/>
                <w:szCs w:val="24"/>
              </w:rPr>
              <w:t xml:space="preserve"> </w:t>
            </w:r>
            <w:r w:rsidRPr="000D0257" w:rsidR="00082DF2">
              <w:rPr>
                <w:rFonts w:cs="Times New Roman"/>
                <w:sz w:val="24"/>
                <w:szCs w:val="24"/>
              </w:rPr>
              <w:t>būs</w:t>
            </w:r>
            <w:r w:rsidRPr="000D0257">
              <w:rPr>
                <w:rFonts w:cs="Times New Roman"/>
                <w:sz w:val="24"/>
                <w:szCs w:val="24"/>
              </w:rPr>
              <w:t xml:space="preserve"> </w:t>
            </w:r>
            <w:r w:rsidRPr="000D0257" w:rsidR="00E86275">
              <w:rPr>
                <w:rFonts w:cs="Times New Roman"/>
                <w:sz w:val="24"/>
                <w:szCs w:val="24"/>
              </w:rPr>
              <w:t>derīgas elektroniski</w:t>
            </w:r>
            <w:r w:rsidRPr="000D0257">
              <w:rPr>
                <w:rFonts w:cs="Times New Roman"/>
                <w:sz w:val="24"/>
                <w:szCs w:val="24"/>
              </w:rPr>
              <w:t xml:space="preserve"> līdz t</w:t>
            </w:r>
            <w:r w:rsidRPr="000D0257" w:rsidR="00082DF2">
              <w:rPr>
                <w:rFonts w:cs="Times New Roman"/>
                <w:sz w:val="24"/>
                <w:szCs w:val="24"/>
              </w:rPr>
              <w:t>ajās</w:t>
            </w:r>
            <w:r w:rsidRPr="000D0257">
              <w:rPr>
                <w:rFonts w:cs="Times New Roman"/>
                <w:sz w:val="24"/>
                <w:szCs w:val="24"/>
              </w:rPr>
              <w:t xml:space="preserve"> </w:t>
            </w:r>
            <w:r w:rsidRPr="000D0257" w:rsidR="00082DF2">
              <w:rPr>
                <w:rFonts w:cs="Times New Roman"/>
                <w:sz w:val="24"/>
                <w:szCs w:val="24"/>
              </w:rPr>
              <w:t xml:space="preserve">norādītā </w:t>
            </w:r>
            <w:r w:rsidRPr="000D0257">
              <w:rPr>
                <w:rFonts w:cs="Times New Roman"/>
                <w:sz w:val="24"/>
                <w:szCs w:val="24"/>
              </w:rPr>
              <w:t>derīguma termiņa beigām</w:t>
            </w:r>
            <w:r w:rsidR="00A65E62">
              <w:rPr>
                <w:rFonts w:cs="Times New Roman"/>
                <w:sz w:val="24"/>
                <w:szCs w:val="24"/>
              </w:rPr>
              <w:t>.</w:t>
            </w:r>
            <w:r w:rsidRPr="00606716" w:rsidR="00606716">
              <w:rPr>
                <w:rFonts w:cs="Times New Roman"/>
                <w:sz w:val="24"/>
                <w:szCs w:val="24"/>
              </w:rPr>
              <w:t xml:space="preserve"> </w:t>
            </w:r>
          </w:p>
          <w:p w:rsidRPr="00E15D2A" w:rsidR="002566C8" w:rsidP="00811F0E" w:rsidRDefault="00E26482" w14:paraId="7DA2E06B" w14:textId="15A29D18">
            <w:pPr>
              <w:ind w:firstLine="0"/>
              <w:jc w:val="both"/>
              <w:rPr>
                <w:rFonts w:cs="Times New Roman"/>
                <w:sz w:val="24"/>
                <w:szCs w:val="24"/>
              </w:rPr>
            </w:pPr>
            <w:r>
              <w:rPr>
                <w:rFonts w:cs="Times New Roman"/>
                <w:sz w:val="24"/>
                <w:szCs w:val="24"/>
              </w:rPr>
              <w:t>A</w:t>
            </w:r>
            <w:r w:rsidRPr="00E86275" w:rsidR="00667224">
              <w:rPr>
                <w:rFonts w:cs="Times New Roman"/>
                <w:sz w:val="24"/>
                <w:szCs w:val="24"/>
              </w:rPr>
              <w:t xml:space="preserve">utopārvadājumu kontroles institūcijas par </w:t>
            </w:r>
            <w:r w:rsidRPr="00E86275" w:rsidR="00667224">
              <w:rPr>
                <w:sz w:val="24"/>
                <w:szCs w:val="20"/>
              </w:rPr>
              <w:t xml:space="preserve">izsniegtajām </w:t>
            </w:r>
            <w:r w:rsidRPr="00E86275" w:rsidR="00667224">
              <w:rPr>
                <w:rFonts w:cs="Times New Roman"/>
                <w:sz w:val="24"/>
                <w:szCs w:val="24"/>
              </w:rPr>
              <w:t xml:space="preserve">licencēm un licences kartītēm pārliecināsies </w:t>
            </w:r>
            <w:r w:rsidRPr="00E86275" w:rsidR="00667224">
              <w:rPr>
                <w:sz w:val="24"/>
                <w:szCs w:val="24"/>
              </w:rPr>
              <w:t>Autopārvadātāju informatīv</w:t>
            </w:r>
            <w:r w:rsidRPr="00E86275" w:rsidR="00B67386">
              <w:rPr>
                <w:sz w:val="24"/>
                <w:szCs w:val="24"/>
              </w:rPr>
              <w:t>aj</w:t>
            </w:r>
            <w:r w:rsidRPr="00E86275" w:rsidR="00667224">
              <w:rPr>
                <w:sz w:val="24"/>
                <w:szCs w:val="24"/>
              </w:rPr>
              <w:t>ā datubāzē</w:t>
            </w:r>
            <w:r w:rsidR="00667224">
              <w:rPr>
                <w:sz w:val="24"/>
                <w:szCs w:val="24"/>
              </w:rPr>
              <w:t>.</w:t>
            </w:r>
            <w:r w:rsidR="00981EB6">
              <w:rPr>
                <w:sz w:val="24"/>
                <w:szCs w:val="24"/>
              </w:rPr>
              <w:t xml:space="preserve"> </w:t>
            </w:r>
            <w:r w:rsidRPr="00AB13CC" w:rsidR="00EA5966">
              <w:rPr>
                <w:sz w:val="24"/>
                <w:szCs w:val="20"/>
              </w:rPr>
              <w:t>Iepriekš izsniegt</w:t>
            </w:r>
            <w:r w:rsidR="00EA5966">
              <w:rPr>
                <w:sz w:val="24"/>
                <w:szCs w:val="20"/>
              </w:rPr>
              <w:t>o</w:t>
            </w:r>
            <w:r w:rsidRPr="00AB13CC" w:rsidR="00EA5966">
              <w:rPr>
                <w:sz w:val="24"/>
                <w:szCs w:val="20"/>
              </w:rPr>
              <w:t xml:space="preserve"> </w:t>
            </w:r>
            <w:r w:rsidRPr="00AB13CC" w:rsidR="00EA5966">
              <w:rPr>
                <w:rFonts w:cs="Times New Roman"/>
                <w:sz w:val="24"/>
                <w:szCs w:val="24"/>
              </w:rPr>
              <w:t>licenču un licen</w:t>
            </w:r>
            <w:r w:rsidR="00EA5966">
              <w:rPr>
                <w:rFonts w:cs="Times New Roman"/>
                <w:sz w:val="24"/>
                <w:szCs w:val="24"/>
              </w:rPr>
              <w:t>ces</w:t>
            </w:r>
            <w:r w:rsidRPr="00AB13CC" w:rsidR="00EA5966">
              <w:rPr>
                <w:rFonts w:cs="Times New Roman"/>
                <w:sz w:val="24"/>
                <w:szCs w:val="24"/>
              </w:rPr>
              <w:t xml:space="preserve"> kartīšu ieraksti</w:t>
            </w:r>
            <w:r w:rsidR="00EA5966">
              <w:rPr>
                <w:rFonts w:cs="Times New Roman"/>
                <w:sz w:val="24"/>
                <w:szCs w:val="24"/>
              </w:rPr>
              <w:t xml:space="preserve"> </w:t>
            </w:r>
            <w:r w:rsidRPr="00AB13CC" w:rsidR="00EA5966">
              <w:rPr>
                <w:sz w:val="24"/>
                <w:szCs w:val="24"/>
              </w:rPr>
              <w:t>Autopārvadātāju informatīv</w:t>
            </w:r>
            <w:r w:rsidR="00B67386">
              <w:rPr>
                <w:sz w:val="24"/>
                <w:szCs w:val="24"/>
              </w:rPr>
              <w:t>aj</w:t>
            </w:r>
            <w:r w:rsidRPr="00AB13CC" w:rsidR="00EA5966">
              <w:rPr>
                <w:sz w:val="24"/>
                <w:szCs w:val="24"/>
              </w:rPr>
              <w:t>ā datubāzē</w:t>
            </w:r>
            <w:r w:rsidRPr="00AB13CC" w:rsidR="00EA5966">
              <w:rPr>
                <w:rFonts w:cs="Times New Roman"/>
                <w:sz w:val="22"/>
              </w:rPr>
              <w:t xml:space="preserve"> </w:t>
            </w:r>
            <w:r w:rsidRPr="00AB13CC" w:rsidR="00EA5966">
              <w:rPr>
                <w:rFonts w:cs="Times New Roman"/>
                <w:sz w:val="24"/>
                <w:szCs w:val="24"/>
              </w:rPr>
              <w:t xml:space="preserve">būs pieejami autopārvadājumu kontroles institūcijām un būs publicēti </w:t>
            </w:r>
            <w:r w:rsidR="001962CE">
              <w:rPr>
                <w:rFonts w:cs="Times New Roman"/>
                <w:sz w:val="24"/>
                <w:szCs w:val="24"/>
              </w:rPr>
              <w:t>ATD tīmekļa vietnē</w:t>
            </w:r>
            <w:r w:rsidR="00EA5966">
              <w:rPr>
                <w:rFonts w:cs="Times New Roman"/>
                <w:sz w:val="24"/>
                <w:szCs w:val="24"/>
              </w:rPr>
              <w:t xml:space="preserve"> www.atd.lv</w:t>
            </w:r>
            <w:r w:rsidRPr="00AB13CC" w:rsidR="00EA5966">
              <w:rPr>
                <w:rFonts w:cs="Times New Roman"/>
                <w:sz w:val="24"/>
                <w:szCs w:val="24"/>
              </w:rPr>
              <w:t xml:space="preserve">. Papīrā izdotos dokumentus vairs nebūs nepieciešams uzrādīt  autopārvadājumu kontroles institūcijām, kā tas ir noteikts </w:t>
            </w:r>
            <w:r w:rsidR="004A144C">
              <w:rPr>
                <w:rFonts w:cs="Times New Roman"/>
                <w:sz w:val="24"/>
                <w:szCs w:val="24"/>
              </w:rPr>
              <w:t xml:space="preserve">šobrīd spēkā </w:t>
            </w:r>
            <w:r w:rsidRPr="00AB13CC" w:rsidR="00EA5966">
              <w:rPr>
                <w:rFonts w:cs="Times New Roman"/>
                <w:sz w:val="24"/>
                <w:szCs w:val="24"/>
              </w:rPr>
              <w:t>esošajos noteikumos</w:t>
            </w:r>
            <w:r w:rsidR="004A144C">
              <w:rPr>
                <w:rFonts w:cs="Times New Roman"/>
                <w:sz w:val="24"/>
                <w:szCs w:val="24"/>
              </w:rPr>
              <w:t xml:space="preserve"> Nr.121</w:t>
            </w:r>
            <w:r w:rsidRPr="00AB13CC" w:rsidR="00EA5966">
              <w:rPr>
                <w:rFonts w:cs="Times New Roman"/>
                <w:sz w:val="24"/>
                <w:szCs w:val="24"/>
              </w:rPr>
              <w:t>.</w:t>
            </w:r>
          </w:p>
          <w:p w:rsidR="00C551A3" w:rsidP="00330709" w:rsidRDefault="0050205C" w14:paraId="65D311E5" w14:textId="77777777">
            <w:pPr>
              <w:ind w:firstLine="0"/>
              <w:jc w:val="both"/>
              <w:rPr>
                <w:rFonts w:eastAsia="Times New Roman"/>
                <w:color w:val="FF0000"/>
                <w:sz w:val="24"/>
                <w:szCs w:val="24"/>
                <w:lang w:eastAsia="lv-LV"/>
              </w:rPr>
            </w:pPr>
            <w:r w:rsidRPr="00E15D2A">
              <w:rPr>
                <w:rFonts w:cs="Times New Roman"/>
                <w:sz w:val="24"/>
                <w:szCs w:val="24"/>
              </w:rPr>
              <w:t>Saskaņā ar Ministru kabineta 2009.gada 3.februāra noteikumu Nr.108 „Normatīvo aktu projektu sagatavošanas noteikumi” 140.punktu, ja grozījumu apjoms pārsniedz pusi no spēkā esošo noteikumu normu apjoma, sagatavo jaunu noteikumu projektu. Ievērojot grozījumu apjomu, sagatavots jauns noteikumu projekts, kas aizstās noteikumus Nr. 121.</w:t>
            </w:r>
            <w:r w:rsidR="00C551A3">
              <w:rPr>
                <w:rFonts w:eastAsia="Times New Roman"/>
                <w:color w:val="FF0000"/>
                <w:sz w:val="24"/>
                <w:szCs w:val="24"/>
                <w:lang w:eastAsia="lv-LV"/>
              </w:rPr>
              <w:t xml:space="preserve"> </w:t>
            </w:r>
          </w:p>
          <w:p w:rsidRPr="005E34B6" w:rsidR="00C1314A" w:rsidP="00330709" w:rsidRDefault="00A02964" w14:paraId="45B0A773" w14:textId="0C6C738D">
            <w:pPr>
              <w:ind w:firstLine="0"/>
              <w:jc w:val="both"/>
              <w:rPr>
                <w:rFonts w:cs="Times New Roman"/>
                <w:sz w:val="24"/>
                <w:szCs w:val="24"/>
                <w:lang w:val="x-none"/>
              </w:rPr>
            </w:pPr>
            <w:r>
              <w:rPr>
                <w:rFonts w:eastAsia="Times New Roman"/>
                <w:sz w:val="24"/>
                <w:szCs w:val="24"/>
                <w:lang w:eastAsia="lv-LV"/>
              </w:rPr>
              <w:t>P</w:t>
            </w:r>
            <w:r w:rsidR="003144B5">
              <w:rPr>
                <w:rFonts w:eastAsia="Times New Roman"/>
                <w:sz w:val="24"/>
                <w:szCs w:val="24"/>
                <w:lang w:eastAsia="lv-LV"/>
              </w:rPr>
              <w:t xml:space="preserve">ēc Tieslietu ministrijas iebildumiem </w:t>
            </w:r>
            <w:r w:rsidRPr="005E34B6" w:rsidR="003144B5">
              <w:rPr>
                <w:rFonts w:eastAsia="Times New Roman"/>
                <w:sz w:val="24"/>
                <w:szCs w:val="24"/>
                <w:lang w:eastAsia="lv-LV"/>
              </w:rPr>
              <w:t xml:space="preserve"> vairākas normas</w:t>
            </w:r>
            <w:r w:rsidR="003144B5">
              <w:rPr>
                <w:rFonts w:eastAsia="Times New Roman"/>
                <w:sz w:val="24"/>
                <w:szCs w:val="24"/>
                <w:lang w:eastAsia="lv-LV"/>
              </w:rPr>
              <w:t>,</w:t>
            </w:r>
            <w:r w:rsidRPr="005E34B6" w:rsidR="003144B5">
              <w:rPr>
                <w:rFonts w:eastAsia="Times New Roman"/>
                <w:sz w:val="24"/>
                <w:szCs w:val="24"/>
                <w:lang w:eastAsia="lv-LV"/>
              </w:rPr>
              <w:t xml:space="preserve"> kas šobrīd ir spēkā esošajos noteikumos</w:t>
            </w:r>
            <w:r w:rsidR="003144B5">
              <w:rPr>
                <w:rFonts w:eastAsia="Times New Roman"/>
                <w:sz w:val="24"/>
                <w:szCs w:val="24"/>
                <w:lang w:eastAsia="lv-LV"/>
              </w:rPr>
              <w:t xml:space="preserve"> Nr.121</w:t>
            </w:r>
            <w:r w:rsidRPr="005E34B6" w:rsidR="003144B5">
              <w:rPr>
                <w:rFonts w:eastAsia="Times New Roman"/>
                <w:sz w:val="24"/>
                <w:szCs w:val="24"/>
                <w:lang w:eastAsia="lv-LV"/>
              </w:rPr>
              <w:t>,</w:t>
            </w:r>
            <w:r w:rsidR="003144B5">
              <w:rPr>
                <w:rFonts w:eastAsia="Times New Roman"/>
                <w:sz w:val="24"/>
                <w:szCs w:val="24"/>
                <w:lang w:eastAsia="lv-LV"/>
              </w:rPr>
              <w:t xml:space="preserve"> </w:t>
            </w:r>
            <w:r w:rsidRPr="005E34B6" w:rsidR="003144B5">
              <w:rPr>
                <w:rFonts w:eastAsia="Times New Roman"/>
                <w:sz w:val="24"/>
                <w:szCs w:val="24"/>
                <w:lang w:eastAsia="lv-LV"/>
              </w:rPr>
              <w:t xml:space="preserve">no noteikumu projekta </w:t>
            </w:r>
            <w:r w:rsidRPr="005E34B6" w:rsidR="00C551A3">
              <w:rPr>
                <w:rFonts w:eastAsia="Times New Roman"/>
                <w:sz w:val="24"/>
                <w:szCs w:val="24"/>
                <w:lang w:eastAsia="lv-LV"/>
              </w:rPr>
              <w:t>tik</w:t>
            </w:r>
            <w:r w:rsidR="003144B5">
              <w:rPr>
                <w:rFonts w:eastAsia="Times New Roman"/>
                <w:sz w:val="24"/>
                <w:szCs w:val="24"/>
                <w:lang w:eastAsia="lv-LV"/>
              </w:rPr>
              <w:t>a</w:t>
            </w:r>
            <w:r w:rsidRPr="005E34B6" w:rsidR="00C551A3">
              <w:rPr>
                <w:rFonts w:eastAsia="Times New Roman"/>
                <w:sz w:val="24"/>
                <w:szCs w:val="24"/>
                <w:lang w:eastAsia="lv-LV"/>
              </w:rPr>
              <w:t xml:space="preserve"> svītrotas</w:t>
            </w:r>
            <w:r>
              <w:rPr>
                <w:rFonts w:eastAsia="Times New Roman"/>
                <w:sz w:val="24"/>
                <w:szCs w:val="24"/>
                <w:lang w:eastAsia="lv-LV"/>
              </w:rPr>
              <w:t>, jo šāds regulējums ir jāparedz likumā.</w:t>
            </w:r>
            <w:r w:rsidRPr="005E34B6" w:rsidR="00C551A3">
              <w:rPr>
                <w:rFonts w:eastAsia="Times New Roman"/>
                <w:sz w:val="24"/>
                <w:szCs w:val="24"/>
                <w:lang w:eastAsia="lv-LV"/>
              </w:rPr>
              <w:t xml:space="preserve">, Satiksmes ministrija sadarbībā ar VSIA “Autotransporta direkcija” </w:t>
            </w:r>
            <w:r w:rsidR="005E34B6">
              <w:rPr>
                <w:rFonts w:eastAsia="Times New Roman"/>
                <w:sz w:val="24"/>
                <w:szCs w:val="24"/>
                <w:lang w:eastAsia="lv-LV"/>
              </w:rPr>
              <w:t>sa</w:t>
            </w:r>
            <w:r w:rsidRPr="005E34B6" w:rsidR="00C551A3">
              <w:rPr>
                <w:rFonts w:eastAsia="Times New Roman"/>
                <w:sz w:val="24"/>
                <w:szCs w:val="24"/>
                <w:lang w:eastAsia="lv-LV"/>
              </w:rPr>
              <w:t>gatavo</w:t>
            </w:r>
            <w:r w:rsidR="00272D93">
              <w:rPr>
                <w:rFonts w:eastAsia="Times New Roman"/>
                <w:sz w:val="24"/>
                <w:szCs w:val="24"/>
                <w:lang w:eastAsia="lv-LV"/>
              </w:rPr>
              <w:t>s</w:t>
            </w:r>
            <w:r w:rsidR="005E34B6">
              <w:rPr>
                <w:rFonts w:eastAsia="Times New Roman"/>
                <w:sz w:val="24"/>
                <w:szCs w:val="24"/>
                <w:lang w:eastAsia="lv-LV"/>
              </w:rPr>
              <w:t xml:space="preserve"> likumprojektu “G</w:t>
            </w:r>
            <w:r w:rsidRPr="005E34B6" w:rsidR="00C551A3">
              <w:rPr>
                <w:rFonts w:eastAsia="Times New Roman"/>
                <w:sz w:val="24"/>
                <w:szCs w:val="24"/>
                <w:lang w:eastAsia="lv-LV"/>
              </w:rPr>
              <w:t>rozījum</w:t>
            </w:r>
            <w:r w:rsidR="005E34B6">
              <w:rPr>
                <w:rFonts w:eastAsia="Times New Roman"/>
                <w:sz w:val="24"/>
                <w:szCs w:val="24"/>
                <w:lang w:eastAsia="lv-LV"/>
              </w:rPr>
              <w:t>i</w:t>
            </w:r>
            <w:r w:rsidRPr="005E34B6" w:rsidR="00C551A3">
              <w:rPr>
                <w:rFonts w:eastAsia="Times New Roman"/>
                <w:sz w:val="24"/>
                <w:szCs w:val="24"/>
                <w:lang w:eastAsia="lv-LV"/>
              </w:rPr>
              <w:t xml:space="preserve"> Autopārvadājumu likumā</w:t>
            </w:r>
            <w:r w:rsidR="005E34B6">
              <w:rPr>
                <w:rFonts w:eastAsia="Times New Roman"/>
                <w:sz w:val="24"/>
                <w:szCs w:val="24"/>
                <w:lang w:eastAsia="lv-LV"/>
              </w:rPr>
              <w:t>”</w:t>
            </w:r>
            <w:r w:rsidR="00272D93">
              <w:rPr>
                <w:rFonts w:eastAsia="Times New Roman"/>
                <w:sz w:val="24"/>
                <w:szCs w:val="24"/>
                <w:lang w:eastAsia="lv-LV"/>
              </w:rPr>
              <w:t xml:space="preserve">, iekļaujot </w:t>
            </w:r>
            <w:r w:rsidR="00322829">
              <w:rPr>
                <w:rFonts w:eastAsia="Times New Roman"/>
                <w:sz w:val="24"/>
                <w:szCs w:val="24"/>
                <w:lang w:eastAsia="lv-LV"/>
              </w:rPr>
              <w:t xml:space="preserve">no noteikumiem Nr.121 </w:t>
            </w:r>
            <w:r w:rsidR="003144B5">
              <w:rPr>
                <w:rFonts w:eastAsia="Times New Roman"/>
                <w:sz w:val="24"/>
                <w:szCs w:val="24"/>
                <w:lang w:eastAsia="lv-LV"/>
              </w:rPr>
              <w:t xml:space="preserve">svītrotās </w:t>
            </w:r>
            <w:r w:rsidR="00272D93">
              <w:rPr>
                <w:rFonts w:eastAsia="Times New Roman"/>
                <w:sz w:val="24"/>
                <w:szCs w:val="24"/>
                <w:lang w:eastAsia="lv-LV"/>
              </w:rPr>
              <w:t>normas likumā</w:t>
            </w:r>
            <w:r w:rsidR="005E34B6">
              <w:rPr>
                <w:rFonts w:eastAsia="Times New Roman"/>
                <w:sz w:val="24"/>
                <w:szCs w:val="24"/>
                <w:lang w:eastAsia="lv-LV"/>
              </w:rPr>
              <w:t>.</w:t>
            </w:r>
            <w:r w:rsidRPr="005E34B6" w:rsidR="00C551A3">
              <w:rPr>
                <w:rFonts w:eastAsia="Times New Roman"/>
                <w:sz w:val="24"/>
                <w:szCs w:val="24"/>
                <w:lang w:eastAsia="lv-LV"/>
              </w:rPr>
              <w:t xml:space="preserve"> </w:t>
            </w:r>
          </w:p>
          <w:p w:rsidRPr="00E15D2A" w:rsidR="001D612C" w:rsidP="00F43741" w:rsidRDefault="001D612C" w14:paraId="0B50D0DA" w14:textId="0E1B796D">
            <w:pPr>
              <w:ind w:firstLine="0"/>
              <w:jc w:val="both"/>
              <w:rPr>
                <w:rFonts w:cs="Times New Roman"/>
                <w:sz w:val="24"/>
                <w:szCs w:val="24"/>
              </w:rPr>
            </w:pPr>
          </w:p>
        </w:tc>
      </w:tr>
      <w:tr w:rsidRPr="00E151F1" w:rsidR="003D6F09" w:rsidTr="00811F0E" w14:paraId="00BB7358" w14:textId="77777777">
        <w:trPr>
          <w:trHeight w:val="465"/>
        </w:trPr>
        <w:tc>
          <w:tcPr>
            <w:tcW w:w="247" w:type="pct"/>
            <w:hideMark/>
          </w:tcPr>
          <w:p w:rsidRPr="00E151F1" w:rsidR="003D6F09" w:rsidP="00811F0E" w:rsidRDefault="003D6F09" w14:paraId="74B855B6" w14:textId="77777777">
            <w:pPr>
              <w:ind w:firstLine="0"/>
              <w:rPr>
                <w:sz w:val="24"/>
                <w:szCs w:val="24"/>
              </w:rPr>
            </w:pPr>
            <w:r w:rsidRPr="00E151F1">
              <w:rPr>
                <w:sz w:val="24"/>
                <w:szCs w:val="24"/>
              </w:rPr>
              <w:lastRenderedPageBreak/>
              <w:t>3.</w:t>
            </w:r>
          </w:p>
        </w:tc>
        <w:tc>
          <w:tcPr>
            <w:tcW w:w="1530" w:type="pct"/>
            <w:hideMark/>
          </w:tcPr>
          <w:p w:rsidRPr="00E151F1" w:rsidR="003D6F09" w:rsidP="00811F0E" w:rsidRDefault="003D6F09" w14:paraId="5EBD1B41" w14:textId="4CDACB11">
            <w:pPr>
              <w:ind w:firstLine="0"/>
              <w:rPr>
                <w:sz w:val="24"/>
                <w:szCs w:val="24"/>
              </w:rPr>
            </w:pPr>
            <w:r w:rsidRPr="00E151F1">
              <w:rPr>
                <w:sz w:val="24"/>
                <w:szCs w:val="24"/>
              </w:rPr>
              <w:t>Projekta izstrādē iesaistītās institūcijas</w:t>
            </w:r>
            <w:r w:rsidRPr="00E151F1" w:rsidR="00A82BB3">
              <w:rPr>
                <w:sz w:val="24"/>
                <w:szCs w:val="24"/>
              </w:rPr>
              <w:t xml:space="preserve"> </w:t>
            </w:r>
            <w:r w:rsidR="008B3B28">
              <w:rPr>
                <w:sz w:val="24"/>
                <w:szCs w:val="24"/>
              </w:rPr>
              <w:t xml:space="preserve"> un publiskas personas kapitālsabiedrības</w:t>
            </w:r>
          </w:p>
        </w:tc>
        <w:tc>
          <w:tcPr>
            <w:tcW w:w="3159" w:type="pct"/>
            <w:hideMark/>
          </w:tcPr>
          <w:p w:rsidRPr="00E151F1" w:rsidR="003D6F09" w:rsidP="0079578A" w:rsidRDefault="008B3B28" w14:paraId="744B1D99" w14:textId="31A4144E">
            <w:pPr>
              <w:ind w:firstLine="0"/>
              <w:rPr>
                <w:sz w:val="24"/>
                <w:szCs w:val="24"/>
              </w:rPr>
            </w:pPr>
            <w:r>
              <w:rPr>
                <w:sz w:val="24"/>
                <w:szCs w:val="24"/>
              </w:rPr>
              <w:t xml:space="preserve">ATD, </w:t>
            </w:r>
            <w:r w:rsidRPr="00E151F1" w:rsidR="001033BA">
              <w:rPr>
                <w:sz w:val="24"/>
                <w:szCs w:val="24"/>
              </w:rPr>
              <w:t>Satiksmes ministrija.</w:t>
            </w:r>
          </w:p>
        </w:tc>
      </w:tr>
      <w:tr w:rsidRPr="00E151F1" w:rsidR="003D6F09" w:rsidTr="00811F0E" w14:paraId="0FEA012D" w14:textId="77777777">
        <w:tc>
          <w:tcPr>
            <w:tcW w:w="247" w:type="pct"/>
            <w:hideMark/>
          </w:tcPr>
          <w:p w:rsidRPr="00E151F1" w:rsidR="003D6F09" w:rsidP="00811F0E" w:rsidRDefault="003D6F09" w14:paraId="324494B7" w14:textId="77777777">
            <w:pPr>
              <w:ind w:firstLine="0"/>
              <w:rPr>
                <w:sz w:val="24"/>
                <w:szCs w:val="24"/>
              </w:rPr>
            </w:pPr>
            <w:r w:rsidRPr="00E151F1">
              <w:rPr>
                <w:sz w:val="24"/>
                <w:szCs w:val="24"/>
              </w:rPr>
              <w:t>4.</w:t>
            </w:r>
          </w:p>
        </w:tc>
        <w:tc>
          <w:tcPr>
            <w:tcW w:w="1530" w:type="pct"/>
            <w:hideMark/>
          </w:tcPr>
          <w:p w:rsidRPr="00E151F1" w:rsidR="003D6F09" w:rsidP="00811F0E" w:rsidRDefault="003D6F09" w14:paraId="0C0A0E98" w14:textId="77777777">
            <w:pPr>
              <w:ind w:firstLine="0"/>
              <w:rPr>
                <w:sz w:val="24"/>
                <w:szCs w:val="24"/>
              </w:rPr>
            </w:pPr>
            <w:r w:rsidRPr="00E151F1">
              <w:rPr>
                <w:sz w:val="24"/>
                <w:szCs w:val="24"/>
              </w:rPr>
              <w:t>Cita informācija</w:t>
            </w:r>
          </w:p>
        </w:tc>
        <w:tc>
          <w:tcPr>
            <w:tcW w:w="3159" w:type="pct"/>
            <w:hideMark/>
          </w:tcPr>
          <w:p w:rsidRPr="00E151F1" w:rsidR="003D6F09" w:rsidP="00811F0E" w:rsidRDefault="003965C4" w14:paraId="78DEA196" w14:textId="77777777">
            <w:pPr>
              <w:ind w:firstLine="0"/>
              <w:rPr>
                <w:sz w:val="24"/>
                <w:szCs w:val="24"/>
              </w:rPr>
            </w:pPr>
            <w:r w:rsidRPr="00E151F1">
              <w:rPr>
                <w:sz w:val="24"/>
                <w:szCs w:val="24"/>
              </w:rPr>
              <w:t>Nav.</w:t>
            </w:r>
          </w:p>
        </w:tc>
      </w:tr>
    </w:tbl>
    <w:p w:rsidRPr="00E151F1" w:rsidR="003D6F09" w:rsidP="003D6F09" w:rsidRDefault="003D6F09" w14:paraId="1F3BD904" w14:textId="6E1EECDF">
      <w:pPr>
        <w:ind w:firstLine="0"/>
        <w:rPr>
          <w:sz w:val="24"/>
          <w:szCs w:val="24"/>
        </w:rPr>
      </w:pPr>
      <w:r w:rsidRPr="00E151F1">
        <w:rPr>
          <w:sz w:val="24"/>
          <w:szCs w:val="24"/>
        </w:rPr>
        <w:t> </w:t>
      </w:r>
    </w:p>
    <w:tbl>
      <w:tblPr>
        <w:tblStyle w:val="TableGrid"/>
        <w:tblW w:w="5000" w:type="pct"/>
        <w:tblLook w:val="04A0" w:firstRow="1" w:lastRow="0" w:firstColumn="1" w:lastColumn="0" w:noHBand="0" w:noVBand="1"/>
      </w:tblPr>
      <w:tblGrid>
        <w:gridCol w:w="453"/>
        <w:gridCol w:w="2809"/>
        <w:gridCol w:w="5799"/>
      </w:tblGrid>
      <w:tr w:rsidRPr="00E151F1" w:rsidR="003D6F09" w:rsidTr="000170BF" w14:paraId="0750F8AD" w14:textId="77777777">
        <w:trPr>
          <w:trHeight w:val="555"/>
        </w:trPr>
        <w:tc>
          <w:tcPr>
            <w:tcW w:w="0" w:type="auto"/>
            <w:gridSpan w:val="3"/>
            <w:hideMark/>
          </w:tcPr>
          <w:p w:rsidRPr="00E151F1" w:rsidR="003D6F09" w:rsidP="005400C7" w:rsidRDefault="003D6F09" w14:paraId="560134BC" w14:textId="77777777">
            <w:pPr>
              <w:ind w:firstLine="0"/>
              <w:jc w:val="center"/>
              <w:rPr>
                <w:b/>
                <w:bCs/>
                <w:sz w:val="24"/>
                <w:szCs w:val="24"/>
              </w:rPr>
            </w:pPr>
            <w:r w:rsidRPr="00E151F1">
              <w:rPr>
                <w:b/>
                <w:bCs/>
                <w:sz w:val="24"/>
                <w:szCs w:val="24"/>
              </w:rPr>
              <w:t>II. Tiesību akta projekta ietekme uz sabiedrību, tautsaimniecības attīstību un administratīvo slogu</w:t>
            </w:r>
          </w:p>
        </w:tc>
      </w:tr>
      <w:tr w:rsidRPr="00E151F1" w:rsidR="003D6F09" w:rsidTr="000170BF" w14:paraId="4B5ABFDB" w14:textId="77777777">
        <w:trPr>
          <w:trHeight w:val="465"/>
        </w:trPr>
        <w:tc>
          <w:tcPr>
            <w:tcW w:w="250" w:type="pct"/>
            <w:hideMark/>
          </w:tcPr>
          <w:p w:rsidRPr="00E151F1" w:rsidR="003D6F09" w:rsidP="003D6F09" w:rsidRDefault="003D6F09" w14:paraId="4860B94C" w14:textId="77777777">
            <w:pPr>
              <w:ind w:firstLine="0"/>
              <w:rPr>
                <w:sz w:val="24"/>
                <w:szCs w:val="24"/>
              </w:rPr>
            </w:pPr>
            <w:r w:rsidRPr="00E151F1">
              <w:rPr>
                <w:sz w:val="24"/>
                <w:szCs w:val="24"/>
              </w:rPr>
              <w:t>1.</w:t>
            </w:r>
          </w:p>
        </w:tc>
        <w:tc>
          <w:tcPr>
            <w:tcW w:w="1550" w:type="pct"/>
            <w:hideMark/>
          </w:tcPr>
          <w:p w:rsidRPr="00E151F1" w:rsidR="003D6F09" w:rsidP="00E15D2A" w:rsidRDefault="003D6F09" w14:paraId="41B17825" w14:textId="77777777">
            <w:pPr>
              <w:ind w:firstLine="0"/>
              <w:jc w:val="both"/>
              <w:rPr>
                <w:sz w:val="24"/>
                <w:szCs w:val="24"/>
              </w:rPr>
            </w:pPr>
            <w:r w:rsidRPr="00E151F1">
              <w:rPr>
                <w:sz w:val="24"/>
                <w:szCs w:val="24"/>
              </w:rPr>
              <w:t xml:space="preserve">Sabiedrības </w:t>
            </w:r>
            <w:proofErr w:type="spellStart"/>
            <w:r w:rsidRPr="00E151F1">
              <w:rPr>
                <w:sz w:val="24"/>
                <w:szCs w:val="24"/>
              </w:rPr>
              <w:t>mērķgrupas</w:t>
            </w:r>
            <w:proofErr w:type="spellEnd"/>
            <w:r w:rsidRPr="00E151F1">
              <w:rPr>
                <w:sz w:val="24"/>
                <w:szCs w:val="24"/>
              </w:rPr>
              <w:t>, kuras tiesiskais regulējums ietekmē vai varētu ietekmēt</w:t>
            </w:r>
          </w:p>
        </w:tc>
        <w:tc>
          <w:tcPr>
            <w:tcW w:w="3200" w:type="pct"/>
            <w:hideMark/>
          </w:tcPr>
          <w:p w:rsidRPr="00E151F1" w:rsidR="00525304" w:rsidP="00E15D2A" w:rsidRDefault="00F2112B" w14:paraId="505AED9F" w14:textId="142DCE82">
            <w:pPr>
              <w:ind w:firstLine="0"/>
              <w:jc w:val="both"/>
              <w:rPr>
                <w:sz w:val="24"/>
                <w:szCs w:val="24"/>
                <w:highlight w:val="yellow"/>
              </w:rPr>
            </w:pPr>
            <w:r w:rsidRPr="00E151F1">
              <w:rPr>
                <w:sz w:val="24"/>
                <w:szCs w:val="24"/>
              </w:rPr>
              <w:t>Noteikumu projekta tiesiskais regulējums attieksies uz</w:t>
            </w:r>
            <w:r w:rsidRPr="00E151F1" w:rsidR="00525304">
              <w:rPr>
                <w:sz w:val="24"/>
                <w:szCs w:val="24"/>
              </w:rPr>
              <w:t>:</w:t>
            </w:r>
            <w:r w:rsidRPr="00E151F1">
              <w:rPr>
                <w:sz w:val="24"/>
                <w:szCs w:val="24"/>
              </w:rPr>
              <w:t xml:space="preserve"> </w:t>
            </w:r>
            <w:r w:rsidRPr="00E151F1" w:rsidR="00525304">
              <w:rPr>
                <w:sz w:val="24"/>
                <w:szCs w:val="24"/>
              </w:rPr>
              <w:t xml:space="preserve">licencētiem autopārvadātājiem, personām kuras vēlas uzsākt komercdarbību autopārvadājumu jomā, </w:t>
            </w:r>
            <w:r w:rsidRPr="00E151F1" w:rsidR="00692FE8">
              <w:rPr>
                <w:sz w:val="24"/>
                <w:szCs w:val="24"/>
              </w:rPr>
              <w:t>personām, kuras vēlas saņemt autopārvadājumu vadītāja profesionālās kompetences sertifikātus</w:t>
            </w:r>
            <w:r w:rsidR="00BB2E81">
              <w:rPr>
                <w:sz w:val="24"/>
                <w:szCs w:val="24"/>
              </w:rPr>
              <w:t>, licences</w:t>
            </w:r>
            <w:r w:rsidRPr="00E151F1" w:rsidR="00B64EC3">
              <w:rPr>
                <w:sz w:val="24"/>
                <w:szCs w:val="24"/>
              </w:rPr>
              <w:t xml:space="preserve"> un licences kartītes</w:t>
            </w:r>
            <w:r w:rsidRPr="00E151F1" w:rsidR="00525304">
              <w:rPr>
                <w:sz w:val="24"/>
                <w:szCs w:val="24"/>
              </w:rPr>
              <w:t xml:space="preserve">. </w:t>
            </w:r>
            <w:r w:rsidRPr="003259A0" w:rsidR="00F505B6">
              <w:rPr>
                <w:rFonts w:eastAsia="Times New Roman"/>
                <w:sz w:val="24"/>
                <w:szCs w:val="24"/>
                <w:lang w:eastAsia="lv-LV"/>
              </w:rPr>
              <w:t>Noteikumu projekta tiesiskais regulējums attieksies uz autopārvadājumus kontrolējošo institūciju amatpersonām.</w:t>
            </w:r>
          </w:p>
        </w:tc>
      </w:tr>
      <w:tr w:rsidRPr="00E151F1" w:rsidR="003624E2" w:rsidTr="000170BF" w14:paraId="5B40ADD5" w14:textId="77777777">
        <w:trPr>
          <w:trHeight w:val="510"/>
        </w:trPr>
        <w:tc>
          <w:tcPr>
            <w:tcW w:w="250" w:type="pct"/>
            <w:hideMark/>
          </w:tcPr>
          <w:p w:rsidRPr="00E151F1" w:rsidR="003624E2" w:rsidP="003D6F09" w:rsidRDefault="003624E2" w14:paraId="737F1F41" w14:textId="77777777">
            <w:pPr>
              <w:ind w:firstLine="0"/>
              <w:rPr>
                <w:sz w:val="24"/>
                <w:szCs w:val="24"/>
              </w:rPr>
            </w:pPr>
            <w:r w:rsidRPr="00E151F1">
              <w:rPr>
                <w:sz w:val="24"/>
                <w:szCs w:val="24"/>
              </w:rPr>
              <w:lastRenderedPageBreak/>
              <w:t>2.</w:t>
            </w:r>
          </w:p>
        </w:tc>
        <w:tc>
          <w:tcPr>
            <w:tcW w:w="1550" w:type="pct"/>
            <w:hideMark/>
          </w:tcPr>
          <w:p w:rsidRPr="00E151F1" w:rsidR="003624E2" w:rsidP="00E15D2A" w:rsidRDefault="003624E2" w14:paraId="6EDEF3A0" w14:textId="77777777">
            <w:pPr>
              <w:ind w:firstLine="0"/>
              <w:jc w:val="both"/>
              <w:rPr>
                <w:sz w:val="24"/>
                <w:szCs w:val="24"/>
              </w:rPr>
            </w:pPr>
            <w:r w:rsidRPr="00E151F1">
              <w:rPr>
                <w:sz w:val="24"/>
                <w:szCs w:val="24"/>
              </w:rPr>
              <w:t>Tiesiskā regulējuma ietekme uz tautsaimniecību un administratīvo slogu</w:t>
            </w:r>
          </w:p>
        </w:tc>
        <w:tc>
          <w:tcPr>
            <w:tcW w:w="3200" w:type="pct"/>
          </w:tcPr>
          <w:p w:rsidRPr="00E151F1" w:rsidR="003624E2" w:rsidP="00E15D2A" w:rsidRDefault="00692FE8" w14:paraId="7A353A6E" w14:textId="77777777">
            <w:pPr>
              <w:ind w:firstLine="0"/>
              <w:jc w:val="both"/>
              <w:rPr>
                <w:rFonts w:eastAsia="Times New Roman"/>
                <w:sz w:val="24"/>
                <w:szCs w:val="24"/>
                <w:lang w:eastAsia="lv-LV"/>
              </w:rPr>
            </w:pPr>
            <w:r w:rsidRPr="00E151F1">
              <w:rPr>
                <w:rFonts w:eastAsia="Times New Roman"/>
                <w:sz w:val="24"/>
                <w:szCs w:val="24"/>
                <w:lang w:eastAsia="lv-LV"/>
              </w:rPr>
              <w:t>Administratīvais slogs mazināsies</w:t>
            </w:r>
            <w:r w:rsidRPr="00E151F1" w:rsidR="002B3898">
              <w:rPr>
                <w:rFonts w:eastAsia="Times New Roman"/>
                <w:sz w:val="24"/>
                <w:szCs w:val="24"/>
                <w:lang w:eastAsia="lv-LV"/>
              </w:rPr>
              <w:t xml:space="preserve"> ministrijai un</w:t>
            </w:r>
            <w:r w:rsidRPr="00E151F1">
              <w:rPr>
                <w:sz w:val="24"/>
                <w:szCs w:val="24"/>
              </w:rPr>
              <w:t xml:space="preserve"> personām, kuras vēlas saņemt autopārvadājumu vadītāja profesionālās kompetences sertifikātus</w:t>
            </w:r>
            <w:r w:rsidRPr="00E151F1" w:rsidR="009E2FE2">
              <w:rPr>
                <w:sz w:val="24"/>
                <w:szCs w:val="24"/>
              </w:rPr>
              <w:t xml:space="preserve">, </w:t>
            </w:r>
            <w:r w:rsidRPr="00E151F1">
              <w:rPr>
                <w:rFonts w:eastAsia="Times New Roman"/>
                <w:sz w:val="24"/>
                <w:szCs w:val="24"/>
                <w:lang w:eastAsia="lv-LV"/>
              </w:rPr>
              <w:t xml:space="preserve">jo pakalpojums tiks sniegts vienā </w:t>
            </w:r>
            <w:r w:rsidRPr="00E151F1" w:rsidR="00B67D03">
              <w:rPr>
                <w:rFonts w:eastAsia="Times New Roman"/>
                <w:sz w:val="24"/>
                <w:szCs w:val="24"/>
                <w:lang w:eastAsia="lv-LV"/>
              </w:rPr>
              <w:t>institūcijā</w:t>
            </w:r>
            <w:r w:rsidRPr="00E151F1" w:rsidR="008B2CE6">
              <w:rPr>
                <w:rFonts w:eastAsia="Times New Roman"/>
                <w:sz w:val="24"/>
                <w:szCs w:val="24"/>
                <w:lang w:eastAsia="lv-LV"/>
              </w:rPr>
              <w:t>.</w:t>
            </w:r>
          </w:p>
          <w:p w:rsidRPr="003259A0" w:rsidR="00BB2E81" w:rsidP="00E15D2A" w:rsidRDefault="00B64EC3" w14:paraId="77709C76" w14:textId="61001622">
            <w:pPr>
              <w:ind w:firstLine="0"/>
              <w:jc w:val="both"/>
              <w:rPr>
                <w:rFonts w:eastAsia="Times New Roman"/>
                <w:sz w:val="24"/>
                <w:szCs w:val="24"/>
                <w:lang w:eastAsia="lv-LV"/>
              </w:rPr>
            </w:pPr>
            <w:r w:rsidRPr="00E151F1">
              <w:rPr>
                <w:rFonts w:eastAsia="Times New Roman"/>
                <w:sz w:val="24"/>
                <w:szCs w:val="24"/>
                <w:lang w:eastAsia="lv-LV"/>
              </w:rPr>
              <w:t xml:space="preserve">Administratīvais slogs mazināsies </w:t>
            </w:r>
            <w:r w:rsidRPr="00E151F1" w:rsidR="00845ABB">
              <w:rPr>
                <w:rFonts w:eastAsia="Times New Roman"/>
                <w:sz w:val="24"/>
                <w:szCs w:val="24"/>
                <w:lang w:eastAsia="lv-LV"/>
              </w:rPr>
              <w:t xml:space="preserve">ATD un </w:t>
            </w:r>
            <w:r w:rsidRPr="00E151F1">
              <w:rPr>
                <w:rFonts w:eastAsia="Times New Roman"/>
                <w:sz w:val="24"/>
                <w:szCs w:val="24"/>
                <w:lang w:eastAsia="lv-LV"/>
              </w:rPr>
              <w:t xml:space="preserve">pārvadātājiem, kuri vēlas saņemt </w:t>
            </w:r>
            <w:r w:rsidR="00BB2E81">
              <w:rPr>
                <w:rFonts w:eastAsia="Times New Roman"/>
                <w:sz w:val="24"/>
                <w:szCs w:val="24"/>
                <w:lang w:eastAsia="lv-LV"/>
              </w:rPr>
              <w:t xml:space="preserve">licenci vai </w:t>
            </w:r>
            <w:r w:rsidRPr="00E151F1">
              <w:rPr>
                <w:rFonts w:eastAsia="Times New Roman"/>
                <w:sz w:val="24"/>
                <w:szCs w:val="24"/>
                <w:lang w:eastAsia="lv-LV"/>
              </w:rPr>
              <w:t>licences kartīti.</w:t>
            </w:r>
            <w:r w:rsidR="00BB2E81">
              <w:rPr>
                <w:rFonts w:eastAsia="Times New Roman"/>
                <w:sz w:val="24"/>
                <w:szCs w:val="24"/>
                <w:lang w:eastAsia="lv-LV"/>
              </w:rPr>
              <w:t xml:space="preserve"> </w:t>
            </w:r>
            <w:r w:rsidRPr="003259A0" w:rsidR="00BB2E81">
              <w:rPr>
                <w:rFonts w:eastAsia="Times New Roman"/>
                <w:sz w:val="24"/>
                <w:szCs w:val="24"/>
                <w:lang w:eastAsia="lv-LV"/>
              </w:rPr>
              <w:t xml:space="preserve">Pārvadātājam turpmāk vairs nebūs nepieciešamības ierasties klātienē ATD vai izmantot pasta pakalpojumu, lai saņemtu licenci vai licences kartīti. </w:t>
            </w:r>
            <w:r w:rsidRPr="003259A0" w:rsidR="00180913">
              <w:rPr>
                <w:rFonts w:eastAsia="Times New Roman"/>
                <w:sz w:val="24"/>
                <w:szCs w:val="24"/>
                <w:lang w:eastAsia="lv-LV"/>
              </w:rPr>
              <w:t xml:space="preserve">Papīrā izdotos dokumentus vairs nebūs nepieciešams uzrādīt autopārvadājumu kontroles institūcijām. </w:t>
            </w:r>
            <w:r w:rsidRPr="003259A0" w:rsidR="00BB2E81">
              <w:rPr>
                <w:rFonts w:eastAsia="Times New Roman"/>
                <w:sz w:val="24"/>
                <w:szCs w:val="24"/>
                <w:lang w:eastAsia="lv-LV"/>
              </w:rPr>
              <w:t>Pilnvērtīgā</w:t>
            </w:r>
            <w:r w:rsidRPr="003259A0" w:rsidR="004C4ED4">
              <w:rPr>
                <w:rFonts w:eastAsia="Times New Roman"/>
                <w:sz w:val="24"/>
                <w:szCs w:val="24"/>
                <w:lang w:eastAsia="lv-LV"/>
              </w:rPr>
              <w:t>k</w:t>
            </w:r>
            <w:r w:rsidRPr="003259A0" w:rsidR="00BB2E81">
              <w:rPr>
                <w:rFonts w:eastAsia="Times New Roman"/>
                <w:sz w:val="24"/>
                <w:szCs w:val="24"/>
                <w:lang w:eastAsia="lv-LV"/>
              </w:rPr>
              <w:t xml:space="preserve"> tiks izmantoti ATD piedāvātie e-pakalpojumi. </w:t>
            </w:r>
          </w:p>
          <w:p w:rsidRPr="00E151F1" w:rsidR="00B64EC3" w:rsidP="00E15D2A" w:rsidRDefault="00BB2E81" w14:paraId="670F9129" w14:textId="1BE7AD0E">
            <w:pPr>
              <w:ind w:firstLine="0"/>
              <w:jc w:val="both"/>
              <w:rPr>
                <w:sz w:val="24"/>
                <w:szCs w:val="24"/>
              </w:rPr>
            </w:pPr>
            <w:r w:rsidRPr="003259A0">
              <w:rPr>
                <w:rFonts w:eastAsia="Times New Roman"/>
                <w:sz w:val="24"/>
                <w:szCs w:val="24"/>
                <w:lang w:eastAsia="lv-LV"/>
              </w:rPr>
              <w:t xml:space="preserve">Sniedzamās </w:t>
            </w:r>
            <w:r w:rsidRPr="003259A0" w:rsidR="001D19A9">
              <w:rPr>
                <w:rFonts w:eastAsia="Times New Roman"/>
                <w:sz w:val="24"/>
                <w:szCs w:val="24"/>
                <w:lang w:eastAsia="lv-LV"/>
              </w:rPr>
              <w:t xml:space="preserve">un uzglabājamās </w:t>
            </w:r>
            <w:r w:rsidRPr="003259A0">
              <w:rPr>
                <w:rFonts w:eastAsia="Times New Roman"/>
                <w:sz w:val="24"/>
                <w:szCs w:val="24"/>
                <w:lang w:eastAsia="lv-LV"/>
              </w:rPr>
              <w:t>informācijas daudzums nemain</w:t>
            </w:r>
            <w:r w:rsidRPr="003259A0" w:rsidR="001D19A9">
              <w:rPr>
                <w:rFonts w:eastAsia="Times New Roman"/>
                <w:sz w:val="24"/>
                <w:szCs w:val="24"/>
                <w:lang w:eastAsia="lv-LV"/>
              </w:rPr>
              <w:t>īsies</w:t>
            </w:r>
            <w:r w:rsidRPr="003259A0">
              <w:rPr>
                <w:rFonts w:eastAsia="Times New Roman"/>
                <w:sz w:val="24"/>
                <w:szCs w:val="24"/>
                <w:lang w:eastAsia="lv-LV"/>
              </w:rPr>
              <w:t>.</w:t>
            </w:r>
            <w:r>
              <w:rPr>
                <w:rFonts w:eastAsia="Times New Roman"/>
                <w:sz w:val="24"/>
                <w:szCs w:val="24"/>
                <w:lang w:eastAsia="lv-LV"/>
              </w:rPr>
              <w:t xml:space="preserve"> </w:t>
            </w:r>
          </w:p>
        </w:tc>
      </w:tr>
      <w:tr w:rsidRPr="00E151F1" w:rsidR="003D6F09" w:rsidTr="000170BF" w14:paraId="3750536F" w14:textId="77777777">
        <w:trPr>
          <w:trHeight w:val="510"/>
        </w:trPr>
        <w:tc>
          <w:tcPr>
            <w:tcW w:w="250" w:type="pct"/>
            <w:hideMark/>
          </w:tcPr>
          <w:p w:rsidRPr="00E151F1" w:rsidR="003D6F09" w:rsidP="003D6F09" w:rsidRDefault="003D6F09" w14:paraId="5B599959" w14:textId="77777777">
            <w:pPr>
              <w:ind w:firstLine="0"/>
              <w:rPr>
                <w:sz w:val="24"/>
                <w:szCs w:val="24"/>
              </w:rPr>
            </w:pPr>
            <w:r w:rsidRPr="00E151F1">
              <w:rPr>
                <w:sz w:val="24"/>
                <w:szCs w:val="24"/>
              </w:rPr>
              <w:t>3.</w:t>
            </w:r>
          </w:p>
        </w:tc>
        <w:tc>
          <w:tcPr>
            <w:tcW w:w="1550" w:type="pct"/>
            <w:hideMark/>
          </w:tcPr>
          <w:p w:rsidRPr="00E151F1" w:rsidR="003D6F09" w:rsidP="00E15D2A" w:rsidRDefault="003D6F09" w14:paraId="175CC46D" w14:textId="77777777">
            <w:pPr>
              <w:ind w:firstLine="0"/>
              <w:jc w:val="both"/>
              <w:rPr>
                <w:sz w:val="24"/>
                <w:szCs w:val="24"/>
              </w:rPr>
            </w:pPr>
            <w:r w:rsidRPr="00E151F1">
              <w:rPr>
                <w:sz w:val="24"/>
                <w:szCs w:val="24"/>
              </w:rPr>
              <w:t>Administratīvo izmaksu monetārs novērtējums</w:t>
            </w:r>
          </w:p>
        </w:tc>
        <w:tc>
          <w:tcPr>
            <w:tcW w:w="3200" w:type="pct"/>
            <w:hideMark/>
          </w:tcPr>
          <w:p w:rsidRPr="00E151F1" w:rsidR="007F0F80" w:rsidP="00E15D2A" w:rsidRDefault="007F0F80" w14:paraId="5CE83BF3" w14:textId="77777777">
            <w:pPr>
              <w:ind w:firstLine="0"/>
              <w:jc w:val="both"/>
              <w:rPr>
                <w:sz w:val="24"/>
                <w:szCs w:val="24"/>
              </w:rPr>
            </w:pPr>
            <w:r w:rsidRPr="00E151F1">
              <w:rPr>
                <w:sz w:val="24"/>
                <w:szCs w:val="24"/>
              </w:rPr>
              <w:t xml:space="preserve">Administratīvo izmaksu izmaiņas gada laikā autopārvadātājiem nepārsniedz 2000 </w:t>
            </w:r>
            <w:proofErr w:type="spellStart"/>
            <w:r w:rsidRPr="00E151F1">
              <w:rPr>
                <w:i/>
                <w:sz w:val="24"/>
                <w:szCs w:val="24"/>
              </w:rPr>
              <w:t>euro</w:t>
            </w:r>
            <w:proofErr w:type="spellEnd"/>
            <w:r w:rsidRPr="00E151F1">
              <w:rPr>
                <w:sz w:val="24"/>
                <w:szCs w:val="24"/>
              </w:rPr>
              <w:t xml:space="preserve">. </w:t>
            </w:r>
          </w:p>
          <w:p w:rsidRPr="00E151F1" w:rsidR="003D6F09" w:rsidP="00E15D2A" w:rsidRDefault="003D6F09" w14:paraId="5450B583" w14:textId="77777777">
            <w:pPr>
              <w:ind w:firstLine="0"/>
              <w:jc w:val="both"/>
              <w:rPr>
                <w:sz w:val="24"/>
                <w:szCs w:val="24"/>
              </w:rPr>
            </w:pPr>
          </w:p>
        </w:tc>
      </w:tr>
      <w:tr w:rsidRPr="00E151F1" w:rsidR="000170BF" w:rsidTr="000170BF" w14:paraId="18C82CDD" w14:textId="77777777">
        <w:trPr>
          <w:trHeight w:val="510"/>
        </w:trPr>
        <w:tc>
          <w:tcPr>
            <w:tcW w:w="250" w:type="pct"/>
            <w:hideMark/>
          </w:tcPr>
          <w:p w:rsidRPr="00E151F1" w:rsidR="000170BF" w:rsidP="0042234E" w:rsidRDefault="000170BF" w14:paraId="1F9D91EF" w14:textId="77777777">
            <w:pPr>
              <w:ind w:firstLine="0"/>
              <w:rPr>
                <w:rFonts w:eastAsia="Times New Roman"/>
                <w:sz w:val="24"/>
                <w:szCs w:val="24"/>
                <w:lang w:eastAsia="lv-LV"/>
              </w:rPr>
            </w:pPr>
            <w:r w:rsidRPr="00E151F1">
              <w:rPr>
                <w:rFonts w:eastAsia="Times New Roman"/>
                <w:sz w:val="24"/>
                <w:szCs w:val="24"/>
                <w:lang w:eastAsia="lv-LV"/>
              </w:rPr>
              <w:t>4.</w:t>
            </w:r>
          </w:p>
        </w:tc>
        <w:tc>
          <w:tcPr>
            <w:tcW w:w="1550" w:type="pct"/>
            <w:hideMark/>
          </w:tcPr>
          <w:p w:rsidRPr="00E151F1" w:rsidR="000170BF" w:rsidP="00E15D2A" w:rsidRDefault="000170BF" w14:paraId="7AF431AC" w14:textId="77777777">
            <w:pPr>
              <w:ind w:firstLine="0"/>
              <w:jc w:val="both"/>
              <w:rPr>
                <w:rFonts w:eastAsia="Times New Roman"/>
                <w:sz w:val="24"/>
                <w:szCs w:val="24"/>
                <w:lang w:eastAsia="lv-LV"/>
              </w:rPr>
            </w:pPr>
            <w:r w:rsidRPr="00E151F1">
              <w:rPr>
                <w:rFonts w:eastAsia="Times New Roman"/>
                <w:sz w:val="24"/>
                <w:szCs w:val="24"/>
                <w:lang w:eastAsia="lv-LV"/>
              </w:rPr>
              <w:t>Atbilstības izmaksu monetārs novērtējums</w:t>
            </w:r>
          </w:p>
        </w:tc>
        <w:tc>
          <w:tcPr>
            <w:tcW w:w="3200" w:type="pct"/>
            <w:hideMark/>
          </w:tcPr>
          <w:p w:rsidRPr="00E151F1" w:rsidR="000170BF" w:rsidP="00E15D2A" w:rsidRDefault="00E50265" w14:paraId="05228800" w14:textId="77777777">
            <w:pPr>
              <w:ind w:firstLine="0"/>
              <w:jc w:val="both"/>
              <w:rPr>
                <w:rFonts w:eastAsia="Times New Roman"/>
                <w:sz w:val="24"/>
                <w:szCs w:val="24"/>
                <w:lang w:eastAsia="lv-LV"/>
              </w:rPr>
            </w:pPr>
            <w:r w:rsidRPr="00E151F1">
              <w:rPr>
                <w:sz w:val="24"/>
                <w:szCs w:val="24"/>
              </w:rPr>
              <w:t>No projektā ietvertā regulējuma jaunas atbilstības izmaksas neveidosies.</w:t>
            </w:r>
          </w:p>
        </w:tc>
      </w:tr>
      <w:tr w:rsidRPr="00E151F1" w:rsidR="003D6F09" w:rsidTr="000170BF" w14:paraId="7CC400E7" w14:textId="77777777">
        <w:trPr>
          <w:trHeight w:val="345"/>
        </w:trPr>
        <w:tc>
          <w:tcPr>
            <w:tcW w:w="250" w:type="pct"/>
            <w:hideMark/>
          </w:tcPr>
          <w:p w:rsidRPr="00E151F1" w:rsidR="003D6F09" w:rsidP="003D6F09" w:rsidRDefault="000170BF" w14:paraId="526DCAFD" w14:textId="77777777">
            <w:pPr>
              <w:ind w:firstLine="0"/>
              <w:rPr>
                <w:sz w:val="24"/>
                <w:szCs w:val="24"/>
              </w:rPr>
            </w:pPr>
            <w:r w:rsidRPr="00E151F1">
              <w:rPr>
                <w:sz w:val="24"/>
                <w:szCs w:val="24"/>
              </w:rPr>
              <w:t>5</w:t>
            </w:r>
            <w:r w:rsidRPr="00E151F1" w:rsidR="003D6F09">
              <w:rPr>
                <w:sz w:val="24"/>
                <w:szCs w:val="24"/>
              </w:rPr>
              <w:t>.</w:t>
            </w:r>
          </w:p>
        </w:tc>
        <w:tc>
          <w:tcPr>
            <w:tcW w:w="1550" w:type="pct"/>
            <w:hideMark/>
          </w:tcPr>
          <w:p w:rsidRPr="00E151F1" w:rsidR="003D6F09" w:rsidP="00E15D2A" w:rsidRDefault="003D6F09" w14:paraId="5911284C" w14:textId="77777777">
            <w:pPr>
              <w:ind w:firstLine="0"/>
              <w:jc w:val="both"/>
              <w:rPr>
                <w:sz w:val="24"/>
                <w:szCs w:val="24"/>
              </w:rPr>
            </w:pPr>
            <w:r w:rsidRPr="00E151F1">
              <w:rPr>
                <w:sz w:val="24"/>
                <w:szCs w:val="24"/>
              </w:rPr>
              <w:t>Cita informācija</w:t>
            </w:r>
          </w:p>
        </w:tc>
        <w:tc>
          <w:tcPr>
            <w:tcW w:w="3200" w:type="pct"/>
            <w:hideMark/>
          </w:tcPr>
          <w:p w:rsidRPr="00E151F1" w:rsidR="003D6F09" w:rsidP="00E15D2A" w:rsidRDefault="001A608F" w14:paraId="0243C407" w14:textId="77777777">
            <w:pPr>
              <w:ind w:firstLine="0"/>
              <w:jc w:val="both"/>
              <w:rPr>
                <w:sz w:val="24"/>
                <w:szCs w:val="24"/>
              </w:rPr>
            </w:pPr>
            <w:r w:rsidRPr="00E151F1">
              <w:rPr>
                <w:sz w:val="24"/>
                <w:szCs w:val="24"/>
              </w:rPr>
              <w:t>Nav</w:t>
            </w:r>
          </w:p>
        </w:tc>
      </w:tr>
    </w:tbl>
    <w:p w:rsidRPr="00E151F1" w:rsidR="005A7EB3" w:rsidP="003D6F09" w:rsidRDefault="005A7EB3" w14:paraId="36E11213" w14:textId="77777777">
      <w:pPr>
        <w:ind w:firstLine="0"/>
        <w:rPr>
          <w:sz w:val="24"/>
          <w:szCs w:val="24"/>
        </w:rPr>
      </w:pPr>
    </w:p>
    <w:tbl>
      <w:tblPr>
        <w:tblStyle w:val="TableGrid"/>
        <w:tblW w:w="5000" w:type="pct"/>
        <w:jc w:val="center"/>
        <w:tblLook w:val="04A0" w:firstRow="1" w:lastRow="0" w:firstColumn="1" w:lastColumn="0" w:noHBand="0" w:noVBand="1"/>
      </w:tblPr>
      <w:tblGrid>
        <w:gridCol w:w="9061"/>
      </w:tblGrid>
      <w:tr w:rsidRPr="00E151F1" w:rsidR="00356F49" w:rsidTr="00356F49" w14:paraId="6F64A392" w14:textId="77777777">
        <w:trPr>
          <w:trHeight w:val="360"/>
          <w:jc w:val="center"/>
        </w:trPr>
        <w:tc>
          <w:tcPr>
            <w:tcW w:w="0" w:type="auto"/>
            <w:hideMark/>
          </w:tcPr>
          <w:p w:rsidRPr="00E151F1" w:rsidR="00356F49" w:rsidP="00356F49" w:rsidRDefault="00356F49" w14:paraId="737F22BD" w14:textId="77777777">
            <w:pPr>
              <w:ind w:firstLine="0"/>
              <w:jc w:val="center"/>
              <w:rPr>
                <w:b/>
                <w:bCs/>
                <w:sz w:val="24"/>
                <w:szCs w:val="24"/>
              </w:rPr>
            </w:pPr>
            <w:r w:rsidRPr="00E151F1">
              <w:rPr>
                <w:b/>
                <w:bCs/>
                <w:sz w:val="24"/>
                <w:szCs w:val="24"/>
              </w:rPr>
              <w:t>III. Tiesību akta projekta ietekme uz valsts budžetu un pašvaldību budžetiem</w:t>
            </w:r>
          </w:p>
        </w:tc>
      </w:tr>
      <w:tr w:rsidRPr="00E151F1" w:rsidR="00356F49" w:rsidTr="00356F49" w14:paraId="7F4A04E5" w14:textId="77777777">
        <w:trPr>
          <w:trHeight w:val="360"/>
          <w:jc w:val="center"/>
        </w:trPr>
        <w:tc>
          <w:tcPr>
            <w:tcW w:w="0" w:type="auto"/>
          </w:tcPr>
          <w:p w:rsidRPr="00E151F1" w:rsidR="00356F49" w:rsidP="00356F49" w:rsidRDefault="00356F49" w14:paraId="02E3FC13" w14:textId="77777777">
            <w:pPr>
              <w:ind w:firstLine="0"/>
              <w:jc w:val="center"/>
              <w:rPr>
                <w:b/>
                <w:bCs/>
                <w:sz w:val="24"/>
                <w:szCs w:val="24"/>
              </w:rPr>
            </w:pPr>
            <w:r w:rsidRPr="00E151F1">
              <w:rPr>
                <w:sz w:val="24"/>
                <w:szCs w:val="24"/>
              </w:rPr>
              <w:t>Projekts šo jomu neskar.</w:t>
            </w:r>
          </w:p>
        </w:tc>
      </w:tr>
    </w:tbl>
    <w:p w:rsidRPr="00E151F1" w:rsidR="005A7EB3" w:rsidP="003D6F09" w:rsidRDefault="005A7EB3" w14:paraId="10DCD98B" w14:textId="77777777">
      <w:pPr>
        <w:ind w:firstLine="0"/>
        <w:rPr>
          <w:sz w:val="24"/>
          <w:szCs w:val="24"/>
        </w:rPr>
      </w:pPr>
    </w:p>
    <w:tbl>
      <w:tblPr>
        <w:tblStyle w:val="TableGrid"/>
        <w:tblW w:w="5000" w:type="pct"/>
        <w:tblLook w:val="04A0" w:firstRow="1" w:lastRow="0" w:firstColumn="1" w:lastColumn="0" w:noHBand="0" w:noVBand="1"/>
      </w:tblPr>
      <w:tblGrid>
        <w:gridCol w:w="9061"/>
      </w:tblGrid>
      <w:tr w:rsidRPr="001478C9" w:rsidR="00356F49" w:rsidTr="00A058A2" w14:paraId="219DE747" w14:textId="77777777">
        <w:trPr>
          <w:trHeight w:val="450"/>
        </w:trPr>
        <w:tc>
          <w:tcPr>
            <w:tcW w:w="0" w:type="auto"/>
            <w:tcBorders>
              <w:bottom w:val="single" w:color="auto" w:sz="4" w:space="0"/>
            </w:tcBorders>
            <w:hideMark/>
          </w:tcPr>
          <w:p w:rsidRPr="00E151F1" w:rsidR="00356F49" w:rsidP="001478C9" w:rsidRDefault="00356F49" w14:paraId="039260F2" w14:textId="77777777">
            <w:pPr>
              <w:ind w:firstLine="0"/>
              <w:jc w:val="center"/>
              <w:rPr>
                <w:b/>
                <w:bCs/>
                <w:sz w:val="24"/>
                <w:szCs w:val="24"/>
              </w:rPr>
            </w:pPr>
            <w:r w:rsidRPr="00E151F1">
              <w:rPr>
                <w:b/>
                <w:bCs/>
                <w:sz w:val="24"/>
                <w:szCs w:val="24"/>
              </w:rPr>
              <w:t>IV. Tiesību akta projekta ietekme uz spēkā esošo tiesību normu sistēmu</w:t>
            </w:r>
          </w:p>
        </w:tc>
      </w:tr>
      <w:tr w:rsidRPr="00E151F1" w:rsidR="00BF0506" w:rsidTr="00A058A2" w14:paraId="45ADF40A" w14:textId="77777777">
        <w:trPr>
          <w:trHeight w:val="360"/>
        </w:trPr>
        <w:tc>
          <w:tcPr>
            <w:tcW w:w="0" w:type="auto"/>
            <w:tcBorders>
              <w:bottom w:val="nil"/>
            </w:tcBorders>
          </w:tcPr>
          <w:tbl>
            <w:tblPr>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1E0" w:firstRow="1" w:lastRow="1" w:firstColumn="1" w:lastColumn="1" w:noHBand="0" w:noVBand="0"/>
            </w:tblPr>
            <w:tblGrid>
              <w:gridCol w:w="1067"/>
              <w:gridCol w:w="2047"/>
              <w:gridCol w:w="6458"/>
              <w:gridCol w:w="214"/>
            </w:tblGrid>
            <w:tr w:rsidRPr="00E151F1" w:rsidR="00BF0506" w:rsidTr="00DC093F" w14:paraId="6ABDE774" w14:textId="77777777">
              <w:trPr>
                <w:gridAfter w:val="1"/>
                <w:wAfter w:w="214" w:type="dxa"/>
                <w:jc w:val="center"/>
              </w:trPr>
              <w:tc>
                <w:tcPr>
                  <w:tcW w:w="1067" w:type="dxa"/>
                  <w:tcBorders>
                    <w:top w:val="single" w:color="auto" w:sz="4" w:space="0"/>
                    <w:left w:val="single" w:color="auto" w:sz="4" w:space="0"/>
                    <w:bottom w:val="single" w:color="auto" w:sz="4" w:space="0"/>
                    <w:right w:val="single" w:color="auto" w:sz="4" w:space="0"/>
                  </w:tcBorders>
                  <w:hideMark/>
                </w:tcPr>
                <w:p w:rsidRPr="00E151F1" w:rsidR="00BF0506" w:rsidP="00BF0506" w:rsidRDefault="00BF0506" w14:paraId="41BE4D95" w14:textId="77777777">
                  <w:pPr>
                    <w:tabs>
                      <w:tab w:val="left" w:pos="2628"/>
                    </w:tabs>
                    <w:ind w:firstLine="0"/>
                    <w:jc w:val="center"/>
                    <w:rPr>
                      <w:rFonts w:eastAsia="Times New Roman" w:cs="Times New Roman"/>
                      <w:iCs/>
                      <w:sz w:val="24"/>
                      <w:szCs w:val="24"/>
                      <w:lang w:eastAsia="lv-LV"/>
                    </w:rPr>
                  </w:pPr>
                  <w:r w:rsidRPr="00E151F1">
                    <w:rPr>
                      <w:rFonts w:eastAsia="Times New Roman" w:cs="Times New Roman"/>
                      <w:iCs/>
                      <w:sz w:val="24"/>
                      <w:szCs w:val="24"/>
                      <w:lang w:eastAsia="lv-LV"/>
                    </w:rPr>
                    <w:t>1.</w:t>
                  </w:r>
                </w:p>
              </w:tc>
              <w:tc>
                <w:tcPr>
                  <w:tcW w:w="2047" w:type="dxa"/>
                  <w:tcBorders>
                    <w:top w:val="single" w:color="auto" w:sz="4" w:space="0"/>
                    <w:left w:val="single" w:color="auto" w:sz="4" w:space="0"/>
                    <w:bottom w:val="single" w:color="auto" w:sz="4" w:space="0"/>
                    <w:right w:val="single" w:color="auto" w:sz="4" w:space="0"/>
                  </w:tcBorders>
                </w:tcPr>
                <w:p w:rsidRPr="00E151F1" w:rsidR="00BF0506" w:rsidP="00BF0506" w:rsidRDefault="00BF0506" w14:paraId="3CB32F36" w14:textId="77777777">
                  <w:pPr>
                    <w:tabs>
                      <w:tab w:val="left" w:pos="2628"/>
                    </w:tabs>
                    <w:ind w:firstLine="0"/>
                    <w:rPr>
                      <w:rFonts w:eastAsia="Times New Roman" w:cs="Times New Roman"/>
                      <w:iCs/>
                      <w:sz w:val="24"/>
                      <w:szCs w:val="24"/>
                      <w:lang w:eastAsia="lv-LV"/>
                    </w:rPr>
                  </w:pPr>
                  <w:r w:rsidRPr="00E151F1">
                    <w:rPr>
                      <w:rFonts w:eastAsia="Times New Roman" w:cs="Times New Roman"/>
                      <w:sz w:val="24"/>
                      <w:szCs w:val="24"/>
                      <w:lang w:eastAsia="lv-LV"/>
                    </w:rPr>
                    <w:t>Nepieciešamie saistītie tiesību aktu projekti</w:t>
                  </w:r>
                </w:p>
                <w:p w:rsidRPr="00E151F1" w:rsidR="00BF0506" w:rsidP="00BF0506" w:rsidRDefault="00BF0506" w14:paraId="4126FB8A" w14:textId="77777777">
                  <w:pPr>
                    <w:ind w:firstLine="0"/>
                    <w:rPr>
                      <w:rFonts w:eastAsia="Times New Roman" w:cs="Times New Roman"/>
                      <w:sz w:val="24"/>
                      <w:szCs w:val="24"/>
                      <w:lang w:eastAsia="lv-LV"/>
                    </w:rPr>
                  </w:pPr>
                </w:p>
                <w:p w:rsidRPr="00E151F1" w:rsidR="00BF0506" w:rsidP="00BF0506" w:rsidRDefault="00BF0506" w14:paraId="0F8CBD92" w14:textId="77777777">
                  <w:pPr>
                    <w:ind w:firstLine="0"/>
                    <w:rPr>
                      <w:rFonts w:eastAsia="Times New Roman" w:cs="Times New Roman"/>
                      <w:sz w:val="24"/>
                      <w:szCs w:val="24"/>
                      <w:lang w:eastAsia="lv-LV"/>
                    </w:rPr>
                  </w:pPr>
                </w:p>
                <w:p w:rsidRPr="00E151F1" w:rsidR="00BF0506" w:rsidP="00BF0506" w:rsidRDefault="00BF0506" w14:paraId="255134C0" w14:textId="77777777">
                  <w:pPr>
                    <w:ind w:firstLine="0"/>
                    <w:rPr>
                      <w:rFonts w:eastAsia="Times New Roman" w:cs="Times New Roman"/>
                      <w:sz w:val="24"/>
                      <w:szCs w:val="24"/>
                      <w:lang w:eastAsia="lv-LV"/>
                    </w:rPr>
                  </w:pPr>
                </w:p>
                <w:p w:rsidRPr="00E151F1" w:rsidR="00BF0506" w:rsidP="00BF0506" w:rsidRDefault="00BF0506" w14:paraId="376171C2" w14:textId="77777777">
                  <w:pPr>
                    <w:ind w:firstLine="0"/>
                    <w:jc w:val="center"/>
                    <w:rPr>
                      <w:rFonts w:eastAsia="Times New Roman" w:cs="Times New Roman"/>
                      <w:sz w:val="24"/>
                      <w:szCs w:val="24"/>
                      <w:lang w:eastAsia="lv-LV"/>
                    </w:rPr>
                  </w:pPr>
                </w:p>
              </w:tc>
              <w:tc>
                <w:tcPr>
                  <w:tcW w:w="6458" w:type="dxa"/>
                  <w:tcBorders>
                    <w:top w:val="single" w:color="auto" w:sz="4" w:space="0"/>
                    <w:left w:val="single" w:color="auto" w:sz="4" w:space="0"/>
                    <w:bottom w:val="single" w:color="auto" w:sz="4" w:space="0"/>
                    <w:right w:val="single" w:color="auto" w:sz="4" w:space="0"/>
                  </w:tcBorders>
                  <w:hideMark/>
                </w:tcPr>
                <w:p w:rsidRPr="00E151F1" w:rsidR="00BF0506" w:rsidP="00823A33" w:rsidRDefault="00DC093F" w14:paraId="3055E84F" w14:textId="57B67281">
                  <w:pPr>
                    <w:ind w:firstLine="0"/>
                    <w:jc w:val="both"/>
                    <w:rPr>
                      <w:sz w:val="24"/>
                      <w:szCs w:val="24"/>
                    </w:rPr>
                  </w:pPr>
                  <w:r w:rsidRPr="00E151F1">
                    <w:rPr>
                      <w:sz w:val="24"/>
                      <w:szCs w:val="24"/>
                    </w:rPr>
                    <w:t>Projekts šo jomu neskar.</w:t>
                  </w:r>
                </w:p>
              </w:tc>
            </w:tr>
            <w:tr w:rsidRPr="00E151F1" w:rsidR="00BF0506" w:rsidTr="00DC093F" w14:paraId="136BED3C" w14:textId="77777777">
              <w:trPr>
                <w:jc w:val="center"/>
              </w:trPr>
              <w:tc>
                <w:tcPr>
                  <w:tcW w:w="1067" w:type="dxa"/>
                  <w:tcBorders>
                    <w:top w:val="single" w:color="auto" w:sz="4" w:space="0"/>
                    <w:left w:val="single" w:color="auto" w:sz="4" w:space="0"/>
                    <w:bottom w:val="single" w:color="auto" w:sz="4" w:space="0"/>
                    <w:right w:val="single" w:color="auto" w:sz="4" w:space="0"/>
                  </w:tcBorders>
                  <w:hideMark/>
                </w:tcPr>
                <w:p w:rsidRPr="00E151F1" w:rsidR="00BF0506" w:rsidP="00BF0506" w:rsidRDefault="00BF0506" w14:paraId="1265354B" w14:textId="77777777">
                  <w:pPr>
                    <w:tabs>
                      <w:tab w:val="left" w:pos="2628"/>
                    </w:tabs>
                    <w:ind w:firstLine="0"/>
                    <w:jc w:val="center"/>
                    <w:rPr>
                      <w:rFonts w:eastAsia="Times New Roman" w:cs="Times New Roman"/>
                      <w:iCs/>
                      <w:sz w:val="24"/>
                      <w:szCs w:val="24"/>
                      <w:lang w:eastAsia="lv-LV"/>
                    </w:rPr>
                  </w:pPr>
                  <w:r w:rsidRPr="00E151F1">
                    <w:rPr>
                      <w:rFonts w:eastAsia="Times New Roman" w:cs="Times New Roman"/>
                      <w:iCs/>
                      <w:sz w:val="24"/>
                      <w:szCs w:val="24"/>
                      <w:lang w:eastAsia="lv-LV"/>
                    </w:rPr>
                    <w:t>2.</w:t>
                  </w:r>
                </w:p>
              </w:tc>
              <w:tc>
                <w:tcPr>
                  <w:tcW w:w="2047" w:type="dxa"/>
                  <w:tcBorders>
                    <w:top w:val="single" w:color="auto" w:sz="4" w:space="0"/>
                    <w:left w:val="single" w:color="auto" w:sz="4" w:space="0"/>
                    <w:bottom w:val="single" w:color="auto" w:sz="4" w:space="0"/>
                    <w:right w:val="single" w:color="auto" w:sz="4" w:space="0"/>
                  </w:tcBorders>
                  <w:hideMark/>
                </w:tcPr>
                <w:p w:rsidRPr="00E151F1" w:rsidR="00BF0506" w:rsidP="00BF0506" w:rsidRDefault="00BF0506" w14:paraId="4FBA4427" w14:textId="77777777">
                  <w:pPr>
                    <w:tabs>
                      <w:tab w:val="left" w:pos="2628"/>
                    </w:tabs>
                    <w:ind w:firstLine="0"/>
                    <w:jc w:val="both"/>
                    <w:rPr>
                      <w:rFonts w:eastAsia="Times New Roman" w:cs="Times New Roman"/>
                      <w:sz w:val="24"/>
                      <w:szCs w:val="24"/>
                      <w:lang w:eastAsia="lv-LV"/>
                    </w:rPr>
                  </w:pPr>
                  <w:r w:rsidRPr="00E151F1">
                    <w:rPr>
                      <w:rFonts w:eastAsia="Times New Roman" w:cs="Times New Roman"/>
                      <w:sz w:val="24"/>
                      <w:szCs w:val="24"/>
                      <w:lang w:eastAsia="lv-LV"/>
                    </w:rPr>
                    <w:t>Atbildīgā institūcija</w:t>
                  </w:r>
                </w:p>
              </w:tc>
              <w:tc>
                <w:tcPr>
                  <w:tcW w:w="6672" w:type="dxa"/>
                  <w:gridSpan w:val="2"/>
                  <w:tcBorders>
                    <w:top w:val="single" w:color="auto" w:sz="4" w:space="0"/>
                    <w:left w:val="single" w:color="auto" w:sz="4" w:space="0"/>
                    <w:bottom w:val="single" w:color="auto" w:sz="4" w:space="0"/>
                    <w:right w:val="single" w:color="auto" w:sz="4" w:space="0"/>
                  </w:tcBorders>
                  <w:hideMark/>
                </w:tcPr>
                <w:p w:rsidRPr="00E151F1" w:rsidR="00BF0506" w:rsidP="00BF0506" w:rsidRDefault="008B3B28" w14:paraId="37D57811" w14:textId="1F31301C">
                  <w:pPr>
                    <w:ind w:firstLine="0"/>
                    <w:rPr>
                      <w:rFonts w:eastAsia="Times New Roman" w:cs="Times New Roman"/>
                      <w:sz w:val="24"/>
                      <w:szCs w:val="24"/>
                      <w:lang w:eastAsia="lv-LV"/>
                    </w:rPr>
                  </w:pPr>
                  <w:r>
                    <w:rPr>
                      <w:rFonts w:eastAsia="Times New Roman" w:cs="Times New Roman"/>
                      <w:sz w:val="24"/>
                      <w:szCs w:val="24"/>
                      <w:lang w:eastAsia="lv-LV"/>
                    </w:rPr>
                    <w:t>Projekts šo jomu neskar.</w:t>
                  </w:r>
                </w:p>
              </w:tc>
            </w:tr>
            <w:tr w:rsidRPr="00E151F1" w:rsidR="00BF0506" w:rsidTr="00DC093F" w14:paraId="4475D94F" w14:textId="77777777">
              <w:trPr>
                <w:jc w:val="center"/>
              </w:trPr>
              <w:tc>
                <w:tcPr>
                  <w:tcW w:w="1067" w:type="dxa"/>
                  <w:tcBorders>
                    <w:top w:val="single" w:color="auto" w:sz="4" w:space="0"/>
                    <w:left w:val="single" w:color="auto" w:sz="4" w:space="0"/>
                    <w:bottom w:val="single" w:color="auto" w:sz="4" w:space="0"/>
                    <w:right w:val="single" w:color="auto" w:sz="4" w:space="0"/>
                  </w:tcBorders>
                  <w:hideMark/>
                </w:tcPr>
                <w:p w:rsidRPr="00E151F1" w:rsidR="00BF0506" w:rsidP="00BF0506" w:rsidRDefault="00BF0506" w14:paraId="2E78CE18" w14:textId="77777777">
                  <w:pPr>
                    <w:tabs>
                      <w:tab w:val="left" w:pos="2628"/>
                    </w:tabs>
                    <w:ind w:firstLine="0"/>
                    <w:jc w:val="center"/>
                    <w:rPr>
                      <w:rFonts w:eastAsia="Times New Roman" w:cs="Times New Roman"/>
                      <w:iCs/>
                      <w:sz w:val="24"/>
                      <w:szCs w:val="24"/>
                      <w:lang w:eastAsia="lv-LV"/>
                    </w:rPr>
                  </w:pPr>
                  <w:r w:rsidRPr="00E151F1">
                    <w:rPr>
                      <w:rFonts w:eastAsia="Times New Roman" w:cs="Times New Roman"/>
                      <w:iCs/>
                      <w:sz w:val="24"/>
                      <w:szCs w:val="24"/>
                      <w:lang w:eastAsia="lv-LV"/>
                    </w:rPr>
                    <w:t>3.</w:t>
                  </w:r>
                </w:p>
              </w:tc>
              <w:tc>
                <w:tcPr>
                  <w:tcW w:w="2047" w:type="dxa"/>
                  <w:tcBorders>
                    <w:top w:val="single" w:color="auto" w:sz="4" w:space="0"/>
                    <w:left w:val="single" w:color="auto" w:sz="4" w:space="0"/>
                    <w:bottom w:val="single" w:color="auto" w:sz="4" w:space="0"/>
                    <w:right w:val="single" w:color="auto" w:sz="4" w:space="0"/>
                  </w:tcBorders>
                  <w:hideMark/>
                </w:tcPr>
                <w:p w:rsidRPr="00E151F1" w:rsidR="00BF0506" w:rsidP="00BF0506" w:rsidRDefault="00BF0506" w14:paraId="6B874A81" w14:textId="77777777">
                  <w:pPr>
                    <w:tabs>
                      <w:tab w:val="left" w:pos="2628"/>
                    </w:tabs>
                    <w:ind w:firstLine="0"/>
                    <w:jc w:val="both"/>
                    <w:rPr>
                      <w:rFonts w:eastAsia="Times New Roman" w:cs="Times New Roman"/>
                      <w:iCs/>
                      <w:sz w:val="24"/>
                      <w:szCs w:val="24"/>
                      <w:lang w:eastAsia="lv-LV"/>
                    </w:rPr>
                  </w:pPr>
                  <w:r w:rsidRPr="00E151F1">
                    <w:rPr>
                      <w:rFonts w:eastAsia="Times New Roman" w:cs="Times New Roman"/>
                      <w:sz w:val="24"/>
                      <w:szCs w:val="24"/>
                      <w:lang w:eastAsia="lv-LV"/>
                    </w:rPr>
                    <w:t>Cita informācija</w:t>
                  </w:r>
                </w:p>
              </w:tc>
              <w:tc>
                <w:tcPr>
                  <w:tcW w:w="6672" w:type="dxa"/>
                  <w:gridSpan w:val="2"/>
                  <w:tcBorders>
                    <w:top w:val="single" w:color="auto" w:sz="4" w:space="0"/>
                    <w:left w:val="single" w:color="auto" w:sz="4" w:space="0"/>
                    <w:bottom w:val="single" w:color="auto" w:sz="4" w:space="0"/>
                    <w:right w:val="single" w:color="auto" w:sz="4" w:space="0"/>
                  </w:tcBorders>
                  <w:hideMark/>
                </w:tcPr>
                <w:p w:rsidRPr="00E151F1" w:rsidR="00053289" w:rsidP="0056434B" w:rsidRDefault="00053289" w14:paraId="40422442" w14:textId="64DBCAC6">
                  <w:pPr>
                    <w:tabs>
                      <w:tab w:val="left" w:pos="2628"/>
                    </w:tabs>
                    <w:ind w:right="440" w:firstLine="0"/>
                    <w:jc w:val="both"/>
                    <w:rPr>
                      <w:rFonts w:eastAsia="Times New Roman" w:cs="Times New Roman"/>
                      <w:iCs/>
                      <w:sz w:val="24"/>
                      <w:szCs w:val="24"/>
                      <w:lang w:eastAsia="lv-LV"/>
                    </w:rPr>
                  </w:pPr>
                  <w:r>
                    <w:rPr>
                      <w:rFonts w:eastAsia="Times New Roman" w:cs="Times New Roman"/>
                      <w:iCs/>
                      <w:sz w:val="24"/>
                      <w:szCs w:val="24"/>
                      <w:lang w:eastAsia="lv-LV"/>
                    </w:rPr>
                    <w:t xml:space="preserve">Saskaņā ar Autopārvadājumu likuma </w:t>
                  </w:r>
                  <w:r>
                    <w:rPr>
                      <w:rFonts w:cs="Times New Roman"/>
                      <w:sz w:val="24"/>
                      <w:szCs w:val="24"/>
                    </w:rPr>
                    <w:t>6. panta ceturto</w:t>
                  </w:r>
                  <w:r w:rsidR="0056434B">
                    <w:rPr>
                      <w:rFonts w:cs="Times New Roman"/>
                      <w:sz w:val="24"/>
                      <w:szCs w:val="24"/>
                    </w:rPr>
                    <w:t xml:space="preserve"> daļu ir izdoti Ministru kabineta</w:t>
                  </w:r>
                  <w:r>
                    <w:rPr>
                      <w:rFonts w:cs="Times New Roman"/>
                      <w:sz w:val="24"/>
                      <w:szCs w:val="24"/>
                    </w:rPr>
                    <w:t xml:space="preserve"> </w:t>
                  </w:r>
                  <w:r w:rsidR="0056434B">
                    <w:rPr>
                      <w:rFonts w:eastAsia="Times New Roman"/>
                      <w:iCs/>
                      <w:sz w:val="24"/>
                      <w:szCs w:val="24"/>
                      <w:lang w:eastAsia="lv-LV"/>
                    </w:rPr>
                    <w:t>2005.gada 21.jūnija noteikumi Nr.442 “</w:t>
                  </w:r>
                  <w:r w:rsidRPr="00C1718A" w:rsidR="0056434B">
                    <w:rPr>
                      <w:rFonts w:eastAsia="Times New Roman"/>
                      <w:iCs/>
                      <w:sz w:val="24"/>
                      <w:szCs w:val="24"/>
                      <w:lang w:eastAsia="lv-LV"/>
                    </w:rPr>
                    <w:t>Kārtība, kādā izsniedzamas, anulējamas vai uz laiku apturamas atļaujas starptautiskajiem kravas pārvadājumiem ar autotransportu</w:t>
                  </w:r>
                  <w:r w:rsidR="0056434B">
                    <w:rPr>
                      <w:rFonts w:eastAsia="Times New Roman"/>
                      <w:iCs/>
                      <w:sz w:val="24"/>
                      <w:szCs w:val="24"/>
                      <w:lang w:eastAsia="lv-LV"/>
                    </w:rPr>
                    <w:t xml:space="preserve">”, savukārt, pamatojoties uz </w:t>
                  </w:r>
                  <w:r w:rsidRPr="0056434B" w:rsidR="0056434B">
                    <w:rPr>
                      <w:rFonts w:eastAsia="Times New Roman"/>
                      <w:iCs/>
                      <w:sz w:val="24"/>
                      <w:szCs w:val="24"/>
                      <w:lang w:eastAsia="lv-LV"/>
                    </w:rPr>
                    <w:t xml:space="preserve">Autopārvadājumu likuma </w:t>
                  </w:r>
                  <w:r>
                    <w:rPr>
                      <w:rFonts w:cs="Times New Roman"/>
                      <w:sz w:val="24"/>
                      <w:szCs w:val="24"/>
                    </w:rPr>
                    <w:t xml:space="preserve">30. panta piekto daļu ir izdoti </w:t>
                  </w:r>
                  <w:r w:rsidR="0056434B">
                    <w:rPr>
                      <w:rFonts w:cs="Times New Roman"/>
                      <w:sz w:val="24"/>
                      <w:szCs w:val="24"/>
                    </w:rPr>
                    <w:t xml:space="preserve">Ministru kabineta </w:t>
                  </w:r>
                  <w:r w:rsidR="000B6297">
                    <w:rPr>
                      <w:rFonts w:eastAsia="Times New Roman"/>
                      <w:iCs/>
                      <w:sz w:val="24"/>
                      <w:szCs w:val="24"/>
                      <w:lang w:eastAsia="lv-LV"/>
                    </w:rPr>
                    <w:t>2012.gada 10.janvāra noteikumi Nr.37 “</w:t>
                  </w:r>
                  <w:r w:rsidRPr="00C1718A" w:rsidR="000B6297">
                    <w:rPr>
                      <w:rFonts w:eastAsia="Times New Roman"/>
                      <w:iCs/>
                      <w:sz w:val="24"/>
                      <w:szCs w:val="24"/>
                      <w:lang w:eastAsia="lv-LV"/>
                    </w:rPr>
                    <w:t>Noteikumi par pasažieru starptautiskajiem pārvadājumiem ar autobusiem, to organizēšanas, veikšanas, maršrutu atklāšanas, grozīšanas un slēgšanas kārtību</w:t>
                  </w:r>
                  <w:r w:rsidR="000B6297">
                    <w:rPr>
                      <w:rFonts w:eastAsia="Times New Roman"/>
                      <w:iCs/>
                      <w:sz w:val="24"/>
                      <w:szCs w:val="24"/>
                      <w:lang w:eastAsia="lv-LV"/>
                    </w:rPr>
                    <w:t>”</w:t>
                  </w:r>
                  <w:r w:rsidR="0056434B">
                    <w:rPr>
                      <w:rFonts w:eastAsia="Times New Roman"/>
                      <w:iCs/>
                      <w:sz w:val="24"/>
                      <w:szCs w:val="24"/>
                      <w:lang w:eastAsia="lv-LV"/>
                    </w:rPr>
                    <w:t>.</w:t>
                  </w:r>
                </w:p>
              </w:tc>
            </w:tr>
          </w:tbl>
          <w:p w:rsidRPr="00E151F1" w:rsidR="00BF0506" w:rsidP="008B0DD4" w:rsidRDefault="00BF0506" w14:paraId="781E83A9" w14:textId="77777777">
            <w:pPr>
              <w:ind w:firstLine="0"/>
              <w:jc w:val="center"/>
              <w:rPr>
                <w:b/>
                <w:bCs/>
                <w:sz w:val="24"/>
                <w:szCs w:val="24"/>
              </w:rPr>
            </w:pPr>
          </w:p>
        </w:tc>
      </w:tr>
    </w:tbl>
    <w:p w:rsidRPr="00E151F1" w:rsidR="005A7EB3" w:rsidP="003D6F09" w:rsidRDefault="005A7EB3" w14:paraId="3D66B219" w14:textId="77777777">
      <w:pPr>
        <w:ind w:firstLine="0"/>
        <w:rPr>
          <w:sz w:val="24"/>
          <w:szCs w:val="24"/>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1"/>
      </w:tblGrid>
      <w:tr w:rsidRPr="00E151F1" w:rsidR="001516D8" w:rsidTr="001516D8" w14:paraId="061B88DC" w14:textId="77777777">
        <w:tc>
          <w:tcPr>
            <w:tcW w:w="0" w:type="auto"/>
            <w:hideMark/>
          </w:tcPr>
          <w:tbl>
            <w:tblPr>
              <w:tblStyle w:val="TableGrid"/>
              <w:tblW w:w="8957" w:type="dxa"/>
              <w:tblLook w:val="04A0" w:firstRow="1" w:lastRow="0" w:firstColumn="1" w:lastColumn="0" w:noHBand="0" w:noVBand="1"/>
            </w:tblPr>
            <w:tblGrid>
              <w:gridCol w:w="1109"/>
              <w:gridCol w:w="2941"/>
              <w:gridCol w:w="4907"/>
            </w:tblGrid>
            <w:tr w:rsidRPr="00E151F1" w:rsidR="001516D8" w:rsidTr="001A3638" w14:paraId="3ACAB54E" w14:textId="77777777">
              <w:tc>
                <w:tcPr>
                  <w:tcW w:w="5000" w:type="pct"/>
                  <w:gridSpan w:val="3"/>
                  <w:hideMark/>
                </w:tcPr>
                <w:p w:rsidRPr="00E151F1" w:rsidR="001516D8" w:rsidP="001516D8" w:rsidRDefault="001516D8" w14:paraId="27CB3C08" w14:textId="77777777">
                  <w:pPr>
                    <w:ind w:firstLine="0"/>
                    <w:rPr>
                      <w:b/>
                      <w:bCs/>
                      <w:sz w:val="24"/>
                      <w:szCs w:val="24"/>
                    </w:rPr>
                  </w:pPr>
                  <w:r w:rsidRPr="00E151F1">
                    <w:rPr>
                      <w:b/>
                      <w:bCs/>
                      <w:sz w:val="24"/>
                      <w:szCs w:val="24"/>
                    </w:rPr>
                    <w:t>V. Tiesību akta projekta atbilstība Latvijas Republikas starptautiskajām saistībām</w:t>
                  </w:r>
                </w:p>
              </w:tc>
            </w:tr>
            <w:tr w:rsidRPr="00E151F1" w:rsidR="001516D8" w:rsidTr="001A3638" w14:paraId="4E362307" w14:textId="77777777">
              <w:tc>
                <w:tcPr>
                  <w:tcW w:w="619" w:type="pct"/>
                  <w:hideMark/>
                </w:tcPr>
                <w:p w:rsidRPr="00E151F1" w:rsidR="001516D8" w:rsidP="001516D8" w:rsidRDefault="001516D8" w14:paraId="0D9A463C" w14:textId="77777777">
                  <w:pPr>
                    <w:ind w:firstLine="0"/>
                    <w:jc w:val="center"/>
                    <w:rPr>
                      <w:sz w:val="24"/>
                      <w:szCs w:val="24"/>
                    </w:rPr>
                  </w:pPr>
                  <w:r w:rsidRPr="00E151F1">
                    <w:rPr>
                      <w:sz w:val="24"/>
                      <w:szCs w:val="24"/>
                    </w:rPr>
                    <w:t>1.</w:t>
                  </w:r>
                </w:p>
              </w:tc>
              <w:tc>
                <w:tcPr>
                  <w:tcW w:w="1642" w:type="pct"/>
                  <w:hideMark/>
                </w:tcPr>
                <w:p w:rsidRPr="00E151F1" w:rsidR="001516D8" w:rsidP="001516D8" w:rsidRDefault="001516D8" w14:paraId="7285178D" w14:textId="77777777">
                  <w:pPr>
                    <w:ind w:firstLine="0"/>
                    <w:rPr>
                      <w:sz w:val="24"/>
                      <w:szCs w:val="24"/>
                    </w:rPr>
                  </w:pPr>
                  <w:r w:rsidRPr="00E151F1">
                    <w:rPr>
                      <w:sz w:val="24"/>
                      <w:szCs w:val="24"/>
                    </w:rPr>
                    <w:t>Saistības pret Eiropas Savienību</w:t>
                  </w:r>
                </w:p>
              </w:tc>
              <w:tc>
                <w:tcPr>
                  <w:tcW w:w="2739" w:type="pct"/>
                </w:tcPr>
                <w:p w:rsidRPr="00E151F1" w:rsidR="001516D8" w:rsidP="004E7B92" w:rsidRDefault="001516D8" w14:paraId="76E57F6B" w14:textId="3CF4B1B3">
                  <w:pPr>
                    <w:ind w:firstLine="0"/>
                    <w:jc w:val="both"/>
                    <w:rPr>
                      <w:sz w:val="24"/>
                      <w:szCs w:val="24"/>
                    </w:rPr>
                  </w:pPr>
                  <w:r w:rsidRPr="00E151F1">
                    <w:rPr>
                      <w:sz w:val="24"/>
                      <w:szCs w:val="24"/>
                    </w:rPr>
                    <w:t>Eiropas Parlamenta un Padomes 2009.gada 21.oktobra Regula (EK) Nr. 1071/2009, ar ko nosaka kopīgus noteikumus par autopārvadātāja profesionālās darbības veikšanas nosacījumiem un atceļ Padomes Direktīvu 96/26/EK;</w:t>
                  </w:r>
                </w:p>
                <w:p w:rsidRPr="00E151F1" w:rsidR="001516D8" w:rsidP="00101D71" w:rsidRDefault="001516D8" w14:paraId="5D562E2C" w14:textId="3F593026">
                  <w:pPr>
                    <w:ind w:firstLine="0"/>
                    <w:rPr>
                      <w:sz w:val="24"/>
                      <w:szCs w:val="24"/>
                    </w:rPr>
                  </w:pPr>
                </w:p>
              </w:tc>
            </w:tr>
            <w:tr w:rsidRPr="00E151F1" w:rsidR="001516D8" w:rsidTr="001A3638" w14:paraId="483ADF58" w14:textId="77777777">
              <w:tc>
                <w:tcPr>
                  <w:tcW w:w="619" w:type="pct"/>
                  <w:hideMark/>
                </w:tcPr>
                <w:p w:rsidRPr="00E151F1" w:rsidR="001516D8" w:rsidP="001516D8" w:rsidRDefault="001516D8" w14:paraId="0DEAA39B" w14:textId="77777777">
                  <w:pPr>
                    <w:ind w:firstLine="0"/>
                    <w:jc w:val="center"/>
                    <w:rPr>
                      <w:sz w:val="24"/>
                      <w:szCs w:val="24"/>
                    </w:rPr>
                  </w:pPr>
                  <w:r w:rsidRPr="00E151F1">
                    <w:rPr>
                      <w:sz w:val="24"/>
                      <w:szCs w:val="24"/>
                    </w:rPr>
                    <w:lastRenderedPageBreak/>
                    <w:t>2.</w:t>
                  </w:r>
                </w:p>
              </w:tc>
              <w:tc>
                <w:tcPr>
                  <w:tcW w:w="1642" w:type="pct"/>
                  <w:hideMark/>
                </w:tcPr>
                <w:p w:rsidRPr="00E151F1" w:rsidR="001516D8" w:rsidP="001516D8" w:rsidRDefault="001516D8" w14:paraId="7D931F89" w14:textId="77777777">
                  <w:pPr>
                    <w:ind w:firstLine="0"/>
                    <w:rPr>
                      <w:sz w:val="24"/>
                      <w:szCs w:val="24"/>
                    </w:rPr>
                  </w:pPr>
                  <w:r w:rsidRPr="00E151F1">
                    <w:rPr>
                      <w:sz w:val="24"/>
                      <w:szCs w:val="24"/>
                    </w:rPr>
                    <w:t>Citas starptautiskās saistības</w:t>
                  </w:r>
                </w:p>
              </w:tc>
              <w:tc>
                <w:tcPr>
                  <w:tcW w:w="2739" w:type="pct"/>
                  <w:hideMark/>
                </w:tcPr>
                <w:p w:rsidRPr="00E151F1" w:rsidR="001516D8" w:rsidP="001516D8" w:rsidRDefault="001516D8" w14:paraId="102DCDBF" w14:textId="77777777">
                  <w:pPr>
                    <w:ind w:firstLine="0"/>
                    <w:rPr>
                      <w:sz w:val="24"/>
                      <w:szCs w:val="24"/>
                    </w:rPr>
                  </w:pPr>
                  <w:r w:rsidRPr="00E151F1">
                    <w:rPr>
                      <w:rFonts w:eastAsia="Times New Roman"/>
                      <w:sz w:val="24"/>
                      <w:szCs w:val="24"/>
                      <w:lang w:eastAsia="lv-LV"/>
                    </w:rPr>
                    <w:t>Projekts šo jomu neskar.</w:t>
                  </w:r>
                </w:p>
              </w:tc>
            </w:tr>
            <w:tr w:rsidRPr="00E151F1" w:rsidR="001516D8" w:rsidTr="001A3638" w14:paraId="1DD56511" w14:textId="77777777">
              <w:tc>
                <w:tcPr>
                  <w:tcW w:w="619" w:type="pct"/>
                  <w:hideMark/>
                </w:tcPr>
                <w:p w:rsidRPr="00E151F1" w:rsidR="001516D8" w:rsidP="001516D8" w:rsidRDefault="001516D8" w14:paraId="15970D56" w14:textId="77777777">
                  <w:pPr>
                    <w:ind w:firstLine="0"/>
                    <w:jc w:val="center"/>
                    <w:rPr>
                      <w:sz w:val="24"/>
                      <w:szCs w:val="24"/>
                    </w:rPr>
                  </w:pPr>
                  <w:r w:rsidRPr="00E151F1">
                    <w:rPr>
                      <w:sz w:val="24"/>
                      <w:szCs w:val="24"/>
                    </w:rPr>
                    <w:t>3.</w:t>
                  </w:r>
                </w:p>
              </w:tc>
              <w:tc>
                <w:tcPr>
                  <w:tcW w:w="1642" w:type="pct"/>
                  <w:hideMark/>
                </w:tcPr>
                <w:p w:rsidRPr="00E151F1" w:rsidR="001516D8" w:rsidP="001516D8" w:rsidRDefault="001516D8" w14:paraId="5EE751F7" w14:textId="77777777">
                  <w:pPr>
                    <w:ind w:firstLine="0"/>
                    <w:rPr>
                      <w:sz w:val="24"/>
                      <w:szCs w:val="24"/>
                    </w:rPr>
                  </w:pPr>
                  <w:r w:rsidRPr="00E151F1">
                    <w:rPr>
                      <w:sz w:val="24"/>
                      <w:szCs w:val="24"/>
                    </w:rPr>
                    <w:t>Cita informācija</w:t>
                  </w:r>
                </w:p>
              </w:tc>
              <w:tc>
                <w:tcPr>
                  <w:tcW w:w="2739" w:type="pct"/>
                  <w:hideMark/>
                </w:tcPr>
                <w:p w:rsidRPr="00E151F1" w:rsidR="001516D8" w:rsidP="001516D8" w:rsidRDefault="001516D8" w14:paraId="6B4053A2" w14:textId="77777777">
                  <w:pPr>
                    <w:ind w:firstLine="0"/>
                    <w:rPr>
                      <w:sz w:val="24"/>
                      <w:szCs w:val="24"/>
                    </w:rPr>
                  </w:pPr>
                  <w:r w:rsidRPr="00E151F1">
                    <w:rPr>
                      <w:sz w:val="24"/>
                      <w:szCs w:val="24"/>
                    </w:rPr>
                    <w:t>Nav</w:t>
                  </w:r>
                </w:p>
              </w:tc>
            </w:tr>
          </w:tbl>
          <w:p w:rsidRPr="00E151F1" w:rsidR="001516D8" w:rsidP="001516D8" w:rsidRDefault="001516D8" w14:paraId="1E92F05B" w14:textId="77777777">
            <w:pPr>
              <w:jc w:val="center"/>
              <w:rPr>
                <w:sz w:val="24"/>
                <w:szCs w:val="24"/>
              </w:rPr>
            </w:pPr>
            <w:r w:rsidRPr="00E151F1">
              <w:rPr>
                <w:sz w:val="24"/>
                <w:szCs w:val="24"/>
              </w:rPr>
              <w:t> </w:t>
            </w:r>
          </w:p>
        </w:tc>
      </w:tr>
      <w:tr w:rsidRPr="00E151F1" w:rsidR="001516D8" w:rsidTr="001516D8" w14:paraId="72118290" w14:textId="77777777">
        <w:trPr>
          <w:trHeight w:val="360"/>
        </w:trPr>
        <w:tc>
          <w:tcPr>
            <w:tcW w:w="0" w:type="auto"/>
          </w:tcPr>
          <w:tbl>
            <w:tblPr>
              <w:tblStyle w:val="TableGrid"/>
              <w:tblW w:w="8958" w:type="dxa"/>
              <w:tblLook w:val="04A0" w:firstRow="1" w:lastRow="0" w:firstColumn="1" w:lastColumn="0" w:noHBand="0" w:noVBand="1"/>
            </w:tblPr>
            <w:tblGrid>
              <w:gridCol w:w="2082"/>
              <w:gridCol w:w="2182"/>
              <w:gridCol w:w="2220"/>
              <w:gridCol w:w="2474"/>
            </w:tblGrid>
            <w:tr w:rsidRPr="00E151F1" w:rsidR="001516D8" w:rsidTr="001516D8" w14:paraId="5B82260D" w14:textId="77777777">
              <w:tc>
                <w:tcPr>
                  <w:tcW w:w="5000" w:type="pct"/>
                  <w:gridSpan w:val="4"/>
                  <w:hideMark/>
                </w:tcPr>
                <w:p w:rsidRPr="00E151F1" w:rsidR="001516D8" w:rsidP="001516D8" w:rsidRDefault="001516D8" w14:paraId="695E236E" w14:textId="77777777">
                  <w:pPr>
                    <w:ind w:firstLine="0"/>
                    <w:jc w:val="center"/>
                    <w:rPr>
                      <w:b/>
                      <w:bCs/>
                      <w:sz w:val="24"/>
                      <w:szCs w:val="24"/>
                    </w:rPr>
                  </w:pPr>
                  <w:r w:rsidRPr="00E151F1">
                    <w:rPr>
                      <w:b/>
                      <w:bCs/>
                      <w:sz w:val="24"/>
                      <w:szCs w:val="24"/>
                    </w:rPr>
                    <w:lastRenderedPageBreak/>
                    <w:t>1.tabula</w:t>
                  </w:r>
                  <w:r w:rsidRPr="00E151F1">
                    <w:rPr>
                      <w:b/>
                      <w:bCs/>
                      <w:sz w:val="24"/>
                      <w:szCs w:val="24"/>
                    </w:rPr>
                    <w:br/>
                    <w:t>Tiesību akta projekta atbilstība ES tiesību aktiem</w:t>
                  </w:r>
                </w:p>
              </w:tc>
            </w:tr>
            <w:tr w:rsidRPr="00E151F1" w:rsidR="001516D8" w:rsidTr="00496ABD" w14:paraId="1A82C07D" w14:textId="77777777">
              <w:tc>
                <w:tcPr>
                  <w:tcW w:w="1162" w:type="pct"/>
                  <w:hideMark/>
                </w:tcPr>
                <w:p w:rsidRPr="00E151F1" w:rsidR="001516D8" w:rsidP="001516D8" w:rsidRDefault="001516D8" w14:paraId="2AFA9A90" w14:textId="77777777">
                  <w:pPr>
                    <w:ind w:firstLine="0"/>
                    <w:rPr>
                      <w:sz w:val="24"/>
                      <w:szCs w:val="24"/>
                    </w:rPr>
                  </w:pPr>
                  <w:r w:rsidRPr="00E151F1">
                    <w:rPr>
                      <w:sz w:val="24"/>
                      <w:szCs w:val="24"/>
                    </w:rPr>
                    <w:t>Attiecīgā ES tiesību akta datums, numurs un nosaukums</w:t>
                  </w:r>
                </w:p>
              </w:tc>
              <w:tc>
                <w:tcPr>
                  <w:tcW w:w="3838" w:type="pct"/>
                  <w:gridSpan w:val="3"/>
                </w:tcPr>
                <w:p w:rsidRPr="00E151F1" w:rsidR="003A7105" w:rsidP="004E7B92" w:rsidRDefault="003A7105" w14:paraId="6B0857FB" w14:textId="13D3DF89">
                  <w:pPr>
                    <w:ind w:firstLine="0"/>
                    <w:jc w:val="both"/>
                    <w:rPr>
                      <w:sz w:val="24"/>
                      <w:szCs w:val="24"/>
                    </w:rPr>
                  </w:pPr>
                  <w:r w:rsidRPr="00E151F1">
                    <w:rPr>
                      <w:sz w:val="24"/>
                      <w:szCs w:val="24"/>
                    </w:rPr>
                    <w:t>Eiropas Parlamenta un Padomes 2009.gada 21.oktobra Regula (EK) Nr. 1071/2009, ar ko nosaka kopīgus noteikumus par autopārvadātāja profesionālās darbības veikšanas nosacījumiem un atceļ Padomes Direktīvu 96/26/EK</w:t>
                  </w:r>
                  <w:r w:rsidR="00372981">
                    <w:rPr>
                      <w:sz w:val="24"/>
                      <w:szCs w:val="24"/>
                    </w:rPr>
                    <w:t xml:space="preserve"> [</w:t>
                  </w:r>
                  <w:r w:rsidRPr="00372981" w:rsidR="00372981">
                    <w:rPr>
                      <w:sz w:val="24"/>
                      <w:szCs w:val="24"/>
                    </w:rPr>
                    <w:t>publicēta “Eiropas Savienības Oficiālajā Vēstnesī” L </w:t>
                  </w:r>
                  <w:r w:rsidR="00372981">
                    <w:rPr>
                      <w:sz w:val="24"/>
                      <w:szCs w:val="24"/>
                    </w:rPr>
                    <w:t>300</w:t>
                  </w:r>
                  <w:r w:rsidRPr="00372981" w:rsidR="00372981">
                    <w:rPr>
                      <w:sz w:val="24"/>
                      <w:szCs w:val="24"/>
                    </w:rPr>
                    <w:t>,1</w:t>
                  </w:r>
                  <w:r w:rsidR="00372981">
                    <w:rPr>
                      <w:sz w:val="24"/>
                      <w:szCs w:val="24"/>
                    </w:rPr>
                    <w:t>4</w:t>
                  </w:r>
                  <w:r w:rsidRPr="00372981" w:rsidR="00372981">
                    <w:rPr>
                      <w:sz w:val="24"/>
                      <w:szCs w:val="24"/>
                    </w:rPr>
                    <w:t>.1</w:t>
                  </w:r>
                  <w:r w:rsidR="00372981">
                    <w:rPr>
                      <w:sz w:val="24"/>
                      <w:szCs w:val="24"/>
                    </w:rPr>
                    <w:t>1</w:t>
                  </w:r>
                  <w:r w:rsidRPr="00372981" w:rsidR="00372981">
                    <w:rPr>
                      <w:sz w:val="24"/>
                      <w:szCs w:val="24"/>
                    </w:rPr>
                    <w:t>.20</w:t>
                  </w:r>
                  <w:r w:rsidR="00FE47E5">
                    <w:rPr>
                      <w:sz w:val="24"/>
                      <w:szCs w:val="24"/>
                    </w:rPr>
                    <w:t>09</w:t>
                  </w:r>
                  <w:r w:rsidRPr="00372981" w:rsidR="00372981">
                    <w:rPr>
                      <w:sz w:val="24"/>
                      <w:szCs w:val="24"/>
                    </w:rPr>
                    <w:t>]</w:t>
                  </w:r>
                  <w:r w:rsidRPr="00E151F1">
                    <w:rPr>
                      <w:sz w:val="24"/>
                      <w:szCs w:val="24"/>
                    </w:rPr>
                    <w:t>;</w:t>
                  </w:r>
                </w:p>
                <w:p w:rsidRPr="00E151F1" w:rsidR="003A7105" w:rsidP="003A7105" w:rsidRDefault="003A7105" w14:paraId="3A2437F0" w14:textId="25059C5A">
                  <w:pPr>
                    <w:ind w:firstLine="0"/>
                    <w:rPr>
                      <w:sz w:val="24"/>
                      <w:szCs w:val="24"/>
                    </w:rPr>
                  </w:pPr>
                </w:p>
              </w:tc>
            </w:tr>
            <w:tr w:rsidRPr="00E151F1" w:rsidR="001516D8" w:rsidTr="00496ABD" w14:paraId="5C85BBE4" w14:textId="77777777">
              <w:tc>
                <w:tcPr>
                  <w:tcW w:w="1162" w:type="pct"/>
                  <w:hideMark/>
                </w:tcPr>
                <w:p w:rsidRPr="00E151F1" w:rsidR="001516D8" w:rsidP="001516D8" w:rsidRDefault="001516D8" w14:paraId="251F4E22" w14:textId="77777777">
                  <w:pPr>
                    <w:ind w:firstLine="0"/>
                    <w:rPr>
                      <w:sz w:val="24"/>
                      <w:szCs w:val="24"/>
                    </w:rPr>
                  </w:pPr>
                  <w:r w:rsidRPr="00E151F1">
                    <w:rPr>
                      <w:sz w:val="24"/>
                      <w:szCs w:val="24"/>
                    </w:rPr>
                    <w:t>A</w:t>
                  </w:r>
                </w:p>
              </w:tc>
              <w:tc>
                <w:tcPr>
                  <w:tcW w:w="1218" w:type="pct"/>
                  <w:hideMark/>
                </w:tcPr>
                <w:p w:rsidRPr="00E151F1" w:rsidR="001516D8" w:rsidP="001516D8" w:rsidRDefault="001516D8" w14:paraId="3D053635" w14:textId="77777777">
                  <w:pPr>
                    <w:ind w:firstLine="0"/>
                    <w:rPr>
                      <w:sz w:val="24"/>
                      <w:szCs w:val="24"/>
                    </w:rPr>
                  </w:pPr>
                  <w:r w:rsidRPr="00E151F1">
                    <w:rPr>
                      <w:sz w:val="24"/>
                      <w:szCs w:val="24"/>
                    </w:rPr>
                    <w:t>B</w:t>
                  </w:r>
                </w:p>
              </w:tc>
              <w:tc>
                <w:tcPr>
                  <w:tcW w:w="1235" w:type="pct"/>
                  <w:hideMark/>
                </w:tcPr>
                <w:p w:rsidRPr="00E151F1" w:rsidR="001516D8" w:rsidP="001516D8" w:rsidRDefault="001516D8" w14:paraId="0BFD7084" w14:textId="77777777">
                  <w:pPr>
                    <w:ind w:firstLine="0"/>
                    <w:rPr>
                      <w:sz w:val="24"/>
                      <w:szCs w:val="24"/>
                    </w:rPr>
                  </w:pPr>
                  <w:r w:rsidRPr="00E151F1">
                    <w:rPr>
                      <w:sz w:val="24"/>
                      <w:szCs w:val="24"/>
                    </w:rPr>
                    <w:t>C</w:t>
                  </w:r>
                </w:p>
              </w:tc>
              <w:tc>
                <w:tcPr>
                  <w:tcW w:w="1385" w:type="pct"/>
                  <w:hideMark/>
                </w:tcPr>
                <w:p w:rsidRPr="00E151F1" w:rsidR="001516D8" w:rsidP="001516D8" w:rsidRDefault="001516D8" w14:paraId="14D22297" w14:textId="77777777">
                  <w:pPr>
                    <w:ind w:firstLine="0"/>
                    <w:rPr>
                      <w:sz w:val="24"/>
                      <w:szCs w:val="24"/>
                    </w:rPr>
                  </w:pPr>
                  <w:r w:rsidRPr="00E151F1">
                    <w:rPr>
                      <w:sz w:val="24"/>
                      <w:szCs w:val="24"/>
                    </w:rPr>
                    <w:t>D</w:t>
                  </w:r>
                </w:p>
              </w:tc>
            </w:tr>
            <w:tr w:rsidRPr="00E151F1" w:rsidR="001516D8" w:rsidTr="00496ABD" w14:paraId="29F83ECE" w14:textId="77777777">
              <w:tc>
                <w:tcPr>
                  <w:tcW w:w="1162" w:type="pct"/>
                  <w:hideMark/>
                </w:tcPr>
                <w:p w:rsidRPr="00AC72C5" w:rsidR="001516D8" w:rsidP="00AC72C5" w:rsidRDefault="001516D8" w14:paraId="11860D25" w14:textId="77777777">
                  <w:pPr>
                    <w:ind w:firstLine="0"/>
                    <w:jc w:val="both"/>
                    <w:rPr>
                      <w:rFonts w:cs="Times New Roman"/>
                      <w:sz w:val="24"/>
                      <w:szCs w:val="24"/>
                    </w:rPr>
                  </w:pPr>
                  <w:r w:rsidRPr="00AC72C5">
                    <w:rPr>
                      <w:rFonts w:cs="Times New Roman"/>
                      <w:sz w:val="24"/>
                      <w:szCs w:val="24"/>
                    </w:rPr>
                    <w:t>Attiecīgā ES tiesību akta panta numurs (uzskaitot katru tiesību akta vienību – pantu, daļu, punktu, apakšpunktu)</w:t>
                  </w:r>
                </w:p>
                <w:p w:rsidRPr="00AC72C5" w:rsidR="001516D8" w:rsidP="00AC72C5" w:rsidRDefault="001516D8" w14:paraId="5EB30CD2" w14:textId="77777777">
                  <w:pPr>
                    <w:jc w:val="both"/>
                    <w:rPr>
                      <w:rFonts w:cs="Times New Roman"/>
                      <w:sz w:val="24"/>
                      <w:szCs w:val="24"/>
                    </w:rPr>
                  </w:pPr>
                </w:p>
                <w:p w:rsidRPr="00AC72C5" w:rsidR="001516D8" w:rsidP="00AC72C5" w:rsidRDefault="001516D8" w14:paraId="15FFBFF7" w14:textId="77777777">
                  <w:pPr>
                    <w:jc w:val="both"/>
                    <w:rPr>
                      <w:rFonts w:cs="Times New Roman"/>
                      <w:sz w:val="24"/>
                      <w:szCs w:val="24"/>
                    </w:rPr>
                  </w:pPr>
                </w:p>
                <w:p w:rsidRPr="00AC72C5" w:rsidR="001516D8" w:rsidP="00AC72C5" w:rsidRDefault="001516D8" w14:paraId="0F741AE2" w14:textId="77777777">
                  <w:pPr>
                    <w:jc w:val="both"/>
                    <w:rPr>
                      <w:rFonts w:cs="Times New Roman"/>
                      <w:sz w:val="24"/>
                      <w:szCs w:val="24"/>
                    </w:rPr>
                  </w:pPr>
                </w:p>
                <w:p w:rsidRPr="00AC72C5" w:rsidR="001516D8" w:rsidP="00AC72C5" w:rsidRDefault="001516D8" w14:paraId="743813C2" w14:textId="77777777">
                  <w:pPr>
                    <w:jc w:val="both"/>
                    <w:rPr>
                      <w:rFonts w:cs="Times New Roman"/>
                      <w:sz w:val="24"/>
                      <w:szCs w:val="24"/>
                    </w:rPr>
                  </w:pPr>
                </w:p>
                <w:p w:rsidRPr="00AC72C5" w:rsidR="001516D8" w:rsidP="00AC72C5" w:rsidRDefault="001516D8" w14:paraId="265AFA81" w14:textId="77777777">
                  <w:pPr>
                    <w:jc w:val="both"/>
                    <w:rPr>
                      <w:rFonts w:cs="Times New Roman"/>
                      <w:sz w:val="24"/>
                      <w:szCs w:val="24"/>
                    </w:rPr>
                  </w:pPr>
                </w:p>
                <w:p w:rsidRPr="00AC72C5" w:rsidR="001516D8" w:rsidP="00AC72C5" w:rsidRDefault="001516D8" w14:paraId="0B48F89D" w14:textId="77777777">
                  <w:pPr>
                    <w:jc w:val="both"/>
                    <w:rPr>
                      <w:rFonts w:cs="Times New Roman"/>
                      <w:sz w:val="24"/>
                      <w:szCs w:val="24"/>
                    </w:rPr>
                  </w:pPr>
                </w:p>
                <w:p w:rsidRPr="00AC72C5" w:rsidR="001516D8" w:rsidP="00AC72C5" w:rsidRDefault="001516D8" w14:paraId="09765909" w14:textId="77777777">
                  <w:pPr>
                    <w:jc w:val="both"/>
                    <w:rPr>
                      <w:rFonts w:cs="Times New Roman"/>
                      <w:sz w:val="24"/>
                      <w:szCs w:val="24"/>
                    </w:rPr>
                  </w:pPr>
                </w:p>
                <w:p w:rsidRPr="00AC72C5" w:rsidR="001516D8" w:rsidP="00AC72C5" w:rsidRDefault="001516D8" w14:paraId="1C425203" w14:textId="77777777">
                  <w:pPr>
                    <w:jc w:val="both"/>
                    <w:rPr>
                      <w:rFonts w:cs="Times New Roman"/>
                      <w:sz w:val="24"/>
                      <w:szCs w:val="24"/>
                    </w:rPr>
                  </w:pPr>
                </w:p>
                <w:p w:rsidRPr="00AC72C5" w:rsidR="001516D8" w:rsidP="00AC72C5" w:rsidRDefault="001516D8" w14:paraId="0FA991C1" w14:textId="77777777">
                  <w:pPr>
                    <w:jc w:val="both"/>
                    <w:rPr>
                      <w:rFonts w:cs="Times New Roman"/>
                      <w:sz w:val="24"/>
                      <w:szCs w:val="24"/>
                    </w:rPr>
                  </w:pPr>
                </w:p>
                <w:p w:rsidRPr="00AC72C5" w:rsidR="001516D8" w:rsidP="00AC72C5" w:rsidRDefault="001516D8" w14:paraId="77494924" w14:textId="77777777">
                  <w:pPr>
                    <w:jc w:val="both"/>
                    <w:rPr>
                      <w:rFonts w:cs="Times New Roman"/>
                      <w:sz w:val="24"/>
                      <w:szCs w:val="24"/>
                    </w:rPr>
                  </w:pPr>
                </w:p>
                <w:p w:rsidRPr="00AC72C5" w:rsidR="001516D8" w:rsidP="00AC72C5" w:rsidRDefault="001516D8" w14:paraId="5187D47A" w14:textId="77777777">
                  <w:pPr>
                    <w:jc w:val="both"/>
                    <w:rPr>
                      <w:rFonts w:cs="Times New Roman"/>
                      <w:sz w:val="24"/>
                      <w:szCs w:val="24"/>
                    </w:rPr>
                  </w:pPr>
                </w:p>
                <w:p w:rsidRPr="00AC72C5" w:rsidR="001516D8" w:rsidP="00AC72C5" w:rsidRDefault="001516D8" w14:paraId="62EF2376" w14:textId="77777777">
                  <w:pPr>
                    <w:jc w:val="both"/>
                    <w:rPr>
                      <w:rFonts w:cs="Times New Roman"/>
                      <w:sz w:val="24"/>
                      <w:szCs w:val="24"/>
                    </w:rPr>
                  </w:pPr>
                </w:p>
                <w:p w:rsidRPr="00AC72C5" w:rsidR="001516D8" w:rsidP="00AC72C5" w:rsidRDefault="001516D8" w14:paraId="0B30493A" w14:textId="77777777">
                  <w:pPr>
                    <w:jc w:val="both"/>
                    <w:rPr>
                      <w:rFonts w:cs="Times New Roman"/>
                      <w:sz w:val="24"/>
                      <w:szCs w:val="24"/>
                    </w:rPr>
                  </w:pPr>
                </w:p>
                <w:p w:rsidRPr="00AC72C5" w:rsidR="001516D8" w:rsidP="00AC72C5" w:rsidRDefault="001516D8" w14:paraId="5675E400" w14:textId="77777777">
                  <w:pPr>
                    <w:jc w:val="both"/>
                    <w:rPr>
                      <w:rFonts w:cs="Times New Roman"/>
                      <w:sz w:val="24"/>
                      <w:szCs w:val="24"/>
                    </w:rPr>
                  </w:pPr>
                </w:p>
                <w:p w:rsidRPr="00AC72C5" w:rsidR="001516D8" w:rsidP="00AC72C5" w:rsidRDefault="001516D8" w14:paraId="03B8BB1B" w14:textId="77777777">
                  <w:pPr>
                    <w:jc w:val="both"/>
                    <w:rPr>
                      <w:rFonts w:cs="Times New Roman"/>
                      <w:sz w:val="24"/>
                      <w:szCs w:val="24"/>
                    </w:rPr>
                  </w:pPr>
                </w:p>
                <w:p w:rsidRPr="00AC72C5" w:rsidR="001516D8" w:rsidP="00AC72C5" w:rsidRDefault="001516D8" w14:paraId="60EEABE3" w14:textId="77777777">
                  <w:pPr>
                    <w:jc w:val="both"/>
                    <w:rPr>
                      <w:rFonts w:cs="Times New Roman"/>
                      <w:sz w:val="24"/>
                      <w:szCs w:val="24"/>
                    </w:rPr>
                  </w:pPr>
                </w:p>
              </w:tc>
              <w:tc>
                <w:tcPr>
                  <w:tcW w:w="1218" w:type="pct"/>
                  <w:hideMark/>
                </w:tcPr>
                <w:p w:rsidRPr="00AC72C5" w:rsidR="001516D8" w:rsidP="00AC72C5" w:rsidRDefault="001516D8" w14:paraId="3F44FC55" w14:textId="77777777">
                  <w:pPr>
                    <w:ind w:firstLine="0"/>
                    <w:jc w:val="both"/>
                    <w:rPr>
                      <w:rFonts w:cs="Times New Roman"/>
                      <w:sz w:val="24"/>
                      <w:szCs w:val="24"/>
                    </w:rPr>
                  </w:pPr>
                  <w:r w:rsidRPr="00AC72C5">
                    <w:rPr>
                      <w:rFonts w:cs="Times New Roman"/>
                      <w:sz w:val="24"/>
                      <w:szCs w:val="24"/>
                    </w:rPr>
                    <w:t>Projekta vienība, kas pārņem vai ievieš katru šīs tabulas A ailē minēto ES tiesību akta vienību, vai tiesību akts, kur attiecīgā ES tiesību akta vienība pārņemta vai ieviesta</w:t>
                  </w:r>
                </w:p>
              </w:tc>
              <w:tc>
                <w:tcPr>
                  <w:tcW w:w="1235" w:type="pct"/>
                  <w:hideMark/>
                </w:tcPr>
                <w:p w:rsidRPr="00AC72C5" w:rsidR="001516D8" w:rsidP="00AC72C5" w:rsidRDefault="001516D8" w14:paraId="54910CB0" w14:textId="77777777">
                  <w:pPr>
                    <w:ind w:firstLine="0"/>
                    <w:jc w:val="both"/>
                    <w:rPr>
                      <w:rFonts w:cs="Times New Roman"/>
                      <w:sz w:val="24"/>
                      <w:szCs w:val="24"/>
                    </w:rPr>
                  </w:pPr>
                  <w:r w:rsidRPr="00AC72C5">
                    <w:rPr>
                      <w:rFonts w:cs="Times New Roman"/>
                      <w:sz w:val="24"/>
                      <w:szCs w:val="24"/>
                    </w:rPr>
                    <w:t xml:space="preserve">Informācija par to, vai šīs tabulas A ailē minētās ES tiesību akta vienības tiek pārņemtas vai ieviestas pilnībā vai daļēji. </w:t>
                  </w:r>
                </w:p>
                <w:p w:rsidRPr="00AC72C5" w:rsidR="001516D8" w:rsidP="00AC72C5" w:rsidRDefault="001516D8" w14:paraId="5BA0A489" w14:textId="77777777">
                  <w:pPr>
                    <w:ind w:firstLine="0"/>
                    <w:jc w:val="both"/>
                    <w:rPr>
                      <w:rFonts w:cs="Times New Roman"/>
                      <w:sz w:val="24"/>
                      <w:szCs w:val="24"/>
                    </w:rPr>
                  </w:pPr>
                  <w:r w:rsidRPr="00AC72C5">
                    <w:rPr>
                      <w:rFonts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Pr="00AC72C5" w:rsidR="001516D8" w:rsidP="00AC72C5" w:rsidRDefault="001516D8" w14:paraId="3CD50B7D" w14:textId="77777777">
                  <w:pPr>
                    <w:ind w:firstLine="0"/>
                    <w:jc w:val="both"/>
                    <w:rPr>
                      <w:rFonts w:cs="Times New Roman"/>
                      <w:sz w:val="24"/>
                      <w:szCs w:val="24"/>
                    </w:rPr>
                  </w:pPr>
                  <w:r w:rsidRPr="00AC72C5">
                    <w:rPr>
                      <w:rFonts w:cs="Times New Roman"/>
                      <w:sz w:val="24"/>
                      <w:szCs w:val="24"/>
                    </w:rPr>
                    <w:t>Norāda institūciju, kas ir atbildīga par šo saistību izpildi pilnībā</w:t>
                  </w:r>
                </w:p>
              </w:tc>
              <w:tc>
                <w:tcPr>
                  <w:tcW w:w="1385" w:type="pct"/>
                  <w:hideMark/>
                </w:tcPr>
                <w:p w:rsidRPr="00AC72C5" w:rsidR="001516D8" w:rsidP="00AC72C5" w:rsidRDefault="001516D8" w14:paraId="54268D94" w14:textId="77777777">
                  <w:pPr>
                    <w:ind w:firstLine="0"/>
                    <w:jc w:val="both"/>
                    <w:rPr>
                      <w:rFonts w:cs="Times New Roman"/>
                      <w:sz w:val="24"/>
                      <w:szCs w:val="24"/>
                    </w:rPr>
                  </w:pPr>
                  <w:r w:rsidRPr="00AC72C5">
                    <w:rPr>
                      <w:rFonts w:cs="Times New Roman"/>
                      <w:sz w:val="24"/>
                      <w:szCs w:val="24"/>
                    </w:rPr>
                    <w:t xml:space="preserve">Informācija par to, vai šīs tabulas B ailē minētās projekta vienības paredz stingrākas prasības nekā šīs tabulas A ailē minētās ES tiesību akta vienības. </w:t>
                  </w:r>
                </w:p>
                <w:p w:rsidRPr="00AC72C5" w:rsidR="001516D8" w:rsidP="00AC72C5" w:rsidRDefault="001516D8" w14:paraId="6612586E" w14:textId="77777777">
                  <w:pPr>
                    <w:ind w:firstLine="0"/>
                    <w:jc w:val="both"/>
                    <w:rPr>
                      <w:rFonts w:cs="Times New Roman"/>
                      <w:sz w:val="24"/>
                      <w:szCs w:val="24"/>
                    </w:rPr>
                  </w:pPr>
                  <w:r w:rsidRPr="00AC72C5">
                    <w:rPr>
                      <w:rFonts w:cs="Times New Roman"/>
                      <w:sz w:val="24"/>
                      <w:szCs w:val="24"/>
                    </w:rPr>
                    <w:t>Ja projekts satur stingrākas prasības nekā attiecīgais ES tiesību akts, norāda pamatojumu un samērīgumu.</w:t>
                  </w:r>
                </w:p>
                <w:p w:rsidRPr="00AC72C5" w:rsidR="001516D8" w:rsidP="00AC72C5" w:rsidRDefault="001516D8" w14:paraId="68D762DA" w14:textId="77777777">
                  <w:pPr>
                    <w:ind w:firstLine="0"/>
                    <w:jc w:val="both"/>
                    <w:rPr>
                      <w:rFonts w:cs="Times New Roman"/>
                      <w:sz w:val="24"/>
                      <w:szCs w:val="24"/>
                    </w:rPr>
                  </w:pPr>
                  <w:r w:rsidRPr="00AC72C5">
                    <w:rPr>
                      <w:rFonts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Pr="00E151F1" w:rsidR="0052166C" w:rsidTr="00D01653" w14:paraId="626EA724" w14:textId="77777777">
              <w:tc>
                <w:tcPr>
                  <w:tcW w:w="1162" w:type="pct"/>
                </w:tcPr>
                <w:p w:rsidRPr="00AC72C5" w:rsidR="0052166C" w:rsidP="00D01653" w:rsidRDefault="00910EDA" w14:paraId="4A314D90" w14:textId="42334656">
                  <w:pPr>
                    <w:ind w:firstLine="0"/>
                    <w:jc w:val="both"/>
                    <w:rPr>
                      <w:rFonts w:cs="Times New Roman"/>
                      <w:sz w:val="24"/>
                      <w:szCs w:val="24"/>
                    </w:rPr>
                  </w:pPr>
                  <w:r>
                    <w:rPr>
                      <w:rFonts w:cs="Times New Roman"/>
                      <w:sz w:val="24"/>
                      <w:szCs w:val="24"/>
                    </w:rPr>
                    <w:t>R</w:t>
                  </w:r>
                  <w:r w:rsidRPr="00AC72C5" w:rsidR="0052166C">
                    <w:rPr>
                      <w:rFonts w:cs="Times New Roman"/>
                      <w:sz w:val="24"/>
                      <w:szCs w:val="24"/>
                    </w:rPr>
                    <w:t xml:space="preserve">egulas Nr. 1071/2009 </w:t>
                  </w:r>
                  <w:r w:rsidR="00BB59E3">
                    <w:rPr>
                      <w:rFonts w:cs="Times New Roman"/>
                      <w:sz w:val="24"/>
                      <w:szCs w:val="24"/>
                    </w:rPr>
                    <w:t>4. un 5.</w:t>
                  </w:r>
                  <w:r w:rsidRPr="00AC72C5" w:rsidR="0052166C">
                    <w:rPr>
                      <w:rFonts w:eastAsia="Times New Roman" w:cs="Times New Roman"/>
                      <w:sz w:val="24"/>
                      <w:szCs w:val="24"/>
                      <w:lang w:eastAsia="lv-LV"/>
                    </w:rPr>
                    <w:t>pants</w:t>
                  </w:r>
                </w:p>
              </w:tc>
              <w:tc>
                <w:tcPr>
                  <w:tcW w:w="1218" w:type="pct"/>
                </w:tcPr>
                <w:p w:rsidRPr="00AC72C5" w:rsidR="0052166C" w:rsidP="00D01653" w:rsidRDefault="00910EDA" w14:paraId="60796128" w14:textId="0E839306">
                  <w:pPr>
                    <w:ind w:firstLine="0"/>
                    <w:jc w:val="both"/>
                    <w:rPr>
                      <w:rFonts w:cs="Times New Roman"/>
                      <w:sz w:val="24"/>
                      <w:szCs w:val="24"/>
                    </w:rPr>
                  </w:pPr>
                  <w:r>
                    <w:rPr>
                      <w:rFonts w:eastAsia="Times New Roman" w:cs="Times New Roman"/>
                      <w:sz w:val="24"/>
                      <w:szCs w:val="24"/>
                      <w:lang w:eastAsia="lv-LV"/>
                    </w:rPr>
                    <w:t xml:space="preserve">Projekta </w:t>
                  </w:r>
                  <w:r w:rsidR="0052166C">
                    <w:rPr>
                      <w:rFonts w:eastAsia="Times New Roman" w:cs="Times New Roman"/>
                      <w:sz w:val="24"/>
                      <w:szCs w:val="24"/>
                      <w:lang w:eastAsia="lv-LV"/>
                    </w:rPr>
                    <w:t>3.</w:t>
                  </w:r>
                  <w:r w:rsidR="00F15742">
                    <w:rPr>
                      <w:rFonts w:eastAsia="Times New Roman" w:cs="Times New Roman"/>
                      <w:sz w:val="24"/>
                      <w:szCs w:val="24"/>
                      <w:lang w:eastAsia="lv-LV"/>
                    </w:rPr>
                    <w:t>1.</w:t>
                  </w:r>
                  <w:r w:rsidR="0052166C">
                    <w:rPr>
                      <w:rFonts w:eastAsia="Times New Roman" w:cs="Times New Roman"/>
                      <w:sz w:val="24"/>
                      <w:szCs w:val="24"/>
                      <w:lang w:eastAsia="lv-LV"/>
                    </w:rPr>
                    <w:t>apakš</w:t>
                  </w:r>
                  <w:r w:rsidRPr="00AC72C5" w:rsidR="0052166C">
                    <w:rPr>
                      <w:rFonts w:eastAsia="Times New Roman" w:cs="Times New Roman"/>
                      <w:sz w:val="24"/>
                      <w:szCs w:val="24"/>
                      <w:lang w:eastAsia="lv-LV"/>
                    </w:rPr>
                    <w:t>punkts</w:t>
                  </w:r>
                </w:p>
              </w:tc>
              <w:tc>
                <w:tcPr>
                  <w:tcW w:w="1239" w:type="pct"/>
                </w:tcPr>
                <w:p w:rsidRPr="00AC72C5" w:rsidR="0052166C" w:rsidP="00D01653" w:rsidRDefault="0052166C" w14:paraId="2B911F30" w14:textId="77777777">
                  <w:pPr>
                    <w:ind w:firstLine="0"/>
                    <w:jc w:val="both"/>
                    <w:rPr>
                      <w:rFonts w:cs="Times New Roman"/>
                      <w:sz w:val="24"/>
                      <w:szCs w:val="24"/>
                    </w:rPr>
                  </w:pPr>
                  <w:r w:rsidRPr="00AC72C5">
                    <w:rPr>
                      <w:rFonts w:eastAsia="Times New Roman" w:cs="Times New Roman"/>
                      <w:sz w:val="24"/>
                      <w:szCs w:val="24"/>
                      <w:lang w:eastAsia="lv-LV"/>
                    </w:rPr>
                    <w:t>Prasības tiek ieviestas pilnībā</w:t>
                  </w:r>
                </w:p>
              </w:tc>
              <w:tc>
                <w:tcPr>
                  <w:tcW w:w="1381" w:type="pct"/>
                </w:tcPr>
                <w:p w:rsidRPr="00E151F1" w:rsidR="0052166C" w:rsidP="00D01653" w:rsidRDefault="0052166C" w14:paraId="79663E3D" w14:textId="77777777">
                  <w:pPr>
                    <w:ind w:firstLine="0"/>
                    <w:rPr>
                      <w:sz w:val="24"/>
                      <w:szCs w:val="24"/>
                    </w:rPr>
                  </w:pPr>
                  <w:r w:rsidRPr="00DE2833">
                    <w:rPr>
                      <w:rFonts w:eastAsia="Times New Roman"/>
                      <w:sz w:val="24"/>
                      <w:szCs w:val="24"/>
                      <w:lang w:eastAsia="lv-LV"/>
                    </w:rPr>
                    <w:t>Projekts neparedz stingrākas prasības</w:t>
                  </w:r>
                </w:p>
              </w:tc>
            </w:tr>
            <w:tr w:rsidRPr="00E151F1" w:rsidR="00CE18F1" w:rsidTr="00496ABD" w14:paraId="38AAA19A" w14:textId="77777777">
              <w:tc>
                <w:tcPr>
                  <w:tcW w:w="1162" w:type="pct"/>
                </w:tcPr>
                <w:p w:rsidRPr="00AC72C5" w:rsidR="00CE18F1" w:rsidP="00CE18F1" w:rsidRDefault="007345A6" w14:paraId="05374B2D" w14:textId="441E3A97">
                  <w:pPr>
                    <w:ind w:firstLine="0"/>
                    <w:jc w:val="both"/>
                    <w:rPr>
                      <w:rFonts w:cs="Times New Roman"/>
                      <w:sz w:val="24"/>
                      <w:szCs w:val="24"/>
                    </w:rPr>
                  </w:pPr>
                  <w:r>
                    <w:rPr>
                      <w:rFonts w:cs="Times New Roman"/>
                      <w:sz w:val="24"/>
                      <w:szCs w:val="24"/>
                    </w:rPr>
                    <w:t>R</w:t>
                  </w:r>
                  <w:r w:rsidRPr="00AC72C5" w:rsidR="00CE18F1">
                    <w:rPr>
                      <w:rFonts w:cs="Times New Roman"/>
                      <w:sz w:val="24"/>
                      <w:szCs w:val="24"/>
                    </w:rPr>
                    <w:t xml:space="preserve">egulas Nr. 1071/2009 </w:t>
                  </w:r>
                  <w:r w:rsidR="00CE18F1">
                    <w:rPr>
                      <w:rFonts w:eastAsia="Times New Roman" w:cs="Times New Roman"/>
                      <w:sz w:val="24"/>
                      <w:szCs w:val="24"/>
                      <w:lang w:eastAsia="lv-LV"/>
                    </w:rPr>
                    <w:t>7</w:t>
                  </w:r>
                  <w:r w:rsidRPr="00AC72C5" w:rsidR="00CE18F1">
                    <w:rPr>
                      <w:rFonts w:eastAsia="Times New Roman" w:cs="Times New Roman"/>
                      <w:sz w:val="24"/>
                      <w:szCs w:val="24"/>
                      <w:lang w:eastAsia="lv-LV"/>
                    </w:rPr>
                    <w:t>.pants</w:t>
                  </w:r>
                </w:p>
              </w:tc>
              <w:tc>
                <w:tcPr>
                  <w:tcW w:w="1218" w:type="pct"/>
                </w:tcPr>
                <w:p w:rsidRPr="00AC72C5" w:rsidR="00CE18F1" w:rsidP="00CE18F1" w:rsidRDefault="007345A6" w14:paraId="354BA2BD" w14:textId="3C5C4083">
                  <w:pPr>
                    <w:ind w:firstLine="0"/>
                    <w:jc w:val="both"/>
                    <w:rPr>
                      <w:rFonts w:cs="Times New Roman"/>
                      <w:sz w:val="24"/>
                      <w:szCs w:val="24"/>
                    </w:rPr>
                  </w:pPr>
                  <w:r>
                    <w:rPr>
                      <w:rFonts w:eastAsia="Times New Roman" w:cs="Times New Roman"/>
                      <w:sz w:val="24"/>
                      <w:szCs w:val="24"/>
                      <w:lang w:eastAsia="lv-LV"/>
                    </w:rPr>
                    <w:t xml:space="preserve">Projekta </w:t>
                  </w:r>
                  <w:r w:rsidR="00E26482">
                    <w:rPr>
                      <w:rFonts w:eastAsia="Times New Roman" w:cs="Times New Roman"/>
                      <w:sz w:val="24"/>
                      <w:szCs w:val="24"/>
                      <w:lang w:eastAsia="lv-LV"/>
                    </w:rPr>
                    <w:t>3</w:t>
                  </w:r>
                  <w:r w:rsidR="00CE18F1">
                    <w:rPr>
                      <w:rFonts w:eastAsia="Times New Roman" w:cs="Times New Roman"/>
                      <w:sz w:val="24"/>
                      <w:szCs w:val="24"/>
                      <w:lang w:eastAsia="lv-LV"/>
                    </w:rPr>
                    <w:t>.3</w:t>
                  </w:r>
                  <w:r w:rsidRPr="00AC72C5" w:rsidR="00CE18F1">
                    <w:rPr>
                      <w:rFonts w:eastAsia="Times New Roman" w:cs="Times New Roman"/>
                      <w:sz w:val="24"/>
                      <w:szCs w:val="24"/>
                      <w:lang w:eastAsia="lv-LV"/>
                    </w:rPr>
                    <w:t>.</w:t>
                  </w:r>
                  <w:r w:rsidR="00CE18F1">
                    <w:rPr>
                      <w:rFonts w:eastAsia="Times New Roman" w:cs="Times New Roman"/>
                      <w:sz w:val="24"/>
                      <w:szCs w:val="24"/>
                      <w:lang w:eastAsia="lv-LV"/>
                    </w:rPr>
                    <w:t>apakš</w:t>
                  </w:r>
                  <w:r w:rsidRPr="00AC72C5" w:rsidR="00CE18F1">
                    <w:rPr>
                      <w:rFonts w:eastAsia="Times New Roman" w:cs="Times New Roman"/>
                      <w:sz w:val="24"/>
                      <w:szCs w:val="24"/>
                      <w:lang w:eastAsia="lv-LV"/>
                    </w:rPr>
                    <w:t>punkts</w:t>
                  </w:r>
                </w:p>
              </w:tc>
              <w:tc>
                <w:tcPr>
                  <w:tcW w:w="1239" w:type="pct"/>
                </w:tcPr>
                <w:p w:rsidRPr="00AC72C5" w:rsidR="00CE18F1" w:rsidP="00CE18F1" w:rsidRDefault="00CE18F1" w14:paraId="31AEF8A3" w14:textId="7E8C9342">
                  <w:pPr>
                    <w:ind w:firstLine="0"/>
                    <w:jc w:val="both"/>
                    <w:rPr>
                      <w:rFonts w:cs="Times New Roman"/>
                      <w:sz w:val="24"/>
                      <w:szCs w:val="24"/>
                    </w:rPr>
                  </w:pPr>
                  <w:r w:rsidRPr="00AC72C5">
                    <w:rPr>
                      <w:rFonts w:eastAsia="Times New Roman" w:cs="Times New Roman"/>
                      <w:sz w:val="24"/>
                      <w:szCs w:val="24"/>
                      <w:lang w:eastAsia="lv-LV"/>
                    </w:rPr>
                    <w:t>Prasības tiek ieviestas pilnībā</w:t>
                  </w:r>
                </w:p>
              </w:tc>
              <w:tc>
                <w:tcPr>
                  <w:tcW w:w="1381" w:type="pct"/>
                </w:tcPr>
                <w:p w:rsidRPr="00E151F1" w:rsidR="00CE18F1" w:rsidP="00CE18F1" w:rsidRDefault="00CE18F1" w14:paraId="20856619" w14:textId="71FA5092">
                  <w:pPr>
                    <w:ind w:firstLine="0"/>
                    <w:rPr>
                      <w:sz w:val="24"/>
                      <w:szCs w:val="24"/>
                    </w:rPr>
                  </w:pPr>
                  <w:r w:rsidRPr="00DE2833">
                    <w:rPr>
                      <w:rFonts w:eastAsia="Times New Roman"/>
                      <w:sz w:val="24"/>
                      <w:szCs w:val="24"/>
                      <w:lang w:eastAsia="lv-LV"/>
                    </w:rPr>
                    <w:t>Projekts neparedz stingrākas prasības</w:t>
                  </w:r>
                </w:p>
              </w:tc>
            </w:tr>
            <w:tr w:rsidRPr="00E151F1" w:rsidR="00CE18F1" w:rsidTr="00496ABD" w14:paraId="71F93F21" w14:textId="77777777">
              <w:tc>
                <w:tcPr>
                  <w:tcW w:w="1162" w:type="pct"/>
                </w:tcPr>
                <w:p w:rsidRPr="00AC72C5" w:rsidR="00CE18F1" w:rsidP="00CE18F1" w:rsidRDefault="007345A6" w14:paraId="05066698" w14:textId="56BA9B87">
                  <w:pPr>
                    <w:ind w:firstLine="0"/>
                    <w:jc w:val="both"/>
                    <w:rPr>
                      <w:rFonts w:cs="Times New Roman"/>
                      <w:sz w:val="24"/>
                      <w:szCs w:val="24"/>
                    </w:rPr>
                  </w:pPr>
                  <w:r>
                    <w:rPr>
                      <w:rFonts w:cs="Times New Roman"/>
                      <w:sz w:val="24"/>
                      <w:szCs w:val="24"/>
                    </w:rPr>
                    <w:t>R</w:t>
                  </w:r>
                  <w:r w:rsidRPr="00AC72C5" w:rsidR="00CE18F1">
                    <w:rPr>
                      <w:rFonts w:cs="Times New Roman"/>
                      <w:sz w:val="24"/>
                      <w:szCs w:val="24"/>
                    </w:rPr>
                    <w:t xml:space="preserve">egulas Nr. 1071/2009 </w:t>
                  </w:r>
                  <w:r w:rsidRPr="00D56C81" w:rsidR="00CE18F1">
                    <w:rPr>
                      <w:rFonts w:eastAsia="Times New Roman" w:cs="Times New Roman"/>
                      <w:sz w:val="24"/>
                      <w:szCs w:val="24"/>
                      <w:lang w:eastAsia="lv-LV"/>
                    </w:rPr>
                    <w:t>6. panta 1. punkta a) un b) apakšpunkti</w:t>
                  </w:r>
                </w:p>
              </w:tc>
              <w:tc>
                <w:tcPr>
                  <w:tcW w:w="1218" w:type="pct"/>
                </w:tcPr>
                <w:p w:rsidRPr="00AC72C5" w:rsidR="00CE18F1" w:rsidP="00CE18F1" w:rsidRDefault="007345A6" w14:paraId="619A79EF" w14:textId="1F2F8124">
                  <w:pPr>
                    <w:ind w:firstLine="0"/>
                    <w:jc w:val="both"/>
                    <w:rPr>
                      <w:rFonts w:cs="Times New Roman"/>
                      <w:sz w:val="24"/>
                      <w:szCs w:val="24"/>
                    </w:rPr>
                  </w:pPr>
                  <w:r>
                    <w:rPr>
                      <w:rFonts w:eastAsia="Times New Roman" w:cs="Times New Roman"/>
                      <w:sz w:val="24"/>
                      <w:szCs w:val="24"/>
                      <w:lang w:eastAsia="lv-LV"/>
                    </w:rPr>
                    <w:t xml:space="preserve">Projekta </w:t>
                  </w:r>
                  <w:r w:rsidR="00E26482">
                    <w:rPr>
                      <w:rFonts w:eastAsia="Times New Roman" w:cs="Times New Roman"/>
                      <w:sz w:val="24"/>
                      <w:szCs w:val="24"/>
                      <w:lang w:eastAsia="lv-LV"/>
                    </w:rPr>
                    <w:t>4</w:t>
                  </w:r>
                  <w:r w:rsidRPr="00AC72C5" w:rsidR="00CE18F1">
                    <w:rPr>
                      <w:rFonts w:eastAsia="Times New Roman" w:cs="Times New Roman"/>
                      <w:sz w:val="24"/>
                      <w:szCs w:val="24"/>
                      <w:lang w:eastAsia="lv-LV"/>
                    </w:rPr>
                    <w:t>.</w:t>
                  </w:r>
                  <w:r w:rsidR="00CE18F1">
                    <w:rPr>
                      <w:rFonts w:eastAsia="Times New Roman" w:cs="Times New Roman"/>
                      <w:sz w:val="24"/>
                      <w:szCs w:val="24"/>
                      <w:lang w:eastAsia="lv-LV"/>
                    </w:rPr>
                    <w:t>4. apakš</w:t>
                  </w:r>
                  <w:r w:rsidRPr="00AC72C5" w:rsidR="00CE18F1">
                    <w:rPr>
                      <w:rFonts w:eastAsia="Times New Roman" w:cs="Times New Roman"/>
                      <w:sz w:val="24"/>
                      <w:szCs w:val="24"/>
                      <w:lang w:eastAsia="lv-LV"/>
                    </w:rPr>
                    <w:t>punkts</w:t>
                  </w:r>
                </w:p>
              </w:tc>
              <w:tc>
                <w:tcPr>
                  <w:tcW w:w="1239" w:type="pct"/>
                </w:tcPr>
                <w:p w:rsidRPr="00AC72C5" w:rsidR="00CE18F1" w:rsidP="00CE18F1" w:rsidRDefault="00CE18F1" w14:paraId="7E449FCF" w14:textId="2AF1EC26">
                  <w:pPr>
                    <w:ind w:firstLine="0"/>
                    <w:jc w:val="both"/>
                    <w:rPr>
                      <w:rFonts w:cs="Times New Roman"/>
                      <w:sz w:val="24"/>
                      <w:szCs w:val="24"/>
                    </w:rPr>
                  </w:pPr>
                  <w:r w:rsidRPr="00AC72C5">
                    <w:rPr>
                      <w:rFonts w:eastAsia="Times New Roman" w:cs="Times New Roman"/>
                      <w:sz w:val="24"/>
                      <w:szCs w:val="24"/>
                      <w:lang w:eastAsia="lv-LV"/>
                    </w:rPr>
                    <w:t>Prasības tiek ieviestas pilnībā</w:t>
                  </w:r>
                </w:p>
              </w:tc>
              <w:tc>
                <w:tcPr>
                  <w:tcW w:w="1381" w:type="pct"/>
                </w:tcPr>
                <w:p w:rsidRPr="00E151F1" w:rsidR="00CE18F1" w:rsidP="00CE18F1" w:rsidRDefault="00CE18F1" w14:paraId="29B3CE2C" w14:textId="1DFD3211">
                  <w:pPr>
                    <w:ind w:firstLine="0"/>
                    <w:rPr>
                      <w:sz w:val="24"/>
                      <w:szCs w:val="24"/>
                    </w:rPr>
                  </w:pPr>
                  <w:r w:rsidRPr="00DE2833">
                    <w:rPr>
                      <w:rFonts w:eastAsia="Times New Roman"/>
                      <w:sz w:val="24"/>
                      <w:szCs w:val="24"/>
                      <w:lang w:eastAsia="lv-LV"/>
                    </w:rPr>
                    <w:t>Projekts neparedz stingrākas prasības</w:t>
                  </w:r>
                </w:p>
              </w:tc>
            </w:tr>
            <w:tr w:rsidRPr="00E151F1" w:rsidR="00CE18F1" w:rsidTr="00496ABD" w14:paraId="12012EE7" w14:textId="77777777">
              <w:tc>
                <w:tcPr>
                  <w:tcW w:w="1162" w:type="pct"/>
                </w:tcPr>
                <w:p w:rsidRPr="00AC72C5" w:rsidR="00CE18F1" w:rsidP="00CE18F1" w:rsidRDefault="007345A6" w14:paraId="01F7CA55" w14:textId="4FED80BB">
                  <w:pPr>
                    <w:ind w:firstLine="0"/>
                    <w:jc w:val="both"/>
                    <w:rPr>
                      <w:rFonts w:cs="Times New Roman"/>
                      <w:sz w:val="24"/>
                      <w:szCs w:val="24"/>
                    </w:rPr>
                  </w:pPr>
                  <w:r>
                    <w:rPr>
                      <w:rFonts w:cs="Times New Roman"/>
                      <w:sz w:val="24"/>
                      <w:szCs w:val="24"/>
                    </w:rPr>
                    <w:t>R</w:t>
                  </w:r>
                  <w:r w:rsidRPr="00AC72C5" w:rsidR="00CE18F1">
                    <w:rPr>
                      <w:rFonts w:cs="Times New Roman"/>
                      <w:sz w:val="24"/>
                      <w:szCs w:val="24"/>
                    </w:rPr>
                    <w:t xml:space="preserve">egulas Nr. 1071/2009 </w:t>
                  </w:r>
                  <w:r w:rsidRPr="00D56C81" w:rsidR="00CE18F1">
                    <w:rPr>
                      <w:rFonts w:eastAsia="Times New Roman" w:cs="Times New Roman"/>
                      <w:sz w:val="24"/>
                      <w:szCs w:val="24"/>
                      <w:lang w:eastAsia="lv-LV"/>
                    </w:rPr>
                    <w:t>11.panta 4.punkt</w:t>
                  </w:r>
                  <w:r w:rsidR="00CE18F1">
                    <w:rPr>
                      <w:rFonts w:eastAsia="Times New Roman" w:cs="Times New Roman"/>
                      <w:sz w:val="24"/>
                      <w:szCs w:val="24"/>
                      <w:lang w:eastAsia="lv-LV"/>
                    </w:rPr>
                    <w:t>s</w:t>
                  </w:r>
                </w:p>
              </w:tc>
              <w:tc>
                <w:tcPr>
                  <w:tcW w:w="1218" w:type="pct"/>
                </w:tcPr>
                <w:p w:rsidRPr="00AC72C5" w:rsidR="00CE18F1" w:rsidP="00CE18F1" w:rsidRDefault="007345A6" w14:paraId="1A19BD61" w14:textId="20BA1E77">
                  <w:pPr>
                    <w:ind w:firstLine="0"/>
                    <w:jc w:val="both"/>
                    <w:rPr>
                      <w:rFonts w:cs="Times New Roman"/>
                      <w:sz w:val="24"/>
                      <w:szCs w:val="24"/>
                    </w:rPr>
                  </w:pPr>
                  <w:r>
                    <w:rPr>
                      <w:rFonts w:eastAsia="Times New Roman" w:cs="Times New Roman"/>
                      <w:sz w:val="24"/>
                      <w:szCs w:val="24"/>
                      <w:lang w:eastAsia="lv-LV"/>
                    </w:rPr>
                    <w:t xml:space="preserve">Projekta </w:t>
                  </w:r>
                  <w:r w:rsidR="00E26482">
                    <w:rPr>
                      <w:rFonts w:eastAsia="Times New Roman" w:cs="Times New Roman"/>
                      <w:sz w:val="24"/>
                      <w:szCs w:val="24"/>
                      <w:lang w:eastAsia="lv-LV"/>
                    </w:rPr>
                    <w:t>4</w:t>
                  </w:r>
                  <w:r w:rsidRPr="00AC72C5" w:rsidR="00CE18F1">
                    <w:rPr>
                      <w:rFonts w:eastAsia="Times New Roman" w:cs="Times New Roman"/>
                      <w:sz w:val="24"/>
                      <w:szCs w:val="24"/>
                      <w:lang w:eastAsia="lv-LV"/>
                    </w:rPr>
                    <w:t>.</w:t>
                  </w:r>
                  <w:r w:rsidR="00CE18F1">
                    <w:rPr>
                      <w:rFonts w:eastAsia="Times New Roman" w:cs="Times New Roman"/>
                      <w:sz w:val="24"/>
                      <w:szCs w:val="24"/>
                      <w:lang w:eastAsia="lv-LV"/>
                    </w:rPr>
                    <w:t>5</w:t>
                  </w:r>
                  <w:r w:rsidRPr="00AC72C5" w:rsidR="00CE18F1">
                    <w:rPr>
                      <w:rFonts w:eastAsia="Times New Roman" w:cs="Times New Roman"/>
                      <w:sz w:val="24"/>
                      <w:szCs w:val="24"/>
                      <w:lang w:eastAsia="lv-LV"/>
                    </w:rPr>
                    <w:t>.apakšpunkts</w:t>
                  </w:r>
                </w:p>
              </w:tc>
              <w:tc>
                <w:tcPr>
                  <w:tcW w:w="1239" w:type="pct"/>
                </w:tcPr>
                <w:p w:rsidRPr="00AC72C5" w:rsidR="00CE18F1" w:rsidP="00CE18F1" w:rsidRDefault="00CE18F1" w14:paraId="6882E2F1" w14:textId="15767BDD">
                  <w:pPr>
                    <w:ind w:firstLine="0"/>
                    <w:jc w:val="both"/>
                    <w:rPr>
                      <w:rFonts w:cs="Times New Roman"/>
                      <w:sz w:val="24"/>
                      <w:szCs w:val="24"/>
                    </w:rPr>
                  </w:pPr>
                  <w:r w:rsidRPr="00AC72C5">
                    <w:rPr>
                      <w:rFonts w:eastAsia="Times New Roman" w:cs="Times New Roman"/>
                      <w:sz w:val="24"/>
                      <w:szCs w:val="24"/>
                      <w:lang w:eastAsia="lv-LV"/>
                    </w:rPr>
                    <w:t>Prasības tiek ieviestas pilnībā</w:t>
                  </w:r>
                </w:p>
              </w:tc>
              <w:tc>
                <w:tcPr>
                  <w:tcW w:w="1381" w:type="pct"/>
                </w:tcPr>
                <w:p w:rsidRPr="00E151F1" w:rsidR="00CE18F1" w:rsidP="00CE18F1" w:rsidRDefault="00CE18F1" w14:paraId="00492AF2" w14:textId="7D7A7DE9">
                  <w:pPr>
                    <w:ind w:firstLine="0"/>
                    <w:rPr>
                      <w:sz w:val="24"/>
                      <w:szCs w:val="24"/>
                    </w:rPr>
                  </w:pPr>
                  <w:r w:rsidRPr="00DE2833">
                    <w:rPr>
                      <w:rFonts w:eastAsia="Times New Roman"/>
                      <w:sz w:val="24"/>
                      <w:szCs w:val="24"/>
                      <w:lang w:eastAsia="lv-LV"/>
                    </w:rPr>
                    <w:t>Projekts neparedz stingrākas prasības</w:t>
                  </w:r>
                </w:p>
              </w:tc>
            </w:tr>
            <w:tr w:rsidRPr="00E151F1" w:rsidR="000D6624" w:rsidTr="00496ABD" w14:paraId="5EEE6B2D" w14:textId="77777777">
              <w:tc>
                <w:tcPr>
                  <w:tcW w:w="1162" w:type="pct"/>
                </w:tcPr>
                <w:p w:rsidRPr="00AC72C5" w:rsidR="000D6624" w:rsidP="000D6624" w:rsidRDefault="007345A6" w14:paraId="53719253" w14:textId="657054FB">
                  <w:pPr>
                    <w:ind w:firstLine="0"/>
                    <w:jc w:val="both"/>
                    <w:rPr>
                      <w:rFonts w:cs="Times New Roman"/>
                      <w:sz w:val="24"/>
                      <w:szCs w:val="24"/>
                    </w:rPr>
                  </w:pPr>
                  <w:r>
                    <w:rPr>
                      <w:rFonts w:cs="Times New Roman"/>
                      <w:sz w:val="24"/>
                      <w:szCs w:val="24"/>
                    </w:rPr>
                    <w:lastRenderedPageBreak/>
                    <w:t>R</w:t>
                  </w:r>
                  <w:r w:rsidRPr="00AC72C5" w:rsidR="000D6624">
                    <w:rPr>
                      <w:rFonts w:cs="Times New Roman"/>
                      <w:sz w:val="24"/>
                      <w:szCs w:val="24"/>
                    </w:rPr>
                    <w:t xml:space="preserve">egulas Nr. 1071/2009 </w:t>
                  </w:r>
                  <w:r w:rsidRPr="00D56C81" w:rsidR="000D6624">
                    <w:rPr>
                      <w:rFonts w:eastAsia="Times New Roman" w:cs="Times New Roman"/>
                      <w:sz w:val="24"/>
                      <w:szCs w:val="24"/>
                      <w:lang w:eastAsia="lv-LV"/>
                    </w:rPr>
                    <w:t>8.panta un I, II un III pielikum</w:t>
                  </w:r>
                  <w:r w:rsidR="000D6624">
                    <w:rPr>
                      <w:rFonts w:eastAsia="Times New Roman" w:cs="Times New Roman"/>
                      <w:sz w:val="24"/>
                      <w:szCs w:val="24"/>
                      <w:lang w:eastAsia="lv-LV"/>
                    </w:rPr>
                    <w:t>s</w:t>
                  </w:r>
                </w:p>
              </w:tc>
              <w:tc>
                <w:tcPr>
                  <w:tcW w:w="1218" w:type="pct"/>
                </w:tcPr>
                <w:p w:rsidRPr="00AC72C5" w:rsidR="000D6624" w:rsidP="000D6624" w:rsidRDefault="007345A6" w14:paraId="47076A05" w14:textId="7C7A079C">
                  <w:pPr>
                    <w:ind w:firstLine="0"/>
                    <w:jc w:val="both"/>
                    <w:rPr>
                      <w:rFonts w:cs="Times New Roman"/>
                      <w:sz w:val="24"/>
                      <w:szCs w:val="24"/>
                    </w:rPr>
                  </w:pPr>
                  <w:r>
                    <w:rPr>
                      <w:rFonts w:eastAsia="Times New Roman" w:cs="Times New Roman"/>
                      <w:sz w:val="24"/>
                      <w:szCs w:val="24"/>
                      <w:lang w:eastAsia="lv-LV"/>
                    </w:rPr>
                    <w:t xml:space="preserve">Projekta </w:t>
                  </w:r>
                  <w:r w:rsidR="00E26482">
                    <w:rPr>
                      <w:rFonts w:eastAsia="Times New Roman" w:cs="Times New Roman"/>
                      <w:sz w:val="24"/>
                      <w:szCs w:val="24"/>
                      <w:lang w:eastAsia="lv-LV"/>
                    </w:rPr>
                    <w:t>1</w:t>
                  </w:r>
                  <w:r w:rsidR="00575EC1">
                    <w:rPr>
                      <w:rFonts w:eastAsia="Times New Roman" w:cs="Times New Roman"/>
                      <w:sz w:val="24"/>
                      <w:szCs w:val="24"/>
                      <w:lang w:eastAsia="lv-LV"/>
                    </w:rPr>
                    <w:t>9</w:t>
                  </w:r>
                  <w:r w:rsidRPr="00AC72C5" w:rsidR="000D6624">
                    <w:rPr>
                      <w:rFonts w:eastAsia="Times New Roman" w:cs="Times New Roman"/>
                      <w:sz w:val="24"/>
                      <w:szCs w:val="24"/>
                      <w:lang w:eastAsia="lv-LV"/>
                    </w:rPr>
                    <w:t>.punkts</w:t>
                  </w:r>
                </w:p>
              </w:tc>
              <w:tc>
                <w:tcPr>
                  <w:tcW w:w="1239" w:type="pct"/>
                </w:tcPr>
                <w:p w:rsidRPr="00AC72C5" w:rsidR="000D6624" w:rsidP="000D6624" w:rsidRDefault="000D6624" w14:paraId="027B22ED" w14:textId="6AE53F52">
                  <w:pPr>
                    <w:ind w:firstLine="0"/>
                    <w:jc w:val="both"/>
                    <w:rPr>
                      <w:rFonts w:cs="Times New Roman"/>
                      <w:sz w:val="24"/>
                      <w:szCs w:val="24"/>
                    </w:rPr>
                  </w:pPr>
                  <w:r w:rsidRPr="00AC72C5">
                    <w:rPr>
                      <w:rFonts w:eastAsia="Times New Roman" w:cs="Times New Roman"/>
                      <w:sz w:val="24"/>
                      <w:szCs w:val="24"/>
                      <w:lang w:eastAsia="lv-LV"/>
                    </w:rPr>
                    <w:t>Prasības tiek ieviestas pilnībā</w:t>
                  </w:r>
                </w:p>
              </w:tc>
              <w:tc>
                <w:tcPr>
                  <w:tcW w:w="1381" w:type="pct"/>
                </w:tcPr>
                <w:p w:rsidRPr="00E151F1" w:rsidR="000D6624" w:rsidP="000D6624" w:rsidRDefault="000D6624" w14:paraId="48F7A129" w14:textId="77BB2AE4">
                  <w:pPr>
                    <w:ind w:firstLine="0"/>
                    <w:rPr>
                      <w:sz w:val="24"/>
                      <w:szCs w:val="24"/>
                    </w:rPr>
                  </w:pPr>
                  <w:r w:rsidRPr="00DE2833">
                    <w:rPr>
                      <w:rFonts w:eastAsia="Times New Roman"/>
                      <w:sz w:val="24"/>
                      <w:szCs w:val="24"/>
                      <w:lang w:eastAsia="lv-LV"/>
                    </w:rPr>
                    <w:t>Projekts neparedz stingrākas prasības</w:t>
                  </w:r>
                </w:p>
              </w:tc>
            </w:tr>
            <w:tr w:rsidRPr="00E151F1" w:rsidR="000D6624" w:rsidTr="00496ABD" w14:paraId="19AB7FE7" w14:textId="77777777">
              <w:tc>
                <w:tcPr>
                  <w:tcW w:w="1162" w:type="pct"/>
                </w:tcPr>
                <w:p w:rsidRPr="00AC72C5" w:rsidR="000D6624" w:rsidP="000D6624" w:rsidRDefault="007345A6" w14:paraId="7B92808D" w14:textId="2179133A">
                  <w:pPr>
                    <w:ind w:firstLine="0"/>
                    <w:jc w:val="both"/>
                    <w:rPr>
                      <w:rFonts w:cs="Times New Roman"/>
                      <w:sz w:val="24"/>
                      <w:szCs w:val="24"/>
                    </w:rPr>
                  </w:pPr>
                  <w:r>
                    <w:rPr>
                      <w:rFonts w:cs="Times New Roman"/>
                      <w:sz w:val="24"/>
                      <w:szCs w:val="24"/>
                    </w:rPr>
                    <w:t>R</w:t>
                  </w:r>
                  <w:r w:rsidRPr="00AC72C5" w:rsidR="000D6624">
                    <w:rPr>
                      <w:rFonts w:cs="Times New Roman"/>
                      <w:sz w:val="24"/>
                      <w:szCs w:val="24"/>
                    </w:rPr>
                    <w:t xml:space="preserve">egulas Nr. 1071/2009 </w:t>
                  </w:r>
                  <w:r w:rsidRPr="00D56C81" w:rsidR="000D6624">
                    <w:rPr>
                      <w:rFonts w:eastAsia="Times New Roman" w:cs="Times New Roman"/>
                      <w:sz w:val="24"/>
                      <w:szCs w:val="24"/>
                      <w:lang w:eastAsia="lv-LV"/>
                    </w:rPr>
                    <w:t>I pielikuma II nodaļa</w:t>
                  </w:r>
                </w:p>
              </w:tc>
              <w:tc>
                <w:tcPr>
                  <w:tcW w:w="1218" w:type="pct"/>
                </w:tcPr>
                <w:p w:rsidRPr="00AC72C5" w:rsidR="000D6624" w:rsidP="000D6624" w:rsidRDefault="007345A6" w14:paraId="3E5A8DF2" w14:textId="7082DB16">
                  <w:pPr>
                    <w:ind w:firstLine="0"/>
                    <w:jc w:val="both"/>
                    <w:rPr>
                      <w:rFonts w:cs="Times New Roman"/>
                      <w:sz w:val="24"/>
                      <w:szCs w:val="24"/>
                    </w:rPr>
                  </w:pPr>
                  <w:r>
                    <w:rPr>
                      <w:rFonts w:eastAsia="Times New Roman" w:cs="Times New Roman"/>
                      <w:sz w:val="24"/>
                      <w:szCs w:val="24"/>
                      <w:lang w:eastAsia="lv-LV"/>
                    </w:rPr>
                    <w:t xml:space="preserve">Projekta </w:t>
                  </w:r>
                  <w:r w:rsidR="000E6785">
                    <w:rPr>
                      <w:rFonts w:eastAsia="Times New Roman" w:cs="Times New Roman"/>
                      <w:sz w:val="24"/>
                      <w:szCs w:val="24"/>
                      <w:lang w:eastAsia="lv-LV"/>
                    </w:rPr>
                    <w:t>2</w:t>
                  </w:r>
                  <w:r w:rsidR="00E26482">
                    <w:rPr>
                      <w:rFonts w:eastAsia="Times New Roman" w:cs="Times New Roman"/>
                      <w:sz w:val="24"/>
                      <w:szCs w:val="24"/>
                      <w:lang w:eastAsia="lv-LV"/>
                    </w:rPr>
                    <w:t>0</w:t>
                  </w:r>
                  <w:r w:rsidRPr="00AC72C5" w:rsidR="000D6624">
                    <w:rPr>
                      <w:rFonts w:eastAsia="Times New Roman" w:cs="Times New Roman"/>
                      <w:sz w:val="24"/>
                      <w:szCs w:val="24"/>
                      <w:lang w:eastAsia="lv-LV"/>
                    </w:rPr>
                    <w:t>.punkts</w:t>
                  </w:r>
                </w:p>
              </w:tc>
              <w:tc>
                <w:tcPr>
                  <w:tcW w:w="1239" w:type="pct"/>
                </w:tcPr>
                <w:p w:rsidRPr="00AC72C5" w:rsidR="000D6624" w:rsidP="000D6624" w:rsidRDefault="000D6624" w14:paraId="330445F8" w14:textId="626961A4">
                  <w:pPr>
                    <w:ind w:firstLine="0"/>
                    <w:jc w:val="both"/>
                    <w:rPr>
                      <w:rFonts w:cs="Times New Roman"/>
                      <w:sz w:val="24"/>
                      <w:szCs w:val="24"/>
                    </w:rPr>
                  </w:pPr>
                  <w:r w:rsidRPr="00AC72C5">
                    <w:rPr>
                      <w:rFonts w:eastAsia="Times New Roman" w:cs="Times New Roman"/>
                      <w:sz w:val="24"/>
                      <w:szCs w:val="24"/>
                      <w:lang w:eastAsia="lv-LV"/>
                    </w:rPr>
                    <w:t>Prasības tiek ieviestas pilnībā</w:t>
                  </w:r>
                </w:p>
              </w:tc>
              <w:tc>
                <w:tcPr>
                  <w:tcW w:w="1381" w:type="pct"/>
                </w:tcPr>
                <w:p w:rsidRPr="00E151F1" w:rsidR="000D6624" w:rsidP="000D6624" w:rsidRDefault="000D6624" w14:paraId="45FD18C1" w14:textId="7FD3B14F">
                  <w:pPr>
                    <w:ind w:firstLine="0"/>
                    <w:rPr>
                      <w:sz w:val="24"/>
                      <w:szCs w:val="24"/>
                    </w:rPr>
                  </w:pPr>
                  <w:r w:rsidRPr="00DE2833">
                    <w:rPr>
                      <w:rFonts w:eastAsia="Times New Roman"/>
                      <w:sz w:val="24"/>
                      <w:szCs w:val="24"/>
                      <w:lang w:eastAsia="lv-LV"/>
                    </w:rPr>
                    <w:t>Projekts neparedz stingrākas prasības</w:t>
                  </w:r>
                </w:p>
              </w:tc>
            </w:tr>
            <w:tr w:rsidRPr="00E151F1" w:rsidR="000D6624" w:rsidTr="00496ABD" w14:paraId="7BD98B76" w14:textId="77777777">
              <w:tc>
                <w:tcPr>
                  <w:tcW w:w="1162" w:type="pct"/>
                </w:tcPr>
                <w:p w:rsidRPr="00AC72C5" w:rsidR="000D6624" w:rsidP="000D6624" w:rsidRDefault="007345A6" w14:paraId="635687F3" w14:textId="3CE35D14">
                  <w:pPr>
                    <w:ind w:firstLine="0"/>
                    <w:jc w:val="both"/>
                    <w:rPr>
                      <w:rFonts w:cs="Times New Roman"/>
                      <w:sz w:val="24"/>
                      <w:szCs w:val="24"/>
                    </w:rPr>
                  </w:pPr>
                  <w:r>
                    <w:rPr>
                      <w:rFonts w:cs="Times New Roman"/>
                      <w:sz w:val="24"/>
                      <w:szCs w:val="24"/>
                    </w:rPr>
                    <w:t>R</w:t>
                  </w:r>
                  <w:r w:rsidRPr="00AC72C5" w:rsidR="000D6624">
                    <w:rPr>
                      <w:rFonts w:cs="Times New Roman"/>
                      <w:sz w:val="24"/>
                      <w:szCs w:val="24"/>
                    </w:rPr>
                    <w:t xml:space="preserve">egulas Nr. 1071/2009 </w:t>
                  </w:r>
                  <w:r w:rsidRPr="00BE7C65" w:rsidR="000D6624">
                    <w:rPr>
                      <w:rFonts w:eastAsia="Times New Roman" w:cs="Times New Roman"/>
                      <w:sz w:val="24"/>
                      <w:szCs w:val="24"/>
                      <w:lang w:eastAsia="lv-LV"/>
                    </w:rPr>
                    <w:t>I pielikuma II daļas</w:t>
                  </w:r>
                  <w:r w:rsidR="000D6624">
                    <w:rPr>
                      <w:rFonts w:eastAsia="Times New Roman" w:cs="Times New Roman"/>
                      <w:sz w:val="24"/>
                      <w:szCs w:val="24"/>
                      <w:lang w:eastAsia="lv-LV"/>
                    </w:rPr>
                    <w:t xml:space="preserve"> 2. un</w:t>
                  </w:r>
                  <w:r w:rsidRPr="00BE7C65" w:rsidR="000D6624">
                    <w:rPr>
                      <w:rFonts w:eastAsia="Times New Roman" w:cs="Times New Roman"/>
                      <w:sz w:val="24"/>
                      <w:szCs w:val="24"/>
                      <w:lang w:eastAsia="lv-LV"/>
                    </w:rPr>
                    <w:t xml:space="preserve"> 3.punkt</w:t>
                  </w:r>
                  <w:r w:rsidR="000D6624">
                    <w:rPr>
                      <w:rFonts w:eastAsia="Times New Roman" w:cs="Times New Roman"/>
                      <w:sz w:val="24"/>
                      <w:szCs w:val="24"/>
                      <w:lang w:eastAsia="lv-LV"/>
                    </w:rPr>
                    <w:t>s</w:t>
                  </w:r>
                </w:p>
              </w:tc>
              <w:tc>
                <w:tcPr>
                  <w:tcW w:w="1218" w:type="pct"/>
                </w:tcPr>
                <w:p w:rsidRPr="00AC72C5" w:rsidR="000D6624" w:rsidP="000D6624" w:rsidRDefault="007345A6" w14:paraId="09AA569D" w14:textId="671BDF17">
                  <w:pPr>
                    <w:ind w:firstLine="0"/>
                    <w:jc w:val="both"/>
                    <w:rPr>
                      <w:rFonts w:cs="Times New Roman"/>
                      <w:sz w:val="24"/>
                      <w:szCs w:val="24"/>
                    </w:rPr>
                  </w:pPr>
                  <w:r>
                    <w:rPr>
                      <w:rFonts w:eastAsia="Times New Roman" w:cs="Times New Roman"/>
                      <w:sz w:val="24"/>
                      <w:szCs w:val="24"/>
                      <w:lang w:eastAsia="lv-LV"/>
                    </w:rPr>
                    <w:t xml:space="preserve">Projekta </w:t>
                  </w:r>
                  <w:r w:rsidR="000E6785">
                    <w:rPr>
                      <w:rFonts w:eastAsia="Times New Roman" w:cs="Times New Roman"/>
                      <w:sz w:val="24"/>
                      <w:szCs w:val="24"/>
                      <w:lang w:eastAsia="lv-LV"/>
                    </w:rPr>
                    <w:t>2</w:t>
                  </w:r>
                  <w:r w:rsidR="00E26482">
                    <w:rPr>
                      <w:rFonts w:eastAsia="Times New Roman" w:cs="Times New Roman"/>
                      <w:sz w:val="24"/>
                      <w:szCs w:val="24"/>
                      <w:lang w:eastAsia="lv-LV"/>
                    </w:rPr>
                    <w:t>1</w:t>
                  </w:r>
                  <w:r w:rsidRPr="00AC72C5" w:rsidR="000D6624">
                    <w:rPr>
                      <w:rFonts w:eastAsia="Times New Roman" w:cs="Times New Roman"/>
                      <w:sz w:val="24"/>
                      <w:szCs w:val="24"/>
                      <w:lang w:eastAsia="lv-LV"/>
                    </w:rPr>
                    <w:t>.punkts</w:t>
                  </w:r>
                </w:p>
              </w:tc>
              <w:tc>
                <w:tcPr>
                  <w:tcW w:w="1239" w:type="pct"/>
                </w:tcPr>
                <w:p w:rsidRPr="00AC72C5" w:rsidR="000D6624" w:rsidP="000D6624" w:rsidRDefault="000D6624" w14:paraId="66C976A3" w14:textId="774610A4">
                  <w:pPr>
                    <w:ind w:firstLine="0"/>
                    <w:jc w:val="both"/>
                    <w:rPr>
                      <w:rFonts w:cs="Times New Roman"/>
                      <w:sz w:val="24"/>
                      <w:szCs w:val="24"/>
                    </w:rPr>
                  </w:pPr>
                  <w:r w:rsidRPr="00AC72C5">
                    <w:rPr>
                      <w:rFonts w:eastAsia="Times New Roman" w:cs="Times New Roman"/>
                      <w:sz w:val="24"/>
                      <w:szCs w:val="24"/>
                      <w:lang w:eastAsia="lv-LV"/>
                    </w:rPr>
                    <w:t>Prasības tiek ieviestas pilnībā</w:t>
                  </w:r>
                </w:p>
              </w:tc>
              <w:tc>
                <w:tcPr>
                  <w:tcW w:w="1381" w:type="pct"/>
                </w:tcPr>
                <w:p w:rsidRPr="00E151F1" w:rsidR="000D6624" w:rsidP="000D6624" w:rsidRDefault="000D6624" w14:paraId="59D92E7E" w14:textId="55F967FA">
                  <w:pPr>
                    <w:ind w:firstLine="0"/>
                    <w:rPr>
                      <w:sz w:val="24"/>
                      <w:szCs w:val="24"/>
                    </w:rPr>
                  </w:pPr>
                  <w:r w:rsidRPr="00DE2833">
                    <w:rPr>
                      <w:rFonts w:eastAsia="Times New Roman"/>
                      <w:sz w:val="24"/>
                      <w:szCs w:val="24"/>
                      <w:lang w:eastAsia="lv-LV"/>
                    </w:rPr>
                    <w:t>Projekts neparedz stingrākas prasības</w:t>
                  </w:r>
                </w:p>
              </w:tc>
            </w:tr>
            <w:tr w:rsidRPr="00E151F1" w:rsidR="000D6624" w:rsidTr="00496ABD" w14:paraId="28609AAA" w14:textId="77777777">
              <w:tc>
                <w:tcPr>
                  <w:tcW w:w="1162" w:type="pct"/>
                  <w:hideMark/>
                </w:tcPr>
                <w:p w:rsidRPr="00E151F1" w:rsidR="000D6624" w:rsidP="000D6624" w:rsidRDefault="000D6624" w14:paraId="3A2D2405" w14:textId="77777777">
                  <w:pPr>
                    <w:ind w:firstLine="0"/>
                    <w:rPr>
                      <w:sz w:val="24"/>
                      <w:szCs w:val="24"/>
                    </w:rPr>
                  </w:pPr>
                  <w:r w:rsidRPr="00E151F1">
                    <w:rPr>
                      <w:sz w:val="24"/>
                      <w:szCs w:val="24"/>
                    </w:rPr>
                    <w:t>Kā ir izmantota ES tiesību aktā paredzētā rīcības brīvība dalībvalstij pārņemt vai ieviest noteiktas ES tiesību akta normas?</w:t>
                  </w:r>
                  <w:r w:rsidRPr="00E151F1">
                    <w:rPr>
                      <w:sz w:val="24"/>
                      <w:szCs w:val="24"/>
                    </w:rPr>
                    <w:br/>
                    <w:t>Kādēļ?</w:t>
                  </w:r>
                </w:p>
              </w:tc>
              <w:tc>
                <w:tcPr>
                  <w:tcW w:w="3838" w:type="pct"/>
                  <w:gridSpan w:val="3"/>
                </w:tcPr>
                <w:p w:rsidRPr="00AE234F" w:rsidR="000D6624" w:rsidP="00C4086A" w:rsidRDefault="000D6624" w14:paraId="70CBB54C" w14:textId="77777777">
                  <w:pPr>
                    <w:spacing w:before="68" w:after="68"/>
                    <w:ind w:firstLine="0"/>
                    <w:jc w:val="both"/>
                    <w:rPr>
                      <w:rFonts w:eastAsia="Times New Roman"/>
                      <w:sz w:val="24"/>
                      <w:szCs w:val="24"/>
                      <w:lang w:eastAsia="lv-LV"/>
                    </w:rPr>
                  </w:pPr>
                  <w:r w:rsidRPr="00AE234F">
                    <w:rPr>
                      <w:rFonts w:eastAsia="Times New Roman"/>
                      <w:sz w:val="24"/>
                      <w:szCs w:val="24"/>
                      <w:lang w:eastAsia="lv-LV"/>
                    </w:rPr>
                    <w:t xml:space="preserve">Noteikumu projekts paredz </w:t>
                  </w:r>
                  <w:r w:rsidRPr="00AE234F">
                    <w:rPr>
                      <w:rFonts w:eastAsia="Times New Roman"/>
                      <w:bCs/>
                      <w:sz w:val="24"/>
                      <w:szCs w:val="24"/>
                      <w:lang w:eastAsia="lv-LV"/>
                    </w:rPr>
                    <w:t xml:space="preserve">Regulu piemērot arī </w:t>
                  </w:r>
                  <w:r w:rsidRPr="00AE234F">
                    <w:rPr>
                      <w:rFonts w:eastAsia="Times New Roman"/>
                      <w:sz w:val="24"/>
                      <w:szCs w:val="24"/>
                      <w:lang w:eastAsia="lv-LV"/>
                    </w:rPr>
                    <w:t xml:space="preserve">uzņēmumiem, kas veic kravu autopārvadātāja profesionālo darbību, izmantojot mehāniskos transportlīdzekļus vai transportlīdzekļu apvienojumus, kuru pilna masa nepārsniedz 3,5 tonnas, atbilstoši Regulas Nr. 1071/2009 1.panta 4.punkta „a” apakšpunktam, tādējādi saglabājot spēkā esošo tiesisko regulējumu. </w:t>
                  </w:r>
                </w:p>
                <w:p w:rsidRPr="00AE234F" w:rsidR="000D6624" w:rsidP="00C4086A" w:rsidRDefault="000D6624" w14:paraId="0D5B1EA2" w14:textId="77777777">
                  <w:pPr>
                    <w:spacing w:before="68" w:after="68"/>
                    <w:ind w:firstLine="0"/>
                    <w:jc w:val="both"/>
                    <w:rPr>
                      <w:rFonts w:eastAsia="Times New Roman"/>
                      <w:sz w:val="24"/>
                      <w:szCs w:val="24"/>
                      <w:lang w:eastAsia="lv-LV"/>
                    </w:rPr>
                  </w:pPr>
                  <w:r w:rsidRPr="00AE234F">
                    <w:rPr>
                      <w:rFonts w:eastAsia="Times New Roman"/>
                      <w:sz w:val="24"/>
                      <w:szCs w:val="24"/>
                      <w:lang w:eastAsia="lv-LV"/>
                    </w:rPr>
                    <w:t>Noteikumu projekts paredz atļaut iesniegt visu veidu apliecinājumus finansiālā stāvokļa apliecināšanai, kas minēti Regulas Nr. 1071/2009 7.pantā.</w:t>
                  </w:r>
                </w:p>
                <w:p w:rsidRPr="00AE234F" w:rsidR="000D6624" w:rsidP="00C4086A" w:rsidRDefault="000D6624" w14:paraId="7BB2D48F" w14:textId="3D1F5874">
                  <w:pPr>
                    <w:spacing w:before="68" w:after="68"/>
                    <w:ind w:firstLine="0"/>
                    <w:jc w:val="both"/>
                    <w:rPr>
                      <w:rFonts w:eastAsia="Times New Roman"/>
                      <w:sz w:val="24"/>
                      <w:szCs w:val="24"/>
                      <w:lang w:eastAsia="lv-LV"/>
                    </w:rPr>
                  </w:pPr>
                  <w:r w:rsidRPr="00AE234F">
                    <w:rPr>
                      <w:rFonts w:eastAsia="Times New Roman"/>
                      <w:sz w:val="24"/>
                      <w:szCs w:val="24"/>
                      <w:lang w:eastAsia="lv-LV"/>
                    </w:rPr>
                    <w:t xml:space="preserve">Regulas Nr. 1071/2009 8.panta 7.punkts paredz dalībvalstij tiesības atbrīvot no profesionālo zināšanu pārbaudes eksāmena vai eksāmena daļas personas, kas attiecīgās Regulas I pielikuma I daļā minētās zināšanas apguvušas augstākās vai tehniskās izglītības ietvaros, taču noteikumu projektā netiek izmantota šī Regulā Nr. 1071/2009 noteiktā rīcības brīvība. </w:t>
                  </w:r>
                </w:p>
                <w:p w:rsidRPr="00AE234F" w:rsidR="000D6624" w:rsidP="00C4086A" w:rsidRDefault="000D6624" w14:paraId="16917C7F" w14:textId="77777777">
                  <w:pPr>
                    <w:spacing w:before="68" w:after="68"/>
                    <w:ind w:firstLine="0"/>
                    <w:jc w:val="both"/>
                    <w:rPr>
                      <w:rFonts w:eastAsia="Times New Roman"/>
                      <w:sz w:val="24"/>
                      <w:szCs w:val="24"/>
                      <w:lang w:eastAsia="lv-LV"/>
                    </w:rPr>
                  </w:pPr>
                  <w:r w:rsidRPr="00AE234F">
                    <w:rPr>
                      <w:rFonts w:eastAsia="Times New Roman"/>
                      <w:sz w:val="24"/>
                      <w:szCs w:val="24"/>
                      <w:lang w:eastAsia="lv-LV"/>
                    </w:rPr>
                    <w:t xml:space="preserve">Regulas Nr. 1071/2009 8.panta 1.punkts paredz rakstisku eksāmenu, ko var papildināt ar mutisku eksāmenu, taču noteikumu projekts paredz tikai rakstisku eksāmenu, tādējādi saglabājot spēkā esošo regulējumu. </w:t>
                  </w:r>
                </w:p>
                <w:p w:rsidRPr="00AE234F" w:rsidR="000D6624" w:rsidP="00C4086A" w:rsidRDefault="000D6624" w14:paraId="6661C211" w14:textId="77777777">
                  <w:pPr>
                    <w:spacing w:before="68" w:after="68"/>
                    <w:ind w:firstLine="0"/>
                    <w:jc w:val="both"/>
                    <w:rPr>
                      <w:rFonts w:eastAsia="Times New Roman"/>
                      <w:sz w:val="24"/>
                      <w:szCs w:val="24"/>
                      <w:lang w:eastAsia="lv-LV"/>
                    </w:rPr>
                  </w:pPr>
                  <w:r w:rsidRPr="00AE234F">
                    <w:rPr>
                      <w:rFonts w:eastAsia="Times New Roman"/>
                      <w:sz w:val="24"/>
                      <w:szCs w:val="24"/>
                      <w:lang w:eastAsia="lv-LV"/>
                    </w:rPr>
                    <w:t>Atbilstoši Regulas I pielikuma II daļas 2.punkta otrajai rindkopai katras eksāmena daļas vērtēšanas korekcijas koeficients ir 60%.</w:t>
                  </w:r>
                </w:p>
                <w:p w:rsidRPr="00AE234F" w:rsidR="000D6624" w:rsidP="00C4086A" w:rsidRDefault="000D6624" w14:paraId="07C1943D" w14:textId="77777777">
                  <w:pPr>
                    <w:ind w:firstLine="0"/>
                    <w:jc w:val="both"/>
                    <w:rPr>
                      <w:sz w:val="24"/>
                      <w:szCs w:val="24"/>
                    </w:rPr>
                  </w:pPr>
                  <w:r w:rsidRPr="00AE234F">
                    <w:rPr>
                      <w:rFonts w:eastAsia="Times New Roman"/>
                      <w:sz w:val="24"/>
                      <w:szCs w:val="24"/>
                      <w:lang w:eastAsia="lv-LV"/>
                    </w:rPr>
                    <w:t>Atbilstoši Regulas Nr.1071/2009 16.panta 2.punkta otrajai daļai līdz 2015.gada 31.decembrim elektroniskajā reģistrā tiek glabāta informācija par Regulas Nr.1071/2009 IV. pielikumā minētajiem vissmagākajiem pārkāpumiem.</w:t>
                  </w:r>
                </w:p>
              </w:tc>
            </w:tr>
            <w:tr w:rsidRPr="00E151F1" w:rsidR="000D6624" w:rsidTr="00496ABD" w14:paraId="5A208B26" w14:textId="77777777">
              <w:tc>
                <w:tcPr>
                  <w:tcW w:w="1162" w:type="pct"/>
                  <w:hideMark/>
                </w:tcPr>
                <w:p w:rsidRPr="00E151F1" w:rsidR="000D6624" w:rsidP="000D6624" w:rsidRDefault="000D6624" w14:paraId="1D1A2F92" w14:textId="77777777">
                  <w:pPr>
                    <w:ind w:firstLine="0"/>
                    <w:rPr>
                      <w:sz w:val="24"/>
                      <w:szCs w:val="24"/>
                    </w:rPr>
                  </w:pPr>
                  <w:r w:rsidRPr="00E151F1">
                    <w:rPr>
                      <w:sz w:val="24"/>
                      <w:szCs w:val="24"/>
                    </w:rPr>
                    <w:t xml:space="preserve">Saistības sniegt paziņojumu ES institūcijām un ES dalībvalstīm atbilstoši normatīvajiem aktiem, kas regulē informācijas sniegšanu par tehnisko noteikumu, valsts atbalsta piešķiršanas un finanšu noteikumu </w:t>
                  </w:r>
                  <w:r w:rsidRPr="00E151F1">
                    <w:rPr>
                      <w:sz w:val="24"/>
                      <w:szCs w:val="24"/>
                    </w:rPr>
                    <w:lastRenderedPageBreak/>
                    <w:t>(attiecībā uz monetāro politiku) projektiem</w:t>
                  </w:r>
                </w:p>
              </w:tc>
              <w:tc>
                <w:tcPr>
                  <w:tcW w:w="3838" w:type="pct"/>
                  <w:gridSpan w:val="3"/>
                  <w:hideMark/>
                </w:tcPr>
                <w:p w:rsidRPr="00E151F1" w:rsidR="000D6624" w:rsidP="000D6624" w:rsidRDefault="000D6624" w14:paraId="109FB647" w14:textId="77777777">
                  <w:pPr>
                    <w:ind w:firstLine="0"/>
                    <w:rPr>
                      <w:sz w:val="24"/>
                      <w:szCs w:val="24"/>
                    </w:rPr>
                  </w:pPr>
                  <w:r w:rsidRPr="00E151F1">
                    <w:rPr>
                      <w:rFonts w:eastAsia="Times New Roman"/>
                      <w:sz w:val="24"/>
                      <w:szCs w:val="24"/>
                      <w:lang w:eastAsia="lv-LV"/>
                    </w:rPr>
                    <w:lastRenderedPageBreak/>
                    <w:t>Projekts šo jomu neskar.</w:t>
                  </w:r>
                </w:p>
              </w:tc>
            </w:tr>
            <w:tr w:rsidRPr="00E151F1" w:rsidR="000D6624" w:rsidTr="00496ABD" w14:paraId="1B57E928" w14:textId="77777777">
              <w:tc>
                <w:tcPr>
                  <w:tcW w:w="1162" w:type="pct"/>
                  <w:hideMark/>
                </w:tcPr>
                <w:p w:rsidRPr="00E151F1" w:rsidR="000D6624" w:rsidP="000D6624" w:rsidRDefault="000D6624" w14:paraId="2D8703FA" w14:textId="77777777">
                  <w:pPr>
                    <w:ind w:firstLine="0"/>
                    <w:rPr>
                      <w:sz w:val="24"/>
                      <w:szCs w:val="24"/>
                    </w:rPr>
                  </w:pPr>
                  <w:r w:rsidRPr="00E151F1">
                    <w:rPr>
                      <w:sz w:val="24"/>
                      <w:szCs w:val="24"/>
                    </w:rPr>
                    <w:t>Cita informācija</w:t>
                  </w:r>
                </w:p>
              </w:tc>
              <w:tc>
                <w:tcPr>
                  <w:tcW w:w="3838" w:type="pct"/>
                  <w:gridSpan w:val="3"/>
                </w:tcPr>
                <w:p w:rsidRPr="00E151F1" w:rsidR="000D6624" w:rsidP="000D6624" w:rsidRDefault="000D6624" w14:paraId="2FB05920" w14:textId="77777777">
                  <w:pPr>
                    <w:ind w:firstLine="0"/>
                    <w:rPr>
                      <w:sz w:val="24"/>
                      <w:szCs w:val="24"/>
                    </w:rPr>
                  </w:pPr>
                  <w:r>
                    <w:rPr>
                      <w:sz w:val="24"/>
                      <w:szCs w:val="24"/>
                    </w:rPr>
                    <w:t>Nav.</w:t>
                  </w:r>
                </w:p>
              </w:tc>
            </w:tr>
          </w:tbl>
          <w:p w:rsidRPr="00E151F1" w:rsidR="001516D8" w:rsidP="001516D8" w:rsidRDefault="001516D8" w14:paraId="169876C8" w14:textId="77777777">
            <w:pPr>
              <w:rPr>
                <w:sz w:val="24"/>
                <w:szCs w:val="24"/>
              </w:rPr>
            </w:pPr>
          </w:p>
        </w:tc>
      </w:tr>
    </w:tbl>
    <w:p w:rsidRPr="00E151F1" w:rsidR="003A7105" w:rsidRDefault="003A7105" w14:paraId="24CAB916" w14:textId="77777777">
      <w:pPr>
        <w:rPr>
          <w:sz w:val="24"/>
          <w:szCs w:val="24"/>
        </w:rPr>
      </w:pPr>
    </w:p>
    <w:tbl>
      <w:tblPr>
        <w:tblStyle w:val="TableGrid"/>
        <w:tblW w:w="5006" w:type="pct"/>
        <w:tblInd w:w="-5" w:type="dxa"/>
        <w:tblLook w:val="04A0" w:firstRow="1" w:lastRow="0" w:firstColumn="1" w:lastColumn="0" w:noHBand="0" w:noVBand="1"/>
      </w:tblPr>
      <w:tblGrid>
        <w:gridCol w:w="568"/>
        <w:gridCol w:w="2618"/>
        <w:gridCol w:w="5886"/>
      </w:tblGrid>
      <w:tr w:rsidRPr="00E151F1" w:rsidR="003D6F09" w:rsidTr="003A7105" w14:paraId="695CB9A7" w14:textId="77777777">
        <w:trPr>
          <w:trHeight w:val="420"/>
        </w:trPr>
        <w:tc>
          <w:tcPr>
            <w:tcW w:w="0" w:type="auto"/>
            <w:gridSpan w:val="3"/>
            <w:hideMark/>
          </w:tcPr>
          <w:p w:rsidRPr="00E151F1" w:rsidR="003D6F09" w:rsidP="00356F49" w:rsidRDefault="00390708" w14:paraId="102B54B1" w14:textId="5284D27E">
            <w:pPr>
              <w:ind w:firstLine="0"/>
              <w:jc w:val="center"/>
              <w:rPr>
                <w:b/>
                <w:bCs/>
                <w:sz w:val="24"/>
                <w:szCs w:val="24"/>
              </w:rPr>
            </w:pPr>
            <w:r>
              <w:rPr>
                <w:b/>
                <w:bCs/>
                <w:sz w:val="24"/>
                <w:szCs w:val="24"/>
              </w:rPr>
              <w:t>V</w:t>
            </w:r>
            <w:r w:rsidRPr="00E151F1" w:rsidR="003D6F09">
              <w:rPr>
                <w:b/>
                <w:bCs/>
                <w:sz w:val="24"/>
                <w:szCs w:val="24"/>
              </w:rPr>
              <w:t>I. Sabiedrības līdzdalība un komunikācijas aktivitātes</w:t>
            </w:r>
          </w:p>
        </w:tc>
      </w:tr>
      <w:tr w:rsidRPr="00E151F1" w:rsidR="003D6F09" w:rsidTr="00794E17" w14:paraId="4D3809DE" w14:textId="77777777">
        <w:trPr>
          <w:trHeight w:val="540"/>
        </w:trPr>
        <w:tc>
          <w:tcPr>
            <w:tcW w:w="313" w:type="pct"/>
            <w:hideMark/>
          </w:tcPr>
          <w:p w:rsidRPr="00E151F1" w:rsidR="003D6F09" w:rsidP="003D6F09" w:rsidRDefault="003D6F09" w14:paraId="254B3414" w14:textId="77777777">
            <w:pPr>
              <w:ind w:firstLine="0"/>
              <w:rPr>
                <w:sz w:val="24"/>
                <w:szCs w:val="24"/>
              </w:rPr>
            </w:pPr>
            <w:r w:rsidRPr="00E151F1">
              <w:rPr>
                <w:sz w:val="24"/>
                <w:szCs w:val="24"/>
              </w:rPr>
              <w:t>1.</w:t>
            </w:r>
          </w:p>
        </w:tc>
        <w:tc>
          <w:tcPr>
            <w:tcW w:w="1443" w:type="pct"/>
            <w:hideMark/>
          </w:tcPr>
          <w:p w:rsidRPr="00E151F1" w:rsidR="003D6F09" w:rsidP="003D6F09" w:rsidRDefault="003D6F09" w14:paraId="5119B922" w14:textId="77777777">
            <w:pPr>
              <w:ind w:firstLine="0"/>
              <w:rPr>
                <w:sz w:val="24"/>
                <w:szCs w:val="24"/>
              </w:rPr>
            </w:pPr>
            <w:r w:rsidRPr="00E151F1">
              <w:rPr>
                <w:sz w:val="24"/>
                <w:szCs w:val="24"/>
              </w:rPr>
              <w:t>Plānotās sabiedrības līdzdalības un komunikācijas aktivitātes saistībā ar projektu</w:t>
            </w:r>
          </w:p>
        </w:tc>
        <w:tc>
          <w:tcPr>
            <w:tcW w:w="3244" w:type="pct"/>
            <w:hideMark/>
          </w:tcPr>
          <w:p w:rsidRPr="00486732" w:rsidR="001E3AA0" w:rsidP="001E3AA0" w:rsidRDefault="001E3AA0" w14:paraId="1E3836E4" w14:textId="77777777">
            <w:pPr>
              <w:ind w:firstLine="0"/>
              <w:jc w:val="both"/>
              <w:rPr>
                <w:sz w:val="24"/>
                <w:szCs w:val="24"/>
              </w:rPr>
            </w:pPr>
            <w:r w:rsidRPr="00486732">
              <w:rPr>
                <w:rFonts w:cs="Times New Roman"/>
                <w:sz w:val="24"/>
                <w:szCs w:val="24"/>
              </w:rPr>
              <w:t>Atbilstoši Ministru kabineta 2009.gada 25.augusta noteikumu Nr.970 „Sabiedrības līdzdalības kārtība attīstības plānošanas procesā” 7.4.</w:t>
            </w:r>
            <w:r w:rsidRPr="00486732">
              <w:rPr>
                <w:rFonts w:cs="Times New Roman"/>
                <w:sz w:val="24"/>
                <w:szCs w:val="24"/>
                <w:vertAlign w:val="superscript"/>
              </w:rPr>
              <w:t xml:space="preserve">1 </w:t>
            </w:r>
            <w:r w:rsidRPr="00486732">
              <w:rPr>
                <w:rFonts w:cs="Times New Roman"/>
                <w:sz w:val="24"/>
                <w:szCs w:val="24"/>
              </w:rPr>
              <w:t>apakšpunktam, sabiedrībai ir dota iespēja rakstiski sniegt viedokli par noteikumu projektu tā izstrādes stadijā.</w:t>
            </w:r>
            <w:r w:rsidRPr="00486732">
              <w:rPr>
                <w:sz w:val="24"/>
                <w:szCs w:val="24"/>
              </w:rPr>
              <w:t xml:space="preserve"> </w:t>
            </w:r>
          </w:p>
          <w:p w:rsidRPr="00E151F1" w:rsidR="00346081" w:rsidP="0050252D" w:rsidRDefault="00346081" w14:paraId="62E02D55" w14:textId="529FAE2F">
            <w:pPr>
              <w:ind w:firstLine="0"/>
              <w:jc w:val="both"/>
              <w:rPr>
                <w:rFonts w:cs="Times New Roman"/>
                <w:sz w:val="24"/>
                <w:szCs w:val="24"/>
              </w:rPr>
            </w:pPr>
          </w:p>
        </w:tc>
      </w:tr>
      <w:tr w:rsidRPr="00E151F1" w:rsidR="003D6F09" w:rsidTr="00794E17" w14:paraId="25360C7B" w14:textId="77777777">
        <w:trPr>
          <w:trHeight w:val="330"/>
        </w:trPr>
        <w:tc>
          <w:tcPr>
            <w:tcW w:w="313" w:type="pct"/>
            <w:hideMark/>
          </w:tcPr>
          <w:p w:rsidRPr="00E151F1" w:rsidR="003D6F09" w:rsidP="003D6F09" w:rsidRDefault="003D6F09" w14:paraId="79DF6A61" w14:textId="77777777">
            <w:pPr>
              <w:ind w:firstLine="0"/>
              <w:rPr>
                <w:sz w:val="24"/>
                <w:szCs w:val="24"/>
              </w:rPr>
            </w:pPr>
            <w:r w:rsidRPr="00E151F1">
              <w:rPr>
                <w:sz w:val="24"/>
                <w:szCs w:val="24"/>
              </w:rPr>
              <w:t>2.</w:t>
            </w:r>
          </w:p>
        </w:tc>
        <w:tc>
          <w:tcPr>
            <w:tcW w:w="1443" w:type="pct"/>
            <w:hideMark/>
          </w:tcPr>
          <w:p w:rsidRPr="00E151F1" w:rsidR="003D6F09" w:rsidP="003D6F09" w:rsidRDefault="003D6F09" w14:paraId="0B00F830" w14:textId="77777777">
            <w:pPr>
              <w:ind w:firstLine="0"/>
              <w:rPr>
                <w:sz w:val="24"/>
                <w:szCs w:val="24"/>
              </w:rPr>
            </w:pPr>
            <w:r w:rsidRPr="00E151F1">
              <w:rPr>
                <w:sz w:val="24"/>
                <w:szCs w:val="24"/>
              </w:rPr>
              <w:t>Sabiedrības līdzdalība projekta izstrādē</w:t>
            </w:r>
          </w:p>
        </w:tc>
        <w:tc>
          <w:tcPr>
            <w:tcW w:w="3244" w:type="pct"/>
            <w:hideMark/>
          </w:tcPr>
          <w:p w:rsidRPr="00E151F1" w:rsidR="001E3AA0" w:rsidP="001E3AA0" w:rsidRDefault="001E3AA0" w14:paraId="48BD6770" w14:textId="6AA7F398">
            <w:pPr>
              <w:ind w:firstLine="0"/>
              <w:jc w:val="both"/>
              <w:rPr>
                <w:sz w:val="24"/>
                <w:szCs w:val="24"/>
              </w:rPr>
            </w:pPr>
            <w:r w:rsidRPr="00486732">
              <w:rPr>
                <w:rFonts w:cs="Times New Roman"/>
                <w:bCs/>
                <w:sz w:val="24"/>
                <w:szCs w:val="24"/>
              </w:rPr>
              <w:t>Paziņojums par līdzdalības iespējām tiesību akta izstrādes procesā ir ievietots Satiksmes ministrijas tīmekļa vietnē</w:t>
            </w:r>
            <w:r>
              <w:rPr>
                <w:rFonts w:cs="Times New Roman"/>
                <w:bCs/>
                <w:sz w:val="24"/>
                <w:szCs w:val="24"/>
              </w:rPr>
              <w:t xml:space="preserve"> </w:t>
            </w:r>
            <w:hyperlink w:history="1" r:id="rId9">
              <w:r w:rsidRPr="00E030D8">
                <w:rPr>
                  <w:rStyle w:val="Hyperlink"/>
                  <w:rFonts w:cs="Times New Roman"/>
                  <w:bCs/>
                  <w:sz w:val="24"/>
                  <w:szCs w:val="24"/>
                </w:rPr>
                <w:t>http://www.sam.gov.lv/sm/content/?cat=553</w:t>
              </w:r>
            </w:hyperlink>
          </w:p>
        </w:tc>
      </w:tr>
      <w:tr w:rsidRPr="00E151F1" w:rsidR="003D6F09" w:rsidTr="00794E17" w14:paraId="057FF64D" w14:textId="77777777">
        <w:trPr>
          <w:trHeight w:val="465"/>
        </w:trPr>
        <w:tc>
          <w:tcPr>
            <w:tcW w:w="313" w:type="pct"/>
            <w:hideMark/>
          </w:tcPr>
          <w:p w:rsidRPr="00E151F1" w:rsidR="003D6F09" w:rsidP="003D6F09" w:rsidRDefault="003D6F09" w14:paraId="25898787" w14:textId="77777777">
            <w:pPr>
              <w:ind w:firstLine="0"/>
              <w:rPr>
                <w:sz w:val="24"/>
                <w:szCs w:val="24"/>
              </w:rPr>
            </w:pPr>
            <w:r w:rsidRPr="00E151F1">
              <w:rPr>
                <w:sz w:val="24"/>
                <w:szCs w:val="24"/>
              </w:rPr>
              <w:t>3.</w:t>
            </w:r>
          </w:p>
        </w:tc>
        <w:tc>
          <w:tcPr>
            <w:tcW w:w="1443" w:type="pct"/>
            <w:hideMark/>
          </w:tcPr>
          <w:p w:rsidRPr="00E151F1" w:rsidR="003D6F09" w:rsidP="003D6F09" w:rsidRDefault="003D6F09" w14:paraId="28210C67" w14:textId="77777777">
            <w:pPr>
              <w:ind w:firstLine="0"/>
              <w:rPr>
                <w:sz w:val="24"/>
                <w:szCs w:val="24"/>
              </w:rPr>
            </w:pPr>
            <w:r w:rsidRPr="00E151F1">
              <w:rPr>
                <w:sz w:val="24"/>
                <w:szCs w:val="24"/>
              </w:rPr>
              <w:t>Sabiedrības līdzdalības rezultāti</w:t>
            </w:r>
          </w:p>
        </w:tc>
        <w:tc>
          <w:tcPr>
            <w:tcW w:w="3244" w:type="pct"/>
            <w:hideMark/>
          </w:tcPr>
          <w:p w:rsidRPr="00E151F1" w:rsidR="003D6F09" w:rsidP="00103A84" w:rsidRDefault="001E3AA0" w14:paraId="007AE3C0" w14:textId="7D4C972B">
            <w:pPr>
              <w:ind w:firstLine="0"/>
              <w:rPr>
                <w:sz w:val="24"/>
                <w:szCs w:val="24"/>
              </w:rPr>
            </w:pPr>
            <w:r>
              <w:rPr>
                <w:sz w:val="24"/>
                <w:szCs w:val="24"/>
              </w:rPr>
              <w:t>Iebildumi un priekšlikumi</w:t>
            </w:r>
            <w:r w:rsidRPr="00486732" w:rsidR="00486732">
              <w:rPr>
                <w:sz w:val="24"/>
                <w:szCs w:val="24"/>
              </w:rPr>
              <w:t xml:space="preserve"> nav saņemt</w:t>
            </w:r>
            <w:r>
              <w:rPr>
                <w:sz w:val="24"/>
                <w:szCs w:val="24"/>
              </w:rPr>
              <w:t>i</w:t>
            </w:r>
            <w:r w:rsidRPr="00486732" w:rsidR="00486732">
              <w:rPr>
                <w:sz w:val="24"/>
                <w:szCs w:val="24"/>
              </w:rPr>
              <w:t>.</w:t>
            </w:r>
          </w:p>
        </w:tc>
      </w:tr>
      <w:tr w:rsidRPr="00E151F1" w:rsidR="003D6F09" w:rsidTr="00794E17" w14:paraId="5CE72E8C" w14:textId="77777777">
        <w:trPr>
          <w:trHeight w:val="465"/>
        </w:trPr>
        <w:tc>
          <w:tcPr>
            <w:tcW w:w="313" w:type="pct"/>
            <w:hideMark/>
          </w:tcPr>
          <w:p w:rsidRPr="00E151F1" w:rsidR="003D6F09" w:rsidP="003D6F09" w:rsidRDefault="003D6F09" w14:paraId="19188845" w14:textId="77777777">
            <w:pPr>
              <w:ind w:firstLine="0"/>
              <w:rPr>
                <w:sz w:val="24"/>
                <w:szCs w:val="24"/>
              </w:rPr>
            </w:pPr>
            <w:r w:rsidRPr="00E151F1">
              <w:rPr>
                <w:sz w:val="24"/>
                <w:szCs w:val="24"/>
              </w:rPr>
              <w:t>4.</w:t>
            </w:r>
          </w:p>
        </w:tc>
        <w:tc>
          <w:tcPr>
            <w:tcW w:w="1443" w:type="pct"/>
            <w:hideMark/>
          </w:tcPr>
          <w:p w:rsidRPr="00E151F1" w:rsidR="003D6F09" w:rsidP="003D6F09" w:rsidRDefault="003D6F09" w14:paraId="5D30890D" w14:textId="77777777">
            <w:pPr>
              <w:ind w:firstLine="0"/>
              <w:rPr>
                <w:sz w:val="24"/>
                <w:szCs w:val="24"/>
              </w:rPr>
            </w:pPr>
            <w:r w:rsidRPr="00E151F1">
              <w:rPr>
                <w:sz w:val="24"/>
                <w:szCs w:val="24"/>
              </w:rPr>
              <w:t>Cita informācija</w:t>
            </w:r>
          </w:p>
        </w:tc>
        <w:tc>
          <w:tcPr>
            <w:tcW w:w="3244" w:type="pct"/>
            <w:hideMark/>
          </w:tcPr>
          <w:p w:rsidRPr="00E151F1" w:rsidR="003D6F09" w:rsidP="007D59F0" w:rsidRDefault="007D59F0" w14:paraId="2A06AB52" w14:textId="7B171FCE">
            <w:pPr>
              <w:ind w:firstLine="0"/>
              <w:jc w:val="both"/>
              <w:rPr>
                <w:sz w:val="24"/>
                <w:szCs w:val="24"/>
              </w:rPr>
            </w:pPr>
            <w:r w:rsidRPr="007D59F0">
              <w:rPr>
                <w:sz w:val="24"/>
                <w:szCs w:val="24"/>
              </w:rPr>
              <w:t xml:space="preserve">Noteikumu projekta izstrādes apspriešanas procesā tika iesaistīta </w:t>
            </w:r>
            <w:r w:rsidR="0095641D">
              <w:rPr>
                <w:sz w:val="24"/>
                <w:szCs w:val="24"/>
              </w:rPr>
              <w:t>biedrība “</w:t>
            </w:r>
            <w:r w:rsidRPr="007D59F0">
              <w:rPr>
                <w:sz w:val="24"/>
                <w:szCs w:val="24"/>
              </w:rPr>
              <w:t>Latvijas Brīvo arodbiedrību savienība</w:t>
            </w:r>
            <w:r w:rsidR="0095641D">
              <w:rPr>
                <w:sz w:val="24"/>
                <w:szCs w:val="24"/>
              </w:rPr>
              <w:t>”</w:t>
            </w:r>
            <w:r w:rsidRPr="007D59F0">
              <w:rPr>
                <w:sz w:val="24"/>
                <w:szCs w:val="24"/>
              </w:rPr>
              <w:t xml:space="preserve"> kā nozares intereses pārstāvoša organizācija un</w:t>
            </w:r>
            <w:r w:rsidR="0095641D">
              <w:rPr>
                <w:sz w:val="24"/>
                <w:szCs w:val="24"/>
              </w:rPr>
              <w:t xml:space="preserve"> biedrība</w:t>
            </w:r>
            <w:r w:rsidRPr="007D59F0">
              <w:rPr>
                <w:sz w:val="24"/>
                <w:szCs w:val="24"/>
              </w:rPr>
              <w:t xml:space="preserve"> </w:t>
            </w:r>
            <w:r w:rsidR="0095641D">
              <w:rPr>
                <w:sz w:val="24"/>
                <w:szCs w:val="24"/>
              </w:rPr>
              <w:t>“</w:t>
            </w:r>
            <w:r w:rsidRPr="007D59F0">
              <w:rPr>
                <w:sz w:val="24"/>
                <w:szCs w:val="24"/>
              </w:rPr>
              <w:t>Latvijas Darba devēju konfederācija</w:t>
            </w:r>
            <w:r w:rsidR="0095641D">
              <w:rPr>
                <w:sz w:val="24"/>
                <w:szCs w:val="24"/>
              </w:rPr>
              <w:t>”</w:t>
            </w:r>
            <w:r w:rsidRPr="007D59F0">
              <w:rPr>
                <w:sz w:val="24"/>
                <w:szCs w:val="24"/>
              </w:rPr>
              <w:t>.</w:t>
            </w:r>
          </w:p>
        </w:tc>
      </w:tr>
    </w:tbl>
    <w:p w:rsidRPr="00E151F1" w:rsidR="003D6F09" w:rsidP="003D6F09" w:rsidRDefault="003D6F09" w14:paraId="2BF18ED2" w14:textId="77777777">
      <w:pPr>
        <w:ind w:firstLine="0"/>
        <w:rPr>
          <w:sz w:val="24"/>
          <w:szCs w:val="24"/>
        </w:rPr>
      </w:pPr>
      <w:r w:rsidRPr="00E151F1">
        <w:rPr>
          <w:sz w:val="24"/>
          <w:szCs w:val="24"/>
        </w:rPr>
        <w:t> </w:t>
      </w:r>
    </w:p>
    <w:p w:rsidRPr="00E151F1" w:rsidR="005A7EB3" w:rsidP="003D6F09" w:rsidRDefault="005A7EB3" w14:paraId="6D00DF95" w14:textId="77777777">
      <w:pPr>
        <w:ind w:firstLine="0"/>
        <w:rPr>
          <w:sz w:val="24"/>
          <w:szCs w:val="24"/>
        </w:rPr>
      </w:pPr>
    </w:p>
    <w:tbl>
      <w:tblPr>
        <w:tblStyle w:val="TableGrid"/>
        <w:tblW w:w="5000" w:type="pct"/>
        <w:tblLook w:val="04A0" w:firstRow="1" w:lastRow="0" w:firstColumn="1" w:lastColumn="0" w:noHBand="0" w:noVBand="1"/>
      </w:tblPr>
      <w:tblGrid>
        <w:gridCol w:w="453"/>
        <w:gridCol w:w="3443"/>
        <w:gridCol w:w="5165"/>
      </w:tblGrid>
      <w:tr w:rsidRPr="00E151F1" w:rsidR="003D6F09" w:rsidTr="000B1DEC" w14:paraId="512F043F" w14:textId="77777777">
        <w:trPr>
          <w:trHeight w:val="375"/>
        </w:trPr>
        <w:tc>
          <w:tcPr>
            <w:tcW w:w="0" w:type="auto"/>
            <w:gridSpan w:val="3"/>
            <w:hideMark/>
          </w:tcPr>
          <w:p w:rsidRPr="00E151F1" w:rsidR="003D6F09" w:rsidP="00AA55E4" w:rsidRDefault="003D6F09" w14:paraId="558E5A67" w14:textId="77777777">
            <w:pPr>
              <w:ind w:firstLine="0"/>
              <w:jc w:val="center"/>
              <w:rPr>
                <w:b/>
                <w:bCs/>
                <w:sz w:val="24"/>
                <w:szCs w:val="24"/>
              </w:rPr>
            </w:pPr>
            <w:r w:rsidRPr="00E151F1">
              <w:rPr>
                <w:b/>
                <w:bCs/>
                <w:sz w:val="24"/>
                <w:szCs w:val="24"/>
              </w:rPr>
              <w:t>VII. Tiesību akta projekta izpildes nodrošināšana un tās ietekme uz institūcijām</w:t>
            </w:r>
          </w:p>
        </w:tc>
      </w:tr>
      <w:tr w:rsidRPr="00E151F1" w:rsidR="003D6F09" w:rsidTr="000B1DEC" w14:paraId="1893443A" w14:textId="77777777">
        <w:trPr>
          <w:trHeight w:val="420"/>
        </w:trPr>
        <w:tc>
          <w:tcPr>
            <w:tcW w:w="250" w:type="pct"/>
            <w:hideMark/>
          </w:tcPr>
          <w:p w:rsidRPr="00E151F1" w:rsidR="003D6F09" w:rsidP="003D6F09" w:rsidRDefault="003D6F09" w14:paraId="13C2D522" w14:textId="77777777">
            <w:pPr>
              <w:ind w:firstLine="0"/>
              <w:rPr>
                <w:sz w:val="24"/>
                <w:szCs w:val="24"/>
              </w:rPr>
            </w:pPr>
            <w:r w:rsidRPr="00E151F1">
              <w:rPr>
                <w:sz w:val="24"/>
                <w:szCs w:val="24"/>
              </w:rPr>
              <w:t>1.</w:t>
            </w:r>
          </w:p>
        </w:tc>
        <w:tc>
          <w:tcPr>
            <w:tcW w:w="1900" w:type="pct"/>
            <w:hideMark/>
          </w:tcPr>
          <w:p w:rsidRPr="00E151F1" w:rsidR="003D6F09" w:rsidP="003D6F09" w:rsidRDefault="003D6F09" w14:paraId="34773093" w14:textId="77777777">
            <w:pPr>
              <w:ind w:firstLine="0"/>
              <w:rPr>
                <w:sz w:val="24"/>
                <w:szCs w:val="24"/>
              </w:rPr>
            </w:pPr>
            <w:r w:rsidRPr="00E151F1">
              <w:rPr>
                <w:sz w:val="24"/>
                <w:szCs w:val="24"/>
              </w:rPr>
              <w:t>Projekta izpildē iesaistītās institūcijas</w:t>
            </w:r>
          </w:p>
        </w:tc>
        <w:tc>
          <w:tcPr>
            <w:tcW w:w="2850" w:type="pct"/>
            <w:hideMark/>
          </w:tcPr>
          <w:p w:rsidRPr="00E151F1" w:rsidR="00D854DF" w:rsidP="00796CB0" w:rsidRDefault="00D01653" w14:paraId="7F2A65E0" w14:textId="4174AD0C">
            <w:pPr>
              <w:ind w:firstLine="0"/>
              <w:jc w:val="both"/>
              <w:rPr>
                <w:sz w:val="24"/>
                <w:szCs w:val="24"/>
              </w:rPr>
            </w:pPr>
            <w:r w:rsidRPr="00E151F1">
              <w:rPr>
                <w:rFonts w:eastAsia="Times New Roman"/>
                <w:sz w:val="24"/>
                <w:szCs w:val="24"/>
                <w:lang w:eastAsia="lv-LV"/>
              </w:rPr>
              <w:t>Satiksmes ministrija</w:t>
            </w:r>
            <w:r>
              <w:rPr>
                <w:rFonts w:eastAsia="Times New Roman"/>
                <w:sz w:val="24"/>
                <w:szCs w:val="24"/>
                <w:lang w:eastAsia="lv-LV"/>
              </w:rPr>
              <w:t xml:space="preserve">, </w:t>
            </w:r>
            <w:r w:rsidRPr="00D01653">
              <w:rPr>
                <w:rFonts w:eastAsia="Times New Roman"/>
                <w:sz w:val="24"/>
                <w:szCs w:val="24"/>
                <w:lang w:eastAsia="lv-LV"/>
              </w:rPr>
              <w:t>valsts sabiedrība ar ierobežotu atbildību</w:t>
            </w:r>
            <w:r w:rsidR="00D7559B">
              <w:rPr>
                <w:rFonts w:eastAsia="Times New Roman"/>
                <w:sz w:val="24"/>
                <w:szCs w:val="24"/>
                <w:lang w:eastAsia="lv-LV"/>
              </w:rPr>
              <w:t xml:space="preserve"> “</w:t>
            </w:r>
            <w:r w:rsidRPr="00E151F1" w:rsidR="00116A80">
              <w:rPr>
                <w:rFonts w:eastAsia="Times New Roman"/>
                <w:sz w:val="24"/>
                <w:szCs w:val="24"/>
                <w:lang w:eastAsia="lv-LV"/>
              </w:rPr>
              <w:t>Autotransporta direkcija</w:t>
            </w:r>
            <w:r w:rsidR="00D7559B">
              <w:rPr>
                <w:rFonts w:eastAsia="Times New Roman"/>
                <w:sz w:val="24"/>
                <w:szCs w:val="24"/>
                <w:lang w:eastAsia="lv-LV"/>
              </w:rPr>
              <w:t>”,</w:t>
            </w:r>
            <w:r w:rsidR="00796CB0">
              <w:rPr>
                <w:rFonts w:eastAsia="Times New Roman"/>
                <w:sz w:val="24"/>
                <w:szCs w:val="24"/>
                <w:lang w:eastAsia="lv-LV"/>
              </w:rPr>
              <w:t xml:space="preserve"> a</w:t>
            </w:r>
            <w:r w:rsidRPr="007B2C34" w:rsidR="00611672">
              <w:rPr>
                <w:sz w:val="24"/>
                <w:szCs w:val="24"/>
              </w:rPr>
              <w:t>utopārvadājumus kontrolējošās institūcijas</w:t>
            </w:r>
            <w:r w:rsidR="00796CB0">
              <w:rPr>
                <w:sz w:val="24"/>
                <w:szCs w:val="24"/>
              </w:rPr>
              <w:t xml:space="preserve">, </w:t>
            </w:r>
            <w:r w:rsidRPr="00D854DF" w:rsidR="00796CB0">
              <w:rPr>
                <w:sz w:val="24"/>
                <w:szCs w:val="24"/>
              </w:rPr>
              <w:t>Iekšlietu ministrijas Informācijas cent</w:t>
            </w:r>
            <w:r w:rsidR="00796CB0">
              <w:rPr>
                <w:sz w:val="24"/>
                <w:szCs w:val="24"/>
              </w:rPr>
              <w:t>rs,</w:t>
            </w:r>
            <w:r w:rsidRPr="00D854DF" w:rsidR="00796CB0">
              <w:rPr>
                <w:sz w:val="24"/>
                <w:szCs w:val="24"/>
              </w:rPr>
              <w:t xml:space="preserve"> </w:t>
            </w:r>
            <w:r w:rsidRPr="00D854DF" w:rsidR="00D854DF">
              <w:rPr>
                <w:sz w:val="24"/>
                <w:szCs w:val="24"/>
              </w:rPr>
              <w:t>Pilsonības un migrācijas lietu pārvald</w:t>
            </w:r>
            <w:r w:rsidR="00D854DF">
              <w:rPr>
                <w:sz w:val="24"/>
                <w:szCs w:val="24"/>
              </w:rPr>
              <w:t>e.</w:t>
            </w:r>
          </w:p>
        </w:tc>
      </w:tr>
      <w:tr w:rsidRPr="00E151F1" w:rsidR="003D6F09" w:rsidTr="000B1DEC" w14:paraId="489B2BA2" w14:textId="77777777">
        <w:trPr>
          <w:trHeight w:val="450"/>
        </w:trPr>
        <w:tc>
          <w:tcPr>
            <w:tcW w:w="250" w:type="pct"/>
            <w:hideMark/>
          </w:tcPr>
          <w:p w:rsidRPr="00E151F1" w:rsidR="003D6F09" w:rsidP="003D6F09" w:rsidRDefault="003D6F09" w14:paraId="64AD36AA" w14:textId="77777777">
            <w:pPr>
              <w:ind w:firstLine="0"/>
              <w:rPr>
                <w:sz w:val="24"/>
                <w:szCs w:val="24"/>
              </w:rPr>
            </w:pPr>
            <w:r w:rsidRPr="00E151F1">
              <w:rPr>
                <w:sz w:val="24"/>
                <w:szCs w:val="24"/>
              </w:rPr>
              <w:t>2.</w:t>
            </w:r>
          </w:p>
        </w:tc>
        <w:tc>
          <w:tcPr>
            <w:tcW w:w="1900" w:type="pct"/>
            <w:hideMark/>
          </w:tcPr>
          <w:p w:rsidRPr="00E151F1" w:rsidR="003D6F09" w:rsidP="003D6F09" w:rsidRDefault="003D6F09" w14:paraId="6417108A" w14:textId="77777777">
            <w:pPr>
              <w:ind w:firstLine="0"/>
              <w:rPr>
                <w:sz w:val="24"/>
                <w:szCs w:val="24"/>
              </w:rPr>
            </w:pPr>
            <w:r w:rsidRPr="00E151F1">
              <w:rPr>
                <w:sz w:val="24"/>
                <w:szCs w:val="24"/>
              </w:rPr>
              <w:t xml:space="preserve">Projekta izpildes ietekme uz pārvaldes funkcijām un institucionālo struktūru. </w:t>
            </w:r>
          </w:p>
          <w:p w:rsidRPr="00E151F1" w:rsidR="003D6F09" w:rsidP="003D6F09" w:rsidRDefault="003D6F09" w14:paraId="63E276D7" w14:textId="77777777">
            <w:pPr>
              <w:ind w:firstLine="0"/>
              <w:rPr>
                <w:sz w:val="24"/>
                <w:szCs w:val="24"/>
              </w:rPr>
            </w:pPr>
            <w:r w:rsidRPr="00E151F1">
              <w:rPr>
                <w:sz w:val="24"/>
                <w:szCs w:val="24"/>
              </w:rPr>
              <w:t>Jaunu institūciju izveide, esošu institūciju likvidācija vai reorganizācija, to ietekme uz institūcijas cilvēkresursiem</w:t>
            </w:r>
          </w:p>
        </w:tc>
        <w:tc>
          <w:tcPr>
            <w:tcW w:w="2850" w:type="pct"/>
            <w:hideMark/>
          </w:tcPr>
          <w:p w:rsidRPr="00E151F1" w:rsidR="003D6F09" w:rsidP="00613172" w:rsidRDefault="00F978AE" w14:paraId="01F607DA" w14:textId="77777777">
            <w:pPr>
              <w:ind w:firstLine="0"/>
              <w:jc w:val="both"/>
              <w:rPr>
                <w:sz w:val="24"/>
                <w:szCs w:val="24"/>
              </w:rPr>
            </w:pPr>
            <w:r w:rsidRPr="00E151F1">
              <w:rPr>
                <w:sz w:val="24"/>
                <w:szCs w:val="24"/>
              </w:rPr>
              <w:t>Noteikumu projekts neparedz jaunu institūciju izveidi vai esošo institūciju likvidāciju vai reorganizāciju.</w:t>
            </w:r>
          </w:p>
          <w:p w:rsidRPr="00EE1792" w:rsidR="00611672" w:rsidP="00613172" w:rsidRDefault="00F978AE" w14:paraId="3BFE0303" w14:textId="479FAD19">
            <w:pPr>
              <w:ind w:firstLine="0"/>
              <w:jc w:val="both"/>
              <w:rPr>
                <w:rFonts w:cs="Times New Roman"/>
                <w:sz w:val="24"/>
                <w:szCs w:val="24"/>
              </w:rPr>
            </w:pPr>
            <w:r w:rsidRPr="00E151F1">
              <w:rPr>
                <w:rFonts w:cs="Times New Roman"/>
                <w:sz w:val="24"/>
                <w:szCs w:val="24"/>
              </w:rPr>
              <w:t xml:space="preserve">Projekta izpilde tiks nodrošināta </w:t>
            </w:r>
            <w:r w:rsidRPr="00E151F1" w:rsidR="004B2DE3">
              <w:rPr>
                <w:rFonts w:cs="Times New Roman"/>
                <w:sz w:val="24"/>
                <w:szCs w:val="24"/>
              </w:rPr>
              <w:t xml:space="preserve">paredzot, ka pakalpojumu </w:t>
            </w:r>
            <w:r w:rsidRPr="00E151F1" w:rsidR="00B67D03">
              <w:rPr>
                <w:rFonts w:cs="Times New Roman"/>
                <w:sz w:val="24"/>
                <w:szCs w:val="24"/>
              </w:rPr>
              <w:t xml:space="preserve">- autopārvadājumu vadītāja profesionālās kompetences sertifikāta izsniegšana, </w:t>
            </w:r>
            <w:r w:rsidRPr="00E151F1" w:rsidR="004B2DE3">
              <w:rPr>
                <w:rFonts w:cs="Times New Roman"/>
                <w:sz w:val="24"/>
                <w:szCs w:val="24"/>
              </w:rPr>
              <w:t xml:space="preserve">turpinās sniegt viena institūcija - </w:t>
            </w:r>
            <w:r w:rsidRPr="00EE1792" w:rsidR="00EE1792">
              <w:rPr>
                <w:rFonts w:cs="Times New Roman"/>
                <w:sz w:val="24"/>
                <w:szCs w:val="24"/>
              </w:rPr>
              <w:t xml:space="preserve">valsts sabiedrība ar ierobežotu atbildību </w:t>
            </w:r>
            <w:r w:rsidR="00EE1792">
              <w:rPr>
                <w:rFonts w:cs="Times New Roman"/>
                <w:sz w:val="24"/>
                <w:szCs w:val="24"/>
              </w:rPr>
              <w:t>“</w:t>
            </w:r>
            <w:r w:rsidRPr="00E151F1" w:rsidR="004B2DE3">
              <w:rPr>
                <w:rFonts w:cs="Times New Roman"/>
                <w:sz w:val="24"/>
                <w:szCs w:val="24"/>
              </w:rPr>
              <w:t>Autotransporta direkcija</w:t>
            </w:r>
            <w:r w:rsidR="00EE1792">
              <w:rPr>
                <w:rFonts w:cs="Times New Roman"/>
                <w:sz w:val="24"/>
                <w:szCs w:val="24"/>
              </w:rPr>
              <w:t xml:space="preserve">” </w:t>
            </w:r>
            <w:r w:rsidRPr="00E151F1">
              <w:rPr>
                <w:rFonts w:cs="Times New Roman"/>
                <w:sz w:val="24"/>
                <w:szCs w:val="24"/>
              </w:rPr>
              <w:t xml:space="preserve">un cilvēkresursus </w:t>
            </w:r>
            <w:r w:rsidRPr="00E151F1" w:rsidR="004B2DE3">
              <w:rPr>
                <w:rFonts w:cs="Times New Roman"/>
                <w:sz w:val="24"/>
                <w:szCs w:val="24"/>
              </w:rPr>
              <w:t xml:space="preserve">tas </w:t>
            </w:r>
            <w:r w:rsidRPr="00E151F1">
              <w:rPr>
                <w:rFonts w:cs="Times New Roman"/>
                <w:sz w:val="24"/>
                <w:szCs w:val="24"/>
              </w:rPr>
              <w:t>neietekmēs.</w:t>
            </w:r>
          </w:p>
          <w:p w:rsidRPr="00E151F1" w:rsidR="00611672" w:rsidP="00613172" w:rsidRDefault="00611672" w14:paraId="1AC66847" w14:textId="54FAAEE4">
            <w:pPr>
              <w:ind w:firstLine="0"/>
              <w:jc w:val="both"/>
              <w:rPr>
                <w:sz w:val="24"/>
                <w:szCs w:val="24"/>
              </w:rPr>
            </w:pPr>
          </w:p>
        </w:tc>
      </w:tr>
      <w:tr w:rsidRPr="00E151F1" w:rsidR="003D6F09" w:rsidTr="000B1DEC" w14:paraId="195868EB" w14:textId="77777777">
        <w:trPr>
          <w:trHeight w:val="390"/>
        </w:trPr>
        <w:tc>
          <w:tcPr>
            <w:tcW w:w="250" w:type="pct"/>
            <w:hideMark/>
          </w:tcPr>
          <w:p w:rsidRPr="00E151F1" w:rsidR="003D6F09" w:rsidP="003D6F09" w:rsidRDefault="003D6F09" w14:paraId="03E5B667" w14:textId="77777777">
            <w:pPr>
              <w:ind w:firstLine="0"/>
              <w:rPr>
                <w:sz w:val="24"/>
                <w:szCs w:val="24"/>
              </w:rPr>
            </w:pPr>
            <w:r w:rsidRPr="00E151F1">
              <w:rPr>
                <w:sz w:val="24"/>
                <w:szCs w:val="24"/>
              </w:rPr>
              <w:t>3.</w:t>
            </w:r>
          </w:p>
        </w:tc>
        <w:tc>
          <w:tcPr>
            <w:tcW w:w="1900" w:type="pct"/>
            <w:hideMark/>
          </w:tcPr>
          <w:p w:rsidRPr="00E151F1" w:rsidR="003D6F09" w:rsidP="003D6F09" w:rsidRDefault="003D6F09" w14:paraId="1E934B03" w14:textId="77777777">
            <w:pPr>
              <w:ind w:firstLine="0"/>
              <w:rPr>
                <w:sz w:val="24"/>
                <w:szCs w:val="24"/>
              </w:rPr>
            </w:pPr>
            <w:r w:rsidRPr="00E151F1">
              <w:rPr>
                <w:sz w:val="24"/>
                <w:szCs w:val="24"/>
              </w:rPr>
              <w:t>Cita informācija</w:t>
            </w:r>
          </w:p>
        </w:tc>
        <w:tc>
          <w:tcPr>
            <w:tcW w:w="2850" w:type="pct"/>
            <w:hideMark/>
          </w:tcPr>
          <w:p w:rsidRPr="00E151F1" w:rsidR="003D6F09" w:rsidP="00116A80" w:rsidRDefault="003D6F09" w14:paraId="13B17168" w14:textId="77777777">
            <w:pPr>
              <w:ind w:firstLine="0"/>
              <w:rPr>
                <w:sz w:val="24"/>
                <w:szCs w:val="24"/>
              </w:rPr>
            </w:pPr>
            <w:r w:rsidRPr="00E151F1">
              <w:rPr>
                <w:sz w:val="24"/>
                <w:szCs w:val="24"/>
              </w:rPr>
              <w:t>Nav</w:t>
            </w:r>
            <w:r w:rsidRPr="00E151F1" w:rsidR="00116A80">
              <w:rPr>
                <w:sz w:val="24"/>
                <w:szCs w:val="24"/>
              </w:rPr>
              <w:t>.</w:t>
            </w:r>
          </w:p>
        </w:tc>
      </w:tr>
    </w:tbl>
    <w:p w:rsidRPr="00E151F1" w:rsidR="00613172" w:rsidP="003D6F09" w:rsidRDefault="00613172" w14:paraId="5B99FF78" w14:textId="77777777">
      <w:pPr>
        <w:ind w:firstLine="0"/>
        <w:rPr>
          <w:sz w:val="24"/>
          <w:szCs w:val="24"/>
        </w:rPr>
      </w:pPr>
    </w:p>
    <w:p w:rsidRPr="00E151F1" w:rsidR="00500E4C" w:rsidP="003D6F09" w:rsidRDefault="00500E4C" w14:paraId="3DEA7D87" w14:textId="77777777">
      <w:pPr>
        <w:ind w:firstLine="0"/>
        <w:rPr>
          <w:sz w:val="24"/>
          <w:szCs w:val="24"/>
        </w:rPr>
      </w:pPr>
    </w:p>
    <w:p w:rsidRPr="00A323F8" w:rsidR="00A323F8" w:rsidP="00A323F8" w:rsidRDefault="00A323F8" w14:paraId="1F2DA2F4" w14:textId="16F6729B">
      <w:pPr>
        <w:jc w:val="both"/>
        <w:rPr>
          <w:rFonts w:eastAsia="Times New Roman" w:cs="Times New Roman"/>
          <w:bCs/>
          <w:sz w:val="24"/>
          <w:szCs w:val="24"/>
        </w:rPr>
      </w:pPr>
      <w:r w:rsidRPr="00A323F8">
        <w:rPr>
          <w:rFonts w:eastAsia="Times New Roman" w:cs="Times New Roman"/>
          <w:bCs/>
          <w:sz w:val="24"/>
          <w:szCs w:val="24"/>
        </w:rPr>
        <w:t>Satiksmes ministrs</w:t>
      </w:r>
      <w:r w:rsidRPr="00A323F8">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sidR="00CA53D5">
        <w:rPr>
          <w:rFonts w:eastAsia="Times New Roman" w:cs="Times New Roman"/>
          <w:bCs/>
          <w:sz w:val="24"/>
          <w:szCs w:val="24"/>
        </w:rPr>
        <w:t xml:space="preserve">        </w:t>
      </w:r>
      <w:r w:rsidRPr="00A323F8">
        <w:rPr>
          <w:rFonts w:eastAsia="Times New Roman" w:cs="Times New Roman"/>
          <w:bCs/>
          <w:sz w:val="24"/>
          <w:szCs w:val="24"/>
        </w:rPr>
        <w:t>T.</w:t>
      </w:r>
      <w:r w:rsidR="00821298">
        <w:rPr>
          <w:rFonts w:eastAsia="Times New Roman" w:cs="Times New Roman"/>
          <w:bCs/>
          <w:sz w:val="24"/>
          <w:szCs w:val="24"/>
        </w:rPr>
        <w:t xml:space="preserve"> </w:t>
      </w:r>
      <w:proofErr w:type="spellStart"/>
      <w:r w:rsidRPr="00A323F8">
        <w:rPr>
          <w:rFonts w:eastAsia="Times New Roman" w:cs="Times New Roman"/>
          <w:bCs/>
          <w:sz w:val="24"/>
          <w:szCs w:val="24"/>
        </w:rPr>
        <w:t>Linkaits</w:t>
      </w:r>
      <w:proofErr w:type="spellEnd"/>
    </w:p>
    <w:p w:rsidRPr="00A323F8" w:rsidR="00A323F8" w:rsidP="00A323F8" w:rsidRDefault="00A323F8" w14:paraId="34D12469" w14:textId="77777777">
      <w:pPr>
        <w:jc w:val="both"/>
        <w:rPr>
          <w:rFonts w:eastAsia="Times New Roman" w:cs="Times New Roman"/>
          <w:bCs/>
          <w:sz w:val="24"/>
          <w:szCs w:val="24"/>
        </w:rPr>
      </w:pPr>
    </w:p>
    <w:p w:rsidRPr="00A323F8" w:rsidR="00A323F8" w:rsidP="00A323F8" w:rsidRDefault="00A323F8" w14:paraId="566EABB5" w14:textId="77777777">
      <w:pPr>
        <w:jc w:val="both"/>
        <w:rPr>
          <w:rFonts w:eastAsia="Times New Roman" w:cs="Times New Roman"/>
          <w:bCs/>
          <w:sz w:val="24"/>
          <w:szCs w:val="24"/>
        </w:rPr>
      </w:pPr>
    </w:p>
    <w:p w:rsidR="00CA53D5" w:rsidP="00821298" w:rsidRDefault="00A323F8" w14:paraId="091D964E" w14:textId="5C128A36">
      <w:pPr>
        <w:jc w:val="both"/>
        <w:rPr>
          <w:rFonts w:eastAsia="Times New Roman" w:cs="Times New Roman"/>
          <w:bCs/>
          <w:sz w:val="24"/>
          <w:szCs w:val="24"/>
        </w:rPr>
      </w:pPr>
      <w:r w:rsidRPr="00A323F8">
        <w:rPr>
          <w:rFonts w:eastAsia="Times New Roman" w:cs="Times New Roman"/>
          <w:bCs/>
          <w:sz w:val="24"/>
          <w:szCs w:val="24"/>
        </w:rPr>
        <w:t>Vīza:</w:t>
      </w:r>
      <w:r>
        <w:rPr>
          <w:rFonts w:eastAsia="Times New Roman" w:cs="Times New Roman"/>
          <w:bCs/>
          <w:sz w:val="24"/>
          <w:szCs w:val="24"/>
        </w:rPr>
        <w:t xml:space="preserve"> </w:t>
      </w:r>
      <w:r w:rsidRPr="00A323F8">
        <w:rPr>
          <w:rFonts w:eastAsia="Times New Roman" w:cs="Times New Roman"/>
          <w:bCs/>
          <w:sz w:val="24"/>
          <w:szCs w:val="24"/>
        </w:rPr>
        <w:t>valsts sekretār</w:t>
      </w:r>
      <w:r w:rsidR="00CA53D5">
        <w:rPr>
          <w:rFonts w:eastAsia="Times New Roman" w:cs="Times New Roman"/>
          <w:bCs/>
          <w:sz w:val="24"/>
          <w:szCs w:val="24"/>
        </w:rPr>
        <w:t>a vietā –</w:t>
      </w:r>
    </w:p>
    <w:p w:rsidR="00CA53D5" w:rsidP="00821298" w:rsidRDefault="00CA53D5" w14:paraId="4E4D127B" w14:textId="0A995650">
      <w:pPr>
        <w:jc w:val="both"/>
        <w:rPr>
          <w:rFonts w:eastAsia="Times New Roman" w:cs="Times New Roman"/>
          <w:bCs/>
          <w:sz w:val="24"/>
          <w:szCs w:val="24"/>
        </w:rPr>
      </w:pPr>
      <w:r>
        <w:rPr>
          <w:rFonts w:eastAsia="Times New Roman" w:cs="Times New Roman"/>
          <w:bCs/>
          <w:sz w:val="24"/>
          <w:szCs w:val="24"/>
        </w:rPr>
        <w:t>valsts sekretāra viet</w:t>
      </w:r>
      <w:r w:rsidR="009801F7">
        <w:rPr>
          <w:rFonts w:eastAsia="Times New Roman" w:cs="Times New Roman"/>
          <w:bCs/>
          <w:sz w:val="24"/>
          <w:szCs w:val="24"/>
        </w:rPr>
        <w:t>niece</w:t>
      </w:r>
      <w:r>
        <w:rPr>
          <w:rFonts w:eastAsia="Times New Roman" w:cs="Times New Roman"/>
          <w:bCs/>
          <w:sz w:val="24"/>
          <w:szCs w:val="24"/>
        </w:rPr>
        <w:t xml:space="preserve">                                                                </w:t>
      </w:r>
      <w:proofErr w:type="spellStart"/>
      <w:r>
        <w:rPr>
          <w:rFonts w:eastAsia="Times New Roman" w:cs="Times New Roman"/>
          <w:bCs/>
          <w:sz w:val="24"/>
          <w:szCs w:val="24"/>
        </w:rPr>
        <w:t>L.Austrupe</w:t>
      </w:r>
      <w:proofErr w:type="spellEnd"/>
    </w:p>
    <w:p w:rsidR="008E165C" w:rsidP="0079578A" w:rsidRDefault="00A323F8" w14:paraId="62D07E63" w14:textId="447F5B14">
      <w:pPr>
        <w:jc w:val="both"/>
        <w:rPr>
          <w:sz w:val="24"/>
          <w:szCs w:val="24"/>
        </w:rPr>
      </w:pPr>
      <w:r w:rsidRPr="00A323F8">
        <w:rPr>
          <w:rFonts w:eastAsia="Times New Roman" w:cs="Times New Roman"/>
          <w:bCs/>
          <w:sz w:val="24"/>
          <w:szCs w:val="24"/>
        </w:rPr>
        <w:t xml:space="preserve"> </w:t>
      </w:r>
      <w:r w:rsidRPr="00A323F8">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sidRPr="00A323F8">
        <w:rPr>
          <w:rFonts w:eastAsia="Times New Roman" w:cs="Times New Roman"/>
          <w:bCs/>
          <w:sz w:val="24"/>
          <w:szCs w:val="24"/>
        </w:rPr>
        <w:tab/>
      </w:r>
      <w:bookmarkStart w:name="_GoBack" w:id="4"/>
      <w:bookmarkEnd w:id="4"/>
    </w:p>
    <w:p w:rsidR="008E165C" w:rsidP="00613172" w:rsidRDefault="008E165C" w14:paraId="1831ABE0" w14:textId="77777777">
      <w:pPr>
        <w:ind w:firstLine="0"/>
        <w:jc w:val="both"/>
        <w:rPr>
          <w:sz w:val="24"/>
          <w:szCs w:val="24"/>
        </w:rPr>
      </w:pPr>
    </w:p>
    <w:p w:rsidRPr="00A323F8" w:rsidR="00613172" w:rsidP="00704D9D" w:rsidRDefault="009D019A" w14:paraId="58EF086A" w14:textId="6AE89783">
      <w:pPr>
        <w:jc w:val="both"/>
        <w:rPr>
          <w:sz w:val="20"/>
          <w:szCs w:val="20"/>
        </w:rPr>
      </w:pPr>
      <w:r>
        <w:rPr>
          <w:sz w:val="20"/>
          <w:szCs w:val="20"/>
        </w:rPr>
        <w:t>Lukjanoviča</w:t>
      </w:r>
      <w:r w:rsidRPr="00A323F8" w:rsidR="00613172">
        <w:rPr>
          <w:sz w:val="20"/>
          <w:szCs w:val="20"/>
        </w:rPr>
        <w:t>, 670280</w:t>
      </w:r>
      <w:r>
        <w:rPr>
          <w:sz w:val="20"/>
          <w:szCs w:val="20"/>
        </w:rPr>
        <w:t>19</w:t>
      </w:r>
    </w:p>
    <w:p w:rsidRPr="00A323F8" w:rsidR="00D850BE" w:rsidP="00217468" w:rsidRDefault="0079578A" w14:paraId="6B35482F" w14:textId="5E8A4958">
      <w:pPr>
        <w:jc w:val="both"/>
        <w:rPr>
          <w:sz w:val="20"/>
          <w:szCs w:val="20"/>
        </w:rPr>
      </w:pPr>
      <w:hyperlink w:history="1" r:id="rId10">
        <w:r w:rsidRPr="000D6B81" w:rsidR="00704D9D">
          <w:rPr>
            <w:rStyle w:val="Hyperlink"/>
            <w:sz w:val="20"/>
            <w:szCs w:val="20"/>
          </w:rPr>
          <w:t>inga.lukjanovica@sam.gov.lv</w:t>
        </w:r>
      </w:hyperlink>
      <w:r w:rsidRPr="00A323F8" w:rsidR="00613172">
        <w:rPr>
          <w:sz w:val="20"/>
          <w:szCs w:val="20"/>
        </w:rPr>
        <w:t xml:space="preserve"> </w:t>
      </w:r>
    </w:p>
    <w:sectPr w:rsidRPr="00A323F8" w:rsidR="00D850BE" w:rsidSect="0048468C">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358D2" w14:textId="77777777" w:rsidR="009E792C" w:rsidRDefault="009E792C" w:rsidP="0048468C">
      <w:r>
        <w:separator/>
      </w:r>
    </w:p>
  </w:endnote>
  <w:endnote w:type="continuationSeparator" w:id="0">
    <w:p w14:paraId="5A5FD12B" w14:textId="77777777" w:rsidR="009E792C" w:rsidRDefault="009E792C" w:rsidP="0048468C">
      <w:r>
        <w:continuationSeparator/>
      </w:r>
    </w:p>
  </w:endnote>
  <w:endnote w:type="continuationNotice" w:id="1">
    <w:p w14:paraId="22DAFEF2" w14:textId="77777777" w:rsidR="00E772F1" w:rsidRDefault="00E77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72C4" w14:textId="38CE446C" w:rsidR="009E792C" w:rsidRPr="00E80ED5" w:rsidRDefault="009E792C" w:rsidP="00A101C6">
    <w:pPr>
      <w:pStyle w:val="Footer"/>
      <w:ind w:firstLine="0"/>
      <w:jc w:val="both"/>
      <w:rPr>
        <w:sz w:val="20"/>
        <w:szCs w:val="20"/>
      </w:rPr>
    </w:pPr>
    <w:r>
      <w:rPr>
        <w:sz w:val="20"/>
        <w:szCs w:val="20"/>
      </w:rPr>
      <w:t>SManot_270120_lic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99DD" w14:textId="6449BB4B" w:rsidR="009E792C" w:rsidRPr="00E80ED5" w:rsidRDefault="009E792C" w:rsidP="00811F0E">
    <w:pPr>
      <w:pStyle w:val="Footer"/>
      <w:ind w:firstLine="0"/>
      <w:jc w:val="both"/>
      <w:rPr>
        <w:sz w:val="20"/>
        <w:szCs w:val="20"/>
      </w:rPr>
    </w:pPr>
    <w:bookmarkStart w:id="5" w:name="_Hlk514239373"/>
    <w:bookmarkStart w:id="6" w:name="_Hlk514239374"/>
    <w:r>
      <w:rPr>
        <w:sz w:val="20"/>
        <w:szCs w:val="20"/>
      </w:rPr>
      <w:t>SManot_270120_lic</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5E28" w14:textId="77777777" w:rsidR="009E792C" w:rsidRDefault="009E792C" w:rsidP="0048468C">
      <w:r>
        <w:separator/>
      </w:r>
    </w:p>
  </w:footnote>
  <w:footnote w:type="continuationSeparator" w:id="0">
    <w:p w14:paraId="41CFF5DD" w14:textId="77777777" w:rsidR="009E792C" w:rsidRDefault="009E792C" w:rsidP="0048468C">
      <w:r>
        <w:continuationSeparator/>
      </w:r>
    </w:p>
  </w:footnote>
  <w:footnote w:type="continuationNotice" w:id="1">
    <w:p w14:paraId="174190A5" w14:textId="77777777" w:rsidR="00E772F1" w:rsidRDefault="00E77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2217"/>
      <w:docPartObj>
        <w:docPartGallery w:val="Page Numbers (Top of Page)"/>
        <w:docPartUnique/>
      </w:docPartObj>
    </w:sdtPr>
    <w:sdtEndPr>
      <w:rPr>
        <w:noProof/>
      </w:rPr>
    </w:sdtEndPr>
    <w:sdtContent>
      <w:p w:rsidR="009E792C" w:rsidRDefault="009E792C" w14:paraId="756BA294" w14:textId="77777777">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9E792C" w:rsidRDefault="009E792C" w14:paraId="3D48EF1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0NDc3NjcwMre0MDdV0lEKTi0uzszPAykwqgUAEZtQSiwAAAA="/>
  </w:docVars>
  <w:rsids>
    <w:rsidRoot w:val="003D6F09"/>
    <w:rsid w:val="00001739"/>
    <w:rsid w:val="00002B17"/>
    <w:rsid w:val="00002C1B"/>
    <w:rsid w:val="0000389A"/>
    <w:rsid w:val="00006C44"/>
    <w:rsid w:val="00010117"/>
    <w:rsid w:val="00011630"/>
    <w:rsid w:val="00014DBB"/>
    <w:rsid w:val="000170BF"/>
    <w:rsid w:val="00034E64"/>
    <w:rsid w:val="00035E5B"/>
    <w:rsid w:val="00035FA8"/>
    <w:rsid w:val="000361ED"/>
    <w:rsid w:val="00042B46"/>
    <w:rsid w:val="00050145"/>
    <w:rsid w:val="00053289"/>
    <w:rsid w:val="00054322"/>
    <w:rsid w:val="000568A5"/>
    <w:rsid w:val="00057EE5"/>
    <w:rsid w:val="000607BE"/>
    <w:rsid w:val="00067A2C"/>
    <w:rsid w:val="0007316E"/>
    <w:rsid w:val="00075993"/>
    <w:rsid w:val="00075D20"/>
    <w:rsid w:val="0008212B"/>
    <w:rsid w:val="00082DF2"/>
    <w:rsid w:val="00082E5B"/>
    <w:rsid w:val="00083598"/>
    <w:rsid w:val="0008381F"/>
    <w:rsid w:val="000848BA"/>
    <w:rsid w:val="00086F7D"/>
    <w:rsid w:val="00092D60"/>
    <w:rsid w:val="00095622"/>
    <w:rsid w:val="00095677"/>
    <w:rsid w:val="00097D61"/>
    <w:rsid w:val="00097FF3"/>
    <w:rsid w:val="000A3F55"/>
    <w:rsid w:val="000B1DEC"/>
    <w:rsid w:val="000B6297"/>
    <w:rsid w:val="000B7226"/>
    <w:rsid w:val="000C3D60"/>
    <w:rsid w:val="000D0257"/>
    <w:rsid w:val="000D2BAC"/>
    <w:rsid w:val="000D6624"/>
    <w:rsid w:val="000D6A31"/>
    <w:rsid w:val="000E2B99"/>
    <w:rsid w:val="000E64FC"/>
    <w:rsid w:val="000E6785"/>
    <w:rsid w:val="000F030A"/>
    <w:rsid w:val="00101D71"/>
    <w:rsid w:val="00102D6C"/>
    <w:rsid w:val="001033BA"/>
    <w:rsid w:val="00103A84"/>
    <w:rsid w:val="00104753"/>
    <w:rsid w:val="00110822"/>
    <w:rsid w:val="001117A6"/>
    <w:rsid w:val="00112B15"/>
    <w:rsid w:val="00113726"/>
    <w:rsid w:val="00114977"/>
    <w:rsid w:val="001151D9"/>
    <w:rsid w:val="00116A80"/>
    <w:rsid w:val="00124569"/>
    <w:rsid w:val="00125378"/>
    <w:rsid w:val="00127CC1"/>
    <w:rsid w:val="00130168"/>
    <w:rsid w:val="001313E5"/>
    <w:rsid w:val="00134D53"/>
    <w:rsid w:val="00140F01"/>
    <w:rsid w:val="00144442"/>
    <w:rsid w:val="001476BF"/>
    <w:rsid w:val="001478C9"/>
    <w:rsid w:val="00150BAD"/>
    <w:rsid w:val="001516D8"/>
    <w:rsid w:val="001558CF"/>
    <w:rsid w:val="00156E33"/>
    <w:rsid w:val="0016444C"/>
    <w:rsid w:val="00166CBD"/>
    <w:rsid w:val="001711B4"/>
    <w:rsid w:val="001725B8"/>
    <w:rsid w:val="00175FAC"/>
    <w:rsid w:val="00176AF7"/>
    <w:rsid w:val="00180302"/>
    <w:rsid w:val="00180913"/>
    <w:rsid w:val="00181F6A"/>
    <w:rsid w:val="00187A09"/>
    <w:rsid w:val="001962CE"/>
    <w:rsid w:val="001A130B"/>
    <w:rsid w:val="001A3638"/>
    <w:rsid w:val="001A608F"/>
    <w:rsid w:val="001B50B3"/>
    <w:rsid w:val="001C0B08"/>
    <w:rsid w:val="001C3D1E"/>
    <w:rsid w:val="001C4263"/>
    <w:rsid w:val="001C4E47"/>
    <w:rsid w:val="001D19A9"/>
    <w:rsid w:val="001D4DDF"/>
    <w:rsid w:val="001D5E74"/>
    <w:rsid w:val="001D612C"/>
    <w:rsid w:val="001D7E96"/>
    <w:rsid w:val="001E1DCA"/>
    <w:rsid w:val="001E3AA0"/>
    <w:rsid w:val="001E7C77"/>
    <w:rsid w:val="001F44BF"/>
    <w:rsid w:val="001F5D03"/>
    <w:rsid w:val="002007CF"/>
    <w:rsid w:val="00201BA6"/>
    <w:rsid w:val="00203304"/>
    <w:rsid w:val="00204A21"/>
    <w:rsid w:val="002055FE"/>
    <w:rsid w:val="00210F94"/>
    <w:rsid w:val="002142F3"/>
    <w:rsid w:val="00217468"/>
    <w:rsid w:val="00221660"/>
    <w:rsid w:val="00222042"/>
    <w:rsid w:val="002329FC"/>
    <w:rsid w:val="0023362B"/>
    <w:rsid w:val="00234C2F"/>
    <w:rsid w:val="00235328"/>
    <w:rsid w:val="00237D11"/>
    <w:rsid w:val="002440B5"/>
    <w:rsid w:val="0024538C"/>
    <w:rsid w:val="0025287A"/>
    <w:rsid w:val="00253C56"/>
    <w:rsid w:val="002553DF"/>
    <w:rsid w:val="002561D0"/>
    <w:rsid w:val="002566C8"/>
    <w:rsid w:val="002576B5"/>
    <w:rsid w:val="00260710"/>
    <w:rsid w:val="00261978"/>
    <w:rsid w:val="00262FC4"/>
    <w:rsid w:val="00263F5C"/>
    <w:rsid w:val="00267A98"/>
    <w:rsid w:val="00272D93"/>
    <w:rsid w:val="00273186"/>
    <w:rsid w:val="00276870"/>
    <w:rsid w:val="002838B4"/>
    <w:rsid w:val="002905C3"/>
    <w:rsid w:val="002A31A5"/>
    <w:rsid w:val="002A43AB"/>
    <w:rsid w:val="002B04B3"/>
    <w:rsid w:val="002B2C60"/>
    <w:rsid w:val="002B3898"/>
    <w:rsid w:val="002B5ABA"/>
    <w:rsid w:val="002C0795"/>
    <w:rsid w:val="002C1B0D"/>
    <w:rsid w:val="002C1E5A"/>
    <w:rsid w:val="002C21E0"/>
    <w:rsid w:val="002D75CA"/>
    <w:rsid w:val="002E5A8C"/>
    <w:rsid w:val="002F1906"/>
    <w:rsid w:val="002F550C"/>
    <w:rsid w:val="002F72F9"/>
    <w:rsid w:val="00301B36"/>
    <w:rsid w:val="00302D30"/>
    <w:rsid w:val="00304F02"/>
    <w:rsid w:val="003064E6"/>
    <w:rsid w:val="003144B5"/>
    <w:rsid w:val="0031721D"/>
    <w:rsid w:val="0032195B"/>
    <w:rsid w:val="00322829"/>
    <w:rsid w:val="003259A0"/>
    <w:rsid w:val="00330709"/>
    <w:rsid w:val="00330D6D"/>
    <w:rsid w:val="00337042"/>
    <w:rsid w:val="00337A21"/>
    <w:rsid w:val="00346081"/>
    <w:rsid w:val="00350891"/>
    <w:rsid w:val="00351237"/>
    <w:rsid w:val="00352E4F"/>
    <w:rsid w:val="00356F49"/>
    <w:rsid w:val="003624E2"/>
    <w:rsid w:val="00366A34"/>
    <w:rsid w:val="00372981"/>
    <w:rsid w:val="00377965"/>
    <w:rsid w:val="003803E1"/>
    <w:rsid w:val="003805DD"/>
    <w:rsid w:val="00380939"/>
    <w:rsid w:val="00382C25"/>
    <w:rsid w:val="00384EA1"/>
    <w:rsid w:val="00386640"/>
    <w:rsid w:val="00390708"/>
    <w:rsid w:val="00390DE8"/>
    <w:rsid w:val="003965C4"/>
    <w:rsid w:val="003A0D26"/>
    <w:rsid w:val="003A6A45"/>
    <w:rsid w:val="003A7105"/>
    <w:rsid w:val="003A7AC1"/>
    <w:rsid w:val="003B1247"/>
    <w:rsid w:val="003B1C94"/>
    <w:rsid w:val="003C1032"/>
    <w:rsid w:val="003C104F"/>
    <w:rsid w:val="003C2CEB"/>
    <w:rsid w:val="003C30A9"/>
    <w:rsid w:val="003C6B4A"/>
    <w:rsid w:val="003D57F6"/>
    <w:rsid w:val="003D600E"/>
    <w:rsid w:val="003D60C9"/>
    <w:rsid w:val="003D6F09"/>
    <w:rsid w:val="003D7F47"/>
    <w:rsid w:val="003E30E3"/>
    <w:rsid w:val="003E759A"/>
    <w:rsid w:val="003E7F14"/>
    <w:rsid w:val="003F22F4"/>
    <w:rsid w:val="003F258F"/>
    <w:rsid w:val="003F5B8D"/>
    <w:rsid w:val="004055E1"/>
    <w:rsid w:val="00412D8E"/>
    <w:rsid w:val="004139FE"/>
    <w:rsid w:val="00415B84"/>
    <w:rsid w:val="00415BA3"/>
    <w:rsid w:val="00420829"/>
    <w:rsid w:val="0042234E"/>
    <w:rsid w:val="0043367F"/>
    <w:rsid w:val="0043695C"/>
    <w:rsid w:val="0043749B"/>
    <w:rsid w:val="00441A38"/>
    <w:rsid w:val="00444F9B"/>
    <w:rsid w:val="00453377"/>
    <w:rsid w:val="004538FD"/>
    <w:rsid w:val="00455A32"/>
    <w:rsid w:val="00457A24"/>
    <w:rsid w:val="004604F7"/>
    <w:rsid w:val="00461ACF"/>
    <w:rsid w:val="004642A3"/>
    <w:rsid w:val="00464911"/>
    <w:rsid w:val="00466F57"/>
    <w:rsid w:val="00472331"/>
    <w:rsid w:val="0048248D"/>
    <w:rsid w:val="00483A18"/>
    <w:rsid w:val="00484021"/>
    <w:rsid w:val="0048468C"/>
    <w:rsid w:val="00486732"/>
    <w:rsid w:val="004870E3"/>
    <w:rsid w:val="004911DF"/>
    <w:rsid w:val="00493F29"/>
    <w:rsid w:val="00494964"/>
    <w:rsid w:val="00496ABD"/>
    <w:rsid w:val="004A144C"/>
    <w:rsid w:val="004A2F3A"/>
    <w:rsid w:val="004A60F2"/>
    <w:rsid w:val="004B298F"/>
    <w:rsid w:val="004B2DE3"/>
    <w:rsid w:val="004B3EE8"/>
    <w:rsid w:val="004B4A04"/>
    <w:rsid w:val="004B5421"/>
    <w:rsid w:val="004B5893"/>
    <w:rsid w:val="004C0022"/>
    <w:rsid w:val="004C0248"/>
    <w:rsid w:val="004C4ED4"/>
    <w:rsid w:val="004D0682"/>
    <w:rsid w:val="004D5FB5"/>
    <w:rsid w:val="004D7764"/>
    <w:rsid w:val="004E3855"/>
    <w:rsid w:val="004E7039"/>
    <w:rsid w:val="004E7B92"/>
    <w:rsid w:val="004F264E"/>
    <w:rsid w:val="004F45A3"/>
    <w:rsid w:val="004F716A"/>
    <w:rsid w:val="00500C6E"/>
    <w:rsid w:val="00500E4C"/>
    <w:rsid w:val="005013DF"/>
    <w:rsid w:val="0050205C"/>
    <w:rsid w:val="0050252D"/>
    <w:rsid w:val="005027C0"/>
    <w:rsid w:val="00507E92"/>
    <w:rsid w:val="00516B3E"/>
    <w:rsid w:val="0052166C"/>
    <w:rsid w:val="00525304"/>
    <w:rsid w:val="0052743F"/>
    <w:rsid w:val="005400C7"/>
    <w:rsid w:val="00541AFA"/>
    <w:rsid w:val="00542581"/>
    <w:rsid w:val="00544944"/>
    <w:rsid w:val="00546223"/>
    <w:rsid w:val="00550FAB"/>
    <w:rsid w:val="00552B69"/>
    <w:rsid w:val="00553CFD"/>
    <w:rsid w:val="0055468D"/>
    <w:rsid w:val="00555B57"/>
    <w:rsid w:val="005600BF"/>
    <w:rsid w:val="0056434B"/>
    <w:rsid w:val="0056497A"/>
    <w:rsid w:val="00575EC1"/>
    <w:rsid w:val="00576870"/>
    <w:rsid w:val="00581E76"/>
    <w:rsid w:val="00594554"/>
    <w:rsid w:val="00596FD7"/>
    <w:rsid w:val="005A159C"/>
    <w:rsid w:val="005A16EA"/>
    <w:rsid w:val="005A696F"/>
    <w:rsid w:val="005A7EB3"/>
    <w:rsid w:val="005B2BC8"/>
    <w:rsid w:val="005C00FE"/>
    <w:rsid w:val="005C0639"/>
    <w:rsid w:val="005C22F4"/>
    <w:rsid w:val="005C235C"/>
    <w:rsid w:val="005C419A"/>
    <w:rsid w:val="005C6D7E"/>
    <w:rsid w:val="005D3321"/>
    <w:rsid w:val="005D3FC3"/>
    <w:rsid w:val="005D4C2F"/>
    <w:rsid w:val="005D5204"/>
    <w:rsid w:val="005D635A"/>
    <w:rsid w:val="005E34B6"/>
    <w:rsid w:val="005E4143"/>
    <w:rsid w:val="005F3D06"/>
    <w:rsid w:val="00606716"/>
    <w:rsid w:val="00611672"/>
    <w:rsid w:val="0061275A"/>
    <w:rsid w:val="00613172"/>
    <w:rsid w:val="00616C4C"/>
    <w:rsid w:val="00620A24"/>
    <w:rsid w:val="006257DA"/>
    <w:rsid w:val="006268CE"/>
    <w:rsid w:val="00627633"/>
    <w:rsid w:val="00627877"/>
    <w:rsid w:val="00632F3A"/>
    <w:rsid w:val="006343D4"/>
    <w:rsid w:val="00646736"/>
    <w:rsid w:val="00647E54"/>
    <w:rsid w:val="00647FED"/>
    <w:rsid w:val="00651020"/>
    <w:rsid w:val="006564C6"/>
    <w:rsid w:val="00656E1C"/>
    <w:rsid w:val="0066050E"/>
    <w:rsid w:val="006666C9"/>
    <w:rsid w:val="00667224"/>
    <w:rsid w:val="00675120"/>
    <w:rsid w:val="006808D2"/>
    <w:rsid w:val="00685A36"/>
    <w:rsid w:val="00692FE8"/>
    <w:rsid w:val="006A144E"/>
    <w:rsid w:val="006A26E6"/>
    <w:rsid w:val="006A3283"/>
    <w:rsid w:val="006A4F61"/>
    <w:rsid w:val="006B5CC8"/>
    <w:rsid w:val="006C0B68"/>
    <w:rsid w:val="006C6B45"/>
    <w:rsid w:val="006D010A"/>
    <w:rsid w:val="006D0FFC"/>
    <w:rsid w:val="006D35C6"/>
    <w:rsid w:val="006D5372"/>
    <w:rsid w:val="006E35D5"/>
    <w:rsid w:val="006F0ABE"/>
    <w:rsid w:val="006F5122"/>
    <w:rsid w:val="006F6631"/>
    <w:rsid w:val="006F6D3E"/>
    <w:rsid w:val="006F7076"/>
    <w:rsid w:val="0070103E"/>
    <w:rsid w:val="00703248"/>
    <w:rsid w:val="00704D9D"/>
    <w:rsid w:val="00705A26"/>
    <w:rsid w:val="007253D3"/>
    <w:rsid w:val="00727BA5"/>
    <w:rsid w:val="007327CC"/>
    <w:rsid w:val="007345A6"/>
    <w:rsid w:val="00734F39"/>
    <w:rsid w:val="007350ED"/>
    <w:rsid w:val="007356C7"/>
    <w:rsid w:val="00744456"/>
    <w:rsid w:val="00744E06"/>
    <w:rsid w:val="007456BF"/>
    <w:rsid w:val="00745D9D"/>
    <w:rsid w:val="007518D1"/>
    <w:rsid w:val="007554AD"/>
    <w:rsid w:val="00765B75"/>
    <w:rsid w:val="0076622E"/>
    <w:rsid w:val="007731E5"/>
    <w:rsid w:val="007753BA"/>
    <w:rsid w:val="00775F34"/>
    <w:rsid w:val="00776BA4"/>
    <w:rsid w:val="00783547"/>
    <w:rsid w:val="007870DF"/>
    <w:rsid w:val="00787726"/>
    <w:rsid w:val="007879C2"/>
    <w:rsid w:val="0079168D"/>
    <w:rsid w:val="00791831"/>
    <w:rsid w:val="007925DE"/>
    <w:rsid w:val="00794E17"/>
    <w:rsid w:val="0079578A"/>
    <w:rsid w:val="00796CB0"/>
    <w:rsid w:val="007979D9"/>
    <w:rsid w:val="007A599F"/>
    <w:rsid w:val="007A62AC"/>
    <w:rsid w:val="007A6B6D"/>
    <w:rsid w:val="007B296A"/>
    <w:rsid w:val="007B2C34"/>
    <w:rsid w:val="007B3D12"/>
    <w:rsid w:val="007B4239"/>
    <w:rsid w:val="007B4534"/>
    <w:rsid w:val="007C3889"/>
    <w:rsid w:val="007C6A25"/>
    <w:rsid w:val="007D59F0"/>
    <w:rsid w:val="007E0A83"/>
    <w:rsid w:val="007E4DC3"/>
    <w:rsid w:val="007F0F80"/>
    <w:rsid w:val="007F1192"/>
    <w:rsid w:val="007F2B6A"/>
    <w:rsid w:val="007F3D95"/>
    <w:rsid w:val="007F6259"/>
    <w:rsid w:val="00811F0E"/>
    <w:rsid w:val="008131FC"/>
    <w:rsid w:val="008177C9"/>
    <w:rsid w:val="00820ACF"/>
    <w:rsid w:val="00821298"/>
    <w:rsid w:val="00823A33"/>
    <w:rsid w:val="00827D88"/>
    <w:rsid w:val="008316FA"/>
    <w:rsid w:val="00833103"/>
    <w:rsid w:val="00835CE6"/>
    <w:rsid w:val="00845ABB"/>
    <w:rsid w:val="00846C43"/>
    <w:rsid w:val="008473A3"/>
    <w:rsid w:val="0085155D"/>
    <w:rsid w:val="00854D02"/>
    <w:rsid w:val="00855BFE"/>
    <w:rsid w:val="00856845"/>
    <w:rsid w:val="00860CFB"/>
    <w:rsid w:val="00860E0D"/>
    <w:rsid w:val="00862F4A"/>
    <w:rsid w:val="008732B4"/>
    <w:rsid w:val="0087352F"/>
    <w:rsid w:val="00875926"/>
    <w:rsid w:val="00876D32"/>
    <w:rsid w:val="00877EE3"/>
    <w:rsid w:val="00884172"/>
    <w:rsid w:val="00894846"/>
    <w:rsid w:val="008A1BE9"/>
    <w:rsid w:val="008A41F5"/>
    <w:rsid w:val="008A67D6"/>
    <w:rsid w:val="008B0DD4"/>
    <w:rsid w:val="008B2CE6"/>
    <w:rsid w:val="008B3B28"/>
    <w:rsid w:val="008B5C3F"/>
    <w:rsid w:val="008C213E"/>
    <w:rsid w:val="008C3E36"/>
    <w:rsid w:val="008E11E7"/>
    <w:rsid w:val="008E165C"/>
    <w:rsid w:val="008E1D8B"/>
    <w:rsid w:val="008F1A3D"/>
    <w:rsid w:val="008F332C"/>
    <w:rsid w:val="008F4477"/>
    <w:rsid w:val="008F5A07"/>
    <w:rsid w:val="009008BE"/>
    <w:rsid w:val="00904D13"/>
    <w:rsid w:val="00910EDA"/>
    <w:rsid w:val="00913454"/>
    <w:rsid w:val="0091358E"/>
    <w:rsid w:val="00917A4E"/>
    <w:rsid w:val="0092496E"/>
    <w:rsid w:val="00926EDD"/>
    <w:rsid w:val="00931E7D"/>
    <w:rsid w:val="00937035"/>
    <w:rsid w:val="0094004F"/>
    <w:rsid w:val="0094054B"/>
    <w:rsid w:val="00940788"/>
    <w:rsid w:val="0094541E"/>
    <w:rsid w:val="00946F3E"/>
    <w:rsid w:val="0094704A"/>
    <w:rsid w:val="009534A2"/>
    <w:rsid w:val="0095641D"/>
    <w:rsid w:val="00956909"/>
    <w:rsid w:val="0096160E"/>
    <w:rsid w:val="00961C1F"/>
    <w:rsid w:val="00961D14"/>
    <w:rsid w:val="0096510A"/>
    <w:rsid w:val="00966152"/>
    <w:rsid w:val="00966EDA"/>
    <w:rsid w:val="00977BFF"/>
    <w:rsid w:val="009801F7"/>
    <w:rsid w:val="00981EB6"/>
    <w:rsid w:val="00984AF9"/>
    <w:rsid w:val="00987555"/>
    <w:rsid w:val="00990A0C"/>
    <w:rsid w:val="00993F8F"/>
    <w:rsid w:val="0099685C"/>
    <w:rsid w:val="009A77B6"/>
    <w:rsid w:val="009B76AD"/>
    <w:rsid w:val="009C107E"/>
    <w:rsid w:val="009C1557"/>
    <w:rsid w:val="009C5374"/>
    <w:rsid w:val="009C58EF"/>
    <w:rsid w:val="009D019A"/>
    <w:rsid w:val="009D0C51"/>
    <w:rsid w:val="009D519C"/>
    <w:rsid w:val="009D59A0"/>
    <w:rsid w:val="009E0F78"/>
    <w:rsid w:val="009E2811"/>
    <w:rsid w:val="009E2ED8"/>
    <w:rsid w:val="009E2FE2"/>
    <w:rsid w:val="009E58EF"/>
    <w:rsid w:val="009E792C"/>
    <w:rsid w:val="009F0152"/>
    <w:rsid w:val="009F050D"/>
    <w:rsid w:val="009F061B"/>
    <w:rsid w:val="00A02964"/>
    <w:rsid w:val="00A04B75"/>
    <w:rsid w:val="00A058A2"/>
    <w:rsid w:val="00A101C6"/>
    <w:rsid w:val="00A114E1"/>
    <w:rsid w:val="00A16F25"/>
    <w:rsid w:val="00A1743C"/>
    <w:rsid w:val="00A20F65"/>
    <w:rsid w:val="00A226E7"/>
    <w:rsid w:val="00A24137"/>
    <w:rsid w:val="00A25161"/>
    <w:rsid w:val="00A275E0"/>
    <w:rsid w:val="00A323F8"/>
    <w:rsid w:val="00A3575A"/>
    <w:rsid w:val="00A422B3"/>
    <w:rsid w:val="00A4407C"/>
    <w:rsid w:val="00A469C1"/>
    <w:rsid w:val="00A53C8B"/>
    <w:rsid w:val="00A57EBB"/>
    <w:rsid w:val="00A64325"/>
    <w:rsid w:val="00A65E62"/>
    <w:rsid w:val="00A66DDC"/>
    <w:rsid w:val="00A741D4"/>
    <w:rsid w:val="00A77ED5"/>
    <w:rsid w:val="00A81459"/>
    <w:rsid w:val="00A82A89"/>
    <w:rsid w:val="00A82BB3"/>
    <w:rsid w:val="00A846DC"/>
    <w:rsid w:val="00A902C1"/>
    <w:rsid w:val="00A97CA7"/>
    <w:rsid w:val="00AA0DD3"/>
    <w:rsid w:val="00AA1609"/>
    <w:rsid w:val="00AA55E4"/>
    <w:rsid w:val="00AB264E"/>
    <w:rsid w:val="00AB3575"/>
    <w:rsid w:val="00AB3E8D"/>
    <w:rsid w:val="00AC6370"/>
    <w:rsid w:val="00AC6491"/>
    <w:rsid w:val="00AC72C5"/>
    <w:rsid w:val="00AD5066"/>
    <w:rsid w:val="00AE230A"/>
    <w:rsid w:val="00AE234F"/>
    <w:rsid w:val="00AE4DD8"/>
    <w:rsid w:val="00AE63EA"/>
    <w:rsid w:val="00AE742B"/>
    <w:rsid w:val="00AE795C"/>
    <w:rsid w:val="00AF35F4"/>
    <w:rsid w:val="00AF48FE"/>
    <w:rsid w:val="00B015F0"/>
    <w:rsid w:val="00B104C4"/>
    <w:rsid w:val="00B11412"/>
    <w:rsid w:val="00B141A6"/>
    <w:rsid w:val="00B17F2A"/>
    <w:rsid w:val="00B24807"/>
    <w:rsid w:val="00B26AC1"/>
    <w:rsid w:val="00B279C5"/>
    <w:rsid w:val="00B34117"/>
    <w:rsid w:val="00B4271D"/>
    <w:rsid w:val="00B427D9"/>
    <w:rsid w:val="00B4765E"/>
    <w:rsid w:val="00B5332E"/>
    <w:rsid w:val="00B55B10"/>
    <w:rsid w:val="00B55F0C"/>
    <w:rsid w:val="00B647FE"/>
    <w:rsid w:val="00B64EC3"/>
    <w:rsid w:val="00B67386"/>
    <w:rsid w:val="00B67592"/>
    <w:rsid w:val="00B67D03"/>
    <w:rsid w:val="00B71720"/>
    <w:rsid w:val="00B7295C"/>
    <w:rsid w:val="00B76E4C"/>
    <w:rsid w:val="00B872E8"/>
    <w:rsid w:val="00B91FBE"/>
    <w:rsid w:val="00BA4544"/>
    <w:rsid w:val="00BA5507"/>
    <w:rsid w:val="00BA6A68"/>
    <w:rsid w:val="00BB2E81"/>
    <w:rsid w:val="00BB59E3"/>
    <w:rsid w:val="00BB6927"/>
    <w:rsid w:val="00BC1197"/>
    <w:rsid w:val="00BC45F9"/>
    <w:rsid w:val="00BC7941"/>
    <w:rsid w:val="00BD6F50"/>
    <w:rsid w:val="00BE1A0E"/>
    <w:rsid w:val="00BE597B"/>
    <w:rsid w:val="00BE7CA6"/>
    <w:rsid w:val="00BE7F34"/>
    <w:rsid w:val="00BF0506"/>
    <w:rsid w:val="00BF5015"/>
    <w:rsid w:val="00C02F53"/>
    <w:rsid w:val="00C05D65"/>
    <w:rsid w:val="00C07419"/>
    <w:rsid w:val="00C07F97"/>
    <w:rsid w:val="00C10F79"/>
    <w:rsid w:val="00C122F4"/>
    <w:rsid w:val="00C12B3C"/>
    <w:rsid w:val="00C1314A"/>
    <w:rsid w:val="00C163CD"/>
    <w:rsid w:val="00C164AD"/>
    <w:rsid w:val="00C2750C"/>
    <w:rsid w:val="00C35175"/>
    <w:rsid w:val="00C3533A"/>
    <w:rsid w:val="00C4086A"/>
    <w:rsid w:val="00C415A7"/>
    <w:rsid w:val="00C42410"/>
    <w:rsid w:val="00C42A72"/>
    <w:rsid w:val="00C44D67"/>
    <w:rsid w:val="00C46B7B"/>
    <w:rsid w:val="00C5038F"/>
    <w:rsid w:val="00C551A3"/>
    <w:rsid w:val="00C611B4"/>
    <w:rsid w:val="00C63550"/>
    <w:rsid w:val="00C665B7"/>
    <w:rsid w:val="00C72271"/>
    <w:rsid w:val="00C75321"/>
    <w:rsid w:val="00C806C9"/>
    <w:rsid w:val="00C82E32"/>
    <w:rsid w:val="00C83D9E"/>
    <w:rsid w:val="00C96ADE"/>
    <w:rsid w:val="00CA53D5"/>
    <w:rsid w:val="00CB75BF"/>
    <w:rsid w:val="00CD1CB7"/>
    <w:rsid w:val="00CD64A7"/>
    <w:rsid w:val="00CE0A0C"/>
    <w:rsid w:val="00CE0BC5"/>
    <w:rsid w:val="00CE18F1"/>
    <w:rsid w:val="00CE2375"/>
    <w:rsid w:val="00CE361C"/>
    <w:rsid w:val="00CE435D"/>
    <w:rsid w:val="00CE7289"/>
    <w:rsid w:val="00CF30C3"/>
    <w:rsid w:val="00CF551A"/>
    <w:rsid w:val="00D00087"/>
    <w:rsid w:val="00D00928"/>
    <w:rsid w:val="00D01653"/>
    <w:rsid w:val="00D06B61"/>
    <w:rsid w:val="00D12A34"/>
    <w:rsid w:val="00D14C3F"/>
    <w:rsid w:val="00D171FD"/>
    <w:rsid w:val="00D2075C"/>
    <w:rsid w:val="00D20E58"/>
    <w:rsid w:val="00D21F7A"/>
    <w:rsid w:val="00D263F1"/>
    <w:rsid w:val="00D43D30"/>
    <w:rsid w:val="00D45FD8"/>
    <w:rsid w:val="00D5220F"/>
    <w:rsid w:val="00D63DBB"/>
    <w:rsid w:val="00D7188F"/>
    <w:rsid w:val="00D74E3B"/>
    <w:rsid w:val="00D7559B"/>
    <w:rsid w:val="00D77280"/>
    <w:rsid w:val="00D82914"/>
    <w:rsid w:val="00D84969"/>
    <w:rsid w:val="00D850BE"/>
    <w:rsid w:val="00D854DF"/>
    <w:rsid w:val="00D87B8B"/>
    <w:rsid w:val="00D9101B"/>
    <w:rsid w:val="00D91495"/>
    <w:rsid w:val="00D91D3B"/>
    <w:rsid w:val="00D959FF"/>
    <w:rsid w:val="00DA03FF"/>
    <w:rsid w:val="00DA1323"/>
    <w:rsid w:val="00DA2809"/>
    <w:rsid w:val="00DA5713"/>
    <w:rsid w:val="00DA593C"/>
    <w:rsid w:val="00DB0BB8"/>
    <w:rsid w:val="00DB2714"/>
    <w:rsid w:val="00DB5DC6"/>
    <w:rsid w:val="00DC011E"/>
    <w:rsid w:val="00DC093F"/>
    <w:rsid w:val="00DE35B0"/>
    <w:rsid w:val="00DE61AF"/>
    <w:rsid w:val="00DE637C"/>
    <w:rsid w:val="00DF0E06"/>
    <w:rsid w:val="00DF2370"/>
    <w:rsid w:val="00E00AA8"/>
    <w:rsid w:val="00E02240"/>
    <w:rsid w:val="00E04862"/>
    <w:rsid w:val="00E05332"/>
    <w:rsid w:val="00E13D1A"/>
    <w:rsid w:val="00E1446C"/>
    <w:rsid w:val="00E151F1"/>
    <w:rsid w:val="00E1555D"/>
    <w:rsid w:val="00E15D2A"/>
    <w:rsid w:val="00E26482"/>
    <w:rsid w:val="00E3049D"/>
    <w:rsid w:val="00E323AA"/>
    <w:rsid w:val="00E33F67"/>
    <w:rsid w:val="00E44777"/>
    <w:rsid w:val="00E47A68"/>
    <w:rsid w:val="00E50265"/>
    <w:rsid w:val="00E50734"/>
    <w:rsid w:val="00E63483"/>
    <w:rsid w:val="00E7118F"/>
    <w:rsid w:val="00E772F1"/>
    <w:rsid w:val="00E80D10"/>
    <w:rsid w:val="00E80ED5"/>
    <w:rsid w:val="00E82D9D"/>
    <w:rsid w:val="00E86275"/>
    <w:rsid w:val="00E9531B"/>
    <w:rsid w:val="00EA181A"/>
    <w:rsid w:val="00EA5966"/>
    <w:rsid w:val="00EB1A5B"/>
    <w:rsid w:val="00EB29AD"/>
    <w:rsid w:val="00EB3B31"/>
    <w:rsid w:val="00EC18FD"/>
    <w:rsid w:val="00EC47C8"/>
    <w:rsid w:val="00ED17F3"/>
    <w:rsid w:val="00ED2FA1"/>
    <w:rsid w:val="00ED4560"/>
    <w:rsid w:val="00EE1792"/>
    <w:rsid w:val="00EF0953"/>
    <w:rsid w:val="00EF0B9A"/>
    <w:rsid w:val="00EF0E17"/>
    <w:rsid w:val="00EF44DD"/>
    <w:rsid w:val="00EF7E47"/>
    <w:rsid w:val="00F002F9"/>
    <w:rsid w:val="00F0178D"/>
    <w:rsid w:val="00F03A1C"/>
    <w:rsid w:val="00F03EED"/>
    <w:rsid w:val="00F05582"/>
    <w:rsid w:val="00F13A06"/>
    <w:rsid w:val="00F1557F"/>
    <w:rsid w:val="00F15742"/>
    <w:rsid w:val="00F1643D"/>
    <w:rsid w:val="00F2066A"/>
    <w:rsid w:val="00F2112B"/>
    <w:rsid w:val="00F23770"/>
    <w:rsid w:val="00F267BC"/>
    <w:rsid w:val="00F362F3"/>
    <w:rsid w:val="00F40D4B"/>
    <w:rsid w:val="00F43741"/>
    <w:rsid w:val="00F43E78"/>
    <w:rsid w:val="00F46774"/>
    <w:rsid w:val="00F4759E"/>
    <w:rsid w:val="00F505B6"/>
    <w:rsid w:val="00F51409"/>
    <w:rsid w:val="00F52130"/>
    <w:rsid w:val="00F54E72"/>
    <w:rsid w:val="00F604F8"/>
    <w:rsid w:val="00F74B12"/>
    <w:rsid w:val="00F76C8F"/>
    <w:rsid w:val="00F77DAA"/>
    <w:rsid w:val="00F868B7"/>
    <w:rsid w:val="00F879CC"/>
    <w:rsid w:val="00F90793"/>
    <w:rsid w:val="00F91FF0"/>
    <w:rsid w:val="00F9472B"/>
    <w:rsid w:val="00F94E40"/>
    <w:rsid w:val="00F978AE"/>
    <w:rsid w:val="00FA2936"/>
    <w:rsid w:val="00FA2C2B"/>
    <w:rsid w:val="00FB1B5D"/>
    <w:rsid w:val="00FB3868"/>
    <w:rsid w:val="00FB3CBD"/>
    <w:rsid w:val="00FB6448"/>
    <w:rsid w:val="00FC074E"/>
    <w:rsid w:val="00FC3EB3"/>
    <w:rsid w:val="00FD1F98"/>
    <w:rsid w:val="00FD7164"/>
    <w:rsid w:val="00FE273B"/>
    <w:rsid w:val="00FE2751"/>
    <w:rsid w:val="00FE47E5"/>
    <w:rsid w:val="00FF22B7"/>
    <w:rsid w:val="00FF35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B81612"/>
  <w15:docId w15:val="{F075CFD5-7935-4FE2-93A2-EF2247A2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E8"/>
  </w:style>
  <w:style w:type="paragraph" w:styleId="Heading2">
    <w:name w:val="heading 2"/>
    <w:basedOn w:val="Normal"/>
    <w:next w:val="Normal"/>
    <w:link w:val="Heading2Char"/>
    <w:uiPriority w:val="9"/>
    <w:semiHidden/>
    <w:unhideWhenUsed/>
    <w:qFormat/>
    <w:rsid w:val="00751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table" w:styleId="TableGrid">
    <w:name w:val="Table Grid"/>
    <w:basedOn w:val="TableNormal"/>
    <w:uiPriority w:val="59"/>
    <w:rsid w:val="000B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68C"/>
    <w:pPr>
      <w:tabs>
        <w:tab w:val="center" w:pos="4153"/>
        <w:tab w:val="right" w:pos="8306"/>
      </w:tabs>
    </w:pPr>
  </w:style>
  <w:style w:type="character" w:customStyle="1" w:styleId="FooterChar">
    <w:name w:val="Footer Char"/>
    <w:basedOn w:val="DefaultParagraphFont"/>
    <w:link w:val="Footer"/>
    <w:uiPriority w:val="99"/>
    <w:rsid w:val="0048468C"/>
  </w:style>
  <w:style w:type="character" w:styleId="CommentReference">
    <w:name w:val="annotation reference"/>
    <w:basedOn w:val="DefaultParagraphFont"/>
    <w:uiPriority w:val="99"/>
    <w:semiHidden/>
    <w:unhideWhenUsed/>
    <w:rsid w:val="0043367F"/>
    <w:rPr>
      <w:sz w:val="16"/>
      <w:szCs w:val="16"/>
    </w:rPr>
  </w:style>
  <w:style w:type="paragraph" w:styleId="CommentText">
    <w:name w:val="annotation text"/>
    <w:basedOn w:val="Normal"/>
    <w:link w:val="CommentTextChar"/>
    <w:uiPriority w:val="99"/>
    <w:unhideWhenUsed/>
    <w:rsid w:val="0043367F"/>
    <w:rPr>
      <w:sz w:val="20"/>
      <w:szCs w:val="20"/>
    </w:rPr>
  </w:style>
  <w:style w:type="character" w:customStyle="1" w:styleId="CommentTextChar">
    <w:name w:val="Comment Text Char"/>
    <w:basedOn w:val="DefaultParagraphFont"/>
    <w:link w:val="CommentText"/>
    <w:uiPriority w:val="99"/>
    <w:rsid w:val="0043367F"/>
    <w:rPr>
      <w:sz w:val="20"/>
      <w:szCs w:val="20"/>
    </w:rPr>
  </w:style>
  <w:style w:type="paragraph" w:styleId="CommentSubject">
    <w:name w:val="annotation subject"/>
    <w:basedOn w:val="CommentText"/>
    <w:next w:val="CommentText"/>
    <w:link w:val="CommentSubjectChar"/>
    <w:uiPriority w:val="99"/>
    <w:semiHidden/>
    <w:unhideWhenUsed/>
    <w:rsid w:val="0043367F"/>
    <w:rPr>
      <w:b/>
      <w:bCs/>
    </w:rPr>
  </w:style>
  <w:style w:type="character" w:customStyle="1" w:styleId="CommentSubjectChar">
    <w:name w:val="Comment Subject Char"/>
    <w:basedOn w:val="CommentTextChar"/>
    <w:link w:val="CommentSubject"/>
    <w:uiPriority w:val="99"/>
    <w:semiHidden/>
    <w:rsid w:val="0043367F"/>
    <w:rPr>
      <w:b/>
      <w:bCs/>
      <w:sz w:val="20"/>
      <w:szCs w:val="20"/>
    </w:rPr>
  </w:style>
  <w:style w:type="paragraph" w:styleId="BalloonText">
    <w:name w:val="Balloon Text"/>
    <w:basedOn w:val="Normal"/>
    <w:link w:val="BalloonTextChar"/>
    <w:uiPriority w:val="99"/>
    <w:semiHidden/>
    <w:unhideWhenUsed/>
    <w:rsid w:val="0043367F"/>
    <w:rPr>
      <w:rFonts w:ascii="Tahoma" w:hAnsi="Tahoma" w:cs="Tahoma"/>
      <w:sz w:val="16"/>
      <w:szCs w:val="16"/>
    </w:rPr>
  </w:style>
  <w:style w:type="character" w:customStyle="1" w:styleId="BalloonTextChar">
    <w:name w:val="Balloon Text Char"/>
    <w:basedOn w:val="DefaultParagraphFont"/>
    <w:link w:val="BalloonText"/>
    <w:uiPriority w:val="99"/>
    <w:semiHidden/>
    <w:rsid w:val="0043367F"/>
    <w:rPr>
      <w:rFonts w:ascii="Tahoma" w:hAnsi="Tahoma" w:cs="Tahoma"/>
      <w:sz w:val="16"/>
      <w:szCs w:val="16"/>
    </w:rPr>
  </w:style>
  <w:style w:type="character" w:customStyle="1" w:styleId="Heading2Char">
    <w:name w:val="Heading 2 Char"/>
    <w:basedOn w:val="DefaultParagraphFont"/>
    <w:link w:val="Heading2"/>
    <w:uiPriority w:val="9"/>
    <w:semiHidden/>
    <w:rsid w:val="007518D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783547"/>
    <w:rPr>
      <w:color w:val="605E5C"/>
      <w:shd w:val="clear" w:color="auto" w:fill="E1DFDD"/>
    </w:rPr>
  </w:style>
  <w:style w:type="character" w:styleId="UnresolvedMention">
    <w:name w:val="Unresolved Mention"/>
    <w:basedOn w:val="DefaultParagraphFont"/>
    <w:uiPriority w:val="99"/>
    <w:semiHidden/>
    <w:unhideWhenUsed/>
    <w:rsid w:val="001E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76">
      <w:bodyDiv w:val="1"/>
      <w:marLeft w:val="0"/>
      <w:marRight w:val="0"/>
      <w:marTop w:val="0"/>
      <w:marBottom w:val="0"/>
      <w:divBdr>
        <w:top w:val="none" w:sz="0" w:space="0" w:color="auto"/>
        <w:left w:val="none" w:sz="0" w:space="0" w:color="auto"/>
        <w:bottom w:val="none" w:sz="0" w:space="0" w:color="auto"/>
        <w:right w:val="none" w:sz="0" w:space="0" w:color="auto"/>
      </w:divBdr>
    </w:div>
    <w:div w:id="40567713">
      <w:bodyDiv w:val="1"/>
      <w:marLeft w:val="0"/>
      <w:marRight w:val="0"/>
      <w:marTop w:val="0"/>
      <w:marBottom w:val="0"/>
      <w:divBdr>
        <w:top w:val="none" w:sz="0" w:space="0" w:color="auto"/>
        <w:left w:val="none" w:sz="0" w:space="0" w:color="auto"/>
        <w:bottom w:val="none" w:sz="0" w:space="0" w:color="auto"/>
        <w:right w:val="none" w:sz="0" w:space="0" w:color="auto"/>
      </w:divBdr>
    </w:div>
    <w:div w:id="713584976">
      <w:bodyDiv w:val="1"/>
      <w:marLeft w:val="0"/>
      <w:marRight w:val="0"/>
      <w:marTop w:val="0"/>
      <w:marBottom w:val="0"/>
      <w:divBdr>
        <w:top w:val="none" w:sz="0" w:space="0" w:color="auto"/>
        <w:left w:val="none" w:sz="0" w:space="0" w:color="auto"/>
        <w:bottom w:val="none" w:sz="0" w:space="0" w:color="auto"/>
        <w:right w:val="none" w:sz="0" w:space="0" w:color="auto"/>
      </w:divBdr>
      <w:divsChild>
        <w:div w:id="855076943">
          <w:marLeft w:val="0"/>
          <w:marRight w:val="0"/>
          <w:marTop w:val="0"/>
          <w:marBottom w:val="0"/>
          <w:divBdr>
            <w:top w:val="none" w:sz="0" w:space="0" w:color="auto"/>
            <w:left w:val="none" w:sz="0" w:space="0" w:color="auto"/>
            <w:bottom w:val="none" w:sz="0" w:space="0" w:color="auto"/>
            <w:right w:val="none" w:sz="0" w:space="0" w:color="auto"/>
          </w:divBdr>
        </w:div>
        <w:div w:id="1091512008">
          <w:marLeft w:val="0"/>
          <w:marRight w:val="0"/>
          <w:marTop w:val="0"/>
          <w:marBottom w:val="0"/>
          <w:divBdr>
            <w:top w:val="none" w:sz="0" w:space="0" w:color="auto"/>
            <w:left w:val="none" w:sz="0" w:space="0" w:color="auto"/>
            <w:bottom w:val="none" w:sz="0" w:space="0" w:color="auto"/>
            <w:right w:val="none" w:sz="0" w:space="0" w:color="auto"/>
          </w:divBdr>
        </w:div>
        <w:div w:id="1725131668">
          <w:marLeft w:val="0"/>
          <w:marRight w:val="0"/>
          <w:marTop w:val="0"/>
          <w:marBottom w:val="0"/>
          <w:divBdr>
            <w:top w:val="none" w:sz="0" w:space="0" w:color="auto"/>
            <w:left w:val="none" w:sz="0" w:space="0" w:color="auto"/>
            <w:bottom w:val="none" w:sz="0" w:space="0" w:color="auto"/>
            <w:right w:val="none" w:sz="0" w:space="0" w:color="auto"/>
          </w:divBdr>
        </w:div>
        <w:div w:id="1034768655">
          <w:marLeft w:val="0"/>
          <w:marRight w:val="0"/>
          <w:marTop w:val="0"/>
          <w:marBottom w:val="0"/>
          <w:divBdr>
            <w:top w:val="none" w:sz="0" w:space="0" w:color="auto"/>
            <w:left w:val="none" w:sz="0" w:space="0" w:color="auto"/>
            <w:bottom w:val="none" w:sz="0" w:space="0" w:color="auto"/>
            <w:right w:val="none" w:sz="0" w:space="0" w:color="auto"/>
          </w:divBdr>
        </w:div>
        <w:div w:id="1116605255">
          <w:marLeft w:val="0"/>
          <w:marRight w:val="0"/>
          <w:marTop w:val="0"/>
          <w:marBottom w:val="0"/>
          <w:divBdr>
            <w:top w:val="none" w:sz="0" w:space="0" w:color="auto"/>
            <w:left w:val="none" w:sz="0" w:space="0" w:color="auto"/>
            <w:bottom w:val="none" w:sz="0" w:space="0" w:color="auto"/>
            <w:right w:val="none" w:sz="0" w:space="0" w:color="auto"/>
          </w:divBdr>
        </w:div>
        <w:div w:id="876355532">
          <w:marLeft w:val="0"/>
          <w:marRight w:val="0"/>
          <w:marTop w:val="0"/>
          <w:marBottom w:val="0"/>
          <w:divBdr>
            <w:top w:val="none" w:sz="0" w:space="0" w:color="auto"/>
            <w:left w:val="none" w:sz="0" w:space="0" w:color="auto"/>
            <w:bottom w:val="none" w:sz="0" w:space="0" w:color="auto"/>
            <w:right w:val="none" w:sz="0" w:space="0" w:color="auto"/>
          </w:divBdr>
        </w:div>
        <w:div w:id="1794132147">
          <w:marLeft w:val="0"/>
          <w:marRight w:val="0"/>
          <w:marTop w:val="0"/>
          <w:marBottom w:val="0"/>
          <w:divBdr>
            <w:top w:val="none" w:sz="0" w:space="0" w:color="auto"/>
            <w:left w:val="none" w:sz="0" w:space="0" w:color="auto"/>
            <w:bottom w:val="none" w:sz="0" w:space="0" w:color="auto"/>
            <w:right w:val="none" w:sz="0" w:space="0" w:color="auto"/>
          </w:divBdr>
        </w:div>
      </w:divsChild>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21655">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1978">
      <w:bodyDiv w:val="1"/>
      <w:marLeft w:val="0"/>
      <w:marRight w:val="0"/>
      <w:marTop w:val="0"/>
      <w:marBottom w:val="0"/>
      <w:divBdr>
        <w:top w:val="none" w:sz="0" w:space="0" w:color="auto"/>
        <w:left w:val="none" w:sz="0" w:space="0" w:color="auto"/>
        <w:bottom w:val="none" w:sz="0" w:space="0" w:color="auto"/>
        <w:right w:val="none" w:sz="0" w:space="0" w:color="auto"/>
      </w:divBdr>
    </w:div>
    <w:div w:id="1425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071/oj/?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2009/1071/oj/?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ga.lukjanovica@sam.gov.lv" TargetMode="External"/><Relationship Id="rId4" Type="http://schemas.openxmlformats.org/officeDocument/2006/relationships/webSettings" Target="webSettings.xml"/><Relationship Id="rId9" Type="http://schemas.openxmlformats.org/officeDocument/2006/relationships/hyperlink" Target="http://www.sam.gov.lv/sm/content/?cat=5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05DA-E26B-4FE4-95C9-C76CFB52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20635</Words>
  <Characters>11763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Ministru kabineta noteikumu projekta “Kārtība, kādā izsniedz, uz laiku aptur vai anulē speciālās atļaujas (licences) un licences kartītes komercpārvadājumu veikšanai ar autotransportu un izsniedz pārvadājumu vadītāja profesionālās kompetences sertifikātus</vt:lpstr>
    </vt:vector>
  </TitlesOfParts>
  <Company>Autotransporta direkcija</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izsniedz, uz laiku aptur vai anulē speciālās atļaujas (licences) un licences kartītes komercpārvadājumu veikšanai ar autotransportu un izsniedz pārvadājumu vadītāja profesionālās kompetences sertifikātus” sākotnējās ietekmes novērtējuma ziņojums (anotācija)</dc:title>
  <dc:subject>Anotācija</dc:subject>
  <dc:creator>Satiksmes ministrija</dc:creator>
  <dc:description/>
  <cp:lastModifiedBy>Inga Lukjanoviča</cp:lastModifiedBy>
  <cp:revision>3</cp:revision>
  <cp:lastPrinted>2020-02-26T08:45:00Z</cp:lastPrinted>
  <dcterms:created xsi:type="dcterms:W3CDTF">2020-02-27T07:40:00Z</dcterms:created>
  <dcterms:modified xsi:type="dcterms:W3CDTF">2020-02-27T07:46:00Z</dcterms:modified>
</cp:coreProperties>
</file>