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5BBA" w:rsidR="00B31052" w:rsidP="00B31052" w:rsidRDefault="00B31052" w14:paraId="107F88E6" w14:textId="5956DDD0">
      <w:pPr>
        <w:pStyle w:val="naisnod"/>
        <w:spacing w:before="0" w:after="0"/>
        <w:ind w:firstLine="720"/>
        <w:rPr>
          <w:color w:val="000000" w:themeColor="text1"/>
          <w:sz w:val="28"/>
          <w:szCs w:val="28"/>
        </w:rPr>
      </w:pPr>
      <w:r w:rsidRPr="001E5BBA">
        <w:rPr>
          <w:color w:val="000000" w:themeColor="text1"/>
          <w:sz w:val="28"/>
          <w:szCs w:val="28"/>
        </w:rPr>
        <w:t>Izziņa par atzinum</w:t>
      </w:r>
      <w:r w:rsidR="002A6260">
        <w:rPr>
          <w:color w:val="000000" w:themeColor="text1"/>
          <w:sz w:val="28"/>
          <w:szCs w:val="28"/>
        </w:rPr>
        <w:t>ā</w:t>
      </w:r>
      <w:r w:rsidRPr="001E5BBA">
        <w:rPr>
          <w:color w:val="000000" w:themeColor="text1"/>
          <w:sz w:val="28"/>
          <w:szCs w:val="28"/>
        </w:rPr>
        <w:t xml:space="preserve"> sniegtajiem iebildumiem</w:t>
      </w:r>
    </w:p>
    <w:p w:rsidRPr="001E5BBA" w:rsidR="00B31052" w:rsidP="00B31052" w:rsidRDefault="00B31052" w14:paraId="07B3A491" w14:textId="77777777">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0188"/>
      </w:tblGrid>
      <w:tr w:rsidRPr="001E5BBA" w:rsidR="001E5BBA" w:rsidTr="006A551B" w14:paraId="1CB4B093" w14:textId="77777777">
        <w:trPr>
          <w:jc w:val="center"/>
        </w:trPr>
        <w:tc>
          <w:tcPr>
            <w:tcW w:w="10188" w:type="dxa"/>
            <w:tcBorders>
              <w:bottom w:val="single" w:color="000000" w:sz="6" w:space="0"/>
            </w:tcBorders>
          </w:tcPr>
          <w:p w:rsidRPr="001E5BBA" w:rsidR="00B31052" w:rsidP="005B78E5" w:rsidRDefault="0016496F" w14:paraId="11BD0D52" w14:textId="0281A059">
            <w:pPr>
              <w:ind w:firstLine="720"/>
              <w:jc w:val="center"/>
              <w:rPr>
                <w:color w:val="000000" w:themeColor="text1"/>
                <w:sz w:val="28"/>
                <w:szCs w:val="28"/>
              </w:rPr>
            </w:pPr>
            <w:r>
              <w:rPr>
                <w:color w:val="000000" w:themeColor="text1"/>
                <w:sz w:val="28"/>
                <w:szCs w:val="28"/>
              </w:rPr>
              <w:t>Ministru kabineta noteikumu</w:t>
            </w:r>
            <w:r w:rsidRPr="00483D49" w:rsidR="005B78E5">
              <w:rPr>
                <w:color w:val="000000" w:themeColor="text1"/>
                <w:sz w:val="28"/>
                <w:szCs w:val="28"/>
              </w:rPr>
              <w:t xml:space="preserve"> projekt</w:t>
            </w:r>
            <w:r w:rsidR="00431E96">
              <w:rPr>
                <w:color w:val="000000" w:themeColor="text1"/>
                <w:sz w:val="28"/>
                <w:szCs w:val="28"/>
              </w:rPr>
              <w:t>am</w:t>
            </w:r>
            <w:r w:rsidRPr="00483D49" w:rsidR="005B78E5">
              <w:rPr>
                <w:color w:val="000000" w:themeColor="text1"/>
                <w:sz w:val="28"/>
                <w:szCs w:val="28"/>
              </w:rPr>
              <w:t xml:space="preserve"> </w:t>
            </w:r>
            <w:r w:rsidRPr="006535F0" w:rsidR="006535F0">
              <w:rPr>
                <w:color w:val="000000" w:themeColor="text1"/>
                <w:sz w:val="28"/>
                <w:szCs w:val="28"/>
              </w:rPr>
              <w:t>“</w:t>
            </w:r>
            <w:r w:rsidRPr="0016496F">
              <w:rPr>
                <w:color w:val="000000" w:themeColor="text1"/>
                <w:sz w:val="28"/>
                <w:szCs w:val="28"/>
              </w:rPr>
              <w:t>Nepieciešamā finansējuma apmēra aprēķināšanas un piešķiršanas kārtība pievienotās vērtības nodokļa summas, kas nav atgūstama kā priekšnodoklis, kompensācijai Igaunijai un Lietuvai AS “RB Rail” veikto aktivitāšu ietvaros</w:t>
            </w:r>
            <w:r w:rsidRPr="006535F0" w:rsidR="006535F0">
              <w:rPr>
                <w:color w:val="000000" w:themeColor="text1"/>
                <w:sz w:val="28"/>
                <w:szCs w:val="28"/>
              </w:rPr>
              <w:t>”</w:t>
            </w:r>
          </w:p>
        </w:tc>
      </w:tr>
    </w:tbl>
    <w:p w:rsidRPr="001E5BBA" w:rsidR="00B31052" w:rsidP="00B31052" w:rsidRDefault="00B31052" w14:paraId="5AE6AA34" w14:textId="77777777">
      <w:pPr>
        <w:pStyle w:val="naisc"/>
        <w:spacing w:before="0" w:after="0"/>
        <w:ind w:firstLine="1080"/>
        <w:rPr>
          <w:color w:val="000000" w:themeColor="text1"/>
        </w:rPr>
      </w:pPr>
      <w:r w:rsidRPr="001E5BBA">
        <w:rPr>
          <w:color w:val="000000" w:themeColor="text1"/>
        </w:rPr>
        <w:t>(dokumenta veids un nosaukums)</w:t>
      </w:r>
    </w:p>
    <w:p w:rsidRPr="001E5BBA" w:rsidR="00B31052" w:rsidP="00B31052" w:rsidRDefault="00B31052" w14:paraId="5E1C6C93" w14:textId="77777777">
      <w:pPr>
        <w:pStyle w:val="naisf"/>
        <w:spacing w:before="0" w:after="0"/>
        <w:ind w:firstLine="720"/>
        <w:rPr>
          <w:color w:val="000000" w:themeColor="text1"/>
        </w:rPr>
      </w:pPr>
    </w:p>
    <w:p w:rsidRPr="001E5BBA" w:rsidR="000647E4" w:rsidP="000647E4" w:rsidRDefault="000351DC" w14:paraId="037E1B86" w14:textId="48AB1D1E">
      <w:pPr>
        <w:pStyle w:val="naisf"/>
        <w:spacing w:before="0" w:after="0"/>
        <w:ind w:firstLine="0"/>
        <w:jc w:val="center"/>
        <w:rPr>
          <w:b/>
          <w:color w:val="000000" w:themeColor="text1"/>
        </w:rPr>
      </w:pPr>
      <w:r w:rsidRPr="001E5BBA">
        <w:rPr>
          <w:b/>
          <w:color w:val="000000" w:themeColor="text1"/>
        </w:rPr>
        <w:t>I</w:t>
      </w:r>
      <w:r w:rsidRPr="001E5BBA" w:rsidR="000647E4">
        <w:rPr>
          <w:b/>
          <w:color w:val="000000" w:themeColor="text1"/>
        </w:rPr>
        <w:t>. Jautājumi, par kuriem saskaņošanā vienošanās nav panākta</w:t>
      </w:r>
    </w:p>
    <w:p w:rsidRPr="001E5BBA" w:rsidR="000647E4" w:rsidP="000647E4" w:rsidRDefault="000647E4" w14:paraId="17F2882C" w14:textId="77777777">
      <w:pPr>
        <w:pStyle w:val="naisf"/>
        <w:spacing w:before="0" w:after="0"/>
        <w:ind w:firstLine="720"/>
        <w:rPr>
          <w:color w:val="000000" w:themeColor="text1"/>
        </w:rPr>
      </w:pPr>
    </w:p>
    <w:tbl>
      <w:tblPr>
        <w:tblW w:w="5079"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566"/>
        <w:gridCol w:w="3344"/>
        <w:gridCol w:w="3542"/>
        <w:gridCol w:w="3341"/>
        <w:gridCol w:w="3375"/>
      </w:tblGrid>
      <w:tr w:rsidRPr="001E5BBA" w:rsidR="001E5BBA" w:rsidTr="00115AE3" w14:paraId="5CE62C42" w14:textId="77777777">
        <w:tc>
          <w:tcPr>
            <w:tcW w:w="200" w:type="pct"/>
            <w:shd w:val="clear" w:color="auto" w:fill="auto"/>
          </w:tcPr>
          <w:p w:rsidRPr="001E5BBA" w:rsidR="000647E4" w:rsidP="00FD78CF" w:rsidRDefault="000647E4" w14:paraId="4E5EC511" w14:textId="77777777">
            <w:pPr>
              <w:pStyle w:val="naisc"/>
              <w:spacing w:before="0" w:after="0"/>
              <w:rPr>
                <w:color w:val="000000" w:themeColor="text1"/>
                <w:sz w:val="20"/>
                <w:szCs w:val="20"/>
              </w:rPr>
            </w:pPr>
            <w:r w:rsidRPr="001E5BBA">
              <w:rPr>
                <w:color w:val="000000" w:themeColor="text1"/>
                <w:sz w:val="20"/>
                <w:szCs w:val="20"/>
              </w:rPr>
              <w:t>Nr. p.k.</w:t>
            </w:r>
          </w:p>
        </w:tc>
        <w:tc>
          <w:tcPr>
            <w:tcW w:w="1180" w:type="pct"/>
            <w:shd w:val="clear" w:color="auto" w:fill="auto"/>
          </w:tcPr>
          <w:p w:rsidRPr="001E5BBA" w:rsidR="000647E4" w:rsidP="00FD78CF" w:rsidRDefault="000647E4" w14:paraId="24BB0926" w14:textId="77777777">
            <w:pPr>
              <w:pStyle w:val="naisc"/>
              <w:spacing w:before="0" w:after="0"/>
              <w:ind w:firstLine="12"/>
              <w:rPr>
                <w:color w:val="000000" w:themeColor="text1"/>
                <w:sz w:val="20"/>
                <w:szCs w:val="20"/>
              </w:rPr>
            </w:pPr>
            <w:r w:rsidRPr="001E5BBA">
              <w:rPr>
                <w:color w:val="000000" w:themeColor="text1"/>
                <w:sz w:val="20"/>
                <w:szCs w:val="20"/>
              </w:rPr>
              <w:t>Saskaņošanai nosūtītā projekta redakcija (konkrēta punkta (panta) redakcija)</w:t>
            </w:r>
          </w:p>
        </w:tc>
        <w:tc>
          <w:tcPr>
            <w:tcW w:w="1250" w:type="pct"/>
            <w:shd w:val="clear" w:color="auto" w:fill="auto"/>
          </w:tcPr>
          <w:p w:rsidRPr="001E5BBA" w:rsidR="000647E4" w:rsidP="00FD78CF" w:rsidRDefault="000647E4" w14:paraId="365AC6D4" w14:textId="77777777">
            <w:pPr>
              <w:pStyle w:val="naisc"/>
              <w:spacing w:before="0" w:after="0"/>
              <w:ind w:right="3"/>
              <w:rPr>
                <w:color w:val="000000" w:themeColor="text1"/>
                <w:sz w:val="20"/>
                <w:szCs w:val="20"/>
              </w:rPr>
            </w:pPr>
            <w:r w:rsidRPr="001E5BBA">
              <w:rPr>
                <w:color w:val="000000" w:themeColor="text1"/>
                <w:sz w:val="20"/>
                <w:szCs w:val="20"/>
              </w:rPr>
              <w:t>Atzinumā norādītais ministrijas (citas institūcijas) iebildums, kā arī saskaņošanā papildus izteiktais iebildums par projekta konkrēto punktu (pantu)</w:t>
            </w:r>
          </w:p>
        </w:tc>
        <w:tc>
          <w:tcPr>
            <w:tcW w:w="1179" w:type="pct"/>
            <w:shd w:val="clear" w:color="auto" w:fill="auto"/>
          </w:tcPr>
          <w:p w:rsidRPr="001E5BBA" w:rsidR="000647E4" w:rsidP="00FD78CF" w:rsidRDefault="000647E4" w14:paraId="538A8C8E" w14:textId="77777777">
            <w:pPr>
              <w:pStyle w:val="naisc"/>
              <w:spacing w:before="0" w:after="0"/>
              <w:ind w:firstLine="21"/>
              <w:rPr>
                <w:color w:val="000000" w:themeColor="text1"/>
                <w:sz w:val="20"/>
                <w:szCs w:val="20"/>
              </w:rPr>
            </w:pPr>
            <w:r w:rsidRPr="001E5BBA">
              <w:rPr>
                <w:color w:val="000000" w:themeColor="text1"/>
                <w:sz w:val="20"/>
                <w:szCs w:val="20"/>
              </w:rPr>
              <w:t>Atbildīgās ministrijas norāde par to, ka iebildums ir ņemts vērā, vai informācija par saskaņošanā panākto alternatīvo risinājumu</w:t>
            </w:r>
          </w:p>
        </w:tc>
        <w:tc>
          <w:tcPr>
            <w:tcW w:w="1191" w:type="pct"/>
            <w:shd w:val="clear" w:color="auto" w:fill="auto"/>
          </w:tcPr>
          <w:p w:rsidRPr="001E5BBA" w:rsidR="000647E4" w:rsidP="00FD78CF" w:rsidRDefault="000647E4" w14:paraId="053EFFC0" w14:textId="77777777">
            <w:pPr>
              <w:jc w:val="center"/>
              <w:rPr>
                <w:color w:val="000000" w:themeColor="text1"/>
                <w:sz w:val="20"/>
                <w:szCs w:val="20"/>
              </w:rPr>
            </w:pPr>
            <w:r w:rsidRPr="001E5BBA">
              <w:rPr>
                <w:color w:val="000000" w:themeColor="text1"/>
                <w:sz w:val="20"/>
                <w:szCs w:val="20"/>
              </w:rPr>
              <w:t>Projekta attiecīgā punkta (panta) galīgā redakcija</w:t>
            </w:r>
          </w:p>
        </w:tc>
      </w:tr>
      <w:tr w:rsidRPr="001E5BBA" w:rsidR="001E5BBA" w:rsidTr="00115AE3" w14:paraId="7AB58AF6" w14:textId="77777777">
        <w:tc>
          <w:tcPr>
            <w:tcW w:w="200" w:type="pct"/>
            <w:shd w:val="clear" w:color="auto" w:fill="auto"/>
          </w:tcPr>
          <w:p w:rsidRPr="001E5BBA" w:rsidR="000647E4" w:rsidP="00FD78CF" w:rsidRDefault="000647E4" w14:paraId="053CD312" w14:textId="77777777">
            <w:pPr>
              <w:pStyle w:val="naisc"/>
              <w:spacing w:before="0" w:after="0"/>
              <w:rPr>
                <w:color w:val="000000" w:themeColor="text1"/>
                <w:sz w:val="20"/>
                <w:szCs w:val="20"/>
              </w:rPr>
            </w:pPr>
            <w:r w:rsidRPr="001E5BBA">
              <w:rPr>
                <w:color w:val="000000" w:themeColor="text1"/>
                <w:sz w:val="20"/>
                <w:szCs w:val="20"/>
              </w:rPr>
              <w:t>1</w:t>
            </w:r>
          </w:p>
        </w:tc>
        <w:tc>
          <w:tcPr>
            <w:tcW w:w="1180" w:type="pct"/>
            <w:shd w:val="clear" w:color="auto" w:fill="auto"/>
          </w:tcPr>
          <w:p w:rsidRPr="001E5BBA" w:rsidR="000647E4" w:rsidP="00FD78CF" w:rsidRDefault="000647E4" w14:paraId="097A0D05" w14:textId="77777777">
            <w:pPr>
              <w:pStyle w:val="naisc"/>
              <w:spacing w:before="0" w:after="0"/>
              <w:rPr>
                <w:color w:val="000000" w:themeColor="text1"/>
                <w:sz w:val="20"/>
                <w:szCs w:val="20"/>
              </w:rPr>
            </w:pPr>
            <w:r w:rsidRPr="001E5BBA">
              <w:rPr>
                <w:color w:val="000000" w:themeColor="text1"/>
                <w:sz w:val="20"/>
                <w:szCs w:val="20"/>
              </w:rPr>
              <w:t>2</w:t>
            </w:r>
          </w:p>
        </w:tc>
        <w:tc>
          <w:tcPr>
            <w:tcW w:w="1250" w:type="pct"/>
            <w:shd w:val="clear" w:color="auto" w:fill="auto"/>
          </w:tcPr>
          <w:p w:rsidRPr="001E5BBA" w:rsidR="000647E4" w:rsidP="00FD78CF" w:rsidRDefault="000647E4" w14:paraId="2A522420" w14:textId="77777777">
            <w:pPr>
              <w:pStyle w:val="naisc"/>
              <w:spacing w:before="0" w:after="0"/>
              <w:rPr>
                <w:color w:val="000000" w:themeColor="text1"/>
                <w:sz w:val="20"/>
                <w:szCs w:val="20"/>
              </w:rPr>
            </w:pPr>
            <w:r w:rsidRPr="001E5BBA">
              <w:rPr>
                <w:color w:val="000000" w:themeColor="text1"/>
                <w:sz w:val="20"/>
                <w:szCs w:val="20"/>
              </w:rPr>
              <w:t>3</w:t>
            </w:r>
          </w:p>
        </w:tc>
        <w:tc>
          <w:tcPr>
            <w:tcW w:w="1179" w:type="pct"/>
            <w:shd w:val="clear" w:color="auto" w:fill="auto"/>
          </w:tcPr>
          <w:p w:rsidRPr="001E5BBA" w:rsidR="000647E4" w:rsidP="00FD78CF" w:rsidRDefault="000647E4" w14:paraId="2C40B904" w14:textId="77777777">
            <w:pPr>
              <w:pStyle w:val="naisc"/>
              <w:spacing w:before="0" w:after="0"/>
              <w:rPr>
                <w:color w:val="000000" w:themeColor="text1"/>
                <w:sz w:val="20"/>
                <w:szCs w:val="20"/>
              </w:rPr>
            </w:pPr>
            <w:r w:rsidRPr="001E5BBA">
              <w:rPr>
                <w:color w:val="000000" w:themeColor="text1"/>
                <w:sz w:val="20"/>
                <w:szCs w:val="20"/>
              </w:rPr>
              <w:t>4</w:t>
            </w:r>
          </w:p>
        </w:tc>
        <w:tc>
          <w:tcPr>
            <w:tcW w:w="1191" w:type="pct"/>
            <w:shd w:val="clear" w:color="auto" w:fill="auto"/>
          </w:tcPr>
          <w:p w:rsidRPr="001E5BBA" w:rsidR="000647E4" w:rsidP="00FD78CF" w:rsidRDefault="000647E4" w14:paraId="4A069CAE" w14:textId="77777777">
            <w:pPr>
              <w:jc w:val="center"/>
              <w:rPr>
                <w:color w:val="000000" w:themeColor="text1"/>
                <w:sz w:val="20"/>
                <w:szCs w:val="20"/>
              </w:rPr>
            </w:pPr>
            <w:r w:rsidRPr="001E5BBA">
              <w:rPr>
                <w:color w:val="000000" w:themeColor="text1"/>
                <w:sz w:val="20"/>
                <w:szCs w:val="20"/>
              </w:rPr>
              <w:t>5</w:t>
            </w:r>
          </w:p>
        </w:tc>
      </w:tr>
      <w:tr w:rsidRPr="001E5BBA" w:rsidR="00322AEE" w:rsidTr="00115AE3" w14:paraId="174D8966" w14:textId="77777777">
        <w:tc>
          <w:tcPr>
            <w:tcW w:w="200" w:type="pct"/>
            <w:shd w:val="clear" w:color="auto" w:fill="auto"/>
          </w:tcPr>
          <w:p w:rsidRPr="001E5BBA" w:rsidR="00322AEE" w:rsidP="00322AEE" w:rsidRDefault="00322AEE" w14:paraId="31CA832B" w14:textId="74C7890C">
            <w:pPr>
              <w:pStyle w:val="naisc"/>
              <w:spacing w:before="0" w:after="0"/>
              <w:rPr>
                <w:color w:val="000000" w:themeColor="text1"/>
                <w:sz w:val="20"/>
                <w:szCs w:val="20"/>
              </w:rPr>
            </w:pPr>
            <w:r>
              <w:rPr>
                <w:color w:val="000000" w:themeColor="text1"/>
                <w:sz w:val="20"/>
                <w:szCs w:val="20"/>
              </w:rPr>
              <w:t>1.</w:t>
            </w:r>
          </w:p>
        </w:tc>
        <w:tc>
          <w:tcPr>
            <w:tcW w:w="1180" w:type="pct"/>
            <w:shd w:val="clear" w:color="auto" w:fill="auto"/>
          </w:tcPr>
          <w:p w:rsidRPr="001E5BBA" w:rsidR="00322AEE" w:rsidP="00322AEE" w:rsidRDefault="00322AEE" w14:paraId="4116CCCE" w14:textId="2D929C97">
            <w:pPr>
              <w:pStyle w:val="naisc"/>
              <w:spacing w:before="0" w:after="0"/>
              <w:jc w:val="both"/>
              <w:rPr>
                <w:color w:val="000000" w:themeColor="text1"/>
                <w:sz w:val="20"/>
                <w:szCs w:val="20"/>
              </w:rPr>
            </w:pPr>
          </w:p>
        </w:tc>
        <w:tc>
          <w:tcPr>
            <w:tcW w:w="1250" w:type="pct"/>
            <w:shd w:val="clear" w:color="auto" w:fill="auto"/>
          </w:tcPr>
          <w:p w:rsidRPr="001E5BBA" w:rsidR="00322AEE" w:rsidP="00322AEE" w:rsidRDefault="00322AEE" w14:paraId="22BBDFEB" w14:textId="77777777">
            <w:pPr>
              <w:pStyle w:val="naisc"/>
              <w:spacing w:before="0" w:after="0"/>
              <w:jc w:val="both"/>
              <w:rPr>
                <w:color w:val="000000" w:themeColor="text1"/>
                <w:sz w:val="20"/>
                <w:szCs w:val="20"/>
              </w:rPr>
            </w:pPr>
          </w:p>
        </w:tc>
        <w:tc>
          <w:tcPr>
            <w:tcW w:w="1179" w:type="pct"/>
            <w:shd w:val="clear" w:color="auto" w:fill="auto"/>
          </w:tcPr>
          <w:p w:rsidRPr="001E5BBA" w:rsidR="00322AEE" w:rsidP="00322AEE" w:rsidRDefault="00322AEE" w14:paraId="1C89EF20" w14:textId="24F030F3">
            <w:pPr>
              <w:spacing w:after="0"/>
              <w:jc w:val="both"/>
              <w:rPr>
                <w:color w:val="000000" w:themeColor="text1"/>
                <w:sz w:val="20"/>
                <w:szCs w:val="20"/>
              </w:rPr>
            </w:pPr>
          </w:p>
        </w:tc>
        <w:tc>
          <w:tcPr>
            <w:tcW w:w="1191" w:type="pct"/>
            <w:shd w:val="clear" w:color="auto" w:fill="auto"/>
          </w:tcPr>
          <w:p w:rsidRPr="001E5BBA" w:rsidR="00322AEE" w:rsidP="00322AEE" w:rsidRDefault="00322AEE" w14:paraId="72A74D4D" w14:textId="33CB9A6E">
            <w:pPr>
              <w:jc w:val="both"/>
              <w:rPr>
                <w:color w:val="000000" w:themeColor="text1"/>
                <w:sz w:val="20"/>
                <w:szCs w:val="20"/>
              </w:rPr>
            </w:pPr>
          </w:p>
        </w:tc>
      </w:tr>
    </w:tbl>
    <w:p w:rsidRPr="00115AE3" w:rsidR="000647E4" w:rsidP="00F0149F" w:rsidRDefault="000647E4" w14:paraId="686F52D4" w14:textId="327659E7">
      <w:pPr>
        <w:pStyle w:val="naisf"/>
        <w:spacing w:before="0" w:after="0"/>
        <w:ind w:firstLine="0"/>
        <w:rPr>
          <w:color w:val="000000" w:themeColor="text1"/>
        </w:rPr>
      </w:pPr>
    </w:p>
    <w:p w:rsidRPr="001E5BBA" w:rsidR="00B31052" w:rsidP="00B31052" w:rsidRDefault="00B31052" w14:paraId="77218738" w14:textId="77777777">
      <w:pPr>
        <w:pStyle w:val="naisf"/>
        <w:spacing w:before="0" w:after="0"/>
        <w:ind w:firstLine="0"/>
        <w:rPr>
          <w:b/>
          <w:color w:val="000000" w:themeColor="text1"/>
        </w:rPr>
      </w:pPr>
      <w:r w:rsidRPr="001E5BBA">
        <w:rPr>
          <w:b/>
          <w:color w:val="000000" w:themeColor="text1"/>
        </w:rPr>
        <w:t xml:space="preserve">Informācija par starpministriju (starpinstitūciju) sanāksmi vai </w:t>
      </w:r>
      <w:r w:rsidRPr="00F92857">
        <w:rPr>
          <w:b/>
          <w:color w:val="000000" w:themeColor="text1"/>
          <w:u w:val="single"/>
        </w:rPr>
        <w:t>elektronisko saskaņošanu</w:t>
      </w:r>
    </w:p>
    <w:p w:rsidRPr="001E5BBA" w:rsidR="00B31052" w:rsidP="00B31052" w:rsidRDefault="00B31052" w14:paraId="5C4D626F" w14:textId="77777777">
      <w:pPr>
        <w:pStyle w:val="naisf"/>
        <w:spacing w:before="0" w:after="0"/>
        <w:ind w:firstLine="0"/>
        <w:rPr>
          <w:b/>
          <w:color w:val="000000" w:themeColor="text1"/>
        </w:rPr>
      </w:pPr>
    </w:p>
    <w:tbl>
      <w:tblPr>
        <w:tblW w:w="13054" w:type="dxa"/>
        <w:tblLook w:val="00A0" w:firstRow="1" w:lastRow="0" w:firstColumn="1" w:lastColumn="0" w:noHBand="0" w:noVBand="0"/>
      </w:tblPr>
      <w:tblGrid>
        <w:gridCol w:w="6016"/>
        <w:gridCol w:w="339"/>
        <w:gridCol w:w="1523"/>
        <w:gridCol w:w="4940"/>
        <w:gridCol w:w="236"/>
      </w:tblGrid>
      <w:tr w:rsidRPr="001E5BBA" w:rsidR="001E5BBA" w:rsidTr="00EE5F1C" w14:paraId="620EF5D9" w14:textId="77777777">
        <w:trPr>
          <w:gridAfter w:val="1"/>
          <w:wAfter w:w="236" w:type="dxa"/>
        </w:trPr>
        <w:tc>
          <w:tcPr>
            <w:tcW w:w="6016" w:type="dxa"/>
          </w:tcPr>
          <w:p w:rsidRPr="001E5BBA" w:rsidR="00B31052" w:rsidP="006A551B" w:rsidRDefault="00B31052" w14:paraId="1FC6162A" w14:textId="77777777">
            <w:pPr>
              <w:pStyle w:val="naisf"/>
              <w:spacing w:before="0" w:after="0"/>
              <w:ind w:firstLine="0"/>
              <w:rPr>
                <w:color w:val="000000" w:themeColor="text1"/>
              </w:rPr>
            </w:pPr>
            <w:r w:rsidRPr="001E5BBA">
              <w:rPr>
                <w:color w:val="000000" w:themeColor="text1"/>
              </w:rPr>
              <w:t>Datums</w:t>
            </w:r>
          </w:p>
        </w:tc>
        <w:tc>
          <w:tcPr>
            <w:tcW w:w="6802" w:type="dxa"/>
            <w:gridSpan w:val="3"/>
            <w:tcBorders>
              <w:bottom w:val="single" w:color="auto" w:sz="4" w:space="0"/>
            </w:tcBorders>
          </w:tcPr>
          <w:p w:rsidR="008A3801" w:rsidP="00CA5D2F" w:rsidRDefault="00F0149F" w14:paraId="50A74F15" w14:textId="2F3F417D">
            <w:pPr>
              <w:pStyle w:val="NormalWeb"/>
              <w:spacing w:before="0" w:beforeAutospacing="0" w:after="0" w:afterAutospacing="0"/>
              <w:rPr>
                <w:color w:val="000000" w:themeColor="text1"/>
              </w:rPr>
            </w:pPr>
            <w:r>
              <w:rPr>
                <w:color w:val="000000" w:themeColor="text1"/>
              </w:rPr>
              <w:t>(</w:t>
            </w:r>
            <w:r w:rsidR="00956ECD">
              <w:rPr>
                <w:color w:val="000000" w:themeColor="text1"/>
              </w:rPr>
              <w:t>11</w:t>
            </w:r>
            <w:r w:rsidR="00F00D7B">
              <w:rPr>
                <w:color w:val="000000" w:themeColor="text1"/>
              </w:rPr>
              <w:t>.</w:t>
            </w:r>
            <w:r w:rsidR="00956ECD">
              <w:rPr>
                <w:color w:val="000000" w:themeColor="text1"/>
              </w:rPr>
              <w:t>03</w:t>
            </w:r>
            <w:r w:rsidR="00F00D7B">
              <w:rPr>
                <w:color w:val="000000" w:themeColor="text1"/>
              </w:rPr>
              <w:t>.20</w:t>
            </w:r>
            <w:r w:rsidR="00956ECD">
              <w:rPr>
                <w:color w:val="000000" w:themeColor="text1"/>
              </w:rPr>
              <w:t>20</w:t>
            </w:r>
            <w:r w:rsidR="00F00D7B">
              <w:rPr>
                <w:color w:val="000000" w:themeColor="text1"/>
              </w:rPr>
              <w:t>-</w:t>
            </w:r>
            <w:r w:rsidR="00956ECD">
              <w:rPr>
                <w:color w:val="000000" w:themeColor="text1"/>
              </w:rPr>
              <w:t>17</w:t>
            </w:r>
            <w:r w:rsidR="00F00D7B">
              <w:rPr>
                <w:color w:val="000000" w:themeColor="text1"/>
              </w:rPr>
              <w:t>.</w:t>
            </w:r>
            <w:r w:rsidR="00956ECD">
              <w:rPr>
                <w:color w:val="000000" w:themeColor="text1"/>
              </w:rPr>
              <w:t>03</w:t>
            </w:r>
            <w:r w:rsidR="00F00D7B">
              <w:rPr>
                <w:color w:val="000000" w:themeColor="text1"/>
              </w:rPr>
              <w:t>.20</w:t>
            </w:r>
            <w:r w:rsidR="00956ECD">
              <w:rPr>
                <w:color w:val="000000" w:themeColor="text1"/>
              </w:rPr>
              <w:t>20</w:t>
            </w:r>
            <w:r>
              <w:rPr>
                <w:color w:val="000000" w:themeColor="text1"/>
              </w:rPr>
              <w:t xml:space="preserve">) </w:t>
            </w:r>
            <w:r w:rsidR="00926C9C">
              <w:rPr>
                <w:color w:val="000000" w:themeColor="text1"/>
              </w:rPr>
              <w:t>E</w:t>
            </w:r>
            <w:r w:rsidRPr="001E5BBA" w:rsidR="008A3801">
              <w:rPr>
                <w:color w:val="000000" w:themeColor="text1"/>
              </w:rPr>
              <w:t>lektroniskā starpministriju</w:t>
            </w:r>
            <w:r w:rsidR="00926C9C">
              <w:rPr>
                <w:color w:val="000000" w:themeColor="text1"/>
              </w:rPr>
              <w:t>/starpinstitūciju</w:t>
            </w:r>
            <w:r w:rsidRPr="001E5BBA" w:rsidR="008A3801">
              <w:rPr>
                <w:color w:val="000000" w:themeColor="text1"/>
              </w:rPr>
              <w:t xml:space="preserve"> saskaņošana</w:t>
            </w:r>
          </w:p>
          <w:p w:rsidRPr="001E5BBA" w:rsidR="00256A55" w:rsidP="00170024" w:rsidRDefault="00256A55" w14:paraId="0D4D1AEF" w14:textId="4BA19E26">
            <w:pPr>
              <w:pStyle w:val="NormalWeb"/>
              <w:spacing w:before="0" w:beforeAutospacing="0" w:after="0" w:afterAutospacing="0"/>
              <w:jc w:val="both"/>
              <w:rPr>
                <w:color w:val="000000" w:themeColor="text1"/>
              </w:rPr>
            </w:pPr>
          </w:p>
        </w:tc>
      </w:tr>
      <w:tr w:rsidRPr="001E5BBA" w:rsidR="001E5BBA" w:rsidTr="00EE5F1C" w14:paraId="7A9151F6" w14:textId="77777777">
        <w:trPr>
          <w:gridAfter w:val="1"/>
          <w:wAfter w:w="236" w:type="dxa"/>
        </w:trPr>
        <w:tc>
          <w:tcPr>
            <w:tcW w:w="6016" w:type="dxa"/>
          </w:tcPr>
          <w:p w:rsidRPr="001E5BBA" w:rsidR="00B31052" w:rsidP="006A551B" w:rsidRDefault="00B31052" w14:paraId="72FA7A6B" w14:textId="42B3E55B">
            <w:pPr>
              <w:pStyle w:val="naisf"/>
              <w:spacing w:before="0" w:after="0"/>
              <w:ind w:firstLine="0"/>
              <w:rPr>
                <w:color w:val="000000" w:themeColor="text1"/>
              </w:rPr>
            </w:pPr>
          </w:p>
        </w:tc>
        <w:tc>
          <w:tcPr>
            <w:tcW w:w="6802" w:type="dxa"/>
            <w:gridSpan w:val="3"/>
            <w:tcBorders>
              <w:top w:val="single" w:color="auto" w:sz="4" w:space="0"/>
            </w:tcBorders>
          </w:tcPr>
          <w:p w:rsidRPr="001E5BBA" w:rsidR="00B31052" w:rsidP="006A551B" w:rsidRDefault="00B31052" w14:paraId="0E374CFE" w14:textId="77777777">
            <w:pPr>
              <w:pStyle w:val="NormalWeb"/>
              <w:spacing w:before="0" w:beforeAutospacing="0" w:after="0" w:afterAutospacing="0"/>
              <w:ind w:firstLine="720"/>
              <w:rPr>
                <w:color w:val="000000" w:themeColor="text1"/>
              </w:rPr>
            </w:pPr>
          </w:p>
        </w:tc>
      </w:tr>
      <w:tr w:rsidRPr="001E5BBA" w:rsidR="001E5BBA" w:rsidTr="00EE5F1C" w14:paraId="5A3E34C8" w14:textId="77777777">
        <w:trPr>
          <w:gridAfter w:val="1"/>
          <w:wAfter w:w="236" w:type="dxa"/>
        </w:trPr>
        <w:tc>
          <w:tcPr>
            <w:tcW w:w="6016" w:type="dxa"/>
          </w:tcPr>
          <w:p w:rsidRPr="001E5BBA" w:rsidR="00B31052" w:rsidP="006A551B" w:rsidRDefault="00B31052" w14:paraId="34023238" w14:textId="77777777">
            <w:pPr>
              <w:pStyle w:val="naiskr"/>
              <w:spacing w:before="0" w:after="0"/>
              <w:rPr>
                <w:color w:val="000000" w:themeColor="text1"/>
              </w:rPr>
            </w:pPr>
            <w:r w:rsidRPr="001E5BBA">
              <w:rPr>
                <w:color w:val="000000" w:themeColor="text1"/>
              </w:rPr>
              <w:t>Saskaņošanas dalībnieki</w:t>
            </w:r>
          </w:p>
        </w:tc>
        <w:tc>
          <w:tcPr>
            <w:tcW w:w="6802" w:type="dxa"/>
            <w:gridSpan w:val="3"/>
            <w:tcBorders>
              <w:bottom w:val="single" w:color="auto" w:sz="4" w:space="0"/>
            </w:tcBorders>
          </w:tcPr>
          <w:p w:rsidRPr="008B060E" w:rsidR="003F00F2" w:rsidP="003F00F2" w:rsidRDefault="00ED2E7B" w14:paraId="403BEBAA" w14:textId="3CFE569E">
            <w:pPr>
              <w:pStyle w:val="NormalWeb"/>
              <w:ind w:right="175"/>
              <w:jc w:val="both"/>
              <w:rPr>
                <w:color w:val="000000" w:themeColor="text1"/>
              </w:rPr>
            </w:pPr>
            <w:r w:rsidRPr="008B060E">
              <w:rPr>
                <w:color w:val="000000" w:themeColor="text1"/>
              </w:rPr>
              <w:t>Tieslietu ministrija, Finanšu ministrija</w:t>
            </w:r>
          </w:p>
          <w:p w:rsidRPr="008B060E" w:rsidR="002C0CBF" w:rsidP="00F0149F" w:rsidRDefault="002C0CBF" w14:paraId="534D5EE4" w14:textId="587FC143">
            <w:pPr>
              <w:pStyle w:val="NormalWeb"/>
              <w:ind w:right="175"/>
              <w:jc w:val="both"/>
              <w:rPr>
                <w:color w:val="000000" w:themeColor="text1"/>
              </w:rPr>
            </w:pPr>
          </w:p>
        </w:tc>
      </w:tr>
      <w:tr w:rsidRPr="001E5BBA" w:rsidR="001E5BBA" w:rsidTr="00EE5F1C" w14:paraId="01F1841F" w14:textId="77777777">
        <w:trPr>
          <w:gridAfter w:val="1"/>
          <w:wAfter w:w="236" w:type="dxa"/>
          <w:trHeight w:val="285"/>
        </w:trPr>
        <w:tc>
          <w:tcPr>
            <w:tcW w:w="6016" w:type="dxa"/>
          </w:tcPr>
          <w:p w:rsidRPr="001E5BBA" w:rsidR="00B31052" w:rsidP="006A551B" w:rsidRDefault="00B31052" w14:paraId="1F7BC256" w14:textId="77777777">
            <w:pPr>
              <w:pStyle w:val="naiskr"/>
              <w:spacing w:before="0" w:after="0"/>
              <w:rPr>
                <w:color w:val="000000" w:themeColor="text1"/>
              </w:rPr>
            </w:pPr>
          </w:p>
        </w:tc>
        <w:tc>
          <w:tcPr>
            <w:tcW w:w="1862" w:type="dxa"/>
            <w:gridSpan w:val="2"/>
            <w:tcBorders>
              <w:top w:val="single" w:color="auto" w:sz="4" w:space="0"/>
            </w:tcBorders>
          </w:tcPr>
          <w:p w:rsidRPr="008B060E" w:rsidR="00B31052" w:rsidP="006A551B" w:rsidRDefault="00B31052" w14:paraId="69DB235F" w14:textId="77777777">
            <w:pPr>
              <w:pStyle w:val="naiskr"/>
              <w:spacing w:before="0" w:after="0"/>
              <w:ind w:firstLine="720"/>
              <w:rPr>
                <w:color w:val="000000" w:themeColor="text1"/>
              </w:rPr>
            </w:pPr>
          </w:p>
        </w:tc>
        <w:tc>
          <w:tcPr>
            <w:tcW w:w="4940" w:type="dxa"/>
            <w:tcBorders>
              <w:top w:val="single" w:color="auto" w:sz="4" w:space="0"/>
            </w:tcBorders>
          </w:tcPr>
          <w:p w:rsidRPr="008B060E" w:rsidR="00B31052" w:rsidP="006A551B" w:rsidRDefault="00B31052" w14:paraId="16E8F451" w14:textId="77777777">
            <w:pPr>
              <w:pStyle w:val="naiskr"/>
              <w:spacing w:before="0" w:after="0"/>
              <w:ind w:firstLine="12"/>
              <w:rPr>
                <w:color w:val="000000" w:themeColor="text1"/>
              </w:rPr>
            </w:pPr>
          </w:p>
        </w:tc>
      </w:tr>
      <w:tr w:rsidRPr="001E5BBA" w:rsidR="001E5BBA" w:rsidTr="008B060E" w14:paraId="37C182C9" w14:textId="77777777">
        <w:trPr>
          <w:trHeight w:val="285"/>
        </w:trPr>
        <w:tc>
          <w:tcPr>
            <w:tcW w:w="6355" w:type="dxa"/>
            <w:gridSpan w:val="2"/>
          </w:tcPr>
          <w:p w:rsidRPr="008B060E" w:rsidR="00B31052" w:rsidP="006A551B" w:rsidRDefault="00B31052" w14:paraId="296651AF" w14:textId="77777777">
            <w:pPr>
              <w:pStyle w:val="naiskr"/>
              <w:spacing w:before="0" w:after="0"/>
              <w:rPr>
                <w:color w:val="000000" w:themeColor="text1"/>
              </w:rPr>
            </w:pPr>
            <w:r w:rsidRPr="008B060E">
              <w:rPr>
                <w:color w:val="000000" w:themeColor="text1"/>
              </w:rPr>
              <w:br w:type="page"/>
              <w:t>Saskaņošanas dalībnieki izskatīja šādu ministriju (citu institūciju) iebildumus</w:t>
            </w:r>
          </w:p>
        </w:tc>
        <w:tc>
          <w:tcPr>
            <w:tcW w:w="6463" w:type="dxa"/>
            <w:gridSpan w:val="2"/>
            <w:tcBorders>
              <w:bottom w:val="single" w:color="auto" w:sz="4" w:space="0"/>
            </w:tcBorders>
            <w:shd w:val="clear" w:color="auto" w:fill="auto"/>
          </w:tcPr>
          <w:p w:rsidRPr="008B060E" w:rsidR="003F00F2" w:rsidP="0091278F" w:rsidRDefault="003F00F2" w14:paraId="40BA8E18" w14:textId="366B869A">
            <w:pPr>
              <w:pStyle w:val="naiskr"/>
              <w:spacing w:before="0" w:after="0"/>
              <w:rPr>
                <w:color w:val="000000" w:themeColor="text1"/>
              </w:rPr>
            </w:pPr>
            <w:r w:rsidRPr="008B060E">
              <w:rPr>
                <w:color w:val="000000" w:themeColor="text1"/>
              </w:rPr>
              <w:t>Finanšu ministrija</w:t>
            </w:r>
            <w:r w:rsidRPr="008B060E" w:rsidR="008B060E">
              <w:rPr>
                <w:color w:val="000000" w:themeColor="text1"/>
              </w:rPr>
              <w:t>, Tieslietu ministrija</w:t>
            </w:r>
          </w:p>
          <w:p w:rsidRPr="008B060E" w:rsidR="00E56C3D" w:rsidP="0091278F" w:rsidRDefault="00E56C3D" w14:paraId="3DF8BA0E" w14:textId="248AA280">
            <w:pPr>
              <w:pStyle w:val="naiskr"/>
              <w:spacing w:before="0" w:after="0"/>
              <w:rPr>
                <w:color w:val="000000" w:themeColor="text1"/>
              </w:rPr>
            </w:pPr>
          </w:p>
        </w:tc>
        <w:tc>
          <w:tcPr>
            <w:tcW w:w="236" w:type="dxa"/>
          </w:tcPr>
          <w:p w:rsidRPr="001E5BBA" w:rsidR="00B31052" w:rsidP="006A551B" w:rsidRDefault="00B31052" w14:paraId="0A0688FA" w14:textId="77777777">
            <w:pPr>
              <w:pStyle w:val="naiskr"/>
              <w:spacing w:before="0" w:after="0"/>
              <w:ind w:firstLine="12"/>
              <w:rPr>
                <w:color w:val="000000" w:themeColor="text1"/>
              </w:rPr>
            </w:pPr>
          </w:p>
        </w:tc>
      </w:tr>
      <w:tr w:rsidRPr="001E5BBA" w:rsidR="001E5BBA" w:rsidTr="00EE5F1C" w14:paraId="7D96E72D" w14:textId="77777777">
        <w:trPr>
          <w:gridAfter w:val="1"/>
          <w:wAfter w:w="236" w:type="dxa"/>
          <w:trHeight w:val="312"/>
        </w:trPr>
        <w:tc>
          <w:tcPr>
            <w:tcW w:w="12818" w:type="dxa"/>
            <w:gridSpan w:val="4"/>
          </w:tcPr>
          <w:p w:rsidRPr="001E5BBA" w:rsidR="00B31052" w:rsidP="006A551B" w:rsidRDefault="00B31052" w14:paraId="15C33A0E" w14:textId="77777777">
            <w:pPr>
              <w:pStyle w:val="naisc"/>
              <w:spacing w:before="0" w:after="0"/>
              <w:ind w:left="4820" w:firstLine="720"/>
              <w:rPr>
                <w:color w:val="000000" w:themeColor="text1"/>
              </w:rPr>
            </w:pPr>
          </w:p>
        </w:tc>
      </w:tr>
      <w:tr w:rsidRPr="001E5BBA" w:rsidR="00B31052" w:rsidTr="00EE5F1C" w14:paraId="4C961EC3" w14:textId="77777777">
        <w:trPr>
          <w:gridAfter w:val="1"/>
          <w:wAfter w:w="236" w:type="dxa"/>
        </w:trPr>
        <w:tc>
          <w:tcPr>
            <w:tcW w:w="6355" w:type="dxa"/>
            <w:gridSpan w:val="2"/>
          </w:tcPr>
          <w:p w:rsidRPr="001E5BBA" w:rsidR="00B31052" w:rsidP="006A551B" w:rsidRDefault="00B31052" w14:paraId="212F9D1D" w14:textId="77777777">
            <w:pPr>
              <w:pStyle w:val="naiskr"/>
              <w:spacing w:before="0" w:after="0"/>
              <w:rPr>
                <w:color w:val="000000" w:themeColor="text1"/>
              </w:rPr>
            </w:pPr>
            <w:r w:rsidRPr="001E5BBA">
              <w:rPr>
                <w:color w:val="000000" w:themeColor="text1"/>
              </w:rPr>
              <w:t>Ministrijas (citas institūcijas), kuras nav ieradušās uz sanāksmi vai kuras nav atbildējušas uz uzaicinājumu piedalīties elektroniskajā saskaņošanā</w:t>
            </w:r>
          </w:p>
        </w:tc>
        <w:tc>
          <w:tcPr>
            <w:tcW w:w="6463" w:type="dxa"/>
            <w:gridSpan w:val="2"/>
            <w:tcBorders>
              <w:bottom w:val="single" w:color="auto" w:sz="4" w:space="0"/>
            </w:tcBorders>
          </w:tcPr>
          <w:p w:rsidRPr="001E5BBA" w:rsidR="0091278F" w:rsidP="0082666B" w:rsidRDefault="0091278F" w14:paraId="37855C29" w14:textId="77777777">
            <w:pPr>
              <w:pStyle w:val="naiskr"/>
              <w:spacing w:before="0" w:after="0"/>
              <w:rPr>
                <w:color w:val="000000" w:themeColor="text1"/>
              </w:rPr>
            </w:pPr>
          </w:p>
          <w:p w:rsidRPr="001E5BBA" w:rsidR="00B31052" w:rsidP="0082666B" w:rsidRDefault="00B31052" w14:paraId="5E931B95" w14:textId="241867DE">
            <w:pPr>
              <w:pStyle w:val="naiskr"/>
              <w:spacing w:before="0" w:after="0"/>
              <w:rPr>
                <w:color w:val="000000" w:themeColor="text1"/>
              </w:rPr>
            </w:pPr>
          </w:p>
        </w:tc>
      </w:tr>
    </w:tbl>
    <w:p w:rsidRPr="001E5BBA" w:rsidR="00B31052" w:rsidP="00B31052" w:rsidRDefault="00B31052" w14:paraId="3626ED71" w14:textId="77777777">
      <w:pPr>
        <w:pStyle w:val="naisf"/>
        <w:spacing w:before="0" w:after="0"/>
        <w:ind w:firstLine="0"/>
        <w:jc w:val="center"/>
        <w:rPr>
          <w:b/>
          <w:color w:val="000000" w:themeColor="text1"/>
        </w:rPr>
      </w:pPr>
    </w:p>
    <w:p w:rsidRPr="001E5BBA" w:rsidR="00B31052" w:rsidP="00B31052" w:rsidRDefault="00B31052" w14:paraId="07EB0896" w14:textId="5754BEA7">
      <w:pPr>
        <w:pStyle w:val="naisf"/>
        <w:spacing w:before="0" w:after="0"/>
        <w:ind w:firstLine="0"/>
        <w:jc w:val="center"/>
        <w:rPr>
          <w:b/>
          <w:color w:val="000000" w:themeColor="text1"/>
        </w:rPr>
      </w:pPr>
      <w:r w:rsidRPr="001E5BBA">
        <w:rPr>
          <w:b/>
          <w:color w:val="000000" w:themeColor="text1"/>
        </w:rPr>
        <w:t>II. Jautājumi, par kuriem saskaņošanā vienošanās ir panākta</w:t>
      </w:r>
    </w:p>
    <w:p w:rsidRPr="001E5BBA" w:rsidR="00B31052" w:rsidP="00B31052" w:rsidRDefault="00B31052" w14:paraId="5EB5258D" w14:textId="77777777">
      <w:pPr>
        <w:pStyle w:val="naisf"/>
        <w:spacing w:before="0" w:after="0"/>
        <w:ind w:firstLine="720"/>
        <w:rPr>
          <w:color w:val="000000" w:themeColor="text1"/>
        </w:rPr>
      </w:pPr>
    </w:p>
    <w:tbl>
      <w:tblPr>
        <w:tblpPr w:leftFromText="180" w:rightFromText="180" w:vertAnchor="text" w:tblpY="1"/>
        <w:tblOverlap w:val="never"/>
        <w:tblW w:w="514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0A0" w:firstRow="1" w:lastRow="0" w:firstColumn="1" w:lastColumn="0" w:noHBand="0" w:noVBand="0"/>
      </w:tblPr>
      <w:tblGrid>
        <w:gridCol w:w="563"/>
        <w:gridCol w:w="2938"/>
        <w:gridCol w:w="1597"/>
        <w:gridCol w:w="1985"/>
        <w:gridCol w:w="3481"/>
        <w:gridCol w:w="3438"/>
        <w:gridCol w:w="359"/>
      </w:tblGrid>
      <w:tr w:rsidRPr="001E5BBA" w:rsidR="001E5BBA" w:rsidTr="00956ECD" w14:paraId="180FCD98" w14:textId="77777777">
        <w:trPr>
          <w:gridAfter w:val="1"/>
          <w:wAfter w:w="125" w:type="pct"/>
        </w:trPr>
        <w:tc>
          <w:tcPr>
            <w:tcW w:w="196" w:type="pct"/>
            <w:shd w:val="clear" w:color="auto" w:fill="FFFFFF" w:themeFill="background1"/>
          </w:tcPr>
          <w:p w:rsidRPr="001E5BBA" w:rsidR="00B31052" w:rsidP="00686C79" w:rsidRDefault="00B31052" w14:paraId="666E81DD" w14:textId="77777777">
            <w:pPr>
              <w:pStyle w:val="naisc"/>
              <w:spacing w:before="0" w:after="0"/>
              <w:rPr>
                <w:color w:val="000000" w:themeColor="text1"/>
                <w:sz w:val="20"/>
                <w:szCs w:val="20"/>
              </w:rPr>
            </w:pPr>
            <w:r w:rsidRPr="001E5BBA">
              <w:rPr>
                <w:color w:val="000000" w:themeColor="text1"/>
                <w:sz w:val="20"/>
                <w:szCs w:val="20"/>
              </w:rPr>
              <w:t>Nr. p.k.</w:t>
            </w:r>
          </w:p>
        </w:tc>
        <w:tc>
          <w:tcPr>
            <w:tcW w:w="1023" w:type="pct"/>
            <w:shd w:val="clear" w:color="auto" w:fill="FFFFFF" w:themeFill="background1"/>
          </w:tcPr>
          <w:p w:rsidRPr="001E5BBA" w:rsidR="00B31052" w:rsidP="00F26102" w:rsidRDefault="00B31052" w14:paraId="3878EDDA" w14:textId="77777777">
            <w:pPr>
              <w:pStyle w:val="naisc"/>
              <w:tabs>
                <w:tab w:val="left" w:pos="1111"/>
              </w:tabs>
              <w:spacing w:before="0" w:after="0"/>
              <w:ind w:firstLine="12"/>
              <w:rPr>
                <w:color w:val="000000" w:themeColor="text1"/>
                <w:sz w:val="20"/>
                <w:szCs w:val="20"/>
              </w:rPr>
            </w:pPr>
            <w:r w:rsidRPr="001E5BBA">
              <w:rPr>
                <w:color w:val="000000" w:themeColor="text1"/>
                <w:sz w:val="20"/>
                <w:szCs w:val="20"/>
              </w:rPr>
              <w:t>Saskaņošanai nosūtītā projekta redakcija (konkrēta punkta (panta) redakcija)</w:t>
            </w:r>
          </w:p>
        </w:tc>
        <w:tc>
          <w:tcPr>
            <w:tcW w:w="1247" w:type="pct"/>
            <w:gridSpan w:val="2"/>
            <w:shd w:val="clear" w:color="auto" w:fill="FFFFFF" w:themeFill="background1"/>
          </w:tcPr>
          <w:p w:rsidRPr="001E5BBA" w:rsidR="00B31052" w:rsidP="00686C79" w:rsidRDefault="00B31052" w14:paraId="1249939F" w14:textId="77777777">
            <w:pPr>
              <w:pStyle w:val="naisc"/>
              <w:spacing w:before="0" w:after="0"/>
              <w:ind w:right="3"/>
              <w:rPr>
                <w:color w:val="000000" w:themeColor="text1"/>
                <w:sz w:val="20"/>
                <w:szCs w:val="20"/>
              </w:rPr>
            </w:pPr>
            <w:r w:rsidRPr="001E5BBA">
              <w:rPr>
                <w:color w:val="000000" w:themeColor="text1"/>
                <w:sz w:val="20"/>
                <w:szCs w:val="20"/>
              </w:rPr>
              <w:t>Atzinumā norādītais ministrijas (citas institūcijas) iebildums, kā arī saskaņošanā papildus izteiktais iebildums par projekta konkrēto punktu (pantu)</w:t>
            </w:r>
          </w:p>
        </w:tc>
        <w:tc>
          <w:tcPr>
            <w:tcW w:w="1212" w:type="pct"/>
            <w:shd w:val="clear" w:color="auto" w:fill="FFFFFF" w:themeFill="background1"/>
          </w:tcPr>
          <w:p w:rsidRPr="001E5BBA" w:rsidR="00B31052" w:rsidP="00581E1B" w:rsidRDefault="00B31052" w14:paraId="2BB102EB" w14:textId="77777777">
            <w:pPr>
              <w:pStyle w:val="naisc"/>
              <w:spacing w:before="0" w:after="0"/>
              <w:ind w:firstLine="21"/>
              <w:jc w:val="both"/>
              <w:rPr>
                <w:color w:val="000000" w:themeColor="text1"/>
                <w:sz w:val="20"/>
                <w:szCs w:val="20"/>
              </w:rPr>
            </w:pPr>
            <w:r w:rsidRPr="001E5BBA">
              <w:rPr>
                <w:color w:val="000000" w:themeColor="text1"/>
                <w:sz w:val="20"/>
                <w:szCs w:val="20"/>
              </w:rPr>
              <w:t>Atbildīgās ministrijas norāde par to, ka iebildums ir ņemts vērā, vai informācija par saskaņošanā panākto alternatīvo risinājumu</w:t>
            </w:r>
          </w:p>
        </w:tc>
        <w:tc>
          <w:tcPr>
            <w:tcW w:w="1197" w:type="pct"/>
            <w:shd w:val="clear" w:color="auto" w:fill="FFFFFF" w:themeFill="background1"/>
          </w:tcPr>
          <w:p w:rsidRPr="001E5BBA" w:rsidR="00B31052" w:rsidP="00686C79" w:rsidRDefault="00B31052" w14:paraId="40C9C823" w14:textId="77777777">
            <w:pPr>
              <w:jc w:val="center"/>
              <w:rPr>
                <w:color w:val="000000" w:themeColor="text1"/>
                <w:sz w:val="20"/>
                <w:szCs w:val="20"/>
              </w:rPr>
            </w:pPr>
            <w:r w:rsidRPr="001E5BBA">
              <w:rPr>
                <w:color w:val="000000" w:themeColor="text1"/>
                <w:sz w:val="20"/>
                <w:szCs w:val="20"/>
              </w:rPr>
              <w:t>Projekta attiecīgā punkta (panta) galīgā redakcija</w:t>
            </w:r>
          </w:p>
        </w:tc>
      </w:tr>
      <w:tr w:rsidRPr="001E5BBA" w:rsidR="001E5BBA" w:rsidTr="00956ECD" w14:paraId="2BB0D0FD" w14:textId="77777777">
        <w:trPr>
          <w:gridAfter w:val="1"/>
          <w:wAfter w:w="125" w:type="pct"/>
        </w:trPr>
        <w:tc>
          <w:tcPr>
            <w:tcW w:w="196" w:type="pct"/>
            <w:shd w:val="clear" w:color="auto" w:fill="FFFFFF" w:themeFill="background1"/>
          </w:tcPr>
          <w:p w:rsidRPr="001E5BBA" w:rsidR="00B31052" w:rsidP="00686C79" w:rsidRDefault="00B31052" w14:paraId="314F02C2" w14:textId="77777777">
            <w:pPr>
              <w:pStyle w:val="naisc"/>
              <w:spacing w:before="0" w:after="0"/>
              <w:rPr>
                <w:color w:val="000000" w:themeColor="text1"/>
                <w:sz w:val="20"/>
                <w:szCs w:val="20"/>
              </w:rPr>
            </w:pPr>
            <w:r w:rsidRPr="001E5BBA">
              <w:rPr>
                <w:color w:val="000000" w:themeColor="text1"/>
                <w:sz w:val="20"/>
                <w:szCs w:val="20"/>
              </w:rPr>
              <w:t>1</w:t>
            </w:r>
          </w:p>
        </w:tc>
        <w:tc>
          <w:tcPr>
            <w:tcW w:w="1023" w:type="pct"/>
            <w:shd w:val="clear" w:color="auto" w:fill="FFFFFF" w:themeFill="background1"/>
          </w:tcPr>
          <w:p w:rsidRPr="001E5BBA" w:rsidR="00B31052" w:rsidP="00686C79" w:rsidRDefault="00B31052" w14:paraId="3F298B57" w14:textId="77777777">
            <w:pPr>
              <w:pStyle w:val="naisc"/>
              <w:spacing w:before="0" w:after="0"/>
              <w:rPr>
                <w:color w:val="000000" w:themeColor="text1"/>
                <w:sz w:val="20"/>
                <w:szCs w:val="20"/>
              </w:rPr>
            </w:pPr>
            <w:r w:rsidRPr="001E5BBA">
              <w:rPr>
                <w:color w:val="000000" w:themeColor="text1"/>
                <w:sz w:val="20"/>
                <w:szCs w:val="20"/>
              </w:rPr>
              <w:t>2</w:t>
            </w:r>
          </w:p>
        </w:tc>
        <w:tc>
          <w:tcPr>
            <w:tcW w:w="1247" w:type="pct"/>
            <w:gridSpan w:val="2"/>
            <w:shd w:val="clear" w:color="auto" w:fill="FFFFFF" w:themeFill="background1"/>
          </w:tcPr>
          <w:p w:rsidRPr="001E5BBA" w:rsidR="00B31052" w:rsidP="00686C79" w:rsidRDefault="00B31052" w14:paraId="37D371A8" w14:textId="77777777">
            <w:pPr>
              <w:pStyle w:val="naisc"/>
              <w:spacing w:before="0" w:after="0"/>
              <w:rPr>
                <w:color w:val="000000" w:themeColor="text1"/>
                <w:sz w:val="20"/>
                <w:szCs w:val="20"/>
              </w:rPr>
            </w:pPr>
            <w:r w:rsidRPr="001E5BBA">
              <w:rPr>
                <w:color w:val="000000" w:themeColor="text1"/>
                <w:sz w:val="20"/>
                <w:szCs w:val="20"/>
              </w:rPr>
              <w:t>3</w:t>
            </w:r>
          </w:p>
        </w:tc>
        <w:tc>
          <w:tcPr>
            <w:tcW w:w="1212" w:type="pct"/>
            <w:shd w:val="clear" w:color="auto" w:fill="FFFFFF" w:themeFill="background1"/>
          </w:tcPr>
          <w:p w:rsidRPr="001E5BBA" w:rsidR="00B31052" w:rsidP="00A93D50" w:rsidRDefault="00B31052" w14:paraId="45BC06D5" w14:textId="77777777">
            <w:pPr>
              <w:pStyle w:val="naisc"/>
              <w:spacing w:before="0" w:after="0"/>
              <w:rPr>
                <w:color w:val="000000" w:themeColor="text1"/>
                <w:sz w:val="20"/>
                <w:szCs w:val="20"/>
              </w:rPr>
            </w:pPr>
            <w:r w:rsidRPr="001E5BBA">
              <w:rPr>
                <w:color w:val="000000" w:themeColor="text1"/>
                <w:sz w:val="20"/>
                <w:szCs w:val="20"/>
              </w:rPr>
              <w:t>4</w:t>
            </w:r>
          </w:p>
        </w:tc>
        <w:tc>
          <w:tcPr>
            <w:tcW w:w="1197" w:type="pct"/>
            <w:shd w:val="clear" w:color="auto" w:fill="FFFFFF" w:themeFill="background1"/>
          </w:tcPr>
          <w:p w:rsidRPr="001E5BBA" w:rsidR="00B31052" w:rsidP="00686C79" w:rsidRDefault="00B31052" w14:paraId="595EFA2F" w14:textId="77777777">
            <w:pPr>
              <w:jc w:val="center"/>
              <w:rPr>
                <w:color w:val="000000" w:themeColor="text1"/>
                <w:sz w:val="20"/>
                <w:szCs w:val="20"/>
              </w:rPr>
            </w:pPr>
            <w:r w:rsidRPr="001E5BBA">
              <w:rPr>
                <w:color w:val="000000" w:themeColor="text1"/>
                <w:sz w:val="20"/>
                <w:szCs w:val="20"/>
              </w:rPr>
              <w:t>5</w:t>
            </w:r>
          </w:p>
        </w:tc>
      </w:tr>
      <w:tr w:rsidRPr="001E5BBA" w:rsidR="00956ECD" w:rsidTr="00956ECD" w14:paraId="4FB08651" w14:textId="77777777">
        <w:trPr>
          <w:gridAfter w:val="1"/>
          <w:wAfter w:w="125" w:type="pct"/>
        </w:trPr>
        <w:tc>
          <w:tcPr>
            <w:tcW w:w="4875" w:type="pct"/>
            <w:gridSpan w:val="6"/>
            <w:shd w:val="clear" w:color="auto" w:fill="auto"/>
          </w:tcPr>
          <w:p w:rsidRPr="00956ECD" w:rsidR="00956ECD" w:rsidP="00663DDE" w:rsidRDefault="00956ECD" w14:paraId="72089E5F" w14:textId="5754FEC4">
            <w:pPr>
              <w:spacing w:before="120" w:after="120"/>
              <w:jc w:val="center"/>
              <w:rPr>
                <w:color w:val="000000" w:themeColor="text1"/>
                <w:sz w:val="28"/>
                <w:szCs w:val="28"/>
              </w:rPr>
            </w:pPr>
            <w:r w:rsidRPr="00663DDE">
              <w:rPr>
                <w:b/>
                <w:bCs/>
                <w:color w:val="000000" w:themeColor="text1"/>
                <w:sz w:val="28"/>
                <w:szCs w:val="28"/>
              </w:rPr>
              <w:t>Tieslietu ministrija</w:t>
            </w:r>
            <w:r>
              <w:rPr>
                <w:color w:val="000000" w:themeColor="text1"/>
                <w:sz w:val="28"/>
                <w:szCs w:val="28"/>
              </w:rPr>
              <w:t xml:space="preserve"> (</w:t>
            </w:r>
            <w:r w:rsidRPr="00956ECD">
              <w:rPr>
                <w:color w:val="000000" w:themeColor="text1"/>
                <w:sz w:val="28"/>
                <w:szCs w:val="28"/>
              </w:rPr>
              <w:t>17.03.2020</w:t>
            </w:r>
            <w:r w:rsidR="00CA5D2F">
              <w:rPr>
                <w:color w:val="000000" w:themeColor="text1"/>
                <w:sz w:val="28"/>
                <w:szCs w:val="28"/>
              </w:rPr>
              <w:t>.</w:t>
            </w:r>
            <w:r w:rsidRPr="00956ECD">
              <w:rPr>
                <w:color w:val="000000" w:themeColor="text1"/>
                <w:sz w:val="28"/>
                <w:szCs w:val="28"/>
              </w:rPr>
              <w:t xml:space="preserve"> Nr.1-9.1/275</w:t>
            </w:r>
            <w:r>
              <w:rPr>
                <w:color w:val="000000" w:themeColor="text1"/>
                <w:sz w:val="28"/>
                <w:szCs w:val="28"/>
              </w:rPr>
              <w:t>)</w:t>
            </w:r>
          </w:p>
        </w:tc>
      </w:tr>
      <w:tr w:rsidRPr="001E5BBA" w:rsidR="00322AEE" w:rsidTr="00956ECD" w14:paraId="070E7DF6" w14:textId="77777777">
        <w:trPr>
          <w:gridAfter w:val="1"/>
          <w:wAfter w:w="125" w:type="pct"/>
        </w:trPr>
        <w:tc>
          <w:tcPr>
            <w:tcW w:w="196" w:type="pct"/>
            <w:shd w:val="clear" w:color="auto" w:fill="auto"/>
          </w:tcPr>
          <w:p w:rsidRPr="001E5BBA" w:rsidR="00322AEE" w:rsidP="00322AEE" w:rsidRDefault="00322AEE" w14:paraId="5AD336A0" w14:textId="4730E0D6">
            <w:pPr>
              <w:pStyle w:val="naisc"/>
              <w:spacing w:before="0" w:after="0"/>
              <w:rPr>
                <w:color w:val="000000" w:themeColor="text1"/>
                <w:sz w:val="20"/>
                <w:szCs w:val="20"/>
              </w:rPr>
            </w:pPr>
            <w:r w:rsidRPr="00115AE3">
              <w:t>1.</w:t>
            </w:r>
          </w:p>
        </w:tc>
        <w:tc>
          <w:tcPr>
            <w:tcW w:w="1023" w:type="pct"/>
            <w:shd w:val="clear" w:color="auto" w:fill="auto"/>
          </w:tcPr>
          <w:p w:rsidRPr="00956ECD" w:rsidR="00956ECD" w:rsidP="00956ECD" w:rsidRDefault="00956ECD" w14:paraId="53D75297" w14:textId="77777777">
            <w:pPr>
              <w:pStyle w:val="naisc"/>
              <w:spacing w:before="0" w:after="0"/>
              <w:jc w:val="both"/>
              <w:rPr>
                <w:b/>
                <w:color w:val="000000" w:themeColor="text1"/>
                <w:sz w:val="20"/>
                <w:szCs w:val="20"/>
              </w:rPr>
            </w:pPr>
            <w:r w:rsidRPr="00956ECD">
              <w:rPr>
                <w:b/>
                <w:color w:val="000000" w:themeColor="text1"/>
                <w:sz w:val="20"/>
                <w:szCs w:val="20"/>
              </w:rPr>
              <w:t>Tiesību akta nosaukums</w:t>
            </w:r>
          </w:p>
          <w:p w:rsidRPr="00956ECD" w:rsidR="00322AEE" w:rsidP="00956ECD" w:rsidRDefault="00956ECD" w14:paraId="73E36C44" w14:textId="6CB37C17">
            <w:pPr>
              <w:pStyle w:val="naisc"/>
              <w:spacing w:before="0" w:after="0"/>
              <w:jc w:val="both"/>
              <w:rPr>
                <w:bCs/>
                <w:color w:val="000000" w:themeColor="text1"/>
                <w:sz w:val="20"/>
                <w:szCs w:val="20"/>
              </w:rPr>
            </w:pPr>
            <w:r>
              <w:rPr>
                <w:bCs/>
                <w:color w:val="000000" w:themeColor="text1"/>
                <w:sz w:val="20"/>
                <w:szCs w:val="20"/>
              </w:rPr>
              <w:t>“</w:t>
            </w:r>
            <w:r w:rsidRPr="00956ECD">
              <w:rPr>
                <w:bCs/>
                <w:color w:val="000000" w:themeColor="text1"/>
                <w:sz w:val="20"/>
                <w:szCs w:val="20"/>
              </w:rPr>
              <w:t>Kārtība, kādā aprēķina un piešķir nepieciešamā finansējuma apmēru pievienotās vērtības nodokļa summas, kas nav atgūstama kā priekšnodoklis, kompensācijai Igaunijas Republikai un Lietuvas Republikai AS “RB Rail” veikto aktivitāšu ietvaros</w:t>
            </w:r>
            <w:r>
              <w:rPr>
                <w:bCs/>
                <w:color w:val="000000" w:themeColor="text1"/>
                <w:sz w:val="20"/>
                <w:szCs w:val="20"/>
              </w:rPr>
              <w:t>”</w:t>
            </w:r>
          </w:p>
        </w:tc>
        <w:tc>
          <w:tcPr>
            <w:tcW w:w="1247" w:type="pct"/>
            <w:gridSpan w:val="2"/>
            <w:shd w:val="clear" w:color="auto" w:fill="auto"/>
          </w:tcPr>
          <w:p w:rsidRPr="00956ECD" w:rsidR="00322AEE" w:rsidP="00322AEE" w:rsidRDefault="00956ECD" w14:paraId="76BD6C3A" w14:textId="73BCC7C3">
            <w:pPr>
              <w:pStyle w:val="naisc"/>
              <w:spacing w:before="0" w:after="0"/>
              <w:jc w:val="both"/>
              <w:rPr>
                <w:bCs/>
                <w:color w:val="000000" w:themeColor="text1"/>
                <w:sz w:val="20"/>
                <w:szCs w:val="20"/>
              </w:rPr>
            </w:pPr>
            <w:r w:rsidRPr="00956ECD">
              <w:rPr>
                <w:bCs/>
                <w:color w:val="000000" w:themeColor="text1"/>
                <w:sz w:val="20"/>
                <w:szCs w:val="20"/>
              </w:rPr>
              <w:t>Vēršam uzmanību, ka projekta nosaukums neatbilst Ministru kabineta 2009. gada 3. februāra noteikumu Nr. 108 „Normatīvo aktu projektu sagatavošanas noteikumi” (turpmāk – NAP noteikumi) 91. punktam, kas noteic, ka noteikumu projekta nosaukumu iesāk ar vārdiem, kas atklāj noteikumu projekta saturu, un vārdus “kārtība”, “noteikumi” v.tml. raksta kā nosaukuma pēdējo vārdu. Ievērojot minēto, lūdzam precizēt projekta nosaukumu, izsakot to, piemēram, šādā redakcijā: „Nepieciešamā finansējuma apmēra aprēķināšanas un piešķiršanas kārtība pievienotās vērtības nodokļa summai, kas nav atgūstama kā priekšnodoklis, kompensācijai Igaunijas Republikai un Lietuvas Republikai AS “RB Rail”” v.tml.</w:t>
            </w:r>
          </w:p>
        </w:tc>
        <w:tc>
          <w:tcPr>
            <w:tcW w:w="1212" w:type="pct"/>
            <w:shd w:val="clear" w:color="auto" w:fill="auto"/>
          </w:tcPr>
          <w:p w:rsidRPr="001E5BBA" w:rsidR="00322AEE" w:rsidP="00663DDE" w:rsidRDefault="00956ECD" w14:paraId="5BEDF344" w14:textId="65A16186">
            <w:pPr>
              <w:pStyle w:val="naisc"/>
              <w:spacing w:before="0" w:after="0"/>
              <w:rPr>
                <w:color w:val="000000" w:themeColor="text1"/>
                <w:sz w:val="20"/>
                <w:szCs w:val="20"/>
              </w:rPr>
            </w:pPr>
            <w:r>
              <w:rPr>
                <w:color w:val="000000" w:themeColor="text1"/>
                <w:sz w:val="20"/>
                <w:szCs w:val="20"/>
              </w:rPr>
              <w:t>Iebildums ņemts vērā.</w:t>
            </w:r>
          </w:p>
        </w:tc>
        <w:tc>
          <w:tcPr>
            <w:tcW w:w="1197" w:type="pct"/>
            <w:shd w:val="clear" w:color="auto" w:fill="auto"/>
          </w:tcPr>
          <w:p w:rsidRPr="00956ECD" w:rsidR="00956ECD" w:rsidP="00956ECD" w:rsidRDefault="00956ECD" w14:paraId="4B65888A" w14:textId="77777777">
            <w:pPr>
              <w:pStyle w:val="naisc"/>
              <w:spacing w:before="0" w:after="0"/>
              <w:jc w:val="both"/>
              <w:rPr>
                <w:b/>
                <w:color w:val="000000" w:themeColor="text1"/>
                <w:sz w:val="20"/>
                <w:szCs w:val="20"/>
              </w:rPr>
            </w:pPr>
            <w:r w:rsidRPr="00956ECD">
              <w:rPr>
                <w:b/>
                <w:color w:val="000000" w:themeColor="text1"/>
                <w:sz w:val="20"/>
                <w:szCs w:val="20"/>
              </w:rPr>
              <w:t>Tiesību akta nosaukums</w:t>
            </w:r>
          </w:p>
          <w:p w:rsidRPr="00C515C2" w:rsidR="00322AEE" w:rsidP="00956ECD" w:rsidRDefault="00956ECD" w14:paraId="529A5DD4" w14:textId="20237EAC">
            <w:pPr>
              <w:spacing w:after="120"/>
              <w:jc w:val="both"/>
              <w:rPr>
                <w:color w:val="000000" w:themeColor="text1"/>
                <w:sz w:val="20"/>
                <w:szCs w:val="20"/>
              </w:rPr>
            </w:pPr>
            <w:r>
              <w:rPr>
                <w:color w:val="000000" w:themeColor="text1"/>
                <w:sz w:val="20"/>
                <w:szCs w:val="20"/>
              </w:rPr>
              <w:t>“</w:t>
            </w:r>
            <w:r w:rsidRPr="00956ECD">
              <w:rPr>
                <w:color w:val="000000" w:themeColor="text1"/>
                <w:sz w:val="20"/>
                <w:szCs w:val="20"/>
              </w:rPr>
              <w:t>Nepieciešamā finansējuma apmēra aprēķināšanas un piešķiršanas kārtība pievienotās vērtības nodokļa summas, kas nav atgūstama kā priekšnodoklis, kompensācijai Igaunijai un Lietuvai AS “RB Rail” veikto aktivitāšu ietvaros</w:t>
            </w:r>
            <w:r>
              <w:rPr>
                <w:color w:val="000000" w:themeColor="text1"/>
                <w:sz w:val="20"/>
                <w:szCs w:val="20"/>
              </w:rPr>
              <w:t>”</w:t>
            </w:r>
          </w:p>
        </w:tc>
      </w:tr>
      <w:tr w:rsidRPr="001E5BBA" w:rsidR="00322AEE" w:rsidTr="00956ECD" w14:paraId="43612F0A" w14:textId="77777777">
        <w:trPr>
          <w:gridAfter w:val="1"/>
          <w:wAfter w:w="125" w:type="pct"/>
        </w:trPr>
        <w:tc>
          <w:tcPr>
            <w:tcW w:w="196" w:type="pct"/>
            <w:shd w:val="clear" w:color="auto" w:fill="auto"/>
          </w:tcPr>
          <w:p w:rsidRPr="001E5BBA" w:rsidR="00322AEE" w:rsidP="00322AEE" w:rsidRDefault="00322AEE" w14:paraId="51A28439" w14:textId="5C253ABB">
            <w:pPr>
              <w:pStyle w:val="naisc"/>
              <w:spacing w:before="0" w:after="0"/>
              <w:rPr>
                <w:color w:val="000000" w:themeColor="text1"/>
                <w:sz w:val="20"/>
                <w:szCs w:val="20"/>
              </w:rPr>
            </w:pPr>
            <w:r>
              <w:rPr>
                <w:color w:val="000000" w:themeColor="text1"/>
              </w:rPr>
              <w:t>2.</w:t>
            </w:r>
          </w:p>
        </w:tc>
        <w:tc>
          <w:tcPr>
            <w:tcW w:w="1023" w:type="pct"/>
            <w:shd w:val="clear" w:color="auto" w:fill="auto"/>
          </w:tcPr>
          <w:p w:rsidR="00322AEE" w:rsidP="00956ECD" w:rsidRDefault="00956ECD" w14:paraId="62B76C40" w14:textId="6A5CE11D">
            <w:pPr>
              <w:pStyle w:val="naisc"/>
              <w:spacing w:before="0" w:after="0"/>
              <w:jc w:val="both"/>
              <w:rPr>
                <w:color w:val="000000" w:themeColor="text1"/>
                <w:sz w:val="20"/>
                <w:szCs w:val="20"/>
              </w:rPr>
            </w:pPr>
            <w:r w:rsidRPr="00956ECD">
              <w:rPr>
                <w:color w:val="000000" w:themeColor="text1"/>
                <w:sz w:val="20"/>
                <w:szCs w:val="20"/>
              </w:rPr>
              <w:t>1.</w:t>
            </w:r>
            <w:r w:rsidRPr="00956ECD">
              <w:rPr>
                <w:color w:val="000000" w:themeColor="text1"/>
                <w:sz w:val="20"/>
                <w:szCs w:val="20"/>
              </w:rPr>
              <w:tab/>
              <w:t xml:space="preserve">Noteikumi nosaka kārtību, kādā Eiropas infrastruktūras savienošanas </w:t>
            </w:r>
            <w:r w:rsidRPr="00956ECD">
              <w:rPr>
                <w:color w:val="000000" w:themeColor="text1"/>
                <w:sz w:val="20"/>
                <w:szCs w:val="20"/>
              </w:rPr>
              <w:lastRenderedPageBreak/>
              <w:t>instrumenta (turpmāk – EISI) finansētā Eiropas standarta platuma dzelzceļa projektā “Rail Baltica” (turpmāk – Projekts) aprēķina un piešķir nepieciešamo finansējumu pievienotās vērtības nodokļa (turpmāk tekstā – PVN) summas kompensācijai Igaunijas Republikai (turpmāk tekstā – Igaunija) un Lietuvas Republikai (turpmāk – Lietuva) akciju sabiedrības “RB Rail” Projekta aktivitāšu ietvaros, kuras ir noteiktas EISI finansēšanas līgumos un kuras vienlīdzīgās daļās līdzfinansē Latvijas Republika (turpmāk – Latvija), Igaunija un Lietuva.</w:t>
            </w:r>
          </w:p>
        </w:tc>
        <w:tc>
          <w:tcPr>
            <w:tcW w:w="1247" w:type="pct"/>
            <w:gridSpan w:val="2"/>
            <w:shd w:val="clear" w:color="auto" w:fill="auto"/>
          </w:tcPr>
          <w:p w:rsidRPr="0093737A" w:rsidR="00322AEE" w:rsidP="00322AEE" w:rsidRDefault="00956ECD" w14:paraId="31C0C285" w14:textId="5B912BEE">
            <w:pPr>
              <w:pStyle w:val="naisc"/>
              <w:spacing w:before="0" w:after="0"/>
              <w:jc w:val="both"/>
              <w:rPr>
                <w:sz w:val="20"/>
                <w:szCs w:val="20"/>
              </w:rPr>
            </w:pPr>
            <w:r w:rsidRPr="00956ECD">
              <w:rPr>
                <w:sz w:val="20"/>
                <w:szCs w:val="20"/>
              </w:rPr>
              <w:lastRenderedPageBreak/>
              <w:t xml:space="preserve">Lūdzam atkārtoti izvērtēt un precizēt projekta 1. punktu atbilstoši likuma “Par valsts budžetu 2020. gadam” (turpmāk - </w:t>
            </w:r>
            <w:r w:rsidRPr="00956ECD">
              <w:rPr>
                <w:sz w:val="20"/>
                <w:szCs w:val="20"/>
              </w:rPr>
              <w:lastRenderedPageBreak/>
              <w:t>likums) 55. panta pirmajā teikumā noteiktajam pilnvarojuma saturam Ministru kabinetam. Norādām, ka atbilstoši NAP noteikumu 100. punktam noteikumu projekta 1. punktā secīgi raksta vārdus „noteikumi nosaka” un likumā noteikto pilnvarojumu Ministru kabinetam.</w:t>
            </w:r>
          </w:p>
        </w:tc>
        <w:tc>
          <w:tcPr>
            <w:tcW w:w="1212" w:type="pct"/>
            <w:shd w:val="clear" w:color="auto" w:fill="auto"/>
          </w:tcPr>
          <w:p w:rsidRPr="0093737A" w:rsidR="00322AEE" w:rsidP="00663DDE" w:rsidRDefault="00956ECD" w14:paraId="4AF3380A" w14:textId="3A28D35F">
            <w:pPr>
              <w:pStyle w:val="naisc"/>
              <w:spacing w:before="0" w:after="0"/>
              <w:rPr>
                <w:sz w:val="20"/>
                <w:szCs w:val="20"/>
              </w:rPr>
            </w:pPr>
            <w:r>
              <w:rPr>
                <w:color w:val="000000" w:themeColor="text1"/>
                <w:sz w:val="20"/>
                <w:szCs w:val="20"/>
              </w:rPr>
              <w:lastRenderedPageBreak/>
              <w:t>Iebildums ņemts vērā.</w:t>
            </w:r>
          </w:p>
        </w:tc>
        <w:tc>
          <w:tcPr>
            <w:tcW w:w="1197" w:type="pct"/>
            <w:shd w:val="clear" w:color="auto" w:fill="auto"/>
          </w:tcPr>
          <w:p w:rsidR="00322AEE" w:rsidP="00956ECD" w:rsidRDefault="00956ECD" w14:paraId="6FB9BBA9" w14:textId="33A5AF45">
            <w:pPr>
              <w:jc w:val="both"/>
              <w:rPr>
                <w:color w:val="000000" w:themeColor="text1"/>
                <w:sz w:val="20"/>
                <w:szCs w:val="20"/>
              </w:rPr>
            </w:pPr>
            <w:r w:rsidRPr="00956ECD">
              <w:rPr>
                <w:color w:val="000000" w:themeColor="text1"/>
                <w:sz w:val="20"/>
                <w:szCs w:val="20"/>
              </w:rPr>
              <w:t>1.</w:t>
            </w:r>
            <w:r w:rsidRPr="00956ECD">
              <w:rPr>
                <w:color w:val="000000" w:themeColor="text1"/>
                <w:sz w:val="20"/>
                <w:szCs w:val="20"/>
              </w:rPr>
              <w:tab/>
              <w:t xml:space="preserve">Noteikumi nosaka kārtību, kādā aprēķina un piešķir nepieciešamā finansējuma apmēru pievienotās </w:t>
            </w:r>
            <w:r w:rsidRPr="00956ECD">
              <w:rPr>
                <w:color w:val="000000" w:themeColor="text1"/>
                <w:sz w:val="20"/>
                <w:szCs w:val="20"/>
              </w:rPr>
              <w:lastRenderedPageBreak/>
              <w:t>vērtības nodokļa summas (turpmāk – PVN), kas nav atgūstama kā priekšnodoklis, kompensācijai Igaunijai un Lietuvai AS “RB Rail” veikto aktivitāšu ietvaros.</w:t>
            </w:r>
          </w:p>
        </w:tc>
      </w:tr>
      <w:tr w:rsidRPr="001E5BBA" w:rsidR="00956ECD" w:rsidTr="00956ECD" w14:paraId="256FDE4C" w14:textId="77777777">
        <w:trPr>
          <w:gridAfter w:val="1"/>
          <w:wAfter w:w="125" w:type="pct"/>
        </w:trPr>
        <w:tc>
          <w:tcPr>
            <w:tcW w:w="196" w:type="pct"/>
            <w:shd w:val="clear" w:color="auto" w:fill="auto"/>
          </w:tcPr>
          <w:p w:rsidR="00956ECD" w:rsidP="00322AEE" w:rsidRDefault="00956ECD" w14:paraId="0F89E398" w14:textId="01C11BBD">
            <w:pPr>
              <w:pStyle w:val="naisc"/>
              <w:spacing w:before="0" w:after="0"/>
              <w:rPr>
                <w:color w:val="000000" w:themeColor="text1"/>
              </w:rPr>
            </w:pPr>
            <w:r>
              <w:rPr>
                <w:color w:val="000000" w:themeColor="text1"/>
              </w:rPr>
              <w:lastRenderedPageBreak/>
              <w:t>3.</w:t>
            </w:r>
          </w:p>
        </w:tc>
        <w:tc>
          <w:tcPr>
            <w:tcW w:w="1023" w:type="pct"/>
            <w:shd w:val="clear" w:color="auto" w:fill="auto"/>
          </w:tcPr>
          <w:p w:rsidR="00956ECD" w:rsidP="00322AEE" w:rsidRDefault="003C5691" w14:paraId="37ED00FB" w14:textId="59EFF83C">
            <w:pPr>
              <w:pStyle w:val="naisc"/>
              <w:spacing w:before="0" w:after="0"/>
              <w:jc w:val="left"/>
              <w:rPr>
                <w:color w:val="000000" w:themeColor="text1"/>
                <w:sz w:val="20"/>
                <w:szCs w:val="20"/>
              </w:rPr>
            </w:pPr>
            <w:r>
              <w:rPr>
                <w:color w:val="000000" w:themeColor="text1"/>
                <w:sz w:val="20"/>
                <w:szCs w:val="20"/>
              </w:rPr>
              <w:t xml:space="preserve">Noteikumu </w:t>
            </w:r>
            <w:r w:rsidR="00956ECD">
              <w:rPr>
                <w:color w:val="000000" w:themeColor="text1"/>
                <w:sz w:val="20"/>
                <w:szCs w:val="20"/>
              </w:rPr>
              <w:t>projekts.</w:t>
            </w:r>
          </w:p>
        </w:tc>
        <w:tc>
          <w:tcPr>
            <w:tcW w:w="1247" w:type="pct"/>
            <w:gridSpan w:val="2"/>
            <w:shd w:val="clear" w:color="auto" w:fill="auto"/>
          </w:tcPr>
          <w:p w:rsidRPr="0093737A" w:rsidR="00956ECD" w:rsidP="00322AEE" w:rsidRDefault="00956ECD" w14:paraId="1A4B70F5" w14:textId="3B817CF4">
            <w:pPr>
              <w:pStyle w:val="naisc"/>
              <w:spacing w:before="0" w:after="0"/>
              <w:jc w:val="both"/>
              <w:rPr>
                <w:sz w:val="20"/>
                <w:szCs w:val="20"/>
              </w:rPr>
            </w:pPr>
            <w:r w:rsidRPr="00956ECD">
              <w:rPr>
                <w:sz w:val="20"/>
                <w:szCs w:val="20"/>
              </w:rPr>
              <w:t>Tostarp lūdzam arī projekta 1. punktā un projekta nosaukumā lietot likumā izmantotos jēdzienus, kā “Igaunija”, “Lietuva”, projekta 1. punktā neveidojot valstu nosaukumu saīsinājumus, kā arī projekta tekstā aizstāt nosaukumu “akciju sabiedrība “RB Rail”” ar likumā un projekta nosaukumā lietoto nosaukumu “AS “RB Rail””.</w:t>
            </w:r>
          </w:p>
        </w:tc>
        <w:tc>
          <w:tcPr>
            <w:tcW w:w="1212" w:type="pct"/>
            <w:shd w:val="clear" w:color="auto" w:fill="auto"/>
          </w:tcPr>
          <w:p w:rsidRPr="0093737A" w:rsidR="00956ECD" w:rsidP="00663DDE" w:rsidRDefault="00956ECD" w14:paraId="5B391D53" w14:textId="284CCF9D">
            <w:pPr>
              <w:pStyle w:val="naisc"/>
              <w:spacing w:before="0" w:after="0"/>
              <w:rPr>
                <w:sz w:val="20"/>
                <w:szCs w:val="20"/>
              </w:rPr>
            </w:pPr>
            <w:r>
              <w:rPr>
                <w:color w:val="000000" w:themeColor="text1"/>
                <w:sz w:val="20"/>
                <w:szCs w:val="20"/>
              </w:rPr>
              <w:t>Iebildums ņemts vērā.</w:t>
            </w:r>
          </w:p>
        </w:tc>
        <w:tc>
          <w:tcPr>
            <w:tcW w:w="1197" w:type="pct"/>
            <w:shd w:val="clear" w:color="auto" w:fill="auto"/>
          </w:tcPr>
          <w:p w:rsidR="00956ECD" w:rsidP="00956ECD" w:rsidRDefault="00956ECD" w14:paraId="3926ED71" w14:textId="7A63BD60">
            <w:pPr>
              <w:jc w:val="both"/>
              <w:rPr>
                <w:color w:val="000000" w:themeColor="text1"/>
                <w:sz w:val="20"/>
                <w:szCs w:val="20"/>
              </w:rPr>
            </w:pPr>
            <w:r>
              <w:rPr>
                <w:color w:val="000000" w:themeColor="text1"/>
                <w:sz w:val="20"/>
                <w:szCs w:val="20"/>
              </w:rPr>
              <w:t>Valstu nosaukumi un AS “RB Rail” nosaukums precizēts atbilstoši likuma deleģējuma terminoloģijai.</w:t>
            </w:r>
          </w:p>
        </w:tc>
      </w:tr>
      <w:tr w:rsidRPr="001E5BBA" w:rsidR="00956ECD" w:rsidTr="00956ECD" w14:paraId="1319C261" w14:textId="77777777">
        <w:trPr>
          <w:gridAfter w:val="1"/>
          <w:wAfter w:w="125" w:type="pct"/>
        </w:trPr>
        <w:tc>
          <w:tcPr>
            <w:tcW w:w="196" w:type="pct"/>
            <w:shd w:val="clear" w:color="auto" w:fill="auto"/>
          </w:tcPr>
          <w:p w:rsidR="00956ECD" w:rsidP="00322AEE" w:rsidRDefault="00956ECD" w14:paraId="47B3D5A5" w14:textId="42F1C890">
            <w:pPr>
              <w:pStyle w:val="naisc"/>
              <w:spacing w:before="0" w:after="0"/>
              <w:rPr>
                <w:color w:val="000000" w:themeColor="text1"/>
              </w:rPr>
            </w:pPr>
            <w:r>
              <w:rPr>
                <w:color w:val="000000" w:themeColor="text1"/>
              </w:rPr>
              <w:t>4.</w:t>
            </w:r>
          </w:p>
        </w:tc>
        <w:tc>
          <w:tcPr>
            <w:tcW w:w="1023" w:type="pct"/>
            <w:shd w:val="clear" w:color="auto" w:fill="auto"/>
          </w:tcPr>
          <w:p w:rsidR="00956ECD" w:rsidP="00F443CF" w:rsidRDefault="00956ECD" w14:paraId="5917F168" w14:textId="33AA1555">
            <w:pPr>
              <w:pStyle w:val="naisc"/>
              <w:spacing w:before="0" w:after="0"/>
              <w:jc w:val="both"/>
              <w:rPr>
                <w:color w:val="000000" w:themeColor="text1"/>
                <w:sz w:val="20"/>
                <w:szCs w:val="20"/>
              </w:rPr>
            </w:pPr>
            <w:r w:rsidRPr="00956ECD">
              <w:rPr>
                <w:color w:val="000000" w:themeColor="text1"/>
                <w:sz w:val="20"/>
                <w:szCs w:val="20"/>
              </w:rPr>
              <w:t>2.</w:t>
            </w:r>
            <w:r w:rsidRPr="00956ECD">
              <w:rPr>
                <w:color w:val="000000" w:themeColor="text1"/>
                <w:sz w:val="20"/>
                <w:szCs w:val="20"/>
              </w:rPr>
              <w:tab/>
              <w:t xml:space="preserve">Igaunijai un Lietuvai no Latvijas valsts budžeta kompensē PVN summu, ko šo noteikumu 1.punktā noteikto Projekta aktivitāšu ietvaros akciju sabiedrība “RB Rail” ir samaksājusi Valsts ieņēmumu dienesta (turpmāk – VID) PVN maksātāju reģistrā reģistrētam nodokļu maksātājam par preču piegādēm un pakalpojumiem un </w:t>
            </w:r>
            <w:r w:rsidRPr="00956ECD">
              <w:rPr>
                <w:color w:val="000000" w:themeColor="text1"/>
                <w:sz w:val="20"/>
                <w:szCs w:val="20"/>
              </w:rPr>
              <w:lastRenderedPageBreak/>
              <w:t>kas nav atgūstama kā priekšnodoklis.</w:t>
            </w:r>
          </w:p>
        </w:tc>
        <w:tc>
          <w:tcPr>
            <w:tcW w:w="1247" w:type="pct"/>
            <w:gridSpan w:val="2"/>
            <w:shd w:val="clear" w:color="auto" w:fill="auto"/>
          </w:tcPr>
          <w:p w:rsidRPr="0093737A" w:rsidR="00956ECD" w:rsidP="00322AEE" w:rsidRDefault="00956ECD" w14:paraId="06951427" w14:textId="56D35E5B">
            <w:pPr>
              <w:pStyle w:val="naisc"/>
              <w:spacing w:before="0" w:after="0"/>
              <w:jc w:val="both"/>
              <w:rPr>
                <w:sz w:val="20"/>
                <w:szCs w:val="20"/>
              </w:rPr>
            </w:pPr>
            <w:r w:rsidRPr="00956ECD">
              <w:rPr>
                <w:sz w:val="20"/>
                <w:szCs w:val="20"/>
              </w:rPr>
              <w:lastRenderedPageBreak/>
              <w:t>Papildus norādām, ka nosacījumus, kas ietverti projekta 1. punktā, bet tieši neatbilst likuma deleģējumam, var ietvert projekta citos punktos, ja minētie nosacījumi izriet no likumā noteiktā pilnvarojuma.</w:t>
            </w:r>
          </w:p>
        </w:tc>
        <w:tc>
          <w:tcPr>
            <w:tcW w:w="1212" w:type="pct"/>
            <w:shd w:val="clear" w:color="auto" w:fill="auto"/>
          </w:tcPr>
          <w:p w:rsidRPr="0093737A" w:rsidR="00956ECD" w:rsidP="00F443CF" w:rsidRDefault="00F443CF" w14:paraId="2032C8D4" w14:textId="4854858E">
            <w:pPr>
              <w:pStyle w:val="naisc"/>
              <w:spacing w:before="0" w:after="0"/>
              <w:rPr>
                <w:sz w:val="20"/>
                <w:szCs w:val="20"/>
              </w:rPr>
            </w:pPr>
            <w:r w:rsidRPr="00F443CF">
              <w:rPr>
                <w:sz w:val="20"/>
                <w:szCs w:val="20"/>
              </w:rPr>
              <w:t>Iebildums ņemts vērā.</w:t>
            </w:r>
          </w:p>
        </w:tc>
        <w:tc>
          <w:tcPr>
            <w:tcW w:w="1197" w:type="pct"/>
            <w:shd w:val="clear" w:color="auto" w:fill="auto"/>
          </w:tcPr>
          <w:p w:rsidR="00283EF7" w:rsidP="00956ECD" w:rsidRDefault="00F443CF" w14:paraId="0B44BB1B" w14:textId="77777777">
            <w:pPr>
              <w:jc w:val="both"/>
              <w:rPr>
                <w:sz w:val="20"/>
                <w:szCs w:val="20"/>
              </w:rPr>
            </w:pPr>
            <w:r>
              <w:rPr>
                <w:sz w:val="20"/>
                <w:szCs w:val="20"/>
              </w:rPr>
              <w:t xml:space="preserve">Līdz ar </w:t>
            </w:r>
            <w:r w:rsidR="00283EF7">
              <w:rPr>
                <w:sz w:val="20"/>
                <w:szCs w:val="20"/>
              </w:rPr>
              <w:t xml:space="preserve">noteikumu projekta </w:t>
            </w:r>
            <w:r>
              <w:rPr>
                <w:sz w:val="20"/>
                <w:szCs w:val="20"/>
              </w:rPr>
              <w:t>1.punkta precizēšanu, precizēts</w:t>
            </w:r>
            <w:r w:rsidR="00283EF7">
              <w:rPr>
                <w:sz w:val="20"/>
                <w:szCs w:val="20"/>
              </w:rPr>
              <w:t xml:space="preserve"> noteikumu projekta </w:t>
            </w:r>
            <w:r>
              <w:rPr>
                <w:sz w:val="20"/>
                <w:szCs w:val="20"/>
              </w:rPr>
              <w:t xml:space="preserve"> 2.punkts</w:t>
            </w:r>
            <w:r w:rsidR="00283EF7">
              <w:rPr>
                <w:sz w:val="20"/>
                <w:szCs w:val="20"/>
              </w:rPr>
              <w:t>:</w:t>
            </w:r>
          </w:p>
          <w:p w:rsidR="00956ECD" w:rsidP="00956ECD" w:rsidRDefault="00956ECD" w14:paraId="574F2A61" w14:textId="68A489BB">
            <w:pPr>
              <w:jc w:val="both"/>
              <w:rPr>
                <w:color w:val="000000" w:themeColor="text1"/>
                <w:sz w:val="20"/>
                <w:szCs w:val="20"/>
              </w:rPr>
            </w:pPr>
            <w:r w:rsidRPr="00956ECD">
              <w:rPr>
                <w:color w:val="000000" w:themeColor="text1"/>
                <w:sz w:val="20"/>
                <w:szCs w:val="20"/>
              </w:rPr>
              <w:t>2.</w:t>
            </w:r>
            <w:r w:rsidRPr="00956ECD">
              <w:rPr>
                <w:color w:val="000000" w:themeColor="text1"/>
                <w:sz w:val="20"/>
                <w:szCs w:val="20"/>
              </w:rPr>
              <w:tab/>
              <w:t xml:space="preserve">Igaunijai un Lietuvai kompensē PVN summu, ko AS “RB Rail”, īstenojot Eiropas infrastruktūras savienošanas instrumenta (turpmāk – EISI) finansētā Eiropas standarta platuma dzelzceļa projekta “Rail Baltica” aktivitātes, kuras ir noteiktas EISI finansēšanas līgumos un kuras </w:t>
            </w:r>
            <w:r w:rsidRPr="00956ECD">
              <w:rPr>
                <w:color w:val="000000" w:themeColor="text1"/>
                <w:sz w:val="20"/>
                <w:szCs w:val="20"/>
              </w:rPr>
              <w:lastRenderedPageBreak/>
              <w:t>vienlīdzīgās daļās līdzfinansē Latvija, Igaunija un Lietuva, ir faktiski samaksājusi Valsts ieņēmumu dienesta PVN maksātāju reģistrā reģistrētam nodokļu maksātājam par preču piegādēm un pakalpojumiem.</w:t>
            </w:r>
          </w:p>
        </w:tc>
      </w:tr>
      <w:tr w:rsidRPr="001E5BBA" w:rsidR="00956ECD" w:rsidTr="00956ECD" w14:paraId="39331A1B" w14:textId="77777777">
        <w:trPr>
          <w:gridAfter w:val="1"/>
          <w:wAfter w:w="125" w:type="pct"/>
        </w:trPr>
        <w:tc>
          <w:tcPr>
            <w:tcW w:w="196" w:type="pct"/>
            <w:shd w:val="clear" w:color="auto" w:fill="auto"/>
          </w:tcPr>
          <w:p w:rsidR="00956ECD" w:rsidP="00322AEE" w:rsidRDefault="00956ECD" w14:paraId="669456CC" w14:textId="67F6A6F5">
            <w:pPr>
              <w:pStyle w:val="naisc"/>
              <w:spacing w:before="0" w:after="0"/>
              <w:rPr>
                <w:color w:val="000000" w:themeColor="text1"/>
              </w:rPr>
            </w:pPr>
            <w:r>
              <w:rPr>
                <w:color w:val="000000" w:themeColor="text1"/>
              </w:rPr>
              <w:lastRenderedPageBreak/>
              <w:t>5.</w:t>
            </w:r>
          </w:p>
        </w:tc>
        <w:tc>
          <w:tcPr>
            <w:tcW w:w="1023" w:type="pct"/>
            <w:shd w:val="clear" w:color="auto" w:fill="auto"/>
          </w:tcPr>
          <w:p w:rsidR="00956ECD" w:rsidP="00956ECD" w:rsidRDefault="00956ECD" w14:paraId="63D2CF1C" w14:textId="7134C942">
            <w:pPr>
              <w:pStyle w:val="naisc"/>
              <w:spacing w:before="0" w:after="0"/>
              <w:jc w:val="both"/>
              <w:rPr>
                <w:color w:val="000000" w:themeColor="text1"/>
                <w:sz w:val="20"/>
                <w:szCs w:val="20"/>
              </w:rPr>
            </w:pPr>
            <w:r w:rsidRPr="00956ECD">
              <w:rPr>
                <w:color w:val="000000" w:themeColor="text1"/>
                <w:sz w:val="20"/>
                <w:szCs w:val="20"/>
              </w:rPr>
              <w:t>5.3.</w:t>
            </w:r>
            <w:r w:rsidRPr="00956ECD">
              <w:rPr>
                <w:color w:val="000000" w:themeColor="text1"/>
                <w:sz w:val="20"/>
                <w:szCs w:val="20"/>
              </w:rPr>
              <w:tab/>
              <w:t>kredītiestādes interneta bankas maksājumu uzdevumu pārskatu vai pieņemšanas-nodošanas aktus, kas apliecina, ka 4.2.apakšpunktā minētie nodokļa rēķini ir samaksāti, iesniedzot oriģinālus vai normatīvajos aktos noteiktajā kārtībā apliecinātas kopijas.</w:t>
            </w:r>
          </w:p>
        </w:tc>
        <w:tc>
          <w:tcPr>
            <w:tcW w:w="1247" w:type="pct"/>
            <w:gridSpan w:val="2"/>
            <w:shd w:val="clear" w:color="auto" w:fill="auto"/>
          </w:tcPr>
          <w:p w:rsidRPr="0093737A" w:rsidR="00956ECD" w:rsidP="00322AEE" w:rsidRDefault="00956ECD" w14:paraId="296060CE" w14:textId="43EA7C55">
            <w:pPr>
              <w:pStyle w:val="naisc"/>
              <w:spacing w:before="0" w:after="0"/>
              <w:jc w:val="both"/>
              <w:rPr>
                <w:sz w:val="20"/>
                <w:szCs w:val="20"/>
              </w:rPr>
            </w:pPr>
            <w:r w:rsidRPr="00956ECD">
              <w:rPr>
                <w:sz w:val="20"/>
                <w:szCs w:val="20"/>
              </w:rPr>
              <w:t>Lūdzam precizēt projekta 5.3. apakšpunktā iekļauto atsauci uz normatīvajiem aktiem, norādot atsauci uz normatīvajiem aktiem noteiktā jomā atbilstoši NAP noteikumu 137. punktam.</w:t>
            </w:r>
          </w:p>
        </w:tc>
        <w:tc>
          <w:tcPr>
            <w:tcW w:w="1212" w:type="pct"/>
            <w:shd w:val="clear" w:color="auto" w:fill="auto"/>
          </w:tcPr>
          <w:p w:rsidRPr="0093737A" w:rsidR="00956ECD" w:rsidP="004634A4" w:rsidRDefault="00956ECD" w14:paraId="716E8D6F" w14:textId="0F8EF729">
            <w:pPr>
              <w:pStyle w:val="naisc"/>
              <w:spacing w:before="0" w:after="0"/>
              <w:rPr>
                <w:sz w:val="20"/>
                <w:szCs w:val="20"/>
              </w:rPr>
            </w:pPr>
            <w:r w:rsidRPr="00956ECD">
              <w:rPr>
                <w:sz w:val="20"/>
                <w:szCs w:val="20"/>
              </w:rPr>
              <w:t>Iebildums ņemts vērā.</w:t>
            </w:r>
          </w:p>
        </w:tc>
        <w:tc>
          <w:tcPr>
            <w:tcW w:w="1197" w:type="pct"/>
            <w:shd w:val="clear" w:color="auto" w:fill="auto"/>
          </w:tcPr>
          <w:p w:rsidRPr="004634A4" w:rsidR="00956ECD" w:rsidP="00956ECD" w:rsidRDefault="00956ECD" w14:paraId="3934C9EB" w14:textId="7F6521FF">
            <w:pPr>
              <w:jc w:val="both"/>
              <w:rPr>
                <w:color w:val="000000" w:themeColor="text1"/>
                <w:sz w:val="20"/>
                <w:szCs w:val="20"/>
              </w:rPr>
            </w:pPr>
            <w:r w:rsidRPr="004634A4">
              <w:rPr>
                <w:color w:val="000000" w:themeColor="text1"/>
                <w:sz w:val="20"/>
                <w:szCs w:val="20"/>
              </w:rPr>
              <w:t>5.3.</w:t>
            </w:r>
            <w:r w:rsidRPr="004634A4">
              <w:rPr>
                <w:color w:val="000000" w:themeColor="text1"/>
                <w:sz w:val="20"/>
                <w:szCs w:val="20"/>
              </w:rPr>
              <w:tab/>
              <w:t>kredītiestādes interneta bankas maksājumu uzdevumu pārskatu vai pieņemšanas-nodošanas aktus, kas apliecina, ka 5.2.apakšpunktā minētie nodokļa rēķini ir samaksāti, iesniedzot oriģinālus vai normatīvajos aktos, kas nosaka dokumentu izstrādāšanas un noformēšanas prasības, noteiktajā kārtībā apliecinātas kopijas.</w:t>
            </w:r>
          </w:p>
        </w:tc>
      </w:tr>
      <w:tr w:rsidRPr="001E5BBA" w:rsidR="00956ECD" w:rsidTr="00956ECD" w14:paraId="19051F90" w14:textId="77777777">
        <w:trPr>
          <w:gridAfter w:val="1"/>
          <w:wAfter w:w="125" w:type="pct"/>
        </w:trPr>
        <w:tc>
          <w:tcPr>
            <w:tcW w:w="196" w:type="pct"/>
            <w:shd w:val="clear" w:color="auto" w:fill="auto"/>
          </w:tcPr>
          <w:p w:rsidR="00956ECD" w:rsidP="00322AEE" w:rsidRDefault="00956ECD" w14:paraId="266F5016" w14:textId="7EBA4431">
            <w:pPr>
              <w:pStyle w:val="naisc"/>
              <w:spacing w:before="0" w:after="0"/>
              <w:rPr>
                <w:color w:val="000000" w:themeColor="text1"/>
              </w:rPr>
            </w:pPr>
            <w:r>
              <w:rPr>
                <w:color w:val="000000" w:themeColor="text1"/>
              </w:rPr>
              <w:t>6.</w:t>
            </w:r>
          </w:p>
        </w:tc>
        <w:tc>
          <w:tcPr>
            <w:tcW w:w="1023" w:type="pct"/>
            <w:shd w:val="clear" w:color="auto" w:fill="auto"/>
          </w:tcPr>
          <w:p w:rsidR="00956ECD" w:rsidP="00956ECD" w:rsidRDefault="00956ECD" w14:paraId="1760134B" w14:textId="3D1CA362">
            <w:pPr>
              <w:pStyle w:val="naisc"/>
              <w:spacing w:before="0" w:after="0"/>
              <w:jc w:val="both"/>
              <w:rPr>
                <w:color w:val="000000" w:themeColor="text1"/>
                <w:sz w:val="20"/>
                <w:szCs w:val="20"/>
              </w:rPr>
            </w:pPr>
            <w:r w:rsidRPr="00956ECD">
              <w:rPr>
                <w:color w:val="000000" w:themeColor="text1"/>
                <w:sz w:val="20"/>
                <w:szCs w:val="20"/>
              </w:rPr>
              <w:t>8.</w:t>
            </w:r>
            <w:r w:rsidRPr="00956ECD">
              <w:rPr>
                <w:color w:val="000000" w:themeColor="text1"/>
                <w:sz w:val="20"/>
                <w:szCs w:val="20"/>
              </w:rPr>
              <w:tab/>
            </w:r>
            <w:r w:rsidRPr="00EB03F2" w:rsidR="00EB03F2">
              <w:rPr>
                <w:color w:val="000000" w:themeColor="text1"/>
                <w:sz w:val="20"/>
                <w:szCs w:val="20"/>
              </w:rPr>
              <w:t>Satiksmes ministrija valsts budžeta apropriācijas palielināšanai Satiksmes ministrijai resursiem no dotācijas no vispārējiem ieņēmumiem normatīvajos aktos noteiktajā kārtībā sagatavo un iesniedz Ministru kabinetā tiesību akta projektu atbilstoši šiem noteikumiem aprēķinātās un Igaunijai un Lietuvai kompensējamās PVN summas kompensācijas izpildei.</w:t>
            </w:r>
          </w:p>
        </w:tc>
        <w:tc>
          <w:tcPr>
            <w:tcW w:w="1247" w:type="pct"/>
            <w:gridSpan w:val="2"/>
            <w:shd w:val="clear" w:color="auto" w:fill="auto"/>
          </w:tcPr>
          <w:p w:rsidRPr="0093737A" w:rsidR="00956ECD" w:rsidP="00322AEE" w:rsidRDefault="00956ECD" w14:paraId="5BD0D9AB" w14:textId="3E249385">
            <w:pPr>
              <w:pStyle w:val="naisc"/>
              <w:spacing w:before="0" w:after="0"/>
              <w:jc w:val="both"/>
              <w:rPr>
                <w:sz w:val="20"/>
                <w:szCs w:val="20"/>
              </w:rPr>
            </w:pPr>
            <w:r w:rsidRPr="00956ECD">
              <w:rPr>
                <w:sz w:val="20"/>
                <w:szCs w:val="20"/>
              </w:rPr>
              <w:t>Lūdzam atkārtoti izvērtēt projekta 8. punkta nepieciešamību un tā satura iespējamu dublēšanos ar likuma “Par valsts budžetu 2020. gadam” 55. panta otro teikumu. Vēršam uzmanību, ka atbilstoši NAP noteikumu 3.2. apakšpunktam normatīvā akta projektā neiekļauj normas, kas dublē augstāka spēka normatīvā akta tiesību normās ietverto normatīvo regulējumu. Nepieciešamības gadījumā lūdzam svītrot projekta 8. punktu, ja tas dublē, sašaurina vai paplašina likuma 55. panta otrajā teikumā noteikto.</w:t>
            </w:r>
          </w:p>
        </w:tc>
        <w:tc>
          <w:tcPr>
            <w:tcW w:w="1212" w:type="pct"/>
            <w:shd w:val="clear" w:color="auto" w:fill="auto"/>
          </w:tcPr>
          <w:p w:rsidRPr="0093737A" w:rsidR="00956ECD" w:rsidP="004634A4" w:rsidRDefault="009856CB" w14:paraId="763B6283" w14:textId="18629053">
            <w:pPr>
              <w:pStyle w:val="naisc"/>
              <w:spacing w:before="0" w:after="0"/>
              <w:rPr>
                <w:sz w:val="20"/>
                <w:szCs w:val="20"/>
              </w:rPr>
            </w:pPr>
            <w:r>
              <w:rPr>
                <w:sz w:val="20"/>
                <w:szCs w:val="20"/>
              </w:rPr>
              <w:t>Panākta vienošanās elektroniskās saskaņošanas laikā.</w:t>
            </w:r>
          </w:p>
        </w:tc>
        <w:tc>
          <w:tcPr>
            <w:tcW w:w="1197" w:type="pct"/>
            <w:shd w:val="clear" w:color="auto" w:fill="auto"/>
          </w:tcPr>
          <w:p w:rsidR="004634A4" w:rsidP="00EB03F2" w:rsidRDefault="004634A4" w14:paraId="6C49E809" w14:textId="77777777">
            <w:pPr>
              <w:jc w:val="both"/>
              <w:rPr>
                <w:sz w:val="20"/>
                <w:szCs w:val="20"/>
              </w:rPr>
            </w:pPr>
            <w:r>
              <w:rPr>
                <w:sz w:val="20"/>
                <w:szCs w:val="20"/>
              </w:rPr>
              <w:t>Redakcija precizēta atbilstoši Finanšu ministrijas iebildumam. Punkta svītrošana apgrūtinātu kopējā teksta uztveršanu.</w:t>
            </w:r>
          </w:p>
          <w:p w:rsidR="00956ECD" w:rsidP="00EB03F2" w:rsidRDefault="00EB03F2" w14:paraId="5F3F4349" w14:textId="00D45191">
            <w:pPr>
              <w:jc w:val="both"/>
              <w:rPr>
                <w:color w:val="000000" w:themeColor="text1"/>
                <w:sz w:val="20"/>
                <w:szCs w:val="20"/>
              </w:rPr>
            </w:pPr>
            <w:r w:rsidRPr="00EB03F2">
              <w:rPr>
                <w:color w:val="000000" w:themeColor="text1"/>
                <w:sz w:val="20"/>
                <w:szCs w:val="20"/>
              </w:rPr>
              <w:t>8.</w:t>
            </w:r>
            <w:r w:rsidRPr="00EB03F2">
              <w:rPr>
                <w:color w:val="000000" w:themeColor="text1"/>
                <w:sz w:val="20"/>
                <w:szCs w:val="20"/>
              </w:rPr>
              <w:tab/>
              <w:t>Satiksmes ministrija, lai izpildītu šo noteikumu 2.punktā noteikto, līdz 2020.gada 1.jūnijam, 1.septembrim un 1.decembrim normatīvajos aktos noteiktajā kārtībā sagatavo un iesniedz Ministru kabinetā tiesību akta projektu par apropriācijas palielināšanu Satiksmes ministrijai resursiem no dotācijas no vispārējiem ieņēmumiem par apmēru, kas noteikts saskaņā ar šo noteikumu II nodaļu.</w:t>
            </w:r>
          </w:p>
        </w:tc>
      </w:tr>
      <w:tr w:rsidRPr="001E5BBA" w:rsidR="00EB03F2" w:rsidTr="00EB03F2" w14:paraId="16AD7DB3" w14:textId="77777777">
        <w:trPr>
          <w:gridAfter w:val="1"/>
          <w:wAfter w:w="125" w:type="pct"/>
        </w:trPr>
        <w:tc>
          <w:tcPr>
            <w:tcW w:w="4875" w:type="pct"/>
            <w:gridSpan w:val="6"/>
            <w:shd w:val="clear" w:color="auto" w:fill="auto"/>
          </w:tcPr>
          <w:p w:rsidR="00EB03F2" w:rsidP="009856CB" w:rsidRDefault="00EB03F2" w14:paraId="258FBF60" w14:textId="72BE9598">
            <w:pPr>
              <w:jc w:val="center"/>
              <w:rPr>
                <w:color w:val="000000" w:themeColor="text1"/>
                <w:sz w:val="20"/>
                <w:szCs w:val="20"/>
              </w:rPr>
            </w:pPr>
            <w:r w:rsidRPr="009856CB">
              <w:rPr>
                <w:b/>
                <w:bCs/>
                <w:color w:val="000000" w:themeColor="text1"/>
                <w:sz w:val="28"/>
                <w:szCs w:val="28"/>
              </w:rPr>
              <w:t>Finanšu ministrija</w:t>
            </w:r>
            <w:r>
              <w:rPr>
                <w:color w:val="000000" w:themeColor="text1"/>
                <w:sz w:val="28"/>
                <w:szCs w:val="28"/>
              </w:rPr>
              <w:t xml:space="preserve"> (</w:t>
            </w:r>
            <w:r w:rsidRPr="00EB03F2">
              <w:rPr>
                <w:color w:val="000000" w:themeColor="text1"/>
                <w:sz w:val="28"/>
                <w:szCs w:val="28"/>
              </w:rPr>
              <w:t>17.03.2020</w:t>
            </w:r>
            <w:r w:rsidR="00CA5D2F">
              <w:rPr>
                <w:color w:val="000000" w:themeColor="text1"/>
                <w:sz w:val="28"/>
                <w:szCs w:val="28"/>
              </w:rPr>
              <w:t>.</w:t>
            </w:r>
            <w:bookmarkStart w:name="_GoBack" w:id="0"/>
            <w:bookmarkEnd w:id="0"/>
            <w:r>
              <w:rPr>
                <w:color w:val="000000" w:themeColor="text1"/>
                <w:sz w:val="28"/>
                <w:szCs w:val="28"/>
              </w:rPr>
              <w:t xml:space="preserve"> </w:t>
            </w:r>
            <w:r w:rsidRPr="00EB03F2">
              <w:rPr>
                <w:color w:val="000000" w:themeColor="text1"/>
                <w:sz w:val="28"/>
                <w:szCs w:val="28"/>
              </w:rPr>
              <w:t>Nr.12/A-7/1245</w:t>
            </w:r>
            <w:r>
              <w:rPr>
                <w:color w:val="000000" w:themeColor="text1"/>
                <w:sz w:val="28"/>
                <w:szCs w:val="28"/>
              </w:rPr>
              <w:t>)</w:t>
            </w:r>
          </w:p>
        </w:tc>
      </w:tr>
      <w:tr w:rsidRPr="001E5BBA" w:rsidR="00956ECD" w:rsidTr="00956ECD" w14:paraId="08DD4188" w14:textId="77777777">
        <w:trPr>
          <w:gridAfter w:val="1"/>
          <w:wAfter w:w="125" w:type="pct"/>
        </w:trPr>
        <w:tc>
          <w:tcPr>
            <w:tcW w:w="196" w:type="pct"/>
            <w:shd w:val="clear" w:color="auto" w:fill="auto"/>
          </w:tcPr>
          <w:p w:rsidR="00956ECD" w:rsidP="00322AEE" w:rsidRDefault="00EB03F2" w14:paraId="41172395" w14:textId="5397672C">
            <w:pPr>
              <w:pStyle w:val="naisc"/>
              <w:spacing w:before="0" w:after="0"/>
              <w:rPr>
                <w:color w:val="000000" w:themeColor="text1"/>
              </w:rPr>
            </w:pPr>
            <w:r>
              <w:rPr>
                <w:color w:val="000000" w:themeColor="text1"/>
              </w:rPr>
              <w:t>7.</w:t>
            </w:r>
          </w:p>
        </w:tc>
        <w:tc>
          <w:tcPr>
            <w:tcW w:w="1023" w:type="pct"/>
            <w:shd w:val="clear" w:color="auto" w:fill="auto"/>
          </w:tcPr>
          <w:p w:rsidR="00956ECD" w:rsidP="00EB03F2" w:rsidRDefault="00EB03F2" w14:paraId="2FBCD263" w14:textId="1D9954B2">
            <w:pPr>
              <w:pStyle w:val="naisc"/>
              <w:spacing w:before="0" w:after="0"/>
              <w:jc w:val="both"/>
              <w:rPr>
                <w:color w:val="000000" w:themeColor="text1"/>
                <w:sz w:val="20"/>
                <w:szCs w:val="20"/>
              </w:rPr>
            </w:pPr>
            <w:r w:rsidRPr="00EB03F2">
              <w:rPr>
                <w:color w:val="000000" w:themeColor="text1"/>
                <w:sz w:val="20"/>
                <w:szCs w:val="20"/>
              </w:rPr>
              <w:t>1.</w:t>
            </w:r>
            <w:r w:rsidRPr="00EB03F2">
              <w:rPr>
                <w:color w:val="000000" w:themeColor="text1"/>
                <w:sz w:val="20"/>
                <w:szCs w:val="20"/>
              </w:rPr>
              <w:tab/>
              <w:t xml:space="preserve">Noteikumi nosaka kārtību, kādā Eiropas infrastruktūras savienošanas instrumenta (turpmāk – EISI) </w:t>
            </w:r>
            <w:r w:rsidRPr="00EB03F2">
              <w:rPr>
                <w:color w:val="000000" w:themeColor="text1"/>
                <w:sz w:val="20"/>
                <w:szCs w:val="20"/>
              </w:rPr>
              <w:lastRenderedPageBreak/>
              <w:t>finansētā Eiropas standarta platuma dzelzceļa projektā “Rail Baltica” (turpmāk – Projekts) aprēķina un piešķir nepieciešamo finansējumu pievienotās vērtības nodokļa (turpmāk tekstā – PVN) summas kompensācijai Igaunijas Republikai (turpmāk tekstā – Igaunija) un Lietuvas Republikai (turpmāk – Lietuva) akciju sabiedrības “RB Rail” Projekta aktivitāšu ietvaros, kuras ir noteiktas EISI finansēšanas līgumos un kuras vienlīdzīgās daļās līdzfinansē Latvijas Republika (turpmāk – Latvija), Igaunija un Lietuva.</w:t>
            </w:r>
          </w:p>
        </w:tc>
        <w:tc>
          <w:tcPr>
            <w:tcW w:w="1247" w:type="pct"/>
            <w:gridSpan w:val="2"/>
            <w:shd w:val="clear" w:color="auto" w:fill="auto"/>
          </w:tcPr>
          <w:p w:rsidRPr="00EB03F2" w:rsidR="00EB03F2" w:rsidP="00EB03F2" w:rsidRDefault="00EB03F2" w14:paraId="2B795C18" w14:textId="77777777">
            <w:pPr>
              <w:pStyle w:val="naisc"/>
              <w:spacing w:before="0" w:after="0"/>
              <w:jc w:val="both"/>
              <w:rPr>
                <w:sz w:val="20"/>
                <w:szCs w:val="20"/>
              </w:rPr>
            </w:pPr>
            <w:r w:rsidRPr="00EB03F2">
              <w:rPr>
                <w:sz w:val="20"/>
                <w:szCs w:val="20"/>
              </w:rPr>
              <w:lastRenderedPageBreak/>
              <w:t xml:space="preserve">Lūdzam noteikumu projekta 1.punktu izteikt šādā redakcijā: </w:t>
            </w:r>
          </w:p>
          <w:p w:rsidRPr="0093737A" w:rsidR="00956ECD" w:rsidP="00EB03F2" w:rsidRDefault="00EB03F2" w14:paraId="79DFEFD6" w14:textId="69CED7D0">
            <w:pPr>
              <w:pStyle w:val="naisc"/>
              <w:spacing w:before="0" w:after="0"/>
              <w:jc w:val="both"/>
              <w:rPr>
                <w:sz w:val="20"/>
                <w:szCs w:val="20"/>
              </w:rPr>
            </w:pPr>
            <w:r w:rsidRPr="00EB03F2">
              <w:rPr>
                <w:sz w:val="20"/>
                <w:szCs w:val="20"/>
              </w:rPr>
              <w:t xml:space="preserve">“1. Noteikumi nosaka kārtību, kādā Eiropas infrastruktūras savienošanas </w:t>
            </w:r>
            <w:r w:rsidRPr="00EB03F2">
              <w:rPr>
                <w:sz w:val="20"/>
                <w:szCs w:val="20"/>
              </w:rPr>
              <w:lastRenderedPageBreak/>
              <w:t>instrumenta (turpmāk tekstā – EISI) finansētā Eiropas standarta platuma dzelzceļa projektā “Rail Baltica” aprēķina un piešķir nepieciešamo finansējumu pievienotās vērtības nodokļa (turpmāk tekstā – PVN) summas kompensācijai Igaunijas Republikai (turpmāk tekstā – Igaunija) un Lietuvas Republikai (turpmāk – Lietuva) par akciju sabiedrības “RB Rail” īstenotām aktivitātēm, kuras ir noteiktas EISI finansēšanas līgumos un kuras vienlīdzīgās daļās līdzfinansē Latvijas Republika, Igaunija un Lietuva.”</w:t>
            </w:r>
          </w:p>
        </w:tc>
        <w:tc>
          <w:tcPr>
            <w:tcW w:w="1212" w:type="pct"/>
            <w:shd w:val="clear" w:color="auto" w:fill="auto"/>
          </w:tcPr>
          <w:p w:rsidR="0036595F" w:rsidP="0036595F" w:rsidRDefault="00EB03F2" w14:paraId="65B33D49" w14:textId="4E945678">
            <w:pPr>
              <w:pStyle w:val="naisc"/>
              <w:spacing w:before="0" w:after="0"/>
              <w:rPr>
                <w:sz w:val="20"/>
                <w:szCs w:val="20"/>
              </w:rPr>
            </w:pPr>
            <w:r>
              <w:rPr>
                <w:sz w:val="20"/>
                <w:szCs w:val="20"/>
              </w:rPr>
              <w:lastRenderedPageBreak/>
              <w:t>Iebildums ņemts vērā.</w:t>
            </w:r>
          </w:p>
          <w:p w:rsidR="0036595F" w:rsidP="00322AEE" w:rsidRDefault="0036595F" w14:paraId="3097E762" w14:textId="77777777">
            <w:pPr>
              <w:pStyle w:val="naisc"/>
              <w:spacing w:before="0" w:after="0"/>
              <w:jc w:val="both"/>
              <w:rPr>
                <w:sz w:val="20"/>
                <w:szCs w:val="20"/>
              </w:rPr>
            </w:pPr>
          </w:p>
          <w:p w:rsidRPr="0093737A" w:rsidR="00956ECD" w:rsidP="00322AEE" w:rsidRDefault="00EB03F2" w14:paraId="1F00D6B6" w14:textId="28431561">
            <w:pPr>
              <w:pStyle w:val="naisc"/>
              <w:spacing w:before="0" w:after="0"/>
              <w:jc w:val="both"/>
              <w:rPr>
                <w:sz w:val="20"/>
                <w:szCs w:val="20"/>
              </w:rPr>
            </w:pPr>
            <w:r>
              <w:rPr>
                <w:sz w:val="20"/>
                <w:szCs w:val="20"/>
              </w:rPr>
              <w:t xml:space="preserve">Ņemot vērā Tieslietu ministrijas atzinumu, projekta 1. un 2.punkta </w:t>
            </w:r>
            <w:r>
              <w:rPr>
                <w:sz w:val="20"/>
                <w:szCs w:val="20"/>
              </w:rPr>
              <w:lastRenderedPageBreak/>
              <w:t xml:space="preserve">redakcijas precizētas atbilstoši Finanšu ministrijas un Tieslietu ministrijas iebildumiem par attiecīgajiem punktiem (skat. arī izziņas 2. un 4.punktu). </w:t>
            </w:r>
          </w:p>
        </w:tc>
        <w:tc>
          <w:tcPr>
            <w:tcW w:w="1197" w:type="pct"/>
            <w:shd w:val="clear" w:color="auto" w:fill="auto"/>
          </w:tcPr>
          <w:p w:rsidR="00956ECD" w:rsidP="00EB03F2" w:rsidRDefault="00EB03F2" w14:paraId="7E39C23B" w14:textId="445CB092">
            <w:pPr>
              <w:jc w:val="both"/>
              <w:rPr>
                <w:color w:val="000000" w:themeColor="text1"/>
                <w:sz w:val="20"/>
                <w:szCs w:val="20"/>
              </w:rPr>
            </w:pPr>
            <w:r w:rsidRPr="00EB03F2">
              <w:rPr>
                <w:color w:val="000000" w:themeColor="text1"/>
                <w:sz w:val="20"/>
                <w:szCs w:val="20"/>
              </w:rPr>
              <w:lastRenderedPageBreak/>
              <w:t>1.</w:t>
            </w:r>
            <w:r w:rsidRPr="00EB03F2">
              <w:rPr>
                <w:color w:val="000000" w:themeColor="text1"/>
                <w:sz w:val="20"/>
                <w:szCs w:val="20"/>
              </w:rPr>
              <w:tab/>
              <w:t xml:space="preserve">Noteikumi nosaka kārtību, kādā aprēķina un piešķir nepieciešamā finansējuma apmēru pievienotās vērtības nodokļa summas (turpmāk – </w:t>
            </w:r>
            <w:r w:rsidRPr="00EB03F2">
              <w:rPr>
                <w:color w:val="000000" w:themeColor="text1"/>
                <w:sz w:val="20"/>
                <w:szCs w:val="20"/>
              </w:rPr>
              <w:lastRenderedPageBreak/>
              <w:t>PVN), kas nav atgūstama kā priekšnodoklis, kompensācijai Igaunijai un Lietuvai AS “RB Rail” veikto aktivitāšu ietvaros.</w:t>
            </w:r>
          </w:p>
        </w:tc>
      </w:tr>
      <w:tr w:rsidRPr="001E5BBA" w:rsidR="00956ECD" w:rsidTr="00956ECD" w14:paraId="57B92651" w14:textId="77777777">
        <w:trPr>
          <w:gridAfter w:val="1"/>
          <w:wAfter w:w="125" w:type="pct"/>
        </w:trPr>
        <w:tc>
          <w:tcPr>
            <w:tcW w:w="196" w:type="pct"/>
            <w:shd w:val="clear" w:color="auto" w:fill="auto"/>
          </w:tcPr>
          <w:p w:rsidR="00956ECD" w:rsidP="00322AEE" w:rsidRDefault="00EB03F2" w14:paraId="2BA9A2F3" w14:textId="2A730BF2">
            <w:pPr>
              <w:pStyle w:val="naisc"/>
              <w:spacing w:before="0" w:after="0"/>
              <w:rPr>
                <w:color w:val="000000" w:themeColor="text1"/>
              </w:rPr>
            </w:pPr>
            <w:r>
              <w:rPr>
                <w:color w:val="000000" w:themeColor="text1"/>
              </w:rPr>
              <w:lastRenderedPageBreak/>
              <w:t>8.</w:t>
            </w:r>
          </w:p>
        </w:tc>
        <w:tc>
          <w:tcPr>
            <w:tcW w:w="1023" w:type="pct"/>
            <w:shd w:val="clear" w:color="auto" w:fill="auto"/>
          </w:tcPr>
          <w:p w:rsidR="00956ECD" w:rsidP="00EB03F2" w:rsidRDefault="00EB03F2" w14:paraId="25DCFEE0" w14:textId="6A35B5F2">
            <w:pPr>
              <w:pStyle w:val="naisc"/>
              <w:spacing w:before="0" w:after="0"/>
              <w:jc w:val="both"/>
              <w:rPr>
                <w:color w:val="000000" w:themeColor="text1"/>
                <w:sz w:val="20"/>
                <w:szCs w:val="20"/>
              </w:rPr>
            </w:pPr>
            <w:r w:rsidRPr="00EB03F2">
              <w:rPr>
                <w:color w:val="000000" w:themeColor="text1"/>
                <w:sz w:val="20"/>
                <w:szCs w:val="20"/>
              </w:rPr>
              <w:t>2.</w:t>
            </w:r>
            <w:r w:rsidRPr="00EB03F2">
              <w:rPr>
                <w:color w:val="000000" w:themeColor="text1"/>
                <w:sz w:val="20"/>
                <w:szCs w:val="20"/>
              </w:rPr>
              <w:tab/>
              <w:t>Igaunijai un Lietuvai no Latvijas valsts budžeta kompensē PVN summu, ko šo noteikumu 1.punktā noteikto Projekta aktivitāšu ietvaros akciju sabiedrība “RB Rail” ir samaksājusi Valsts ieņēmumu dienesta (turpmāk – VID) PVN maksātāju reģistrā reģistrētam nodokļu maksātājam par preču piegādēm un pakalpojumiem un kas nav atgūstama kā priekšnodoklis.</w:t>
            </w:r>
          </w:p>
        </w:tc>
        <w:tc>
          <w:tcPr>
            <w:tcW w:w="1247" w:type="pct"/>
            <w:gridSpan w:val="2"/>
            <w:shd w:val="clear" w:color="auto" w:fill="auto"/>
          </w:tcPr>
          <w:p w:rsidRPr="00EB03F2" w:rsidR="00EB03F2" w:rsidP="00EB03F2" w:rsidRDefault="00EB03F2" w14:paraId="0660F5DA" w14:textId="5CA1CD4D">
            <w:pPr>
              <w:pStyle w:val="naisc"/>
              <w:spacing w:before="0" w:after="0"/>
              <w:jc w:val="both"/>
              <w:rPr>
                <w:sz w:val="20"/>
                <w:szCs w:val="20"/>
              </w:rPr>
            </w:pPr>
            <w:r w:rsidRPr="00EB03F2">
              <w:rPr>
                <w:sz w:val="20"/>
                <w:szCs w:val="20"/>
              </w:rPr>
              <w:t xml:space="preserve">Lūdzam noteikumu projekta 2.punktu izteikt šādā redakcijā: </w:t>
            </w:r>
          </w:p>
          <w:p w:rsidRPr="0093737A" w:rsidR="00956ECD" w:rsidP="00EB03F2" w:rsidRDefault="00EB03F2" w14:paraId="2A2A8C80" w14:textId="50C4563B">
            <w:pPr>
              <w:pStyle w:val="naisc"/>
              <w:spacing w:before="0" w:after="0"/>
              <w:jc w:val="both"/>
              <w:rPr>
                <w:sz w:val="20"/>
                <w:szCs w:val="20"/>
              </w:rPr>
            </w:pPr>
            <w:r w:rsidRPr="00EB03F2">
              <w:rPr>
                <w:sz w:val="20"/>
                <w:szCs w:val="20"/>
              </w:rPr>
              <w:t>“2. Igaunijai un Lietuvai  kompensē PVN summu, ko šo noteikumu 1.punktā noteikto aktivitāšu ietvaros akciju sabiedrība “RB Rail” faktiski ir samaksājusi Valsts ieņēmumu dienesta PVN maksātāju reģistrā reģistrētam nodokļu maksātājam par preču piegādēm un pakalpojumiem un kas nav atgūstama kā priekšnodoklis.”</w:t>
            </w:r>
          </w:p>
        </w:tc>
        <w:tc>
          <w:tcPr>
            <w:tcW w:w="1212" w:type="pct"/>
            <w:shd w:val="clear" w:color="auto" w:fill="auto"/>
          </w:tcPr>
          <w:p w:rsidR="0036595F" w:rsidP="0036595F" w:rsidRDefault="00EB03F2" w14:paraId="69A4F254" w14:textId="5854331E">
            <w:pPr>
              <w:pStyle w:val="naisc"/>
              <w:spacing w:before="0" w:after="0"/>
              <w:rPr>
                <w:sz w:val="20"/>
                <w:szCs w:val="20"/>
              </w:rPr>
            </w:pPr>
            <w:r w:rsidRPr="00EB03F2">
              <w:rPr>
                <w:sz w:val="20"/>
                <w:szCs w:val="20"/>
              </w:rPr>
              <w:t>Iebildums ņemts vērā.</w:t>
            </w:r>
          </w:p>
          <w:p w:rsidR="0036595F" w:rsidP="00322AEE" w:rsidRDefault="0036595F" w14:paraId="05B0525B" w14:textId="77777777">
            <w:pPr>
              <w:pStyle w:val="naisc"/>
              <w:spacing w:before="0" w:after="0"/>
              <w:jc w:val="both"/>
              <w:rPr>
                <w:sz w:val="20"/>
                <w:szCs w:val="20"/>
              </w:rPr>
            </w:pPr>
          </w:p>
          <w:p w:rsidRPr="0093737A" w:rsidR="00956ECD" w:rsidP="00322AEE" w:rsidRDefault="00EB03F2" w14:paraId="3D5CDC06" w14:textId="77F178B3">
            <w:pPr>
              <w:pStyle w:val="naisc"/>
              <w:spacing w:before="0" w:after="0"/>
              <w:jc w:val="both"/>
              <w:rPr>
                <w:sz w:val="20"/>
                <w:szCs w:val="20"/>
              </w:rPr>
            </w:pPr>
            <w:r w:rsidRPr="00EB03F2">
              <w:rPr>
                <w:sz w:val="20"/>
                <w:szCs w:val="20"/>
              </w:rPr>
              <w:t>Ņemot vērā Tieslietu ministrijas atzinumu, projekta 1. un 2.punkta redakcijas precizētas atbilstoši Finanšu ministrijas un Tieslietu ministrijas iebildumiem par attiecīgajiem punktiem (skat. arī izziņas 2. un 4.punktu).</w:t>
            </w:r>
          </w:p>
        </w:tc>
        <w:tc>
          <w:tcPr>
            <w:tcW w:w="1197" w:type="pct"/>
            <w:shd w:val="clear" w:color="auto" w:fill="auto"/>
          </w:tcPr>
          <w:p w:rsidR="00956ECD" w:rsidP="00EB03F2" w:rsidRDefault="00EB03F2" w14:paraId="2E719DA2" w14:textId="05D46A08">
            <w:pPr>
              <w:jc w:val="both"/>
              <w:rPr>
                <w:color w:val="000000" w:themeColor="text1"/>
                <w:sz w:val="20"/>
                <w:szCs w:val="20"/>
              </w:rPr>
            </w:pPr>
            <w:r w:rsidRPr="00EB03F2">
              <w:rPr>
                <w:color w:val="000000" w:themeColor="text1"/>
                <w:sz w:val="20"/>
                <w:szCs w:val="20"/>
              </w:rPr>
              <w:t>2.</w:t>
            </w:r>
            <w:r w:rsidRPr="00EB03F2">
              <w:rPr>
                <w:color w:val="000000" w:themeColor="text1"/>
                <w:sz w:val="20"/>
                <w:szCs w:val="20"/>
              </w:rPr>
              <w:tab/>
              <w:t>Igaunijai un Lietuvai kompensē PVN summu, ko AS “RB Rail”, īstenojot Eiropas infrastruktūras savienošanas instrumenta (turpmāk – EISI) finansētā Eiropas standarta platuma dzelzceļa projekta “Rail Baltica” aktivitātes, kuras ir noteiktas EISI finansēšanas līgumos un kuras vienlīdzīgās daļās līdzfinansē Latvija, Igaunija un Lietuva, ir faktiski samaksājusi Valsts ieņēmumu dienesta PVN maksātāju reģistrā reģistrētam nodokļu maksātājam par preču piegādēm un pakalpojumiem.</w:t>
            </w:r>
          </w:p>
        </w:tc>
      </w:tr>
      <w:tr w:rsidRPr="001E5BBA" w:rsidR="00956ECD" w:rsidTr="00956ECD" w14:paraId="54642339" w14:textId="77777777">
        <w:trPr>
          <w:gridAfter w:val="1"/>
          <w:wAfter w:w="125" w:type="pct"/>
        </w:trPr>
        <w:tc>
          <w:tcPr>
            <w:tcW w:w="196" w:type="pct"/>
            <w:shd w:val="clear" w:color="auto" w:fill="auto"/>
          </w:tcPr>
          <w:p w:rsidR="00956ECD" w:rsidP="00322AEE" w:rsidRDefault="00EB03F2" w14:paraId="5AEB2E88" w14:textId="61E6A10D">
            <w:pPr>
              <w:pStyle w:val="naisc"/>
              <w:spacing w:before="0" w:after="0"/>
              <w:rPr>
                <w:color w:val="000000" w:themeColor="text1"/>
              </w:rPr>
            </w:pPr>
            <w:r>
              <w:rPr>
                <w:color w:val="000000" w:themeColor="text1"/>
              </w:rPr>
              <w:t>9.</w:t>
            </w:r>
          </w:p>
        </w:tc>
        <w:tc>
          <w:tcPr>
            <w:tcW w:w="1023" w:type="pct"/>
            <w:shd w:val="clear" w:color="auto" w:fill="auto"/>
          </w:tcPr>
          <w:p w:rsidR="00956ECD" w:rsidP="00EB03F2" w:rsidRDefault="00EB03F2" w14:paraId="0B65045B" w14:textId="759846E9">
            <w:pPr>
              <w:pStyle w:val="naisc"/>
              <w:spacing w:before="0" w:after="0"/>
              <w:jc w:val="both"/>
              <w:rPr>
                <w:color w:val="000000" w:themeColor="text1"/>
                <w:sz w:val="20"/>
                <w:szCs w:val="20"/>
              </w:rPr>
            </w:pPr>
            <w:r w:rsidRPr="00EB03F2">
              <w:rPr>
                <w:color w:val="000000" w:themeColor="text1"/>
                <w:sz w:val="20"/>
                <w:szCs w:val="20"/>
              </w:rPr>
              <w:t>3.</w:t>
            </w:r>
            <w:r w:rsidRPr="00EB03F2">
              <w:rPr>
                <w:color w:val="000000" w:themeColor="text1"/>
                <w:sz w:val="20"/>
                <w:szCs w:val="20"/>
              </w:rPr>
              <w:tab/>
              <w:t xml:space="preserve">Igaunijai un Lietuvai no papildus piešķirtiem Satiksmes ministrijas budžeta līdzekļiem kompensē akciju sabiedrības “RB Rail” faktiski samaksātu PVN summu, kuras  kompensēšanai tādejādi ir neitrāla ietekme uz </w:t>
            </w:r>
            <w:r w:rsidRPr="00EB03F2">
              <w:rPr>
                <w:color w:val="000000" w:themeColor="text1"/>
                <w:sz w:val="20"/>
                <w:szCs w:val="20"/>
              </w:rPr>
              <w:lastRenderedPageBreak/>
              <w:t>valsts budžetu, ja ir spēkā kārtība par PVN  kompensēšanu akciju sabiedrībai “RB Rail” par Igaunijā un Lietuvā veiktiem PVN maksājumiem šo noteikumu 1.punktā minēto aktivitāšu ietvaros.</w:t>
            </w:r>
          </w:p>
        </w:tc>
        <w:tc>
          <w:tcPr>
            <w:tcW w:w="1247" w:type="pct"/>
            <w:gridSpan w:val="2"/>
            <w:shd w:val="clear" w:color="auto" w:fill="auto"/>
          </w:tcPr>
          <w:p w:rsidRPr="00EB03F2" w:rsidR="00EB03F2" w:rsidP="00EB03F2" w:rsidRDefault="00EB03F2" w14:paraId="6B114952" w14:textId="7C8C8172">
            <w:pPr>
              <w:pStyle w:val="naisc"/>
              <w:spacing w:before="0" w:after="0"/>
              <w:jc w:val="both"/>
              <w:rPr>
                <w:sz w:val="20"/>
                <w:szCs w:val="20"/>
              </w:rPr>
            </w:pPr>
            <w:r w:rsidRPr="00EB03F2">
              <w:rPr>
                <w:sz w:val="20"/>
                <w:szCs w:val="20"/>
              </w:rPr>
              <w:lastRenderedPageBreak/>
              <w:t xml:space="preserve">Lūdzam noteikumu projekta 3.punktu izteikt šādā redakcijā: </w:t>
            </w:r>
          </w:p>
          <w:p w:rsidRPr="0093737A" w:rsidR="00956ECD" w:rsidP="00EB03F2" w:rsidRDefault="00EB03F2" w14:paraId="3D64CE95" w14:textId="1136B046">
            <w:pPr>
              <w:pStyle w:val="naisc"/>
              <w:spacing w:before="0" w:after="0"/>
              <w:jc w:val="both"/>
              <w:rPr>
                <w:sz w:val="20"/>
                <w:szCs w:val="20"/>
              </w:rPr>
            </w:pPr>
            <w:r w:rsidRPr="00EB03F2">
              <w:rPr>
                <w:sz w:val="20"/>
                <w:szCs w:val="20"/>
              </w:rPr>
              <w:t xml:space="preserve">“3. Šo noteikumu 2.punktā minēto kompensāciju veic, ja ir spēkā kārtība par PVN kompensēšanu akciju sabiedrībai “RB Rail” par Igaunijā un Lietuvā veiktiem PVN maksājumiem šo </w:t>
            </w:r>
            <w:r w:rsidRPr="00EB03F2">
              <w:rPr>
                <w:sz w:val="20"/>
                <w:szCs w:val="20"/>
              </w:rPr>
              <w:lastRenderedPageBreak/>
              <w:t>noteikumu 1.punktā minēto aktivitāšu ietvaros.”</w:t>
            </w:r>
          </w:p>
        </w:tc>
        <w:tc>
          <w:tcPr>
            <w:tcW w:w="1212" w:type="pct"/>
            <w:shd w:val="clear" w:color="auto" w:fill="auto"/>
          </w:tcPr>
          <w:p w:rsidRPr="0093737A" w:rsidR="00956ECD" w:rsidP="00EF4437" w:rsidRDefault="00EF4437" w14:paraId="5F55F475" w14:textId="1BF670ED">
            <w:pPr>
              <w:pStyle w:val="naisc"/>
              <w:spacing w:before="0" w:after="0"/>
              <w:rPr>
                <w:sz w:val="20"/>
                <w:szCs w:val="20"/>
              </w:rPr>
            </w:pPr>
            <w:r w:rsidRPr="00EF4437">
              <w:rPr>
                <w:sz w:val="20"/>
                <w:szCs w:val="20"/>
              </w:rPr>
              <w:lastRenderedPageBreak/>
              <w:t>Iebildums ņemts vērā.</w:t>
            </w:r>
          </w:p>
        </w:tc>
        <w:tc>
          <w:tcPr>
            <w:tcW w:w="1197" w:type="pct"/>
            <w:shd w:val="clear" w:color="auto" w:fill="auto"/>
          </w:tcPr>
          <w:p w:rsidR="00956ECD" w:rsidP="00EB03F2" w:rsidRDefault="00EB03F2" w14:paraId="7F900D88" w14:textId="2FCFA51C">
            <w:pPr>
              <w:jc w:val="both"/>
              <w:rPr>
                <w:color w:val="000000" w:themeColor="text1"/>
                <w:sz w:val="20"/>
                <w:szCs w:val="20"/>
              </w:rPr>
            </w:pPr>
            <w:r w:rsidRPr="00EB03F2">
              <w:rPr>
                <w:color w:val="000000" w:themeColor="text1"/>
                <w:sz w:val="20"/>
                <w:szCs w:val="20"/>
              </w:rPr>
              <w:t>3.</w:t>
            </w:r>
            <w:r w:rsidRPr="00EB03F2">
              <w:rPr>
                <w:color w:val="000000" w:themeColor="text1"/>
                <w:sz w:val="20"/>
                <w:szCs w:val="20"/>
              </w:rPr>
              <w:tab/>
              <w:t xml:space="preserve">Šo noteikumu 2.punktā minēto kompensāciju veic, ja ir spēkā kārtība par PVN  kompensēšanu </w:t>
            </w:r>
            <w:r w:rsidRPr="00020A86">
              <w:rPr>
                <w:color w:val="000000" w:themeColor="text1"/>
                <w:sz w:val="20"/>
                <w:szCs w:val="20"/>
              </w:rPr>
              <w:t>AS “RB Rail” par Igaunijā un Lietuvā veiktiem PVN maksājumiem šo noteikumu 2.punktā</w:t>
            </w:r>
            <w:r w:rsidRPr="00EB03F2">
              <w:rPr>
                <w:color w:val="000000" w:themeColor="text1"/>
                <w:sz w:val="20"/>
                <w:szCs w:val="20"/>
              </w:rPr>
              <w:t xml:space="preserve"> minēto aktivitāšu ietvaros.</w:t>
            </w:r>
          </w:p>
        </w:tc>
      </w:tr>
      <w:tr w:rsidRPr="001E5BBA" w:rsidR="00EB03F2" w:rsidTr="00956ECD" w14:paraId="387641AE" w14:textId="77777777">
        <w:trPr>
          <w:gridAfter w:val="1"/>
          <w:wAfter w:w="125" w:type="pct"/>
        </w:trPr>
        <w:tc>
          <w:tcPr>
            <w:tcW w:w="196" w:type="pct"/>
            <w:shd w:val="clear" w:color="auto" w:fill="auto"/>
          </w:tcPr>
          <w:p w:rsidR="00EB03F2" w:rsidP="00322AEE" w:rsidRDefault="00EB03F2" w14:paraId="77C81C77" w14:textId="791E248C">
            <w:pPr>
              <w:pStyle w:val="naisc"/>
              <w:spacing w:before="0" w:after="0"/>
              <w:rPr>
                <w:color w:val="000000" w:themeColor="text1"/>
              </w:rPr>
            </w:pPr>
            <w:r>
              <w:rPr>
                <w:color w:val="000000" w:themeColor="text1"/>
              </w:rPr>
              <w:t>10.</w:t>
            </w:r>
          </w:p>
        </w:tc>
        <w:tc>
          <w:tcPr>
            <w:tcW w:w="1023" w:type="pct"/>
            <w:shd w:val="clear" w:color="auto" w:fill="auto"/>
          </w:tcPr>
          <w:p w:rsidR="00EB03F2" w:rsidP="00EB03F2" w:rsidRDefault="00EB03F2" w14:paraId="52F8ECC0" w14:textId="1C99A5ED">
            <w:pPr>
              <w:pStyle w:val="naisc"/>
              <w:spacing w:before="0" w:after="0"/>
              <w:jc w:val="both"/>
              <w:rPr>
                <w:color w:val="000000" w:themeColor="text1"/>
                <w:sz w:val="20"/>
                <w:szCs w:val="20"/>
              </w:rPr>
            </w:pPr>
            <w:r w:rsidRPr="00EB03F2">
              <w:rPr>
                <w:color w:val="000000" w:themeColor="text1"/>
                <w:sz w:val="20"/>
                <w:szCs w:val="20"/>
              </w:rPr>
              <w:t>8.</w:t>
            </w:r>
            <w:r w:rsidRPr="00EB03F2">
              <w:rPr>
                <w:color w:val="000000" w:themeColor="text1"/>
                <w:sz w:val="20"/>
                <w:szCs w:val="20"/>
              </w:rPr>
              <w:tab/>
              <w:t>Satiksmes ministrija valsts budžeta apropriācijas palielināšanai Satiksmes ministrijai resursiem no dotācijas no vispārējiem ieņēmumiem normatīvajos aktos noteiktajā kārtībā sagatavo un iesniedz Ministru kabinetā tiesību akta projektu atbilstoši šiem noteikumiem aprēķinātās un Igaunijai un Lietuvai kompensējamās PVN summas kompensācijas izpildei.</w:t>
            </w:r>
          </w:p>
        </w:tc>
        <w:tc>
          <w:tcPr>
            <w:tcW w:w="1247" w:type="pct"/>
            <w:gridSpan w:val="2"/>
            <w:shd w:val="clear" w:color="auto" w:fill="auto"/>
          </w:tcPr>
          <w:p w:rsidRPr="00EB03F2" w:rsidR="00EB03F2" w:rsidP="00EB03F2" w:rsidRDefault="00EB03F2" w14:paraId="1B3B9762" w14:textId="5781E14C">
            <w:pPr>
              <w:pStyle w:val="naisc"/>
              <w:spacing w:before="0" w:after="0"/>
              <w:jc w:val="both"/>
              <w:rPr>
                <w:sz w:val="20"/>
                <w:szCs w:val="20"/>
              </w:rPr>
            </w:pPr>
            <w:r w:rsidRPr="00EB03F2">
              <w:rPr>
                <w:sz w:val="20"/>
                <w:szCs w:val="20"/>
              </w:rPr>
              <w:t>Lūdzam noteikumu projekta 8.punktu izteikt šādā redakcijā:</w:t>
            </w:r>
          </w:p>
          <w:p w:rsidRPr="0093737A" w:rsidR="00EB03F2" w:rsidP="00EB03F2" w:rsidRDefault="00EB03F2" w14:paraId="329F74C4" w14:textId="582B5501">
            <w:pPr>
              <w:pStyle w:val="naisc"/>
              <w:spacing w:before="0" w:after="0"/>
              <w:jc w:val="both"/>
              <w:rPr>
                <w:sz w:val="20"/>
                <w:szCs w:val="20"/>
              </w:rPr>
            </w:pPr>
            <w:r w:rsidRPr="00EB03F2">
              <w:rPr>
                <w:sz w:val="20"/>
                <w:szCs w:val="20"/>
              </w:rPr>
              <w:t>“8. Satiksmes ministrija, lai izpildītu šo noteikumu 2.punktā noteikto, līdz 2020.gada 1.jūnijam, 1.septembrim un 1.decembrim normatīvajos aktos noteiktajā kārtībā sagatavo un iesniedz Ministru kabinetā tiesību akta projektu par apropriācijas palielināšanu Satiksmes ministrijai resursiem no dotācijas no vispārējiem ieņēmumiem par apmēru, kas noteikts saskaņā ar šo noteikumu II nodaļu.”</w:t>
            </w:r>
          </w:p>
        </w:tc>
        <w:tc>
          <w:tcPr>
            <w:tcW w:w="1212" w:type="pct"/>
            <w:shd w:val="clear" w:color="auto" w:fill="auto"/>
          </w:tcPr>
          <w:p w:rsidRPr="0093737A" w:rsidR="00EB03F2" w:rsidP="00573EA4" w:rsidRDefault="00EB03F2" w14:paraId="2A4F5613" w14:textId="7F2849B8">
            <w:pPr>
              <w:pStyle w:val="naisc"/>
              <w:spacing w:before="0" w:after="0"/>
              <w:rPr>
                <w:sz w:val="20"/>
                <w:szCs w:val="20"/>
              </w:rPr>
            </w:pPr>
            <w:r w:rsidRPr="00EB03F2">
              <w:rPr>
                <w:sz w:val="20"/>
                <w:szCs w:val="20"/>
              </w:rPr>
              <w:t>Iebildums ņemts vērā</w:t>
            </w:r>
            <w:r>
              <w:rPr>
                <w:sz w:val="20"/>
                <w:szCs w:val="20"/>
              </w:rPr>
              <w:t>.</w:t>
            </w:r>
          </w:p>
        </w:tc>
        <w:tc>
          <w:tcPr>
            <w:tcW w:w="1197" w:type="pct"/>
            <w:shd w:val="clear" w:color="auto" w:fill="auto"/>
          </w:tcPr>
          <w:p w:rsidRPr="00EB03F2" w:rsidR="00EB03F2" w:rsidP="00EB03F2" w:rsidRDefault="00EB03F2" w14:paraId="40A5ECB2" w14:textId="19FB8B42">
            <w:pPr>
              <w:jc w:val="both"/>
              <w:rPr>
                <w:sz w:val="20"/>
                <w:szCs w:val="20"/>
              </w:rPr>
            </w:pPr>
            <w:r w:rsidRPr="00EB03F2">
              <w:rPr>
                <w:sz w:val="20"/>
                <w:szCs w:val="20"/>
              </w:rPr>
              <w:t>8.</w:t>
            </w:r>
            <w:r w:rsidRPr="00EB03F2">
              <w:rPr>
                <w:sz w:val="20"/>
                <w:szCs w:val="20"/>
              </w:rPr>
              <w:tab/>
              <w:t>Satiksmes ministrija, lai izpildītu šo noteikumu 2.punktā noteikto, līdz 2020.gada 1.jūnijam, 1.septembrim un 1.decembrim normatīvajos aktos noteiktajā kārtībā sagatavo un iesniedz Ministru kabinetā tiesību akta projektu par apropriācijas palielināšanu Satiksmes ministrijai resursiem no dotācijas no vispārējiem ieņēmumiem par apmēru, kas noteikts saskaņā ar šo noteikumu II nodaļu.</w:t>
            </w:r>
          </w:p>
        </w:tc>
      </w:tr>
      <w:tr w:rsidRPr="001E5BBA" w:rsidR="00EB03F2" w:rsidTr="00956ECD" w14:paraId="75212559" w14:textId="77777777">
        <w:trPr>
          <w:gridAfter w:val="1"/>
          <w:wAfter w:w="125" w:type="pct"/>
        </w:trPr>
        <w:tc>
          <w:tcPr>
            <w:tcW w:w="196" w:type="pct"/>
            <w:shd w:val="clear" w:color="auto" w:fill="auto"/>
          </w:tcPr>
          <w:p w:rsidR="00EB03F2" w:rsidP="00322AEE" w:rsidRDefault="00EB03F2" w14:paraId="5BC34E4D" w14:textId="394A698A">
            <w:pPr>
              <w:pStyle w:val="naisc"/>
              <w:spacing w:before="0" w:after="0"/>
              <w:rPr>
                <w:color w:val="000000" w:themeColor="text1"/>
              </w:rPr>
            </w:pPr>
            <w:r>
              <w:rPr>
                <w:color w:val="000000" w:themeColor="text1"/>
              </w:rPr>
              <w:t>11.</w:t>
            </w:r>
          </w:p>
        </w:tc>
        <w:tc>
          <w:tcPr>
            <w:tcW w:w="1023" w:type="pct"/>
            <w:shd w:val="clear" w:color="auto" w:fill="auto"/>
          </w:tcPr>
          <w:p w:rsidR="00EB03F2" w:rsidP="00EB03F2" w:rsidRDefault="00EB03F2" w14:paraId="6E9FB743" w14:textId="6C47D072">
            <w:pPr>
              <w:pStyle w:val="naisc"/>
              <w:spacing w:before="0" w:after="0"/>
              <w:jc w:val="both"/>
              <w:rPr>
                <w:color w:val="000000" w:themeColor="text1"/>
                <w:sz w:val="20"/>
                <w:szCs w:val="20"/>
              </w:rPr>
            </w:pPr>
            <w:r w:rsidRPr="00EB03F2">
              <w:rPr>
                <w:color w:val="000000" w:themeColor="text1"/>
                <w:sz w:val="20"/>
                <w:szCs w:val="20"/>
              </w:rPr>
              <w:t>9.</w:t>
            </w:r>
            <w:r w:rsidRPr="00EB03F2">
              <w:rPr>
                <w:color w:val="000000" w:themeColor="text1"/>
                <w:sz w:val="20"/>
                <w:szCs w:val="20"/>
              </w:rPr>
              <w:tab/>
              <w:t>Desmit darbdienu laikā pēc šo noteikumu 8.punktā minētās apropriācijas palielināšanas Satiksmes ministrija atbilstoši šo noteikumu 4.punktā minētajai autorizācijai pārskaita akciju sabiedrībai “RB Rail” saskaņā ar Ministru kabineta lēmumu Igaunijai un Lietuvai kompensējamo PVN summu.</w:t>
            </w:r>
          </w:p>
        </w:tc>
        <w:tc>
          <w:tcPr>
            <w:tcW w:w="1247" w:type="pct"/>
            <w:gridSpan w:val="2"/>
            <w:shd w:val="clear" w:color="auto" w:fill="auto"/>
          </w:tcPr>
          <w:p w:rsidRPr="00EB03F2" w:rsidR="00EB03F2" w:rsidP="00EB03F2" w:rsidRDefault="00EB03F2" w14:paraId="5E9E7C9C" w14:textId="28687CA8">
            <w:pPr>
              <w:pStyle w:val="naisc"/>
              <w:spacing w:before="0" w:after="0"/>
              <w:jc w:val="both"/>
              <w:rPr>
                <w:sz w:val="20"/>
                <w:szCs w:val="20"/>
              </w:rPr>
            </w:pPr>
            <w:r w:rsidRPr="00EB03F2">
              <w:rPr>
                <w:sz w:val="20"/>
                <w:szCs w:val="20"/>
              </w:rPr>
              <w:t>Lūdzam noteikumu projekta 9.punktu izteikt šādā redakcijā:</w:t>
            </w:r>
          </w:p>
          <w:p w:rsidRPr="0093737A" w:rsidR="00EB03F2" w:rsidP="00EB03F2" w:rsidRDefault="00EB03F2" w14:paraId="004676A3" w14:textId="011F47F0">
            <w:pPr>
              <w:pStyle w:val="naisc"/>
              <w:spacing w:before="0" w:after="0"/>
              <w:jc w:val="both"/>
              <w:rPr>
                <w:sz w:val="20"/>
                <w:szCs w:val="20"/>
              </w:rPr>
            </w:pPr>
            <w:r w:rsidRPr="00EB03F2">
              <w:rPr>
                <w:sz w:val="20"/>
                <w:szCs w:val="20"/>
              </w:rPr>
              <w:t>“9. Satiksmes ministrija desmit darbdienu laikā no faktiskās apropriācijas palielināšanas, kas veikta saskaņā ar šo noteikumu 8.punktā minēto tiesību akta projektu, nodrošina kompensācijas veikšanu atbilstoši šo noteikumu 4.punktā minētajai autorizācijai.”</w:t>
            </w:r>
          </w:p>
        </w:tc>
        <w:tc>
          <w:tcPr>
            <w:tcW w:w="1212" w:type="pct"/>
            <w:shd w:val="clear" w:color="auto" w:fill="auto"/>
          </w:tcPr>
          <w:p w:rsidRPr="0093737A" w:rsidR="00EB03F2" w:rsidP="00573EA4" w:rsidRDefault="00EB03F2" w14:paraId="2A41F0E8" w14:textId="790BC8B2">
            <w:pPr>
              <w:pStyle w:val="naisc"/>
              <w:spacing w:before="0" w:after="0"/>
              <w:rPr>
                <w:sz w:val="20"/>
                <w:szCs w:val="20"/>
              </w:rPr>
            </w:pPr>
            <w:r w:rsidRPr="00EB03F2">
              <w:rPr>
                <w:sz w:val="20"/>
                <w:szCs w:val="20"/>
              </w:rPr>
              <w:t>Iebildums ņemts vērā.</w:t>
            </w:r>
          </w:p>
        </w:tc>
        <w:tc>
          <w:tcPr>
            <w:tcW w:w="1197" w:type="pct"/>
            <w:shd w:val="clear" w:color="auto" w:fill="auto"/>
          </w:tcPr>
          <w:p w:rsidR="00EB03F2" w:rsidP="00EB03F2" w:rsidRDefault="00EB03F2" w14:paraId="3EC3B5C5" w14:textId="05EBB19E">
            <w:pPr>
              <w:jc w:val="both"/>
              <w:rPr>
                <w:color w:val="000000" w:themeColor="text1"/>
                <w:sz w:val="20"/>
                <w:szCs w:val="20"/>
              </w:rPr>
            </w:pPr>
            <w:r w:rsidRPr="00EB03F2">
              <w:rPr>
                <w:color w:val="000000" w:themeColor="text1"/>
                <w:sz w:val="20"/>
                <w:szCs w:val="20"/>
              </w:rPr>
              <w:t>9.</w:t>
            </w:r>
            <w:r w:rsidRPr="00EB03F2">
              <w:rPr>
                <w:color w:val="000000" w:themeColor="text1"/>
                <w:sz w:val="20"/>
                <w:szCs w:val="20"/>
              </w:rPr>
              <w:tab/>
              <w:t>Satiksmes ministrija desmit darbdienu laikā no faktiskās apropriācijas palielināšanas, kas veikta saskaņā ar šo noteikumu 8.punktā minēto tiesību akta projektu, nodrošina kompensācijas veikšanu atbilstoši šo noteikumu 4.punktā minētajai autorizācijai.</w:t>
            </w:r>
          </w:p>
        </w:tc>
      </w:tr>
      <w:tr w:rsidRPr="001E5BBA" w:rsidR="00EB03F2" w:rsidTr="00956ECD" w14:paraId="4EC08BAD" w14:textId="77777777">
        <w:trPr>
          <w:gridAfter w:val="1"/>
          <w:wAfter w:w="125" w:type="pct"/>
        </w:trPr>
        <w:tc>
          <w:tcPr>
            <w:tcW w:w="196" w:type="pct"/>
            <w:shd w:val="clear" w:color="auto" w:fill="auto"/>
          </w:tcPr>
          <w:p w:rsidR="00EB03F2" w:rsidP="00322AEE" w:rsidRDefault="00EB03F2" w14:paraId="2289600E" w14:textId="4D5A5E94">
            <w:pPr>
              <w:pStyle w:val="naisc"/>
              <w:spacing w:before="0" w:after="0"/>
              <w:rPr>
                <w:color w:val="000000" w:themeColor="text1"/>
              </w:rPr>
            </w:pPr>
            <w:r>
              <w:rPr>
                <w:color w:val="000000" w:themeColor="text1"/>
              </w:rPr>
              <w:t>12.</w:t>
            </w:r>
          </w:p>
        </w:tc>
        <w:tc>
          <w:tcPr>
            <w:tcW w:w="1023" w:type="pct"/>
            <w:shd w:val="clear" w:color="auto" w:fill="auto"/>
          </w:tcPr>
          <w:p w:rsidR="00EB03F2" w:rsidP="00EB03F2" w:rsidRDefault="00EB03F2" w14:paraId="0B36CE5C" w14:textId="75BFE791">
            <w:pPr>
              <w:pStyle w:val="naisc"/>
              <w:spacing w:before="0" w:after="0"/>
              <w:jc w:val="both"/>
              <w:rPr>
                <w:color w:val="000000" w:themeColor="text1"/>
                <w:sz w:val="20"/>
                <w:szCs w:val="20"/>
              </w:rPr>
            </w:pPr>
            <w:r>
              <w:rPr>
                <w:color w:val="000000" w:themeColor="text1"/>
                <w:sz w:val="20"/>
                <w:szCs w:val="20"/>
              </w:rPr>
              <w:t xml:space="preserve">Anotācijas III sadaļas </w:t>
            </w:r>
            <w:r w:rsidRPr="00EB03F2">
              <w:rPr>
                <w:color w:val="000000" w:themeColor="text1"/>
                <w:sz w:val="20"/>
                <w:szCs w:val="20"/>
              </w:rPr>
              <w:t xml:space="preserve"> kolonā “izmaiņas kārtējā gadā, salīdzinot ar valsts budžetu kārtējam gadam” </w:t>
            </w:r>
            <w:r>
              <w:rPr>
                <w:color w:val="000000" w:themeColor="text1"/>
                <w:sz w:val="20"/>
                <w:szCs w:val="20"/>
              </w:rPr>
              <w:t xml:space="preserve">1., 1.1., 2., 2.1.punktos </w:t>
            </w:r>
            <w:r w:rsidRPr="00EB03F2">
              <w:rPr>
                <w:color w:val="000000" w:themeColor="text1"/>
                <w:sz w:val="20"/>
                <w:szCs w:val="20"/>
              </w:rPr>
              <w:t>norādīt</w:t>
            </w:r>
            <w:r>
              <w:rPr>
                <w:color w:val="000000" w:themeColor="text1"/>
                <w:sz w:val="20"/>
                <w:szCs w:val="20"/>
              </w:rPr>
              <w:t>ās</w:t>
            </w:r>
            <w:r w:rsidRPr="00EB03F2">
              <w:rPr>
                <w:color w:val="000000" w:themeColor="text1"/>
                <w:sz w:val="20"/>
                <w:szCs w:val="20"/>
              </w:rPr>
              <w:t xml:space="preserve"> summ</w:t>
            </w:r>
            <w:r>
              <w:rPr>
                <w:color w:val="000000" w:themeColor="text1"/>
                <w:sz w:val="20"/>
                <w:szCs w:val="20"/>
              </w:rPr>
              <w:t>as, kā arī aprēķins 6.punktā.</w:t>
            </w:r>
          </w:p>
        </w:tc>
        <w:tc>
          <w:tcPr>
            <w:tcW w:w="1247" w:type="pct"/>
            <w:gridSpan w:val="2"/>
            <w:shd w:val="clear" w:color="auto" w:fill="auto"/>
          </w:tcPr>
          <w:p w:rsidRPr="0093737A" w:rsidR="00EB03F2" w:rsidP="00322AEE" w:rsidRDefault="00EB03F2" w14:paraId="509747A8" w14:textId="156D5148">
            <w:pPr>
              <w:pStyle w:val="naisc"/>
              <w:spacing w:before="0" w:after="0"/>
              <w:jc w:val="both"/>
              <w:rPr>
                <w:sz w:val="20"/>
                <w:szCs w:val="20"/>
              </w:rPr>
            </w:pPr>
            <w:r w:rsidRPr="00EB03F2">
              <w:rPr>
                <w:sz w:val="20"/>
                <w:szCs w:val="20"/>
              </w:rPr>
              <w:t xml:space="preserve">Ievērojot, ka noteikumu projekts paredz kārtību, kādā kompensējami PVN maksājumi Igaunija un Lietuvai, lūdzam anotācijas III sadaļas kolonā “izmaiņas kārtējā gadā, salīdzinot ar valsts budžetu kārtējam gadam” precizēt 1., 1.1., 2. un 2.1.punktā norādīto summu, indikatīvi identificējot tikai to PVN maksājumu summu, kas būs jākompensē Igaunija un </w:t>
            </w:r>
            <w:r w:rsidRPr="00EB03F2">
              <w:rPr>
                <w:sz w:val="20"/>
                <w:szCs w:val="20"/>
              </w:rPr>
              <w:lastRenderedPageBreak/>
              <w:t>Lietuvai, un attiecīgi 6.punktā norādīt tās aprēķinu. Vienlaikus lūdzam anotācijas III sadaļas kolonā “izmaiņas kārtējā gadā, salīdzinot ar valsts budžetu kārtējam gadam” 2. un 2.1.punkta vērtības norādīt ar “+” zīmi.</w:t>
            </w:r>
          </w:p>
        </w:tc>
        <w:tc>
          <w:tcPr>
            <w:tcW w:w="1212" w:type="pct"/>
            <w:shd w:val="clear" w:color="auto" w:fill="auto"/>
          </w:tcPr>
          <w:p w:rsidRPr="0093737A" w:rsidR="00EB03F2" w:rsidP="00471B80" w:rsidRDefault="00EB03F2" w14:paraId="56A4E6A0" w14:textId="64636A90">
            <w:pPr>
              <w:pStyle w:val="naisc"/>
              <w:spacing w:before="0" w:after="0"/>
              <w:rPr>
                <w:sz w:val="20"/>
                <w:szCs w:val="20"/>
              </w:rPr>
            </w:pPr>
            <w:r w:rsidRPr="00EB03F2">
              <w:rPr>
                <w:sz w:val="20"/>
                <w:szCs w:val="20"/>
              </w:rPr>
              <w:lastRenderedPageBreak/>
              <w:t>Iebildums ņemts vērā.</w:t>
            </w:r>
          </w:p>
        </w:tc>
        <w:tc>
          <w:tcPr>
            <w:tcW w:w="1197" w:type="pct"/>
            <w:shd w:val="clear" w:color="auto" w:fill="auto"/>
          </w:tcPr>
          <w:p w:rsidR="00EB03F2" w:rsidP="00322AEE" w:rsidRDefault="00EB03F2" w14:paraId="0F3065DD" w14:textId="1203E55B">
            <w:pPr>
              <w:rPr>
                <w:color w:val="000000" w:themeColor="text1"/>
                <w:sz w:val="20"/>
                <w:szCs w:val="20"/>
              </w:rPr>
            </w:pPr>
            <w:r>
              <w:rPr>
                <w:color w:val="000000" w:themeColor="text1"/>
                <w:sz w:val="20"/>
                <w:szCs w:val="20"/>
              </w:rPr>
              <w:t xml:space="preserve">Skatīt </w:t>
            </w:r>
            <w:r w:rsidR="00471B80">
              <w:rPr>
                <w:color w:val="000000" w:themeColor="text1"/>
                <w:sz w:val="20"/>
                <w:szCs w:val="20"/>
              </w:rPr>
              <w:t xml:space="preserve">noteikumu projekta </w:t>
            </w:r>
            <w:r>
              <w:rPr>
                <w:color w:val="000000" w:themeColor="text1"/>
                <w:sz w:val="20"/>
                <w:szCs w:val="20"/>
              </w:rPr>
              <w:t>anotācijas III sadaļu.</w:t>
            </w:r>
          </w:p>
        </w:tc>
      </w:tr>
      <w:tr w:rsidRPr="001E5BBA" w:rsidR="00956ECD" w:rsidTr="00956ECD" w14:paraId="6ACBFE2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8"/>
        </w:trPr>
        <w:tc>
          <w:tcPr>
            <w:tcW w:w="1775" w:type="pct"/>
            <w:gridSpan w:val="3"/>
            <w:shd w:val="clear" w:color="auto" w:fill="FFFFFF" w:themeFill="background1"/>
          </w:tcPr>
          <w:p w:rsidRPr="001E5BBA" w:rsidR="00956ECD" w:rsidP="00B85D9F" w:rsidRDefault="00956ECD" w14:paraId="300A5194" w14:textId="587B070E">
            <w:pPr>
              <w:jc w:val="center"/>
              <w:rPr>
                <w:color w:val="000000" w:themeColor="text1"/>
                <w:sz w:val="20"/>
                <w:szCs w:val="20"/>
              </w:rPr>
            </w:pPr>
          </w:p>
        </w:tc>
        <w:tc>
          <w:tcPr>
            <w:tcW w:w="3225" w:type="pct"/>
            <w:gridSpan w:val="4"/>
            <w:shd w:val="clear" w:color="auto" w:fill="FFFFFF" w:themeFill="background1"/>
          </w:tcPr>
          <w:p w:rsidRPr="001E5BBA" w:rsidR="00956ECD" w:rsidP="00F0149F" w:rsidRDefault="00956ECD" w14:paraId="16E859DC" w14:textId="58A9D427">
            <w:pPr>
              <w:ind w:firstLine="720"/>
              <w:jc w:val="both"/>
              <w:rPr>
                <w:color w:val="000000" w:themeColor="text1"/>
                <w:sz w:val="20"/>
                <w:szCs w:val="20"/>
              </w:rPr>
            </w:pPr>
          </w:p>
        </w:tc>
      </w:tr>
    </w:tbl>
    <w:p w:rsidRPr="001E5BBA" w:rsidR="00D764BA" w:rsidP="00D764BA" w:rsidRDefault="00D764BA" w14:paraId="47172038" w14:textId="2890B6C8">
      <w:pPr>
        <w:jc w:val="both"/>
        <w:rPr>
          <w:color w:val="000000" w:themeColor="text1"/>
        </w:rPr>
      </w:pP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00EB03F2">
        <w:rPr>
          <w:color w:val="000000" w:themeColor="text1"/>
        </w:rPr>
        <w:t>Kārlis Eņģelis</w:t>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p>
    <w:tbl>
      <w:tblPr>
        <w:tblW w:w="0" w:type="auto"/>
        <w:tblLook w:val="00A0" w:firstRow="1" w:lastRow="0" w:firstColumn="1" w:lastColumn="0" w:noHBand="0" w:noVBand="0"/>
      </w:tblPr>
      <w:tblGrid>
        <w:gridCol w:w="8268"/>
      </w:tblGrid>
      <w:tr w:rsidRPr="001E5BBA" w:rsidR="001E5BBA" w:rsidTr="00517D4E" w14:paraId="5BED0C93" w14:textId="77777777">
        <w:tc>
          <w:tcPr>
            <w:tcW w:w="8268" w:type="dxa"/>
            <w:tcBorders>
              <w:top w:val="single" w:color="000000" w:sz="4" w:space="0"/>
            </w:tcBorders>
          </w:tcPr>
          <w:p w:rsidRPr="001E5BBA" w:rsidR="00D764BA" w:rsidP="00D764BA" w:rsidRDefault="00D764BA" w14:paraId="5D3BD87D" w14:textId="77777777">
            <w:pPr>
              <w:jc w:val="center"/>
              <w:rPr>
                <w:color w:val="000000" w:themeColor="text1"/>
              </w:rPr>
            </w:pPr>
            <w:r w:rsidRPr="001E5BBA">
              <w:rPr>
                <w:color w:val="000000" w:themeColor="text1"/>
              </w:rPr>
              <w:t>(par projektu atbildīgās amatpersonas vārds un uzvārds)</w:t>
            </w:r>
          </w:p>
        </w:tc>
      </w:tr>
      <w:tr w:rsidRPr="001E5BBA" w:rsidR="001E5BBA" w:rsidTr="00517D4E" w14:paraId="4373DF19" w14:textId="77777777">
        <w:tc>
          <w:tcPr>
            <w:tcW w:w="8268" w:type="dxa"/>
            <w:tcBorders>
              <w:bottom w:val="single" w:color="000000" w:sz="4" w:space="0"/>
            </w:tcBorders>
          </w:tcPr>
          <w:p w:rsidRPr="001E5BBA" w:rsidR="00D764BA" w:rsidP="00F0149F" w:rsidRDefault="00F0149F" w14:paraId="19894DA1" w14:textId="0CF160DC">
            <w:pPr>
              <w:jc w:val="center"/>
              <w:rPr>
                <w:color w:val="000000" w:themeColor="text1"/>
              </w:rPr>
            </w:pPr>
            <w:r>
              <w:rPr>
                <w:color w:val="000000" w:themeColor="text1"/>
              </w:rPr>
              <w:t xml:space="preserve">Rail Baltica projekta nodaļas </w:t>
            </w:r>
            <w:r w:rsidR="00EB03F2">
              <w:rPr>
                <w:color w:val="000000" w:themeColor="text1"/>
              </w:rPr>
              <w:t>vecākais eksperts-jurists</w:t>
            </w:r>
          </w:p>
        </w:tc>
      </w:tr>
      <w:tr w:rsidRPr="001E5BBA" w:rsidR="001E5BBA" w:rsidTr="00517D4E" w14:paraId="47EBEF59" w14:textId="77777777">
        <w:tc>
          <w:tcPr>
            <w:tcW w:w="8268" w:type="dxa"/>
            <w:tcBorders>
              <w:top w:val="single" w:color="000000" w:sz="4" w:space="0"/>
            </w:tcBorders>
          </w:tcPr>
          <w:p w:rsidRPr="001E5BBA" w:rsidR="00D764BA" w:rsidP="00D764BA" w:rsidRDefault="00D764BA" w14:paraId="4F42921B" w14:textId="77777777">
            <w:pPr>
              <w:jc w:val="center"/>
              <w:rPr>
                <w:color w:val="000000" w:themeColor="text1"/>
              </w:rPr>
            </w:pPr>
            <w:r w:rsidRPr="001E5BBA">
              <w:rPr>
                <w:color w:val="000000" w:themeColor="text1"/>
              </w:rPr>
              <w:t>(amats)</w:t>
            </w:r>
          </w:p>
        </w:tc>
      </w:tr>
      <w:tr w:rsidRPr="001E5BBA" w:rsidR="001E5BBA" w:rsidTr="00517D4E" w14:paraId="4FC19CA5" w14:textId="77777777">
        <w:tc>
          <w:tcPr>
            <w:tcW w:w="8268" w:type="dxa"/>
            <w:tcBorders>
              <w:bottom w:val="single" w:color="000000" w:sz="4" w:space="0"/>
            </w:tcBorders>
          </w:tcPr>
          <w:p w:rsidRPr="001E5BBA" w:rsidR="00F0149F" w:rsidP="00F0149F" w:rsidRDefault="00872FE2" w14:paraId="414A057E" w14:textId="40E8AF84">
            <w:pPr>
              <w:jc w:val="center"/>
              <w:rPr>
                <w:color w:val="000000" w:themeColor="text1"/>
              </w:rPr>
            </w:pPr>
            <w:r>
              <w:rPr>
                <w:color w:val="000000" w:themeColor="text1"/>
              </w:rPr>
              <w:t>6</w:t>
            </w:r>
            <w:r w:rsidR="00F0149F">
              <w:rPr>
                <w:color w:val="000000" w:themeColor="text1"/>
              </w:rPr>
              <w:t>7028</w:t>
            </w:r>
            <w:r w:rsidR="00EB03F2">
              <w:rPr>
                <w:color w:val="000000" w:themeColor="text1"/>
              </w:rPr>
              <w:t>229</w:t>
            </w:r>
          </w:p>
        </w:tc>
      </w:tr>
      <w:tr w:rsidRPr="001E5BBA" w:rsidR="001E5BBA" w:rsidTr="00517D4E" w14:paraId="029B61C0" w14:textId="77777777">
        <w:tc>
          <w:tcPr>
            <w:tcW w:w="8268" w:type="dxa"/>
            <w:tcBorders>
              <w:top w:val="single" w:color="000000" w:sz="4" w:space="0"/>
            </w:tcBorders>
          </w:tcPr>
          <w:p w:rsidRPr="001E5BBA" w:rsidR="00D764BA" w:rsidP="00144D70" w:rsidRDefault="00144D70" w14:paraId="51A35908" w14:textId="77777777">
            <w:pPr>
              <w:jc w:val="center"/>
              <w:rPr>
                <w:color w:val="000000" w:themeColor="text1"/>
              </w:rPr>
            </w:pPr>
            <w:r w:rsidRPr="001E5BBA">
              <w:rPr>
                <w:color w:val="000000" w:themeColor="text1"/>
              </w:rPr>
              <w:t xml:space="preserve">(tālruņa </w:t>
            </w:r>
            <w:r w:rsidRPr="001E5BBA" w:rsidR="00D764BA">
              <w:rPr>
                <w:color w:val="000000" w:themeColor="text1"/>
              </w:rPr>
              <w:t>numurs)</w:t>
            </w:r>
          </w:p>
        </w:tc>
      </w:tr>
    </w:tbl>
    <w:p w:rsidRPr="008B060E" w:rsidR="00B85D9F" w:rsidP="00B85D9F" w:rsidRDefault="00EB03F2" w14:paraId="4CFAA261" w14:textId="7B5586E8">
      <w:pPr>
        <w:widowControl w:val="0"/>
        <w:rPr>
          <w:rFonts w:eastAsia="Calibri"/>
          <w:sz w:val="20"/>
          <w:szCs w:val="20"/>
        </w:rPr>
      </w:pPr>
      <w:r>
        <w:rPr>
          <w:rFonts w:eastAsia="Calibri"/>
          <w:sz w:val="20"/>
          <w:szCs w:val="20"/>
        </w:rPr>
        <w:t>Eņģelis</w:t>
      </w:r>
      <w:r w:rsidRPr="008B060E" w:rsidR="00B85D9F">
        <w:rPr>
          <w:rFonts w:eastAsia="Calibri"/>
          <w:sz w:val="20"/>
          <w:szCs w:val="20"/>
        </w:rPr>
        <w:t>, 67028</w:t>
      </w:r>
      <w:r>
        <w:rPr>
          <w:rFonts w:eastAsia="Calibri"/>
          <w:sz w:val="20"/>
          <w:szCs w:val="20"/>
        </w:rPr>
        <w:t>229</w:t>
      </w:r>
    </w:p>
    <w:p w:rsidRPr="00B85D9F" w:rsidR="00B85D9F" w:rsidP="00B85D9F" w:rsidRDefault="00670FC3" w14:paraId="46343BCE" w14:textId="2DE60DB0">
      <w:pPr>
        <w:widowControl w:val="0"/>
        <w:rPr>
          <w:rFonts w:eastAsia="Calibri"/>
          <w:sz w:val="20"/>
          <w:szCs w:val="20"/>
        </w:rPr>
      </w:pPr>
      <w:hyperlink w:history="1" r:id="rId8">
        <w:r w:rsidRPr="005D1DA1" w:rsidR="00EB03F2">
          <w:rPr>
            <w:rStyle w:val="Hyperlink"/>
            <w:rFonts w:eastAsia="Calibri"/>
            <w:sz w:val="20"/>
            <w:szCs w:val="20"/>
          </w:rPr>
          <w:t>Karlis.Engelis@sam.gov.lv</w:t>
        </w:r>
      </w:hyperlink>
      <w:r w:rsidRPr="00B85D9F" w:rsidR="00B85D9F">
        <w:rPr>
          <w:rFonts w:eastAsia="Calibri"/>
          <w:sz w:val="20"/>
          <w:szCs w:val="20"/>
        </w:rPr>
        <w:t xml:space="preserve"> </w:t>
      </w:r>
    </w:p>
    <w:sectPr w:rsidRPr="00B85D9F" w:rsidR="00B85D9F" w:rsidSect="004B7A3F">
      <w:headerReference w:type="default" r:id="rId9"/>
      <w:footerReference w:type="default" r:id="rId10"/>
      <w:footerReference w:type="first" r:id="rId11"/>
      <w:pgSz w:w="16838" w:h="11906" w:orient="landscape"/>
      <w:pgMar w:top="170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998E4" w14:textId="77777777" w:rsidR="00670FC3" w:rsidRDefault="00670FC3" w:rsidP="00B31052">
      <w:r>
        <w:separator/>
      </w:r>
    </w:p>
  </w:endnote>
  <w:endnote w:type="continuationSeparator" w:id="0">
    <w:p w14:paraId="0DC855A6" w14:textId="77777777" w:rsidR="00670FC3" w:rsidRDefault="00670FC3" w:rsidP="00B31052">
      <w:r>
        <w:continuationSeparator/>
      </w:r>
    </w:p>
  </w:endnote>
  <w:endnote w:type="continuationNotice" w:id="1">
    <w:p w14:paraId="30F3BFB7" w14:textId="77777777" w:rsidR="00670FC3" w:rsidRDefault="00670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F453" w14:textId="4D698D06" w:rsidR="00670FC3" w:rsidRPr="00EB03F2" w:rsidRDefault="00670FC3" w:rsidP="00EB03F2">
    <w:pPr>
      <w:pStyle w:val="Footer"/>
    </w:pPr>
    <w:r w:rsidRPr="00EB03F2">
      <w:rPr>
        <w:sz w:val="20"/>
        <w:szCs w:val="20"/>
      </w:rPr>
      <w:t>SMizz_240320_RBRPVNEELT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D5F4" w14:textId="299F0A6C" w:rsidR="00670FC3" w:rsidRPr="00322AEE" w:rsidRDefault="00670FC3">
    <w:pPr>
      <w:rPr>
        <w:sz w:val="20"/>
        <w:szCs w:val="20"/>
      </w:rPr>
    </w:pPr>
    <w:r>
      <w:rPr>
        <w:sz w:val="20"/>
        <w:szCs w:val="20"/>
      </w:rPr>
      <w:t>SMi</w:t>
    </w:r>
    <w:r w:rsidRPr="00B1065F">
      <w:rPr>
        <w:sz w:val="20"/>
        <w:szCs w:val="20"/>
      </w:rPr>
      <w:t>zz_</w:t>
    </w:r>
    <w:r>
      <w:rPr>
        <w:sz w:val="20"/>
        <w:szCs w:val="20"/>
      </w:rPr>
      <w:t>240320_RBRPVNEELT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2B71B" w14:textId="77777777" w:rsidR="00670FC3" w:rsidRDefault="00670FC3" w:rsidP="00B31052">
      <w:r>
        <w:separator/>
      </w:r>
    </w:p>
  </w:footnote>
  <w:footnote w:type="continuationSeparator" w:id="0">
    <w:p w14:paraId="50BD4FB4" w14:textId="77777777" w:rsidR="00670FC3" w:rsidRDefault="00670FC3" w:rsidP="00B31052">
      <w:r>
        <w:continuationSeparator/>
      </w:r>
    </w:p>
  </w:footnote>
  <w:footnote w:type="continuationNotice" w:id="1">
    <w:p w14:paraId="7DD4D492" w14:textId="77777777" w:rsidR="00670FC3" w:rsidRDefault="00670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82184"/>
      <w:docPartObj>
        <w:docPartGallery w:val="Page Numbers (Top of Page)"/>
        <w:docPartUnique/>
      </w:docPartObj>
    </w:sdtPr>
    <w:sdtEndPr>
      <w:rPr>
        <w:noProof/>
      </w:rPr>
    </w:sdtEndPr>
    <w:sdtContent>
      <w:p w:rsidR="00670FC3" w:rsidRDefault="00670FC3" w14:paraId="74F6CAE4" w14:textId="6AF5ACD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70FC3" w:rsidRDefault="00670FC3" w14:paraId="3AD28AD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31147"/>
    <w:multiLevelType w:val="hybridMultilevel"/>
    <w:tmpl w:val="198A06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2" w15:restartNumberingAfterBreak="0">
    <w:nsid w:val="45BE3B91"/>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547E2C98"/>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52"/>
    <w:rsid w:val="000006D1"/>
    <w:rsid w:val="00001D8C"/>
    <w:rsid w:val="000024B5"/>
    <w:rsid w:val="000026A3"/>
    <w:rsid w:val="00002B38"/>
    <w:rsid w:val="0000364D"/>
    <w:rsid w:val="00003873"/>
    <w:rsid w:val="00006EC9"/>
    <w:rsid w:val="00010448"/>
    <w:rsid w:val="000112E1"/>
    <w:rsid w:val="00011CD1"/>
    <w:rsid w:val="000123A2"/>
    <w:rsid w:val="000148ED"/>
    <w:rsid w:val="00014A9D"/>
    <w:rsid w:val="000156F3"/>
    <w:rsid w:val="00015B3A"/>
    <w:rsid w:val="00020A86"/>
    <w:rsid w:val="00021150"/>
    <w:rsid w:val="00024B34"/>
    <w:rsid w:val="00025CE7"/>
    <w:rsid w:val="00026237"/>
    <w:rsid w:val="00027267"/>
    <w:rsid w:val="0003218D"/>
    <w:rsid w:val="00032324"/>
    <w:rsid w:val="000325C6"/>
    <w:rsid w:val="00032D43"/>
    <w:rsid w:val="00034F0D"/>
    <w:rsid w:val="000351DC"/>
    <w:rsid w:val="00035738"/>
    <w:rsid w:val="0003722F"/>
    <w:rsid w:val="00037231"/>
    <w:rsid w:val="000419EE"/>
    <w:rsid w:val="00042BDE"/>
    <w:rsid w:val="0004390A"/>
    <w:rsid w:val="000440E5"/>
    <w:rsid w:val="00044233"/>
    <w:rsid w:val="00044E34"/>
    <w:rsid w:val="000458A4"/>
    <w:rsid w:val="00046278"/>
    <w:rsid w:val="00047800"/>
    <w:rsid w:val="00047852"/>
    <w:rsid w:val="0005197C"/>
    <w:rsid w:val="00052316"/>
    <w:rsid w:val="00052F2D"/>
    <w:rsid w:val="000545FB"/>
    <w:rsid w:val="00054F92"/>
    <w:rsid w:val="00056357"/>
    <w:rsid w:val="00056471"/>
    <w:rsid w:val="0005694B"/>
    <w:rsid w:val="000575EA"/>
    <w:rsid w:val="000576B6"/>
    <w:rsid w:val="00060600"/>
    <w:rsid w:val="00060695"/>
    <w:rsid w:val="000615AA"/>
    <w:rsid w:val="00063D40"/>
    <w:rsid w:val="000647E4"/>
    <w:rsid w:val="000649BA"/>
    <w:rsid w:val="00064D70"/>
    <w:rsid w:val="000655B3"/>
    <w:rsid w:val="0006578E"/>
    <w:rsid w:val="00065DE9"/>
    <w:rsid w:val="00067241"/>
    <w:rsid w:val="000674AC"/>
    <w:rsid w:val="00074AEF"/>
    <w:rsid w:val="00075616"/>
    <w:rsid w:val="00077A48"/>
    <w:rsid w:val="00080308"/>
    <w:rsid w:val="000808E9"/>
    <w:rsid w:val="00081D2E"/>
    <w:rsid w:val="00085AC6"/>
    <w:rsid w:val="000863A8"/>
    <w:rsid w:val="00087A90"/>
    <w:rsid w:val="0009474B"/>
    <w:rsid w:val="000A0D2B"/>
    <w:rsid w:val="000A1107"/>
    <w:rsid w:val="000A3198"/>
    <w:rsid w:val="000A3CB3"/>
    <w:rsid w:val="000A4A1C"/>
    <w:rsid w:val="000A56F7"/>
    <w:rsid w:val="000A749C"/>
    <w:rsid w:val="000B184D"/>
    <w:rsid w:val="000B3928"/>
    <w:rsid w:val="000B3F2C"/>
    <w:rsid w:val="000B3F8A"/>
    <w:rsid w:val="000B5E76"/>
    <w:rsid w:val="000C1529"/>
    <w:rsid w:val="000C16A0"/>
    <w:rsid w:val="000C1BF0"/>
    <w:rsid w:val="000C330B"/>
    <w:rsid w:val="000C5978"/>
    <w:rsid w:val="000C6EB1"/>
    <w:rsid w:val="000C7DE1"/>
    <w:rsid w:val="000D0A74"/>
    <w:rsid w:val="000D1A2D"/>
    <w:rsid w:val="000D225F"/>
    <w:rsid w:val="000D48F0"/>
    <w:rsid w:val="000D62B5"/>
    <w:rsid w:val="000D6ACE"/>
    <w:rsid w:val="000D7CD7"/>
    <w:rsid w:val="000E1E70"/>
    <w:rsid w:val="000E1F14"/>
    <w:rsid w:val="000E341B"/>
    <w:rsid w:val="000E3A9A"/>
    <w:rsid w:val="000E47BC"/>
    <w:rsid w:val="000E5126"/>
    <w:rsid w:val="000E5C15"/>
    <w:rsid w:val="000E679B"/>
    <w:rsid w:val="000E7967"/>
    <w:rsid w:val="000F26E0"/>
    <w:rsid w:val="000F3724"/>
    <w:rsid w:val="000F57E7"/>
    <w:rsid w:val="000F63E0"/>
    <w:rsid w:val="000F6800"/>
    <w:rsid w:val="000F7FA8"/>
    <w:rsid w:val="001007F0"/>
    <w:rsid w:val="00103F90"/>
    <w:rsid w:val="001056F7"/>
    <w:rsid w:val="00107C6A"/>
    <w:rsid w:val="0011360D"/>
    <w:rsid w:val="00114265"/>
    <w:rsid w:val="001142C4"/>
    <w:rsid w:val="00114FAA"/>
    <w:rsid w:val="00115AE3"/>
    <w:rsid w:val="00116DA7"/>
    <w:rsid w:val="0012189F"/>
    <w:rsid w:val="00122EF6"/>
    <w:rsid w:val="001243FC"/>
    <w:rsid w:val="00124727"/>
    <w:rsid w:val="00124916"/>
    <w:rsid w:val="001258AB"/>
    <w:rsid w:val="00125B4F"/>
    <w:rsid w:val="001264F9"/>
    <w:rsid w:val="0013051B"/>
    <w:rsid w:val="00134E78"/>
    <w:rsid w:val="00134FDC"/>
    <w:rsid w:val="0013616F"/>
    <w:rsid w:val="00137165"/>
    <w:rsid w:val="001374D2"/>
    <w:rsid w:val="00137650"/>
    <w:rsid w:val="00141063"/>
    <w:rsid w:val="00141FF5"/>
    <w:rsid w:val="0014266E"/>
    <w:rsid w:val="00142770"/>
    <w:rsid w:val="00144D70"/>
    <w:rsid w:val="001452E1"/>
    <w:rsid w:val="0014660F"/>
    <w:rsid w:val="001477C0"/>
    <w:rsid w:val="001478FE"/>
    <w:rsid w:val="001503EB"/>
    <w:rsid w:val="0015048C"/>
    <w:rsid w:val="00150AE4"/>
    <w:rsid w:val="0015147A"/>
    <w:rsid w:val="001517F9"/>
    <w:rsid w:val="00152BE2"/>
    <w:rsid w:val="00152F8A"/>
    <w:rsid w:val="001619F5"/>
    <w:rsid w:val="001621D6"/>
    <w:rsid w:val="0016496F"/>
    <w:rsid w:val="00165DB3"/>
    <w:rsid w:val="00166EAC"/>
    <w:rsid w:val="00170024"/>
    <w:rsid w:val="001711DA"/>
    <w:rsid w:val="0017342A"/>
    <w:rsid w:val="00175675"/>
    <w:rsid w:val="00175BF4"/>
    <w:rsid w:val="00176E8C"/>
    <w:rsid w:val="00181797"/>
    <w:rsid w:val="001819AE"/>
    <w:rsid w:val="001828C7"/>
    <w:rsid w:val="0018474C"/>
    <w:rsid w:val="00185680"/>
    <w:rsid w:val="00185CA0"/>
    <w:rsid w:val="001865E7"/>
    <w:rsid w:val="00190037"/>
    <w:rsid w:val="00190393"/>
    <w:rsid w:val="001976F6"/>
    <w:rsid w:val="0019780A"/>
    <w:rsid w:val="00197D64"/>
    <w:rsid w:val="001A0C00"/>
    <w:rsid w:val="001A35BF"/>
    <w:rsid w:val="001A74FE"/>
    <w:rsid w:val="001A7FF9"/>
    <w:rsid w:val="001B05BC"/>
    <w:rsid w:val="001B0F21"/>
    <w:rsid w:val="001B1AD6"/>
    <w:rsid w:val="001B1CDC"/>
    <w:rsid w:val="001B3100"/>
    <w:rsid w:val="001B3F63"/>
    <w:rsid w:val="001B7252"/>
    <w:rsid w:val="001B7DCD"/>
    <w:rsid w:val="001C0ADE"/>
    <w:rsid w:val="001C0AF8"/>
    <w:rsid w:val="001C4332"/>
    <w:rsid w:val="001D0B6B"/>
    <w:rsid w:val="001D1797"/>
    <w:rsid w:val="001D2C57"/>
    <w:rsid w:val="001D4731"/>
    <w:rsid w:val="001D5A56"/>
    <w:rsid w:val="001E228E"/>
    <w:rsid w:val="001E2FA0"/>
    <w:rsid w:val="001E3A18"/>
    <w:rsid w:val="001E4AAB"/>
    <w:rsid w:val="001E4E5F"/>
    <w:rsid w:val="001E5BBA"/>
    <w:rsid w:val="001E6A49"/>
    <w:rsid w:val="001E6B50"/>
    <w:rsid w:val="001F0947"/>
    <w:rsid w:val="001F3394"/>
    <w:rsid w:val="001F35CC"/>
    <w:rsid w:val="001F747F"/>
    <w:rsid w:val="00200427"/>
    <w:rsid w:val="0020131C"/>
    <w:rsid w:val="00201A95"/>
    <w:rsid w:val="002036D5"/>
    <w:rsid w:val="00204402"/>
    <w:rsid w:val="00213C7C"/>
    <w:rsid w:val="002150BC"/>
    <w:rsid w:val="002151D7"/>
    <w:rsid w:val="00215E20"/>
    <w:rsid w:val="002172DA"/>
    <w:rsid w:val="00217692"/>
    <w:rsid w:val="00217CB0"/>
    <w:rsid w:val="0022083A"/>
    <w:rsid w:val="00222E45"/>
    <w:rsid w:val="00225589"/>
    <w:rsid w:val="0022581F"/>
    <w:rsid w:val="00225F1D"/>
    <w:rsid w:val="002276B6"/>
    <w:rsid w:val="00230003"/>
    <w:rsid w:val="00232C2C"/>
    <w:rsid w:val="00235E0F"/>
    <w:rsid w:val="00237835"/>
    <w:rsid w:val="00241303"/>
    <w:rsid w:val="00242331"/>
    <w:rsid w:val="0024541F"/>
    <w:rsid w:val="002456DE"/>
    <w:rsid w:val="00245F1E"/>
    <w:rsid w:val="0024613F"/>
    <w:rsid w:val="0024735C"/>
    <w:rsid w:val="00247A85"/>
    <w:rsid w:val="00252132"/>
    <w:rsid w:val="002523D9"/>
    <w:rsid w:val="00252E5D"/>
    <w:rsid w:val="00253B5F"/>
    <w:rsid w:val="002543C8"/>
    <w:rsid w:val="00254F29"/>
    <w:rsid w:val="00256A2C"/>
    <w:rsid w:val="00256A55"/>
    <w:rsid w:val="00256C8F"/>
    <w:rsid w:val="0025794E"/>
    <w:rsid w:val="002603D5"/>
    <w:rsid w:val="00261B25"/>
    <w:rsid w:val="0026225B"/>
    <w:rsid w:val="00262B57"/>
    <w:rsid w:val="00262EA4"/>
    <w:rsid w:val="0026403B"/>
    <w:rsid w:val="00264F9E"/>
    <w:rsid w:val="00265A3E"/>
    <w:rsid w:val="0026605C"/>
    <w:rsid w:val="00266F88"/>
    <w:rsid w:val="002677F1"/>
    <w:rsid w:val="002702C2"/>
    <w:rsid w:val="00274491"/>
    <w:rsid w:val="00274915"/>
    <w:rsid w:val="00276CD5"/>
    <w:rsid w:val="00276D84"/>
    <w:rsid w:val="002816E3"/>
    <w:rsid w:val="00283EF7"/>
    <w:rsid w:val="002846C2"/>
    <w:rsid w:val="00284A2D"/>
    <w:rsid w:val="00286C22"/>
    <w:rsid w:val="00287665"/>
    <w:rsid w:val="00287EE3"/>
    <w:rsid w:val="002902B0"/>
    <w:rsid w:val="00291E23"/>
    <w:rsid w:val="00291FBA"/>
    <w:rsid w:val="00292D6A"/>
    <w:rsid w:val="00296599"/>
    <w:rsid w:val="00296AE0"/>
    <w:rsid w:val="00296B4A"/>
    <w:rsid w:val="002A2E58"/>
    <w:rsid w:val="002A2EE5"/>
    <w:rsid w:val="002A3F86"/>
    <w:rsid w:val="002A47D6"/>
    <w:rsid w:val="002A4BD8"/>
    <w:rsid w:val="002A5B8E"/>
    <w:rsid w:val="002A5E22"/>
    <w:rsid w:val="002A6260"/>
    <w:rsid w:val="002A62C8"/>
    <w:rsid w:val="002A701F"/>
    <w:rsid w:val="002B0820"/>
    <w:rsid w:val="002B3324"/>
    <w:rsid w:val="002B497E"/>
    <w:rsid w:val="002B59C6"/>
    <w:rsid w:val="002B5E21"/>
    <w:rsid w:val="002B7E54"/>
    <w:rsid w:val="002C0CBF"/>
    <w:rsid w:val="002C365E"/>
    <w:rsid w:val="002C7D12"/>
    <w:rsid w:val="002D0DF3"/>
    <w:rsid w:val="002D1158"/>
    <w:rsid w:val="002D5104"/>
    <w:rsid w:val="002D6846"/>
    <w:rsid w:val="002E2612"/>
    <w:rsid w:val="002E327F"/>
    <w:rsid w:val="002E40FB"/>
    <w:rsid w:val="002F10B0"/>
    <w:rsid w:val="002F20B0"/>
    <w:rsid w:val="002F237F"/>
    <w:rsid w:val="002F2708"/>
    <w:rsid w:val="002F3F0D"/>
    <w:rsid w:val="003016BD"/>
    <w:rsid w:val="00301856"/>
    <w:rsid w:val="00302232"/>
    <w:rsid w:val="0030496F"/>
    <w:rsid w:val="00305098"/>
    <w:rsid w:val="00306F27"/>
    <w:rsid w:val="003074BB"/>
    <w:rsid w:val="00307A59"/>
    <w:rsid w:val="00307BA3"/>
    <w:rsid w:val="00307DCA"/>
    <w:rsid w:val="00310B25"/>
    <w:rsid w:val="00311019"/>
    <w:rsid w:val="00311204"/>
    <w:rsid w:val="00311318"/>
    <w:rsid w:val="00311A44"/>
    <w:rsid w:val="00313A24"/>
    <w:rsid w:val="00315571"/>
    <w:rsid w:val="00315BEA"/>
    <w:rsid w:val="003168D5"/>
    <w:rsid w:val="00317021"/>
    <w:rsid w:val="00317300"/>
    <w:rsid w:val="00320F87"/>
    <w:rsid w:val="00321150"/>
    <w:rsid w:val="00322AEE"/>
    <w:rsid w:val="00322F5A"/>
    <w:rsid w:val="00325B8C"/>
    <w:rsid w:val="00326574"/>
    <w:rsid w:val="00326C99"/>
    <w:rsid w:val="00327486"/>
    <w:rsid w:val="00330664"/>
    <w:rsid w:val="0034120B"/>
    <w:rsid w:val="00342411"/>
    <w:rsid w:val="003442DA"/>
    <w:rsid w:val="0034713B"/>
    <w:rsid w:val="00347A4E"/>
    <w:rsid w:val="003503F8"/>
    <w:rsid w:val="00352CD3"/>
    <w:rsid w:val="0035417C"/>
    <w:rsid w:val="003550DD"/>
    <w:rsid w:val="003568D7"/>
    <w:rsid w:val="003568E3"/>
    <w:rsid w:val="00361883"/>
    <w:rsid w:val="00363AAC"/>
    <w:rsid w:val="0036595F"/>
    <w:rsid w:val="00371237"/>
    <w:rsid w:val="0037407C"/>
    <w:rsid w:val="00374F3C"/>
    <w:rsid w:val="00375CE5"/>
    <w:rsid w:val="00376BD8"/>
    <w:rsid w:val="003771D0"/>
    <w:rsid w:val="003774D7"/>
    <w:rsid w:val="00380662"/>
    <w:rsid w:val="003806AE"/>
    <w:rsid w:val="003813A0"/>
    <w:rsid w:val="0038324A"/>
    <w:rsid w:val="00383393"/>
    <w:rsid w:val="00387D05"/>
    <w:rsid w:val="0039253E"/>
    <w:rsid w:val="00392B00"/>
    <w:rsid w:val="00392D70"/>
    <w:rsid w:val="00392E7E"/>
    <w:rsid w:val="00393176"/>
    <w:rsid w:val="00393C31"/>
    <w:rsid w:val="00395756"/>
    <w:rsid w:val="00397BBD"/>
    <w:rsid w:val="003A2232"/>
    <w:rsid w:val="003A398F"/>
    <w:rsid w:val="003A3DA8"/>
    <w:rsid w:val="003A7EFF"/>
    <w:rsid w:val="003B241C"/>
    <w:rsid w:val="003B4A25"/>
    <w:rsid w:val="003B5062"/>
    <w:rsid w:val="003B70C4"/>
    <w:rsid w:val="003C3305"/>
    <w:rsid w:val="003C47BE"/>
    <w:rsid w:val="003C5691"/>
    <w:rsid w:val="003C6D8C"/>
    <w:rsid w:val="003C6F30"/>
    <w:rsid w:val="003D0E7D"/>
    <w:rsid w:val="003D1358"/>
    <w:rsid w:val="003D1659"/>
    <w:rsid w:val="003D2590"/>
    <w:rsid w:val="003D26E6"/>
    <w:rsid w:val="003D3419"/>
    <w:rsid w:val="003D34AA"/>
    <w:rsid w:val="003D4038"/>
    <w:rsid w:val="003E060F"/>
    <w:rsid w:val="003E104B"/>
    <w:rsid w:val="003E16E5"/>
    <w:rsid w:val="003E23C3"/>
    <w:rsid w:val="003E26CE"/>
    <w:rsid w:val="003E4D1B"/>
    <w:rsid w:val="003E6484"/>
    <w:rsid w:val="003E6E39"/>
    <w:rsid w:val="003E6E48"/>
    <w:rsid w:val="003F00F2"/>
    <w:rsid w:val="003F075C"/>
    <w:rsid w:val="003F2044"/>
    <w:rsid w:val="003F2A3A"/>
    <w:rsid w:val="003F3448"/>
    <w:rsid w:val="003F470C"/>
    <w:rsid w:val="003F47C6"/>
    <w:rsid w:val="003F48B2"/>
    <w:rsid w:val="003F60A1"/>
    <w:rsid w:val="003F638D"/>
    <w:rsid w:val="00401311"/>
    <w:rsid w:val="004027A9"/>
    <w:rsid w:val="004028D6"/>
    <w:rsid w:val="00402F97"/>
    <w:rsid w:val="00403138"/>
    <w:rsid w:val="00405695"/>
    <w:rsid w:val="004075B6"/>
    <w:rsid w:val="00410453"/>
    <w:rsid w:val="00411891"/>
    <w:rsid w:val="00413208"/>
    <w:rsid w:val="00415662"/>
    <w:rsid w:val="00415D65"/>
    <w:rsid w:val="00417014"/>
    <w:rsid w:val="0041720D"/>
    <w:rsid w:val="0041749A"/>
    <w:rsid w:val="004208CF"/>
    <w:rsid w:val="004210F7"/>
    <w:rsid w:val="004211B7"/>
    <w:rsid w:val="00425C95"/>
    <w:rsid w:val="00426148"/>
    <w:rsid w:val="00426FF6"/>
    <w:rsid w:val="00427F59"/>
    <w:rsid w:val="00431E96"/>
    <w:rsid w:val="0043232B"/>
    <w:rsid w:val="004329CC"/>
    <w:rsid w:val="0043317E"/>
    <w:rsid w:val="00433A8D"/>
    <w:rsid w:val="00433CF2"/>
    <w:rsid w:val="00434D7E"/>
    <w:rsid w:val="00435EFF"/>
    <w:rsid w:val="004365C0"/>
    <w:rsid w:val="004365D2"/>
    <w:rsid w:val="00443BE3"/>
    <w:rsid w:val="0044411E"/>
    <w:rsid w:val="00444143"/>
    <w:rsid w:val="00445A81"/>
    <w:rsid w:val="004473E2"/>
    <w:rsid w:val="00450004"/>
    <w:rsid w:val="0045020E"/>
    <w:rsid w:val="00451ED2"/>
    <w:rsid w:val="004532E4"/>
    <w:rsid w:val="00453E4B"/>
    <w:rsid w:val="00454118"/>
    <w:rsid w:val="004545A8"/>
    <w:rsid w:val="004560AA"/>
    <w:rsid w:val="00456564"/>
    <w:rsid w:val="0045708A"/>
    <w:rsid w:val="00461300"/>
    <w:rsid w:val="0046180A"/>
    <w:rsid w:val="004634A4"/>
    <w:rsid w:val="004638EE"/>
    <w:rsid w:val="00463A40"/>
    <w:rsid w:val="00463DA1"/>
    <w:rsid w:val="004640F0"/>
    <w:rsid w:val="0046662E"/>
    <w:rsid w:val="00467F6D"/>
    <w:rsid w:val="0047012D"/>
    <w:rsid w:val="00471414"/>
    <w:rsid w:val="00471874"/>
    <w:rsid w:val="00471B80"/>
    <w:rsid w:val="00473B7A"/>
    <w:rsid w:val="0047456D"/>
    <w:rsid w:val="00477AE8"/>
    <w:rsid w:val="004806A1"/>
    <w:rsid w:val="00480C5A"/>
    <w:rsid w:val="00481B7F"/>
    <w:rsid w:val="004822C9"/>
    <w:rsid w:val="004856F8"/>
    <w:rsid w:val="004860D0"/>
    <w:rsid w:val="004867C8"/>
    <w:rsid w:val="00486873"/>
    <w:rsid w:val="00492B0B"/>
    <w:rsid w:val="00493434"/>
    <w:rsid w:val="00493804"/>
    <w:rsid w:val="00493CCC"/>
    <w:rsid w:val="00495298"/>
    <w:rsid w:val="004963CF"/>
    <w:rsid w:val="004A0D4D"/>
    <w:rsid w:val="004A1563"/>
    <w:rsid w:val="004B098C"/>
    <w:rsid w:val="004B1B76"/>
    <w:rsid w:val="004B508F"/>
    <w:rsid w:val="004B51C7"/>
    <w:rsid w:val="004B7086"/>
    <w:rsid w:val="004B7A3F"/>
    <w:rsid w:val="004C3E2C"/>
    <w:rsid w:val="004C5000"/>
    <w:rsid w:val="004C6E8A"/>
    <w:rsid w:val="004C7E1E"/>
    <w:rsid w:val="004D1A1F"/>
    <w:rsid w:val="004D1ED0"/>
    <w:rsid w:val="004D2FD4"/>
    <w:rsid w:val="004D4875"/>
    <w:rsid w:val="004D4BB0"/>
    <w:rsid w:val="004D6638"/>
    <w:rsid w:val="004E4051"/>
    <w:rsid w:val="004E5C5B"/>
    <w:rsid w:val="004E5E5E"/>
    <w:rsid w:val="004E6B05"/>
    <w:rsid w:val="004E7B37"/>
    <w:rsid w:val="004F03DF"/>
    <w:rsid w:val="004F3261"/>
    <w:rsid w:val="004F3756"/>
    <w:rsid w:val="004F4F1E"/>
    <w:rsid w:val="004F50C1"/>
    <w:rsid w:val="004F52F6"/>
    <w:rsid w:val="004F7D53"/>
    <w:rsid w:val="00500C32"/>
    <w:rsid w:val="0050168E"/>
    <w:rsid w:val="00502190"/>
    <w:rsid w:val="0050362C"/>
    <w:rsid w:val="005063FD"/>
    <w:rsid w:val="00512E38"/>
    <w:rsid w:val="0051415E"/>
    <w:rsid w:val="00514260"/>
    <w:rsid w:val="00517D4E"/>
    <w:rsid w:val="005208D6"/>
    <w:rsid w:val="00523363"/>
    <w:rsid w:val="00525194"/>
    <w:rsid w:val="00525F20"/>
    <w:rsid w:val="0052791A"/>
    <w:rsid w:val="00530719"/>
    <w:rsid w:val="0053075F"/>
    <w:rsid w:val="005327E2"/>
    <w:rsid w:val="0053301B"/>
    <w:rsid w:val="00533073"/>
    <w:rsid w:val="00533F5A"/>
    <w:rsid w:val="005340BA"/>
    <w:rsid w:val="00534C28"/>
    <w:rsid w:val="005353DB"/>
    <w:rsid w:val="00536E64"/>
    <w:rsid w:val="00536FBD"/>
    <w:rsid w:val="00537DC1"/>
    <w:rsid w:val="005416F2"/>
    <w:rsid w:val="00542164"/>
    <w:rsid w:val="005427BB"/>
    <w:rsid w:val="00544F02"/>
    <w:rsid w:val="00551571"/>
    <w:rsid w:val="00551D8F"/>
    <w:rsid w:val="00553E7B"/>
    <w:rsid w:val="0055441B"/>
    <w:rsid w:val="00557ED0"/>
    <w:rsid w:val="00560C3D"/>
    <w:rsid w:val="0056209A"/>
    <w:rsid w:val="005634B7"/>
    <w:rsid w:val="0056493E"/>
    <w:rsid w:val="00565A59"/>
    <w:rsid w:val="00565C69"/>
    <w:rsid w:val="00573EA4"/>
    <w:rsid w:val="005752C1"/>
    <w:rsid w:val="00580D60"/>
    <w:rsid w:val="00580E54"/>
    <w:rsid w:val="00581E1B"/>
    <w:rsid w:val="005822D5"/>
    <w:rsid w:val="00582E11"/>
    <w:rsid w:val="00583CE2"/>
    <w:rsid w:val="00590109"/>
    <w:rsid w:val="0059056D"/>
    <w:rsid w:val="00592F0D"/>
    <w:rsid w:val="00595C26"/>
    <w:rsid w:val="005967C4"/>
    <w:rsid w:val="00596B2C"/>
    <w:rsid w:val="00597FB2"/>
    <w:rsid w:val="005A108F"/>
    <w:rsid w:val="005A2AC3"/>
    <w:rsid w:val="005A2CA7"/>
    <w:rsid w:val="005A36E9"/>
    <w:rsid w:val="005A5D22"/>
    <w:rsid w:val="005B0F1B"/>
    <w:rsid w:val="005B118F"/>
    <w:rsid w:val="005B235E"/>
    <w:rsid w:val="005B559B"/>
    <w:rsid w:val="005B5D2A"/>
    <w:rsid w:val="005B78E5"/>
    <w:rsid w:val="005C01E0"/>
    <w:rsid w:val="005C0239"/>
    <w:rsid w:val="005C2B46"/>
    <w:rsid w:val="005C443B"/>
    <w:rsid w:val="005C4A64"/>
    <w:rsid w:val="005C703C"/>
    <w:rsid w:val="005C7840"/>
    <w:rsid w:val="005D09B3"/>
    <w:rsid w:val="005D1CBB"/>
    <w:rsid w:val="005D415C"/>
    <w:rsid w:val="005D5CB2"/>
    <w:rsid w:val="005D5D1D"/>
    <w:rsid w:val="005D6F5B"/>
    <w:rsid w:val="005E0A53"/>
    <w:rsid w:val="005E1F34"/>
    <w:rsid w:val="005E21D0"/>
    <w:rsid w:val="005E24A1"/>
    <w:rsid w:val="005E3894"/>
    <w:rsid w:val="005E4ADE"/>
    <w:rsid w:val="005E4E19"/>
    <w:rsid w:val="005F0A0B"/>
    <w:rsid w:val="005F199E"/>
    <w:rsid w:val="005F20F5"/>
    <w:rsid w:val="005F3D27"/>
    <w:rsid w:val="005F4ED0"/>
    <w:rsid w:val="005F5340"/>
    <w:rsid w:val="00601117"/>
    <w:rsid w:val="0060340C"/>
    <w:rsid w:val="006036C1"/>
    <w:rsid w:val="00604D41"/>
    <w:rsid w:val="00606E6A"/>
    <w:rsid w:val="00613C38"/>
    <w:rsid w:val="00613D96"/>
    <w:rsid w:val="00614D98"/>
    <w:rsid w:val="00616C43"/>
    <w:rsid w:val="00617E02"/>
    <w:rsid w:val="00623225"/>
    <w:rsid w:val="0062718D"/>
    <w:rsid w:val="006271B6"/>
    <w:rsid w:val="00631B33"/>
    <w:rsid w:val="006347AD"/>
    <w:rsid w:val="006352E1"/>
    <w:rsid w:val="006354F3"/>
    <w:rsid w:val="00635D23"/>
    <w:rsid w:val="00637541"/>
    <w:rsid w:val="00637711"/>
    <w:rsid w:val="00642311"/>
    <w:rsid w:val="0064394C"/>
    <w:rsid w:val="00644B73"/>
    <w:rsid w:val="00644EB4"/>
    <w:rsid w:val="006477C4"/>
    <w:rsid w:val="00650558"/>
    <w:rsid w:val="0065111F"/>
    <w:rsid w:val="00651386"/>
    <w:rsid w:val="00651532"/>
    <w:rsid w:val="00651F1F"/>
    <w:rsid w:val="006522CC"/>
    <w:rsid w:val="00652D96"/>
    <w:rsid w:val="00652FD4"/>
    <w:rsid w:val="006535F0"/>
    <w:rsid w:val="00654CE9"/>
    <w:rsid w:val="00656BC9"/>
    <w:rsid w:val="0065776C"/>
    <w:rsid w:val="00660780"/>
    <w:rsid w:val="006612A3"/>
    <w:rsid w:val="0066148B"/>
    <w:rsid w:val="00663DDE"/>
    <w:rsid w:val="00664389"/>
    <w:rsid w:val="006647CC"/>
    <w:rsid w:val="00665203"/>
    <w:rsid w:val="00665927"/>
    <w:rsid w:val="00666B9A"/>
    <w:rsid w:val="00670905"/>
    <w:rsid w:val="00670FC3"/>
    <w:rsid w:val="0067105C"/>
    <w:rsid w:val="0067119A"/>
    <w:rsid w:val="00675EA7"/>
    <w:rsid w:val="006774C2"/>
    <w:rsid w:val="00680806"/>
    <w:rsid w:val="00681A45"/>
    <w:rsid w:val="006827AB"/>
    <w:rsid w:val="006829DE"/>
    <w:rsid w:val="006830A6"/>
    <w:rsid w:val="00683EAB"/>
    <w:rsid w:val="00684E36"/>
    <w:rsid w:val="00685980"/>
    <w:rsid w:val="00685B92"/>
    <w:rsid w:val="00685FC3"/>
    <w:rsid w:val="00686C79"/>
    <w:rsid w:val="006906BE"/>
    <w:rsid w:val="00690A13"/>
    <w:rsid w:val="00691092"/>
    <w:rsid w:val="0069119F"/>
    <w:rsid w:val="006920DE"/>
    <w:rsid w:val="006923F2"/>
    <w:rsid w:val="00693425"/>
    <w:rsid w:val="00693D6F"/>
    <w:rsid w:val="00694CEE"/>
    <w:rsid w:val="00696BB3"/>
    <w:rsid w:val="006A0752"/>
    <w:rsid w:val="006A282A"/>
    <w:rsid w:val="006A551B"/>
    <w:rsid w:val="006A5B58"/>
    <w:rsid w:val="006A68DB"/>
    <w:rsid w:val="006A7CDF"/>
    <w:rsid w:val="006A7D88"/>
    <w:rsid w:val="006B036F"/>
    <w:rsid w:val="006B0A9D"/>
    <w:rsid w:val="006C02EC"/>
    <w:rsid w:val="006C1C06"/>
    <w:rsid w:val="006C2532"/>
    <w:rsid w:val="006C401B"/>
    <w:rsid w:val="006C4F94"/>
    <w:rsid w:val="006C592B"/>
    <w:rsid w:val="006C7618"/>
    <w:rsid w:val="006D05E2"/>
    <w:rsid w:val="006D1142"/>
    <w:rsid w:val="006D212A"/>
    <w:rsid w:val="006D2999"/>
    <w:rsid w:val="006D3C23"/>
    <w:rsid w:val="006D6A05"/>
    <w:rsid w:val="006D784A"/>
    <w:rsid w:val="006E0132"/>
    <w:rsid w:val="006E0367"/>
    <w:rsid w:val="006E0CDC"/>
    <w:rsid w:val="006E281B"/>
    <w:rsid w:val="006E5623"/>
    <w:rsid w:val="006E5A0A"/>
    <w:rsid w:val="006E7A0E"/>
    <w:rsid w:val="006E7A63"/>
    <w:rsid w:val="006F0D98"/>
    <w:rsid w:val="006F2CCA"/>
    <w:rsid w:val="006F2D6C"/>
    <w:rsid w:val="006F39BE"/>
    <w:rsid w:val="006F4B1B"/>
    <w:rsid w:val="006F5620"/>
    <w:rsid w:val="006F5C98"/>
    <w:rsid w:val="00702029"/>
    <w:rsid w:val="00702337"/>
    <w:rsid w:val="00703CD7"/>
    <w:rsid w:val="00704FFC"/>
    <w:rsid w:val="00705A5B"/>
    <w:rsid w:val="007063FE"/>
    <w:rsid w:val="00706DE2"/>
    <w:rsid w:val="007074D4"/>
    <w:rsid w:val="00707C86"/>
    <w:rsid w:val="00707FFE"/>
    <w:rsid w:val="00710523"/>
    <w:rsid w:val="00714367"/>
    <w:rsid w:val="007158BB"/>
    <w:rsid w:val="007165B2"/>
    <w:rsid w:val="00717EC4"/>
    <w:rsid w:val="00720F4E"/>
    <w:rsid w:val="00725AD6"/>
    <w:rsid w:val="0072653B"/>
    <w:rsid w:val="00726983"/>
    <w:rsid w:val="00726BFE"/>
    <w:rsid w:val="00730D82"/>
    <w:rsid w:val="00733355"/>
    <w:rsid w:val="00733F1B"/>
    <w:rsid w:val="00734BD1"/>
    <w:rsid w:val="00734DDA"/>
    <w:rsid w:val="00736173"/>
    <w:rsid w:val="0073634D"/>
    <w:rsid w:val="00736584"/>
    <w:rsid w:val="00736F27"/>
    <w:rsid w:val="00737F1F"/>
    <w:rsid w:val="0074047B"/>
    <w:rsid w:val="00740A0C"/>
    <w:rsid w:val="00741200"/>
    <w:rsid w:val="00741A05"/>
    <w:rsid w:val="007420A6"/>
    <w:rsid w:val="007430C5"/>
    <w:rsid w:val="00745F8B"/>
    <w:rsid w:val="007461D8"/>
    <w:rsid w:val="00747566"/>
    <w:rsid w:val="007478CC"/>
    <w:rsid w:val="00750E9A"/>
    <w:rsid w:val="00751583"/>
    <w:rsid w:val="00754159"/>
    <w:rsid w:val="00755386"/>
    <w:rsid w:val="00756553"/>
    <w:rsid w:val="00760179"/>
    <w:rsid w:val="00761712"/>
    <w:rsid w:val="00762005"/>
    <w:rsid w:val="00762564"/>
    <w:rsid w:val="00763B6C"/>
    <w:rsid w:val="00763D8A"/>
    <w:rsid w:val="00766E77"/>
    <w:rsid w:val="00770326"/>
    <w:rsid w:val="0077240D"/>
    <w:rsid w:val="00772C08"/>
    <w:rsid w:val="0077528B"/>
    <w:rsid w:val="00776AB3"/>
    <w:rsid w:val="00777112"/>
    <w:rsid w:val="0078042F"/>
    <w:rsid w:val="00780502"/>
    <w:rsid w:val="00780BB2"/>
    <w:rsid w:val="00783D09"/>
    <w:rsid w:val="00783F0F"/>
    <w:rsid w:val="00787001"/>
    <w:rsid w:val="0078770E"/>
    <w:rsid w:val="00793015"/>
    <w:rsid w:val="00793392"/>
    <w:rsid w:val="007938A2"/>
    <w:rsid w:val="00794D82"/>
    <w:rsid w:val="00796337"/>
    <w:rsid w:val="007A574A"/>
    <w:rsid w:val="007A7174"/>
    <w:rsid w:val="007A7CA9"/>
    <w:rsid w:val="007A7E1E"/>
    <w:rsid w:val="007B02F2"/>
    <w:rsid w:val="007B19DF"/>
    <w:rsid w:val="007B3FF8"/>
    <w:rsid w:val="007B4E0D"/>
    <w:rsid w:val="007B68B2"/>
    <w:rsid w:val="007B70F5"/>
    <w:rsid w:val="007B77FE"/>
    <w:rsid w:val="007C00C7"/>
    <w:rsid w:val="007C14C4"/>
    <w:rsid w:val="007C29B7"/>
    <w:rsid w:val="007C46F8"/>
    <w:rsid w:val="007C49C6"/>
    <w:rsid w:val="007C6776"/>
    <w:rsid w:val="007D28D5"/>
    <w:rsid w:val="007D2961"/>
    <w:rsid w:val="007D2B38"/>
    <w:rsid w:val="007D2F6F"/>
    <w:rsid w:val="007D3329"/>
    <w:rsid w:val="007D3DF8"/>
    <w:rsid w:val="007D7AE8"/>
    <w:rsid w:val="007D7B91"/>
    <w:rsid w:val="007E0AC2"/>
    <w:rsid w:val="007E2771"/>
    <w:rsid w:val="007E5E1B"/>
    <w:rsid w:val="007E5FBB"/>
    <w:rsid w:val="007E6AC1"/>
    <w:rsid w:val="007F0693"/>
    <w:rsid w:val="007F1724"/>
    <w:rsid w:val="007F24C3"/>
    <w:rsid w:val="007F279C"/>
    <w:rsid w:val="007F403E"/>
    <w:rsid w:val="007F471D"/>
    <w:rsid w:val="007F4E23"/>
    <w:rsid w:val="007F50FA"/>
    <w:rsid w:val="007F6076"/>
    <w:rsid w:val="007F6A3B"/>
    <w:rsid w:val="007F6FA2"/>
    <w:rsid w:val="007F7705"/>
    <w:rsid w:val="007F7AE0"/>
    <w:rsid w:val="00804282"/>
    <w:rsid w:val="008068FF"/>
    <w:rsid w:val="00806EE9"/>
    <w:rsid w:val="00806EF6"/>
    <w:rsid w:val="00807E3A"/>
    <w:rsid w:val="00810151"/>
    <w:rsid w:val="008109F1"/>
    <w:rsid w:val="008113F2"/>
    <w:rsid w:val="008124B4"/>
    <w:rsid w:val="00813F76"/>
    <w:rsid w:val="008142F6"/>
    <w:rsid w:val="00814811"/>
    <w:rsid w:val="00816245"/>
    <w:rsid w:val="00816C1D"/>
    <w:rsid w:val="0081769A"/>
    <w:rsid w:val="0082133B"/>
    <w:rsid w:val="00821466"/>
    <w:rsid w:val="00821D8A"/>
    <w:rsid w:val="00824DA1"/>
    <w:rsid w:val="0082666B"/>
    <w:rsid w:val="0082669F"/>
    <w:rsid w:val="00826EC0"/>
    <w:rsid w:val="008272D2"/>
    <w:rsid w:val="00830167"/>
    <w:rsid w:val="008303FC"/>
    <w:rsid w:val="00831911"/>
    <w:rsid w:val="0084597A"/>
    <w:rsid w:val="00845CE3"/>
    <w:rsid w:val="008515BE"/>
    <w:rsid w:val="008534CE"/>
    <w:rsid w:val="008535F4"/>
    <w:rsid w:val="00854801"/>
    <w:rsid w:val="008557EC"/>
    <w:rsid w:val="00855AFA"/>
    <w:rsid w:val="00856582"/>
    <w:rsid w:val="00861845"/>
    <w:rsid w:val="0086196A"/>
    <w:rsid w:val="00861DBD"/>
    <w:rsid w:val="00865F02"/>
    <w:rsid w:val="0086684E"/>
    <w:rsid w:val="00870132"/>
    <w:rsid w:val="00872507"/>
    <w:rsid w:val="00872FE2"/>
    <w:rsid w:val="00873ABE"/>
    <w:rsid w:val="00880F05"/>
    <w:rsid w:val="00882CD8"/>
    <w:rsid w:val="00882FEF"/>
    <w:rsid w:val="00883911"/>
    <w:rsid w:val="0088447B"/>
    <w:rsid w:val="0089038C"/>
    <w:rsid w:val="00890A68"/>
    <w:rsid w:val="008942F9"/>
    <w:rsid w:val="008952A1"/>
    <w:rsid w:val="00895A9E"/>
    <w:rsid w:val="008A1C4A"/>
    <w:rsid w:val="008A3801"/>
    <w:rsid w:val="008A47EF"/>
    <w:rsid w:val="008A5134"/>
    <w:rsid w:val="008A52DE"/>
    <w:rsid w:val="008A56A1"/>
    <w:rsid w:val="008A66AA"/>
    <w:rsid w:val="008A6D88"/>
    <w:rsid w:val="008A74A1"/>
    <w:rsid w:val="008B060E"/>
    <w:rsid w:val="008B223A"/>
    <w:rsid w:val="008B73DA"/>
    <w:rsid w:val="008B780B"/>
    <w:rsid w:val="008C1961"/>
    <w:rsid w:val="008C29C0"/>
    <w:rsid w:val="008C348F"/>
    <w:rsid w:val="008C39C2"/>
    <w:rsid w:val="008C4380"/>
    <w:rsid w:val="008C4769"/>
    <w:rsid w:val="008C5813"/>
    <w:rsid w:val="008C7E6A"/>
    <w:rsid w:val="008D0C5E"/>
    <w:rsid w:val="008D30D5"/>
    <w:rsid w:val="008D3311"/>
    <w:rsid w:val="008D369F"/>
    <w:rsid w:val="008D4A80"/>
    <w:rsid w:val="008D542E"/>
    <w:rsid w:val="008D5D24"/>
    <w:rsid w:val="008D5DB2"/>
    <w:rsid w:val="008D7D7C"/>
    <w:rsid w:val="008E01D2"/>
    <w:rsid w:val="008E0B48"/>
    <w:rsid w:val="008E24CE"/>
    <w:rsid w:val="008E2A70"/>
    <w:rsid w:val="008E3D80"/>
    <w:rsid w:val="008E465A"/>
    <w:rsid w:val="008E6745"/>
    <w:rsid w:val="008E796F"/>
    <w:rsid w:val="008F0E9E"/>
    <w:rsid w:val="008F1A7F"/>
    <w:rsid w:val="008F4087"/>
    <w:rsid w:val="008F5BCF"/>
    <w:rsid w:val="0090023D"/>
    <w:rsid w:val="009009AF"/>
    <w:rsid w:val="00901F6B"/>
    <w:rsid w:val="00903E38"/>
    <w:rsid w:val="00904376"/>
    <w:rsid w:val="00906528"/>
    <w:rsid w:val="00907848"/>
    <w:rsid w:val="00907B71"/>
    <w:rsid w:val="0091278F"/>
    <w:rsid w:val="00914837"/>
    <w:rsid w:val="00915537"/>
    <w:rsid w:val="009165AF"/>
    <w:rsid w:val="00916ABB"/>
    <w:rsid w:val="0092022E"/>
    <w:rsid w:val="0092041F"/>
    <w:rsid w:val="00920479"/>
    <w:rsid w:val="00921035"/>
    <w:rsid w:val="009210E4"/>
    <w:rsid w:val="00921D35"/>
    <w:rsid w:val="009226FA"/>
    <w:rsid w:val="009227FA"/>
    <w:rsid w:val="00922CE8"/>
    <w:rsid w:val="00923D50"/>
    <w:rsid w:val="00924A4E"/>
    <w:rsid w:val="00926C9C"/>
    <w:rsid w:val="009305AB"/>
    <w:rsid w:val="00930824"/>
    <w:rsid w:val="00932C75"/>
    <w:rsid w:val="009330A9"/>
    <w:rsid w:val="009332BC"/>
    <w:rsid w:val="0093737A"/>
    <w:rsid w:val="00942A79"/>
    <w:rsid w:val="00943329"/>
    <w:rsid w:val="0094352B"/>
    <w:rsid w:val="009458FC"/>
    <w:rsid w:val="009459E5"/>
    <w:rsid w:val="00946022"/>
    <w:rsid w:val="00947245"/>
    <w:rsid w:val="0095013D"/>
    <w:rsid w:val="009514E3"/>
    <w:rsid w:val="00951AFB"/>
    <w:rsid w:val="009529B5"/>
    <w:rsid w:val="00953002"/>
    <w:rsid w:val="00954024"/>
    <w:rsid w:val="009555D9"/>
    <w:rsid w:val="00956388"/>
    <w:rsid w:val="00956ECD"/>
    <w:rsid w:val="00961871"/>
    <w:rsid w:val="00964E55"/>
    <w:rsid w:val="009669C3"/>
    <w:rsid w:val="009679C3"/>
    <w:rsid w:val="009707B3"/>
    <w:rsid w:val="009716A2"/>
    <w:rsid w:val="009719D4"/>
    <w:rsid w:val="009733F6"/>
    <w:rsid w:val="0097408F"/>
    <w:rsid w:val="00974C2F"/>
    <w:rsid w:val="009768BC"/>
    <w:rsid w:val="0097799F"/>
    <w:rsid w:val="009802D0"/>
    <w:rsid w:val="00980E8D"/>
    <w:rsid w:val="009856CB"/>
    <w:rsid w:val="0098590F"/>
    <w:rsid w:val="00990CFE"/>
    <w:rsid w:val="009926E5"/>
    <w:rsid w:val="00994CEF"/>
    <w:rsid w:val="00995208"/>
    <w:rsid w:val="009A08D4"/>
    <w:rsid w:val="009A1C56"/>
    <w:rsid w:val="009A2D8A"/>
    <w:rsid w:val="009A4056"/>
    <w:rsid w:val="009A43EC"/>
    <w:rsid w:val="009A4E37"/>
    <w:rsid w:val="009A6569"/>
    <w:rsid w:val="009B053F"/>
    <w:rsid w:val="009B3399"/>
    <w:rsid w:val="009B351C"/>
    <w:rsid w:val="009B3E83"/>
    <w:rsid w:val="009B501D"/>
    <w:rsid w:val="009B5F0C"/>
    <w:rsid w:val="009B66D1"/>
    <w:rsid w:val="009C1EAE"/>
    <w:rsid w:val="009C28EC"/>
    <w:rsid w:val="009C3C0D"/>
    <w:rsid w:val="009C4240"/>
    <w:rsid w:val="009C484E"/>
    <w:rsid w:val="009C4D34"/>
    <w:rsid w:val="009C5499"/>
    <w:rsid w:val="009D0011"/>
    <w:rsid w:val="009D05B0"/>
    <w:rsid w:val="009D5291"/>
    <w:rsid w:val="009D6179"/>
    <w:rsid w:val="009D62C8"/>
    <w:rsid w:val="009D6662"/>
    <w:rsid w:val="009D7749"/>
    <w:rsid w:val="009D7B4B"/>
    <w:rsid w:val="009E0CD0"/>
    <w:rsid w:val="009E1F47"/>
    <w:rsid w:val="009E3CD7"/>
    <w:rsid w:val="009E5CA1"/>
    <w:rsid w:val="009E712A"/>
    <w:rsid w:val="009E7AA2"/>
    <w:rsid w:val="009F0C24"/>
    <w:rsid w:val="009F6ED0"/>
    <w:rsid w:val="009F7E0B"/>
    <w:rsid w:val="00A007C9"/>
    <w:rsid w:val="00A01B5B"/>
    <w:rsid w:val="00A03499"/>
    <w:rsid w:val="00A03540"/>
    <w:rsid w:val="00A05488"/>
    <w:rsid w:val="00A05B35"/>
    <w:rsid w:val="00A05FF6"/>
    <w:rsid w:val="00A060FB"/>
    <w:rsid w:val="00A06C97"/>
    <w:rsid w:val="00A076FD"/>
    <w:rsid w:val="00A10510"/>
    <w:rsid w:val="00A1109A"/>
    <w:rsid w:val="00A115FC"/>
    <w:rsid w:val="00A12DE4"/>
    <w:rsid w:val="00A1320A"/>
    <w:rsid w:val="00A14F01"/>
    <w:rsid w:val="00A1517E"/>
    <w:rsid w:val="00A152A1"/>
    <w:rsid w:val="00A157F1"/>
    <w:rsid w:val="00A17485"/>
    <w:rsid w:val="00A17CA3"/>
    <w:rsid w:val="00A20BF3"/>
    <w:rsid w:val="00A2126C"/>
    <w:rsid w:val="00A23542"/>
    <w:rsid w:val="00A261AE"/>
    <w:rsid w:val="00A26CF7"/>
    <w:rsid w:val="00A30096"/>
    <w:rsid w:val="00A32572"/>
    <w:rsid w:val="00A35452"/>
    <w:rsid w:val="00A365C3"/>
    <w:rsid w:val="00A365FD"/>
    <w:rsid w:val="00A40315"/>
    <w:rsid w:val="00A45166"/>
    <w:rsid w:val="00A45972"/>
    <w:rsid w:val="00A504DA"/>
    <w:rsid w:val="00A5527D"/>
    <w:rsid w:val="00A61F3D"/>
    <w:rsid w:val="00A64CD5"/>
    <w:rsid w:val="00A6548F"/>
    <w:rsid w:val="00A65A8C"/>
    <w:rsid w:val="00A7113B"/>
    <w:rsid w:val="00A73A97"/>
    <w:rsid w:val="00A753CF"/>
    <w:rsid w:val="00A76E76"/>
    <w:rsid w:val="00A82BE5"/>
    <w:rsid w:val="00A83012"/>
    <w:rsid w:val="00A8404C"/>
    <w:rsid w:val="00A85233"/>
    <w:rsid w:val="00A865C0"/>
    <w:rsid w:val="00A871A7"/>
    <w:rsid w:val="00A927AC"/>
    <w:rsid w:val="00A93D50"/>
    <w:rsid w:val="00A9447E"/>
    <w:rsid w:val="00A94659"/>
    <w:rsid w:val="00A963FC"/>
    <w:rsid w:val="00AA1031"/>
    <w:rsid w:val="00AA1F5A"/>
    <w:rsid w:val="00AA544E"/>
    <w:rsid w:val="00AA636A"/>
    <w:rsid w:val="00AA6AB5"/>
    <w:rsid w:val="00AA6E0B"/>
    <w:rsid w:val="00AA7245"/>
    <w:rsid w:val="00AB0560"/>
    <w:rsid w:val="00AB1085"/>
    <w:rsid w:val="00AB1B49"/>
    <w:rsid w:val="00AB25A5"/>
    <w:rsid w:val="00AB3267"/>
    <w:rsid w:val="00AB53F2"/>
    <w:rsid w:val="00AB73C9"/>
    <w:rsid w:val="00AB78E3"/>
    <w:rsid w:val="00AC2830"/>
    <w:rsid w:val="00AC4941"/>
    <w:rsid w:val="00AC5360"/>
    <w:rsid w:val="00AC5385"/>
    <w:rsid w:val="00AC74E8"/>
    <w:rsid w:val="00AD0510"/>
    <w:rsid w:val="00AD08AC"/>
    <w:rsid w:val="00AD2C8C"/>
    <w:rsid w:val="00AD7463"/>
    <w:rsid w:val="00AD7F8E"/>
    <w:rsid w:val="00AE0709"/>
    <w:rsid w:val="00AE1731"/>
    <w:rsid w:val="00AE2188"/>
    <w:rsid w:val="00AE22F5"/>
    <w:rsid w:val="00AE231D"/>
    <w:rsid w:val="00AE3A47"/>
    <w:rsid w:val="00AE3B38"/>
    <w:rsid w:val="00AF3A96"/>
    <w:rsid w:val="00AF44C0"/>
    <w:rsid w:val="00AF5BBF"/>
    <w:rsid w:val="00AF63C1"/>
    <w:rsid w:val="00AF7CAE"/>
    <w:rsid w:val="00B00662"/>
    <w:rsid w:val="00B01240"/>
    <w:rsid w:val="00B03EE1"/>
    <w:rsid w:val="00B040FF"/>
    <w:rsid w:val="00B0504A"/>
    <w:rsid w:val="00B05121"/>
    <w:rsid w:val="00B05D98"/>
    <w:rsid w:val="00B066D0"/>
    <w:rsid w:val="00B07045"/>
    <w:rsid w:val="00B1065F"/>
    <w:rsid w:val="00B110D5"/>
    <w:rsid w:val="00B11BED"/>
    <w:rsid w:val="00B12A20"/>
    <w:rsid w:val="00B135A0"/>
    <w:rsid w:val="00B149BB"/>
    <w:rsid w:val="00B158CC"/>
    <w:rsid w:val="00B16E54"/>
    <w:rsid w:val="00B17DEA"/>
    <w:rsid w:val="00B17E0B"/>
    <w:rsid w:val="00B21BC0"/>
    <w:rsid w:val="00B220CD"/>
    <w:rsid w:val="00B24BA8"/>
    <w:rsid w:val="00B27B60"/>
    <w:rsid w:val="00B27CD9"/>
    <w:rsid w:val="00B30353"/>
    <w:rsid w:val="00B31052"/>
    <w:rsid w:val="00B31129"/>
    <w:rsid w:val="00B31146"/>
    <w:rsid w:val="00B31921"/>
    <w:rsid w:val="00B328E3"/>
    <w:rsid w:val="00B33B8F"/>
    <w:rsid w:val="00B349E2"/>
    <w:rsid w:val="00B356EC"/>
    <w:rsid w:val="00B35C86"/>
    <w:rsid w:val="00B37EB6"/>
    <w:rsid w:val="00B41CB9"/>
    <w:rsid w:val="00B4268F"/>
    <w:rsid w:val="00B4491E"/>
    <w:rsid w:val="00B4542A"/>
    <w:rsid w:val="00B4564C"/>
    <w:rsid w:val="00B458A0"/>
    <w:rsid w:val="00B45F8F"/>
    <w:rsid w:val="00B46516"/>
    <w:rsid w:val="00B5154F"/>
    <w:rsid w:val="00B52BCA"/>
    <w:rsid w:val="00B53609"/>
    <w:rsid w:val="00B545CE"/>
    <w:rsid w:val="00B54F66"/>
    <w:rsid w:val="00B56D74"/>
    <w:rsid w:val="00B6092F"/>
    <w:rsid w:val="00B62B1C"/>
    <w:rsid w:val="00B63749"/>
    <w:rsid w:val="00B7026D"/>
    <w:rsid w:val="00B7148A"/>
    <w:rsid w:val="00B73C67"/>
    <w:rsid w:val="00B77869"/>
    <w:rsid w:val="00B77A2E"/>
    <w:rsid w:val="00B80B62"/>
    <w:rsid w:val="00B825F5"/>
    <w:rsid w:val="00B8393A"/>
    <w:rsid w:val="00B84615"/>
    <w:rsid w:val="00B849F3"/>
    <w:rsid w:val="00B8590A"/>
    <w:rsid w:val="00B85A38"/>
    <w:rsid w:val="00B85D9F"/>
    <w:rsid w:val="00B865AC"/>
    <w:rsid w:val="00B86B47"/>
    <w:rsid w:val="00B90ADB"/>
    <w:rsid w:val="00B91EAC"/>
    <w:rsid w:val="00B94CB2"/>
    <w:rsid w:val="00BA2E1E"/>
    <w:rsid w:val="00BA65CF"/>
    <w:rsid w:val="00BA7C14"/>
    <w:rsid w:val="00BB0A66"/>
    <w:rsid w:val="00BB1FED"/>
    <w:rsid w:val="00BB3507"/>
    <w:rsid w:val="00BB45F6"/>
    <w:rsid w:val="00BB5F4F"/>
    <w:rsid w:val="00BB70D3"/>
    <w:rsid w:val="00BC0D69"/>
    <w:rsid w:val="00BC207D"/>
    <w:rsid w:val="00BC28C8"/>
    <w:rsid w:val="00BC6E49"/>
    <w:rsid w:val="00BD0D23"/>
    <w:rsid w:val="00BD207F"/>
    <w:rsid w:val="00BD2A2E"/>
    <w:rsid w:val="00BD3B64"/>
    <w:rsid w:val="00BD636D"/>
    <w:rsid w:val="00BD7052"/>
    <w:rsid w:val="00BE0108"/>
    <w:rsid w:val="00BE19C1"/>
    <w:rsid w:val="00BE2D77"/>
    <w:rsid w:val="00BE33B5"/>
    <w:rsid w:val="00BE3A85"/>
    <w:rsid w:val="00BE4802"/>
    <w:rsid w:val="00BE5051"/>
    <w:rsid w:val="00BF1213"/>
    <w:rsid w:val="00BF1BEF"/>
    <w:rsid w:val="00BF214E"/>
    <w:rsid w:val="00BF2D02"/>
    <w:rsid w:val="00BF50EB"/>
    <w:rsid w:val="00BF5A80"/>
    <w:rsid w:val="00BF6017"/>
    <w:rsid w:val="00BF6CE6"/>
    <w:rsid w:val="00C005AB"/>
    <w:rsid w:val="00C010A7"/>
    <w:rsid w:val="00C01695"/>
    <w:rsid w:val="00C02669"/>
    <w:rsid w:val="00C02814"/>
    <w:rsid w:val="00C03AD1"/>
    <w:rsid w:val="00C03BA2"/>
    <w:rsid w:val="00C04A10"/>
    <w:rsid w:val="00C04A8E"/>
    <w:rsid w:val="00C0532B"/>
    <w:rsid w:val="00C057D0"/>
    <w:rsid w:val="00C05BB6"/>
    <w:rsid w:val="00C10CCA"/>
    <w:rsid w:val="00C121FC"/>
    <w:rsid w:val="00C1474F"/>
    <w:rsid w:val="00C14C17"/>
    <w:rsid w:val="00C15B06"/>
    <w:rsid w:val="00C15D9D"/>
    <w:rsid w:val="00C1610D"/>
    <w:rsid w:val="00C16826"/>
    <w:rsid w:val="00C17890"/>
    <w:rsid w:val="00C22B78"/>
    <w:rsid w:val="00C22E3B"/>
    <w:rsid w:val="00C262A3"/>
    <w:rsid w:val="00C26CA9"/>
    <w:rsid w:val="00C309F2"/>
    <w:rsid w:val="00C32747"/>
    <w:rsid w:val="00C32A86"/>
    <w:rsid w:val="00C338A9"/>
    <w:rsid w:val="00C34782"/>
    <w:rsid w:val="00C37DB1"/>
    <w:rsid w:val="00C4241F"/>
    <w:rsid w:val="00C42973"/>
    <w:rsid w:val="00C42A7F"/>
    <w:rsid w:val="00C42EE8"/>
    <w:rsid w:val="00C42FFF"/>
    <w:rsid w:val="00C430F7"/>
    <w:rsid w:val="00C43520"/>
    <w:rsid w:val="00C44089"/>
    <w:rsid w:val="00C44C12"/>
    <w:rsid w:val="00C4538C"/>
    <w:rsid w:val="00C46CB1"/>
    <w:rsid w:val="00C51347"/>
    <w:rsid w:val="00C51463"/>
    <w:rsid w:val="00C515C2"/>
    <w:rsid w:val="00C530B9"/>
    <w:rsid w:val="00C54593"/>
    <w:rsid w:val="00C54988"/>
    <w:rsid w:val="00C57822"/>
    <w:rsid w:val="00C57B35"/>
    <w:rsid w:val="00C63656"/>
    <w:rsid w:val="00C6428C"/>
    <w:rsid w:val="00C64D79"/>
    <w:rsid w:val="00C67498"/>
    <w:rsid w:val="00C709DF"/>
    <w:rsid w:val="00C71CAB"/>
    <w:rsid w:val="00C7287B"/>
    <w:rsid w:val="00C733E1"/>
    <w:rsid w:val="00C73674"/>
    <w:rsid w:val="00C74985"/>
    <w:rsid w:val="00C7702D"/>
    <w:rsid w:val="00C7770E"/>
    <w:rsid w:val="00C81845"/>
    <w:rsid w:val="00C81CAF"/>
    <w:rsid w:val="00C82066"/>
    <w:rsid w:val="00C824BB"/>
    <w:rsid w:val="00C837AE"/>
    <w:rsid w:val="00C84633"/>
    <w:rsid w:val="00C84814"/>
    <w:rsid w:val="00C849F7"/>
    <w:rsid w:val="00C85891"/>
    <w:rsid w:val="00C85FFA"/>
    <w:rsid w:val="00C928D8"/>
    <w:rsid w:val="00C929CB"/>
    <w:rsid w:val="00C93C40"/>
    <w:rsid w:val="00C959C2"/>
    <w:rsid w:val="00C95D24"/>
    <w:rsid w:val="00C97DE6"/>
    <w:rsid w:val="00CA1A30"/>
    <w:rsid w:val="00CA1B24"/>
    <w:rsid w:val="00CA3283"/>
    <w:rsid w:val="00CA43D5"/>
    <w:rsid w:val="00CA5D2F"/>
    <w:rsid w:val="00CA6329"/>
    <w:rsid w:val="00CA6A51"/>
    <w:rsid w:val="00CB0C44"/>
    <w:rsid w:val="00CB1E2A"/>
    <w:rsid w:val="00CB2157"/>
    <w:rsid w:val="00CB24B1"/>
    <w:rsid w:val="00CB3454"/>
    <w:rsid w:val="00CB44B3"/>
    <w:rsid w:val="00CB6B2A"/>
    <w:rsid w:val="00CB76B7"/>
    <w:rsid w:val="00CC0129"/>
    <w:rsid w:val="00CC0987"/>
    <w:rsid w:val="00CC4515"/>
    <w:rsid w:val="00CC4523"/>
    <w:rsid w:val="00CC5ECB"/>
    <w:rsid w:val="00CC6E2F"/>
    <w:rsid w:val="00CD0068"/>
    <w:rsid w:val="00CD192B"/>
    <w:rsid w:val="00CD517E"/>
    <w:rsid w:val="00CD5234"/>
    <w:rsid w:val="00CD606A"/>
    <w:rsid w:val="00CE0195"/>
    <w:rsid w:val="00CE1206"/>
    <w:rsid w:val="00CE1974"/>
    <w:rsid w:val="00CE1C36"/>
    <w:rsid w:val="00CE22E1"/>
    <w:rsid w:val="00CE461C"/>
    <w:rsid w:val="00CE6420"/>
    <w:rsid w:val="00CE7526"/>
    <w:rsid w:val="00CE7C23"/>
    <w:rsid w:val="00CF023A"/>
    <w:rsid w:val="00CF2120"/>
    <w:rsid w:val="00CF2883"/>
    <w:rsid w:val="00CF41A2"/>
    <w:rsid w:val="00CF4389"/>
    <w:rsid w:val="00D03181"/>
    <w:rsid w:val="00D0379A"/>
    <w:rsid w:val="00D04E35"/>
    <w:rsid w:val="00D05F7D"/>
    <w:rsid w:val="00D06278"/>
    <w:rsid w:val="00D06AC4"/>
    <w:rsid w:val="00D07628"/>
    <w:rsid w:val="00D109A4"/>
    <w:rsid w:val="00D144F9"/>
    <w:rsid w:val="00D148C7"/>
    <w:rsid w:val="00D20128"/>
    <w:rsid w:val="00D2088E"/>
    <w:rsid w:val="00D21212"/>
    <w:rsid w:val="00D22A36"/>
    <w:rsid w:val="00D22D23"/>
    <w:rsid w:val="00D23589"/>
    <w:rsid w:val="00D24006"/>
    <w:rsid w:val="00D248EC"/>
    <w:rsid w:val="00D258F5"/>
    <w:rsid w:val="00D31B31"/>
    <w:rsid w:val="00D3245A"/>
    <w:rsid w:val="00D32F06"/>
    <w:rsid w:val="00D33043"/>
    <w:rsid w:val="00D33DA4"/>
    <w:rsid w:val="00D345F5"/>
    <w:rsid w:val="00D34A8B"/>
    <w:rsid w:val="00D34B27"/>
    <w:rsid w:val="00D366ED"/>
    <w:rsid w:val="00D4103A"/>
    <w:rsid w:val="00D42BD4"/>
    <w:rsid w:val="00D42E88"/>
    <w:rsid w:val="00D438F8"/>
    <w:rsid w:val="00D439C0"/>
    <w:rsid w:val="00D443A2"/>
    <w:rsid w:val="00D4585A"/>
    <w:rsid w:val="00D475D9"/>
    <w:rsid w:val="00D51AE5"/>
    <w:rsid w:val="00D53303"/>
    <w:rsid w:val="00D54D7D"/>
    <w:rsid w:val="00D558C3"/>
    <w:rsid w:val="00D56AAD"/>
    <w:rsid w:val="00D603CC"/>
    <w:rsid w:val="00D604BA"/>
    <w:rsid w:val="00D61096"/>
    <w:rsid w:val="00D6133C"/>
    <w:rsid w:val="00D63B8A"/>
    <w:rsid w:val="00D6408A"/>
    <w:rsid w:val="00D64A9D"/>
    <w:rsid w:val="00D665B5"/>
    <w:rsid w:val="00D674DD"/>
    <w:rsid w:val="00D7114A"/>
    <w:rsid w:val="00D72374"/>
    <w:rsid w:val="00D7316D"/>
    <w:rsid w:val="00D73598"/>
    <w:rsid w:val="00D73672"/>
    <w:rsid w:val="00D74FA8"/>
    <w:rsid w:val="00D764BA"/>
    <w:rsid w:val="00D814D5"/>
    <w:rsid w:val="00D826F0"/>
    <w:rsid w:val="00D85344"/>
    <w:rsid w:val="00D8665F"/>
    <w:rsid w:val="00D905A6"/>
    <w:rsid w:val="00D92245"/>
    <w:rsid w:val="00D9354D"/>
    <w:rsid w:val="00D9682F"/>
    <w:rsid w:val="00DA0A6C"/>
    <w:rsid w:val="00DA0E6B"/>
    <w:rsid w:val="00DA1250"/>
    <w:rsid w:val="00DA1B98"/>
    <w:rsid w:val="00DA2FC3"/>
    <w:rsid w:val="00DA34CB"/>
    <w:rsid w:val="00DA4713"/>
    <w:rsid w:val="00DA5AD1"/>
    <w:rsid w:val="00DA6EF0"/>
    <w:rsid w:val="00DA7A02"/>
    <w:rsid w:val="00DB1A70"/>
    <w:rsid w:val="00DB6BA2"/>
    <w:rsid w:val="00DB7175"/>
    <w:rsid w:val="00DC00FE"/>
    <w:rsid w:val="00DC041A"/>
    <w:rsid w:val="00DC04AF"/>
    <w:rsid w:val="00DC1C79"/>
    <w:rsid w:val="00DC2FB2"/>
    <w:rsid w:val="00DC3F59"/>
    <w:rsid w:val="00DC5294"/>
    <w:rsid w:val="00DC6203"/>
    <w:rsid w:val="00DC664B"/>
    <w:rsid w:val="00DC7296"/>
    <w:rsid w:val="00DC74DE"/>
    <w:rsid w:val="00DD0063"/>
    <w:rsid w:val="00DD0792"/>
    <w:rsid w:val="00DD1EED"/>
    <w:rsid w:val="00DD2152"/>
    <w:rsid w:val="00DD32D4"/>
    <w:rsid w:val="00DD4898"/>
    <w:rsid w:val="00DD66F5"/>
    <w:rsid w:val="00DD6982"/>
    <w:rsid w:val="00DE17C8"/>
    <w:rsid w:val="00DE27F1"/>
    <w:rsid w:val="00DE2E7B"/>
    <w:rsid w:val="00DE37BC"/>
    <w:rsid w:val="00DE463F"/>
    <w:rsid w:val="00DE58C2"/>
    <w:rsid w:val="00DE59E1"/>
    <w:rsid w:val="00DE5E24"/>
    <w:rsid w:val="00DE66A3"/>
    <w:rsid w:val="00DE72A9"/>
    <w:rsid w:val="00DF0620"/>
    <w:rsid w:val="00DF093E"/>
    <w:rsid w:val="00DF38FC"/>
    <w:rsid w:val="00DF5608"/>
    <w:rsid w:val="00DF5C94"/>
    <w:rsid w:val="00DF5EFE"/>
    <w:rsid w:val="00DF6BED"/>
    <w:rsid w:val="00E02815"/>
    <w:rsid w:val="00E062DF"/>
    <w:rsid w:val="00E06A8B"/>
    <w:rsid w:val="00E11288"/>
    <w:rsid w:val="00E12517"/>
    <w:rsid w:val="00E13145"/>
    <w:rsid w:val="00E14522"/>
    <w:rsid w:val="00E168A9"/>
    <w:rsid w:val="00E172D3"/>
    <w:rsid w:val="00E17E18"/>
    <w:rsid w:val="00E219A4"/>
    <w:rsid w:val="00E22D5C"/>
    <w:rsid w:val="00E22DAF"/>
    <w:rsid w:val="00E2349A"/>
    <w:rsid w:val="00E24F68"/>
    <w:rsid w:val="00E26392"/>
    <w:rsid w:val="00E278D8"/>
    <w:rsid w:val="00E3254C"/>
    <w:rsid w:val="00E339EB"/>
    <w:rsid w:val="00E35E8F"/>
    <w:rsid w:val="00E36097"/>
    <w:rsid w:val="00E36D45"/>
    <w:rsid w:val="00E36D75"/>
    <w:rsid w:val="00E37651"/>
    <w:rsid w:val="00E37F88"/>
    <w:rsid w:val="00E42062"/>
    <w:rsid w:val="00E44B5E"/>
    <w:rsid w:val="00E4559D"/>
    <w:rsid w:val="00E458F3"/>
    <w:rsid w:val="00E464A3"/>
    <w:rsid w:val="00E46A5E"/>
    <w:rsid w:val="00E46E68"/>
    <w:rsid w:val="00E50432"/>
    <w:rsid w:val="00E50FF0"/>
    <w:rsid w:val="00E5210C"/>
    <w:rsid w:val="00E545B5"/>
    <w:rsid w:val="00E54F07"/>
    <w:rsid w:val="00E55573"/>
    <w:rsid w:val="00E56492"/>
    <w:rsid w:val="00E56C3D"/>
    <w:rsid w:val="00E5771A"/>
    <w:rsid w:val="00E57904"/>
    <w:rsid w:val="00E61C9E"/>
    <w:rsid w:val="00E63426"/>
    <w:rsid w:val="00E64898"/>
    <w:rsid w:val="00E6525D"/>
    <w:rsid w:val="00E6595B"/>
    <w:rsid w:val="00E71B5D"/>
    <w:rsid w:val="00E72022"/>
    <w:rsid w:val="00E7340A"/>
    <w:rsid w:val="00E75C1E"/>
    <w:rsid w:val="00E770D8"/>
    <w:rsid w:val="00E806D5"/>
    <w:rsid w:val="00E80C17"/>
    <w:rsid w:val="00E80DB8"/>
    <w:rsid w:val="00E812CB"/>
    <w:rsid w:val="00E82B04"/>
    <w:rsid w:val="00E83F75"/>
    <w:rsid w:val="00E86277"/>
    <w:rsid w:val="00E92EDD"/>
    <w:rsid w:val="00E94645"/>
    <w:rsid w:val="00E97203"/>
    <w:rsid w:val="00EA050E"/>
    <w:rsid w:val="00EA2D9C"/>
    <w:rsid w:val="00EA7E45"/>
    <w:rsid w:val="00EB03F2"/>
    <w:rsid w:val="00EB368D"/>
    <w:rsid w:val="00EB4571"/>
    <w:rsid w:val="00EB4E96"/>
    <w:rsid w:val="00EB5D66"/>
    <w:rsid w:val="00EB6997"/>
    <w:rsid w:val="00EB7781"/>
    <w:rsid w:val="00EB78B2"/>
    <w:rsid w:val="00EB7F18"/>
    <w:rsid w:val="00EC0A1F"/>
    <w:rsid w:val="00EC4FB1"/>
    <w:rsid w:val="00EC553E"/>
    <w:rsid w:val="00EC5DA3"/>
    <w:rsid w:val="00EC7B8F"/>
    <w:rsid w:val="00ED1199"/>
    <w:rsid w:val="00ED2E7B"/>
    <w:rsid w:val="00ED4DB9"/>
    <w:rsid w:val="00ED5551"/>
    <w:rsid w:val="00ED7BD8"/>
    <w:rsid w:val="00EE02C1"/>
    <w:rsid w:val="00EE06D3"/>
    <w:rsid w:val="00EE16AA"/>
    <w:rsid w:val="00EE18C0"/>
    <w:rsid w:val="00EE3D31"/>
    <w:rsid w:val="00EE4CDA"/>
    <w:rsid w:val="00EE5ABA"/>
    <w:rsid w:val="00EE5F1C"/>
    <w:rsid w:val="00EE6E0D"/>
    <w:rsid w:val="00EE7D93"/>
    <w:rsid w:val="00EE7F38"/>
    <w:rsid w:val="00EF0583"/>
    <w:rsid w:val="00EF198C"/>
    <w:rsid w:val="00EF2665"/>
    <w:rsid w:val="00EF3477"/>
    <w:rsid w:val="00EF432B"/>
    <w:rsid w:val="00EF4437"/>
    <w:rsid w:val="00EF4E6D"/>
    <w:rsid w:val="00F0012A"/>
    <w:rsid w:val="00F00D7B"/>
    <w:rsid w:val="00F0149F"/>
    <w:rsid w:val="00F033E3"/>
    <w:rsid w:val="00F035FB"/>
    <w:rsid w:val="00F0374A"/>
    <w:rsid w:val="00F037C8"/>
    <w:rsid w:val="00F03E60"/>
    <w:rsid w:val="00F0566F"/>
    <w:rsid w:val="00F066E5"/>
    <w:rsid w:val="00F1246C"/>
    <w:rsid w:val="00F127F2"/>
    <w:rsid w:val="00F12CEB"/>
    <w:rsid w:val="00F133B5"/>
    <w:rsid w:val="00F133F8"/>
    <w:rsid w:val="00F13F96"/>
    <w:rsid w:val="00F150AC"/>
    <w:rsid w:val="00F15734"/>
    <w:rsid w:val="00F1635E"/>
    <w:rsid w:val="00F229F4"/>
    <w:rsid w:val="00F23FAE"/>
    <w:rsid w:val="00F26102"/>
    <w:rsid w:val="00F27070"/>
    <w:rsid w:val="00F31517"/>
    <w:rsid w:val="00F317D4"/>
    <w:rsid w:val="00F31A87"/>
    <w:rsid w:val="00F33473"/>
    <w:rsid w:val="00F354B2"/>
    <w:rsid w:val="00F35911"/>
    <w:rsid w:val="00F4112F"/>
    <w:rsid w:val="00F418DA"/>
    <w:rsid w:val="00F42AB5"/>
    <w:rsid w:val="00F42F34"/>
    <w:rsid w:val="00F43869"/>
    <w:rsid w:val="00F43A55"/>
    <w:rsid w:val="00F43D13"/>
    <w:rsid w:val="00F443CF"/>
    <w:rsid w:val="00F4522B"/>
    <w:rsid w:val="00F45398"/>
    <w:rsid w:val="00F453A8"/>
    <w:rsid w:val="00F46812"/>
    <w:rsid w:val="00F46F04"/>
    <w:rsid w:val="00F51A82"/>
    <w:rsid w:val="00F51F2F"/>
    <w:rsid w:val="00F546FA"/>
    <w:rsid w:val="00F54B24"/>
    <w:rsid w:val="00F55569"/>
    <w:rsid w:val="00F562D0"/>
    <w:rsid w:val="00F57167"/>
    <w:rsid w:val="00F6151A"/>
    <w:rsid w:val="00F62EB1"/>
    <w:rsid w:val="00F6336F"/>
    <w:rsid w:val="00F63931"/>
    <w:rsid w:val="00F640BA"/>
    <w:rsid w:val="00F6481C"/>
    <w:rsid w:val="00F656C8"/>
    <w:rsid w:val="00F6679B"/>
    <w:rsid w:val="00F67002"/>
    <w:rsid w:val="00F674CD"/>
    <w:rsid w:val="00F709C5"/>
    <w:rsid w:val="00F70BB0"/>
    <w:rsid w:val="00F71703"/>
    <w:rsid w:val="00F71EEA"/>
    <w:rsid w:val="00F7230E"/>
    <w:rsid w:val="00F73FAA"/>
    <w:rsid w:val="00F7421B"/>
    <w:rsid w:val="00F756E7"/>
    <w:rsid w:val="00F764BF"/>
    <w:rsid w:val="00F8153B"/>
    <w:rsid w:val="00F819AC"/>
    <w:rsid w:val="00F81FFB"/>
    <w:rsid w:val="00F82826"/>
    <w:rsid w:val="00F828B6"/>
    <w:rsid w:val="00F8306A"/>
    <w:rsid w:val="00F8402B"/>
    <w:rsid w:val="00F85A3F"/>
    <w:rsid w:val="00F85DC4"/>
    <w:rsid w:val="00F87058"/>
    <w:rsid w:val="00F8748F"/>
    <w:rsid w:val="00F91649"/>
    <w:rsid w:val="00F92563"/>
    <w:rsid w:val="00F92857"/>
    <w:rsid w:val="00F93FF1"/>
    <w:rsid w:val="00F9516D"/>
    <w:rsid w:val="00FA0177"/>
    <w:rsid w:val="00FA39BE"/>
    <w:rsid w:val="00FA63AB"/>
    <w:rsid w:val="00FA6BCA"/>
    <w:rsid w:val="00FA714F"/>
    <w:rsid w:val="00FB0B6D"/>
    <w:rsid w:val="00FB3211"/>
    <w:rsid w:val="00FB3B9F"/>
    <w:rsid w:val="00FB40FB"/>
    <w:rsid w:val="00FB4152"/>
    <w:rsid w:val="00FB5F7F"/>
    <w:rsid w:val="00FB63EF"/>
    <w:rsid w:val="00FB6DF3"/>
    <w:rsid w:val="00FC02BC"/>
    <w:rsid w:val="00FC17EC"/>
    <w:rsid w:val="00FC2146"/>
    <w:rsid w:val="00FC214B"/>
    <w:rsid w:val="00FC22C9"/>
    <w:rsid w:val="00FC23DA"/>
    <w:rsid w:val="00FC5741"/>
    <w:rsid w:val="00FD2061"/>
    <w:rsid w:val="00FD36C2"/>
    <w:rsid w:val="00FD38CD"/>
    <w:rsid w:val="00FD78CF"/>
    <w:rsid w:val="00FD7ACA"/>
    <w:rsid w:val="00FD7D74"/>
    <w:rsid w:val="00FE0010"/>
    <w:rsid w:val="00FE15B4"/>
    <w:rsid w:val="00FE1F2F"/>
    <w:rsid w:val="00FE3808"/>
    <w:rsid w:val="00FF04DD"/>
    <w:rsid w:val="00FF0BFD"/>
    <w:rsid w:val="00FF17D8"/>
    <w:rsid w:val="00FF698C"/>
    <w:rsid w:val="00FF6FE4"/>
    <w:rsid w:val="00FF71C7"/>
    <w:rsid w:val="00FF7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43EE4"/>
  <w15:docId w15:val="{1F155C6D-791A-4B26-B60E-AE9341CD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D9F"/>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03BA2"/>
    <w:pPr>
      <w:keepNext/>
      <w:spacing w:before="360" w:after="240"/>
      <w:jc w:val="center"/>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1052"/>
    <w:pPr>
      <w:spacing w:before="100" w:beforeAutospacing="1" w:after="100" w:afterAutospacing="1"/>
    </w:pPr>
  </w:style>
  <w:style w:type="paragraph" w:customStyle="1" w:styleId="naisf">
    <w:name w:val="naisf"/>
    <w:basedOn w:val="Normal"/>
    <w:rsid w:val="00B31052"/>
    <w:pPr>
      <w:spacing w:before="75" w:after="75"/>
      <w:ind w:firstLine="375"/>
      <w:jc w:val="both"/>
    </w:pPr>
  </w:style>
  <w:style w:type="paragraph" w:customStyle="1" w:styleId="naisnod">
    <w:name w:val="naisnod"/>
    <w:basedOn w:val="Normal"/>
    <w:uiPriority w:val="99"/>
    <w:rsid w:val="00B31052"/>
    <w:pPr>
      <w:spacing w:before="150" w:after="150"/>
      <w:jc w:val="center"/>
    </w:pPr>
    <w:rPr>
      <w:b/>
      <w:bCs/>
    </w:rPr>
  </w:style>
  <w:style w:type="paragraph" w:customStyle="1" w:styleId="naislab">
    <w:name w:val="naislab"/>
    <w:basedOn w:val="Normal"/>
    <w:uiPriority w:val="99"/>
    <w:rsid w:val="00B31052"/>
    <w:pPr>
      <w:spacing w:before="75" w:after="75"/>
      <w:jc w:val="right"/>
    </w:pPr>
  </w:style>
  <w:style w:type="paragraph" w:customStyle="1" w:styleId="naiskr">
    <w:name w:val="naiskr"/>
    <w:basedOn w:val="Normal"/>
    <w:rsid w:val="00B31052"/>
    <w:pPr>
      <w:spacing w:before="75" w:after="75"/>
    </w:pPr>
  </w:style>
  <w:style w:type="paragraph" w:customStyle="1" w:styleId="naisc">
    <w:name w:val="naisc"/>
    <w:basedOn w:val="Normal"/>
    <w:rsid w:val="00B31052"/>
    <w:pPr>
      <w:spacing w:before="75" w:after="75"/>
      <w:jc w:val="center"/>
    </w:pPr>
  </w:style>
  <w:style w:type="paragraph" w:customStyle="1" w:styleId="tv213">
    <w:name w:val="tv213"/>
    <w:basedOn w:val="Normal"/>
    <w:rsid w:val="00B31052"/>
    <w:pPr>
      <w:spacing w:before="100" w:beforeAutospacing="1" w:after="100" w:afterAutospacing="1"/>
    </w:pPr>
  </w:style>
  <w:style w:type="paragraph" w:styleId="Header">
    <w:name w:val="header"/>
    <w:basedOn w:val="Normal"/>
    <w:link w:val="HeaderChar"/>
    <w:uiPriority w:val="99"/>
    <w:unhideWhenUsed/>
    <w:rsid w:val="00B31052"/>
    <w:pPr>
      <w:tabs>
        <w:tab w:val="center" w:pos="4153"/>
        <w:tab w:val="right" w:pos="8306"/>
      </w:tabs>
    </w:pPr>
  </w:style>
  <w:style w:type="character" w:customStyle="1" w:styleId="HeaderChar">
    <w:name w:val="Header Char"/>
    <w:basedOn w:val="DefaultParagraphFont"/>
    <w:link w:val="Header"/>
    <w:uiPriority w:val="99"/>
    <w:rsid w:val="00B3105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31052"/>
    <w:pPr>
      <w:tabs>
        <w:tab w:val="center" w:pos="4153"/>
        <w:tab w:val="right" w:pos="8306"/>
      </w:tabs>
    </w:pPr>
  </w:style>
  <w:style w:type="character" w:customStyle="1" w:styleId="FooterChar">
    <w:name w:val="Footer Char"/>
    <w:basedOn w:val="DefaultParagraphFont"/>
    <w:link w:val="Footer"/>
    <w:uiPriority w:val="99"/>
    <w:rsid w:val="00B31052"/>
    <w:rPr>
      <w:rFonts w:ascii="Times New Roman" w:eastAsia="Times New Roman" w:hAnsi="Times New Roman" w:cs="Times New Roman"/>
      <w:sz w:val="24"/>
      <w:szCs w:val="24"/>
      <w:lang w:eastAsia="lv-LV"/>
    </w:rPr>
  </w:style>
  <w:style w:type="paragraph" w:styleId="ListParagraph">
    <w:name w:val="List Paragraph"/>
    <w:aliases w:val="2,Strip,Párrafo de lista,Normal bullet 2,Bullet list,List Paragraph1"/>
    <w:basedOn w:val="Normal"/>
    <w:link w:val="ListParagraphChar"/>
    <w:uiPriority w:val="34"/>
    <w:qFormat/>
    <w:rsid w:val="00736173"/>
    <w:pPr>
      <w:spacing w:after="200" w:line="276" w:lineRule="auto"/>
      <w:ind w:left="720"/>
      <w:contextualSpacing/>
    </w:pPr>
    <w:rPr>
      <w:rFonts w:ascii="Calibri" w:hAnsi="Calibri"/>
      <w:sz w:val="22"/>
      <w:szCs w:val="22"/>
      <w:lang w:eastAsia="en-US"/>
    </w:rPr>
  </w:style>
  <w:style w:type="character" w:styleId="Hyperlink">
    <w:name w:val="Hyperlink"/>
    <w:uiPriority w:val="99"/>
    <w:semiHidden/>
    <w:rsid w:val="0026605C"/>
    <w:rPr>
      <w:rFonts w:cs="Times New Roman"/>
      <w:color w:val="0000FF"/>
      <w:u w:val="single"/>
    </w:rPr>
  </w:style>
  <w:style w:type="paragraph" w:styleId="CommentText">
    <w:name w:val="annotation text"/>
    <w:basedOn w:val="Normal"/>
    <w:link w:val="CommentTextChar"/>
    <w:uiPriority w:val="99"/>
    <w:unhideWhenUsed/>
    <w:rsid w:val="0026605C"/>
    <w:rPr>
      <w:sz w:val="20"/>
      <w:szCs w:val="20"/>
    </w:rPr>
  </w:style>
  <w:style w:type="character" w:customStyle="1" w:styleId="CommentTextChar">
    <w:name w:val="Comment Text Char"/>
    <w:basedOn w:val="DefaultParagraphFont"/>
    <w:link w:val="CommentText"/>
    <w:uiPriority w:val="99"/>
    <w:rsid w:val="0026605C"/>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0026A3"/>
    <w:rPr>
      <w:sz w:val="16"/>
      <w:szCs w:val="16"/>
    </w:rPr>
  </w:style>
  <w:style w:type="paragraph" w:styleId="BalloonText">
    <w:name w:val="Balloon Text"/>
    <w:basedOn w:val="Normal"/>
    <w:link w:val="BalloonTextChar"/>
    <w:uiPriority w:val="99"/>
    <w:semiHidden/>
    <w:unhideWhenUsed/>
    <w:rsid w:val="00002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A3"/>
    <w:rPr>
      <w:rFonts w:ascii="Segoe UI" w:eastAsia="Times New Roman" w:hAnsi="Segoe UI" w:cs="Segoe UI"/>
      <w:sz w:val="18"/>
      <w:szCs w:val="18"/>
      <w:lang w:eastAsia="lv-LV"/>
    </w:rPr>
  </w:style>
  <w:style w:type="paragraph" w:styleId="Revision">
    <w:name w:val="Revision"/>
    <w:hidden/>
    <w:uiPriority w:val="99"/>
    <w:semiHidden/>
    <w:rsid w:val="005D09B3"/>
    <w:pPr>
      <w:spacing w:after="0"/>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F31A87"/>
    <w:rPr>
      <w:b/>
      <w:bCs/>
    </w:rPr>
  </w:style>
  <w:style w:type="character" w:customStyle="1" w:styleId="CommentSubjectChar">
    <w:name w:val="Comment Subject Char"/>
    <w:basedOn w:val="CommentTextChar"/>
    <w:link w:val="CommentSubject"/>
    <w:uiPriority w:val="99"/>
    <w:semiHidden/>
    <w:rsid w:val="00F31A87"/>
    <w:rPr>
      <w:rFonts w:ascii="Times New Roman" w:eastAsia="Times New Roman" w:hAnsi="Times New Roman" w:cs="Times New Roman"/>
      <w:b/>
      <w:bCs/>
      <w:sz w:val="20"/>
      <w:szCs w:val="20"/>
      <w:lang w:eastAsia="lv-LV"/>
    </w:rPr>
  </w:style>
  <w:style w:type="paragraph" w:styleId="EnvelopeAddress">
    <w:name w:val="envelope address"/>
    <w:basedOn w:val="Normal"/>
    <w:next w:val="Subtitle"/>
    <w:rsid w:val="0045708A"/>
    <w:pPr>
      <w:keepNext/>
      <w:keepLines/>
      <w:widowControl w:val="0"/>
      <w:spacing w:before="60" w:after="60"/>
      <w:ind w:left="5103"/>
    </w:pPr>
    <w:rPr>
      <w:sz w:val="26"/>
      <w:szCs w:val="20"/>
      <w:lang w:eastAsia="en-US"/>
    </w:rPr>
  </w:style>
  <w:style w:type="paragraph" w:styleId="Subtitle">
    <w:name w:val="Subtitle"/>
    <w:basedOn w:val="Normal"/>
    <w:next w:val="Normal"/>
    <w:link w:val="SubtitleChar"/>
    <w:uiPriority w:val="11"/>
    <w:qFormat/>
    <w:rsid w:val="0045708A"/>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708A"/>
    <w:rPr>
      <w:rFonts w:eastAsiaTheme="minorEastAsia"/>
      <w:color w:val="5A5A5A" w:themeColor="text1" w:themeTint="A5"/>
      <w:spacing w:val="15"/>
      <w:lang w:eastAsia="lv-LV"/>
    </w:rPr>
  </w:style>
  <w:style w:type="table" w:styleId="TableGrid">
    <w:name w:val="Table Grid"/>
    <w:basedOn w:val="TableNormal"/>
    <w:rsid w:val="00D366ED"/>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5AC"/>
    <w:pPr>
      <w:autoSpaceDE w:val="0"/>
      <w:autoSpaceDN w:val="0"/>
      <w:adjustRightInd w:val="0"/>
      <w:spacing w:after="0"/>
    </w:pPr>
    <w:rPr>
      <w:rFonts w:ascii="Times New Roman" w:hAnsi="Times New Roman" w:cs="Times New Roman"/>
      <w:color w:val="000000"/>
      <w:sz w:val="24"/>
      <w:szCs w:val="24"/>
    </w:rPr>
  </w:style>
  <w:style w:type="character" w:customStyle="1" w:styleId="ColorfulList-Accent1Char">
    <w:name w:val="Colorful List - Accent 1 Char"/>
    <w:link w:val="ColorfulList-Accent1"/>
    <w:uiPriority w:val="34"/>
    <w:rsid w:val="007D7AE8"/>
    <w:rPr>
      <w:rFonts w:eastAsia="Calibri"/>
      <w:sz w:val="24"/>
      <w:szCs w:val="22"/>
      <w:lang w:val="lv-LV"/>
    </w:rPr>
  </w:style>
  <w:style w:type="table" w:styleId="ColorfulList-Accent1">
    <w:name w:val="Colorful List Accent 1"/>
    <w:basedOn w:val="TableNormal"/>
    <w:link w:val="ColorfulList-Accent1Char"/>
    <w:uiPriority w:val="34"/>
    <w:semiHidden/>
    <w:unhideWhenUsed/>
    <w:rsid w:val="007D7AE8"/>
    <w:pPr>
      <w:spacing w:after="0"/>
    </w:pPr>
    <w:rPr>
      <w:rFonts w:eastAsia="Calibri"/>
      <w:sz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rsid w:val="00C03BA2"/>
    <w:rPr>
      <w:rFonts w:ascii="Times New Roman" w:eastAsia="Times New Roman" w:hAnsi="Times New Roman" w:cs="Times New Roman"/>
      <w:b/>
      <w:color w:val="000000"/>
      <w:sz w:val="28"/>
      <w:szCs w:val="28"/>
      <w:lang w:eastAsia="lv-LV"/>
    </w:rPr>
  </w:style>
  <w:style w:type="paragraph" w:customStyle="1" w:styleId="Punkts1Lmenis">
    <w:name w:val="Punkts 1.Līmenis"/>
    <w:basedOn w:val="Normal"/>
    <w:link w:val="Punkts1LmenisChar"/>
    <w:qFormat/>
    <w:rsid w:val="006D3C23"/>
    <w:pPr>
      <w:keepLines/>
      <w:numPr>
        <w:numId w:val="1"/>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6D3C23"/>
    <w:pPr>
      <w:numPr>
        <w:ilvl w:val="1"/>
      </w:numPr>
      <w:tabs>
        <w:tab w:val="clear" w:pos="2468"/>
      </w:tabs>
      <w:ind w:left="1440" w:hanging="360"/>
    </w:pPr>
  </w:style>
  <w:style w:type="paragraph" w:customStyle="1" w:styleId="Punkts3Lmenis">
    <w:name w:val="Punkts 3.Līmenis"/>
    <w:basedOn w:val="Punkts2Lmenis"/>
    <w:qFormat/>
    <w:rsid w:val="006D3C23"/>
    <w:pPr>
      <w:numPr>
        <w:ilvl w:val="2"/>
      </w:numPr>
      <w:tabs>
        <w:tab w:val="clear" w:pos="2184"/>
      </w:tabs>
      <w:ind w:left="2160" w:hanging="180"/>
    </w:pPr>
    <w:rPr>
      <w:lang w:eastAsia="en-US"/>
    </w:rPr>
  </w:style>
  <w:style w:type="character" w:customStyle="1" w:styleId="Punkts1LmenisChar">
    <w:name w:val="Punkts 1.Līmenis Char"/>
    <w:link w:val="Punkts1Lmenis"/>
    <w:locked/>
    <w:rsid w:val="006D3C23"/>
    <w:rPr>
      <w:rFonts w:ascii="Times New Roman" w:eastAsia="Times New Roman" w:hAnsi="Times New Roman" w:cs="Times New Roman"/>
      <w:sz w:val="24"/>
      <w:szCs w:val="24"/>
      <w:shd w:val="clear" w:color="auto" w:fill="FFFFFF"/>
      <w:lang w:val="x-none" w:eastAsia="x-none"/>
    </w:rPr>
  </w:style>
  <w:style w:type="paragraph" w:customStyle="1" w:styleId="a">
    <w:name w:val="a"/>
    <w:basedOn w:val="Normal"/>
    <w:uiPriority w:val="99"/>
    <w:rsid w:val="00417014"/>
    <w:pPr>
      <w:spacing w:before="100" w:beforeAutospacing="1" w:after="100" w:afterAutospacing="1"/>
    </w:pPr>
    <w:rPr>
      <w:color w:val="306060"/>
    </w:rPr>
  </w:style>
  <w:style w:type="character" w:customStyle="1" w:styleId="Punkts2LmenisChar">
    <w:name w:val="Punkts 2.Līmenis Char"/>
    <w:link w:val="Punkts2Lmenis"/>
    <w:locked/>
    <w:rsid w:val="002B5E21"/>
    <w:rPr>
      <w:rFonts w:ascii="Times New Roman" w:eastAsia="Times New Roman" w:hAnsi="Times New Roman" w:cs="Times New Roman"/>
      <w:sz w:val="24"/>
      <w:szCs w:val="24"/>
      <w:shd w:val="clear" w:color="auto" w:fill="FFFFFF"/>
      <w:lang w:val="x-none" w:eastAsia="x-none"/>
    </w:rPr>
  </w:style>
  <w:style w:type="character" w:customStyle="1" w:styleId="apple-converted-space">
    <w:name w:val="apple-converted-space"/>
    <w:basedOn w:val="DefaultParagraphFont"/>
    <w:rsid w:val="00262EA4"/>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f"/>
    <w:basedOn w:val="Normal"/>
    <w:link w:val="FootnoteTextChar"/>
    <w:uiPriority w:val="99"/>
    <w:qFormat/>
    <w:rsid w:val="00796337"/>
    <w:pPr>
      <w:ind w:firstLine="567"/>
      <w:jc w:val="both"/>
    </w:pPr>
    <w:rPr>
      <w:sz w:val="20"/>
      <w:szCs w:val="20"/>
      <w:lang w:val="en-GB"/>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796337"/>
    <w:rPr>
      <w:rFonts w:ascii="Times New Roman" w:eastAsia="Times New Roman" w:hAnsi="Times New Roman" w:cs="Times New Roman"/>
      <w:sz w:val="20"/>
      <w:szCs w:val="20"/>
      <w:lang w:val="en-GB" w:eastAsia="lv-LV"/>
    </w:rPr>
  </w:style>
  <w:style w:type="character" w:styleId="PlaceholderText">
    <w:name w:val="Placeholder Text"/>
    <w:basedOn w:val="DefaultParagraphFont"/>
    <w:uiPriority w:val="99"/>
    <w:semiHidden/>
    <w:rsid w:val="00DA34CB"/>
    <w:rPr>
      <w:color w:val="808080"/>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link w:val="FootnoteRefernece"/>
    <w:uiPriority w:val="99"/>
    <w:qFormat/>
    <w:rsid w:val="00074AEF"/>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074AEF"/>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paragraph" w:styleId="BodyText">
    <w:name w:val="Body Text"/>
    <w:basedOn w:val="Normal"/>
    <w:link w:val="BodyTextChar"/>
    <w:rsid w:val="00FF698C"/>
    <w:pPr>
      <w:spacing w:before="150" w:after="75" w:line="270" w:lineRule="atLeast"/>
      <w:jc w:val="right"/>
    </w:pPr>
    <w:rPr>
      <w:b/>
      <w:sz w:val="28"/>
      <w:szCs w:val="20"/>
      <w:lang w:eastAsia="en-US"/>
    </w:rPr>
  </w:style>
  <w:style w:type="character" w:customStyle="1" w:styleId="BodyTextChar">
    <w:name w:val="Body Text Char"/>
    <w:basedOn w:val="DefaultParagraphFont"/>
    <w:link w:val="BodyText"/>
    <w:rsid w:val="00FF698C"/>
    <w:rPr>
      <w:rFonts w:ascii="Times New Roman" w:eastAsia="Times New Roman" w:hAnsi="Times New Roman" w:cs="Times New Roman"/>
      <w:b/>
      <w:sz w:val="28"/>
      <w:szCs w:val="20"/>
    </w:rPr>
  </w:style>
  <w:style w:type="character" w:customStyle="1" w:styleId="ListParagraphChar">
    <w:name w:val="List Paragraph Char"/>
    <w:aliases w:val="2 Char,Strip Char,Párrafo de lista Char,Normal bullet 2 Char,Bullet list Char,List Paragraph1 Char"/>
    <w:link w:val="ListParagraph"/>
    <w:uiPriority w:val="34"/>
    <w:locked/>
    <w:rsid w:val="002F20B0"/>
    <w:rPr>
      <w:rFonts w:ascii="Calibri" w:eastAsia="Times New Roman" w:hAnsi="Calibri" w:cs="Times New Roman"/>
    </w:rPr>
  </w:style>
  <w:style w:type="character" w:customStyle="1" w:styleId="Mention1">
    <w:name w:val="Mention1"/>
    <w:basedOn w:val="DefaultParagraphFont"/>
    <w:uiPriority w:val="99"/>
    <w:semiHidden/>
    <w:unhideWhenUsed/>
    <w:rsid w:val="0066148B"/>
    <w:rPr>
      <w:color w:val="2B579A"/>
      <w:shd w:val="clear" w:color="auto" w:fill="E6E6E6"/>
    </w:rPr>
  </w:style>
  <w:style w:type="character" w:customStyle="1" w:styleId="Mention2">
    <w:name w:val="Mention2"/>
    <w:basedOn w:val="DefaultParagraphFont"/>
    <w:uiPriority w:val="99"/>
    <w:semiHidden/>
    <w:unhideWhenUsed/>
    <w:rsid w:val="00397BBD"/>
    <w:rPr>
      <w:color w:val="2B579A"/>
      <w:shd w:val="clear" w:color="auto" w:fill="E6E6E6"/>
    </w:rPr>
  </w:style>
  <w:style w:type="character" w:styleId="Mention">
    <w:name w:val="Mention"/>
    <w:basedOn w:val="DefaultParagraphFont"/>
    <w:uiPriority w:val="99"/>
    <w:semiHidden/>
    <w:unhideWhenUsed/>
    <w:rsid w:val="006D2999"/>
    <w:rPr>
      <w:color w:val="2B579A"/>
      <w:shd w:val="clear" w:color="auto" w:fill="E6E6E6"/>
    </w:rPr>
  </w:style>
  <w:style w:type="paragraph" w:customStyle="1" w:styleId="h1">
    <w:name w:val="h1"/>
    <w:basedOn w:val="Normal"/>
    <w:uiPriority w:val="99"/>
    <w:rsid w:val="00631B33"/>
    <w:pPr>
      <w:spacing w:after="150"/>
    </w:pPr>
    <w:rPr>
      <w:color w:val="306060"/>
      <w:sz w:val="31"/>
      <w:szCs w:val="31"/>
    </w:rPr>
  </w:style>
  <w:style w:type="paragraph" w:customStyle="1" w:styleId="FootnoteText1">
    <w:name w:val="Footnote Text1"/>
    <w:basedOn w:val="Normal"/>
    <w:next w:val="FootnoteText"/>
    <w:uiPriority w:val="99"/>
    <w:semiHidden/>
    <w:unhideWhenUsed/>
    <w:rsid w:val="00322AEE"/>
    <w:pPr>
      <w:spacing w:after="0"/>
    </w:pPr>
    <w:rPr>
      <w:rFonts w:eastAsia="Calibri"/>
      <w:sz w:val="20"/>
      <w:szCs w:val="20"/>
      <w:lang w:eastAsia="en-US"/>
    </w:rPr>
  </w:style>
  <w:style w:type="character" w:styleId="UnresolvedMention">
    <w:name w:val="Unresolved Mention"/>
    <w:basedOn w:val="DefaultParagraphFont"/>
    <w:uiPriority w:val="99"/>
    <w:semiHidden/>
    <w:unhideWhenUsed/>
    <w:rsid w:val="00EB0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1462">
      <w:bodyDiv w:val="1"/>
      <w:marLeft w:val="0"/>
      <w:marRight w:val="0"/>
      <w:marTop w:val="0"/>
      <w:marBottom w:val="0"/>
      <w:divBdr>
        <w:top w:val="none" w:sz="0" w:space="0" w:color="auto"/>
        <w:left w:val="none" w:sz="0" w:space="0" w:color="auto"/>
        <w:bottom w:val="none" w:sz="0" w:space="0" w:color="auto"/>
        <w:right w:val="none" w:sz="0" w:space="0" w:color="auto"/>
      </w:divBdr>
    </w:div>
    <w:div w:id="32311264">
      <w:bodyDiv w:val="1"/>
      <w:marLeft w:val="0"/>
      <w:marRight w:val="0"/>
      <w:marTop w:val="0"/>
      <w:marBottom w:val="0"/>
      <w:divBdr>
        <w:top w:val="none" w:sz="0" w:space="0" w:color="auto"/>
        <w:left w:val="none" w:sz="0" w:space="0" w:color="auto"/>
        <w:bottom w:val="none" w:sz="0" w:space="0" w:color="auto"/>
        <w:right w:val="none" w:sz="0" w:space="0" w:color="auto"/>
      </w:divBdr>
    </w:div>
    <w:div w:id="75714426">
      <w:bodyDiv w:val="1"/>
      <w:marLeft w:val="0"/>
      <w:marRight w:val="0"/>
      <w:marTop w:val="0"/>
      <w:marBottom w:val="0"/>
      <w:divBdr>
        <w:top w:val="none" w:sz="0" w:space="0" w:color="auto"/>
        <w:left w:val="none" w:sz="0" w:space="0" w:color="auto"/>
        <w:bottom w:val="none" w:sz="0" w:space="0" w:color="auto"/>
        <w:right w:val="none" w:sz="0" w:space="0" w:color="auto"/>
      </w:divBdr>
    </w:div>
    <w:div w:id="152527296">
      <w:bodyDiv w:val="1"/>
      <w:marLeft w:val="0"/>
      <w:marRight w:val="0"/>
      <w:marTop w:val="0"/>
      <w:marBottom w:val="0"/>
      <w:divBdr>
        <w:top w:val="none" w:sz="0" w:space="0" w:color="auto"/>
        <w:left w:val="none" w:sz="0" w:space="0" w:color="auto"/>
        <w:bottom w:val="none" w:sz="0" w:space="0" w:color="auto"/>
        <w:right w:val="none" w:sz="0" w:space="0" w:color="auto"/>
      </w:divBdr>
    </w:div>
    <w:div w:id="159467565">
      <w:bodyDiv w:val="1"/>
      <w:marLeft w:val="0"/>
      <w:marRight w:val="0"/>
      <w:marTop w:val="0"/>
      <w:marBottom w:val="0"/>
      <w:divBdr>
        <w:top w:val="none" w:sz="0" w:space="0" w:color="auto"/>
        <w:left w:val="none" w:sz="0" w:space="0" w:color="auto"/>
        <w:bottom w:val="none" w:sz="0" w:space="0" w:color="auto"/>
        <w:right w:val="none" w:sz="0" w:space="0" w:color="auto"/>
      </w:divBdr>
    </w:div>
    <w:div w:id="224265075">
      <w:bodyDiv w:val="1"/>
      <w:marLeft w:val="0"/>
      <w:marRight w:val="0"/>
      <w:marTop w:val="0"/>
      <w:marBottom w:val="0"/>
      <w:divBdr>
        <w:top w:val="none" w:sz="0" w:space="0" w:color="auto"/>
        <w:left w:val="none" w:sz="0" w:space="0" w:color="auto"/>
        <w:bottom w:val="none" w:sz="0" w:space="0" w:color="auto"/>
        <w:right w:val="none" w:sz="0" w:space="0" w:color="auto"/>
      </w:divBdr>
    </w:div>
    <w:div w:id="224949892">
      <w:bodyDiv w:val="1"/>
      <w:marLeft w:val="0"/>
      <w:marRight w:val="0"/>
      <w:marTop w:val="0"/>
      <w:marBottom w:val="0"/>
      <w:divBdr>
        <w:top w:val="none" w:sz="0" w:space="0" w:color="auto"/>
        <w:left w:val="none" w:sz="0" w:space="0" w:color="auto"/>
        <w:bottom w:val="none" w:sz="0" w:space="0" w:color="auto"/>
        <w:right w:val="none" w:sz="0" w:space="0" w:color="auto"/>
      </w:divBdr>
    </w:div>
    <w:div w:id="277951018">
      <w:bodyDiv w:val="1"/>
      <w:marLeft w:val="0"/>
      <w:marRight w:val="0"/>
      <w:marTop w:val="0"/>
      <w:marBottom w:val="0"/>
      <w:divBdr>
        <w:top w:val="none" w:sz="0" w:space="0" w:color="auto"/>
        <w:left w:val="none" w:sz="0" w:space="0" w:color="auto"/>
        <w:bottom w:val="none" w:sz="0" w:space="0" w:color="auto"/>
        <w:right w:val="none" w:sz="0" w:space="0" w:color="auto"/>
      </w:divBdr>
    </w:div>
    <w:div w:id="485512177">
      <w:bodyDiv w:val="1"/>
      <w:marLeft w:val="0"/>
      <w:marRight w:val="0"/>
      <w:marTop w:val="0"/>
      <w:marBottom w:val="0"/>
      <w:divBdr>
        <w:top w:val="none" w:sz="0" w:space="0" w:color="auto"/>
        <w:left w:val="none" w:sz="0" w:space="0" w:color="auto"/>
        <w:bottom w:val="none" w:sz="0" w:space="0" w:color="auto"/>
        <w:right w:val="none" w:sz="0" w:space="0" w:color="auto"/>
      </w:divBdr>
    </w:div>
    <w:div w:id="558438413">
      <w:bodyDiv w:val="1"/>
      <w:marLeft w:val="0"/>
      <w:marRight w:val="0"/>
      <w:marTop w:val="0"/>
      <w:marBottom w:val="0"/>
      <w:divBdr>
        <w:top w:val="none" w:sz="0" w:space="0" w:color="auto"/>
        <w:left w:val="none" w:sz="0" w:space="0" w:color="auto"/>
        <w:bottom w:val="none" w:sz="0" w:space="0" w:color="auto"/>
        <w:right w:val="none" w:sz="0" w:space="0" w:color="auto"/>
      </w:divBdr>
    </w:div>
    <w:div w:id="615212618">
      <w:bodyDiv w:val="1"/>
      <w:marLeft w:val="0"/>
      <w:marRight w:val="0"/>
      <w:marTop w:val="0"/>
      <w:marBottom w:val="0"/>
      <w:divBdr>
        <w:top w:val="none" w:sz="0" w:space="0" w:color="auto"/>
        <w:left w:val="none" w:sz="0" w:space="0" w:color="auto"/>
        <w:bottom w:val="none" w:sz="0" w:space="0" w:color="auto"/>
        <w:right w:val="none" w:sz="0" w:space="0" w:color="auto"/>
      </w:divBdr>
    </w:div>
    <w:div w:id="622998482">
      <w:bodyDiv w:val="1"/>
      <w:marLeft w:val="0"/>
      <w:marRight w:val="0"/>
      <w:marTop w:val="0"/>
      <w:marBottom w:val="0"/>
      <w:divBdr>
        <w:top w:val="none" w:sz="0" w:space="0" w:color="auto"/>
        <w:left w:val="none" w:sz="0" w:space="0" w:color="auto"/>
        <w:bottom w:val="none" w:sz="0" w:space="0" w:color="auto"/>
        <w:right w:val="none" w:sz="0" w:space="0" w:color="auto"/>
      </w:divBdr>
    </w:div>
    <w:div w:id="715005168">
      <w:bodyDiv w:val="1"/>
      <w:marLeft w:val="0"/>
      <w:marRight w:val="0"/>
      <w:marTop w:val="0"/>
      <w:marBottom w:val="0"/>
      <w:divBdr>
        <w:top w:val="none" w:sz="0" w:space="0" w:color="auto"/>
        <w:left w:val="none" w:sz="0" w:space="0" w:color="auto"/>
        <w:bottom w:val="none" w:sz="0" w:space="0" w:color="auto"/>
        <w:right w:val="none" w:sz="0" w:space="0" w:color="auto"/>
      </w:divBdr>
    </w:div>
    <w:div w:id="762914771">
      <w:bodyDiv w:val="1"/>
      <w:marLeft w:val="0"/>
      <w:marRight w:val="0"/>
      <w:marTop w:val="0"/>
      <w:marBottom w:val="0"/>
      <w:divBdr>
        <w:top w:val="none" w:sz="0" w:space="0" w:color="auto"/>
        <w:left w:val="none" w:sz="0" w:space="0" w:color="auto"/>
        <w:bottom w:val="none" w:sz="0" w:space="0" w:color="auto"/>
        <w:right w:val="none" w:sz="0" w:space="0" w:color="auto"/>
      </w:divBdr>
    </w:div>
    <w:div w:id="774520172">
      <w:bodyDiv w:val="1"/>
      <w:marLeft w:val="0"/>
      <w:marRight w:val="0"/>
      <w:marTop w:val="0"/>
      <w:marBottom w:val="0"/>
      <w:divBdr>
        <w:top w:val="none" w:sz="0" w:space="0" w:color="auto"/>
        <w:left w:val="none" w:sz="0" w:space="0" w:color="auto"/>
        <w:bottom w:val="none" w:sz="0" w:space="0" w:color="auto"/>
        <w:right w:val="none" w:sz="0" w:space="0" w:color="auto"/>
      </w:divBdr>
    </w:div>
    <w:div w:id="884606807">
      <w:bodyDiv w:val="1"/>
      <w:marLeft w:val="0"/>
      <w:marRight w:val="0"/>
      <w:marTop w:val="0"/>
      <w:marBottom w:val="0"/>
      <w:divBdr>
        <w:top w:val="none" w:sz="0" w:space="0" w:color="auto"/>
        <w:left w:val="none" w:sz="0" w:space="0" w:color="auto"/>
        <w:bottom w:val="none" w:sz="0" w:space="0" w:color="auto"/>
        <w:right w:val="none" w:sz="0" w:space="0" w:color="auto"/>
      </w:divBdr>
    </w:div>
    <w:div w:id="1042483653">
      <w:bodyDiv w:val="1"/>
      <w:marLeft w:val="0"/>
      <w:marRight w:val="0"/>
      <w:marTop w:val="0"/>
      <w:marBottom w:val="0"/>
      <w:divBdr>
        <w:top w:val="none" w:sz="0" w:space="0" w:color="auto"/>
        <w:left w:val="none" w:sz="0" w:space="0" w:color="auto"/>
        <w:bottom w:val="none" w:sz="0" w:space="0" w:color="auto"/>
        <w:right w:val="none" w:sz="0" w:space="0" w:color="auto"/>
      </w:divBdr>
    </w:div>
    <w:div w:id="1117407349">
      <w:bodyDiv w:val="1"/>
      <w:marLeft w:val="0"/>
      <w:marRight w:val="0"/>
      <w:marTop w:val="0"/>
      <w:marBottom w:val="0"/>
      <w:divBdr>
        <w:top w:val="none" w:sz="0" w:space="0" w:color="auto"/>
        <w:left w:val="none" w:sz="0" w:space="0" w:color="auto"/>
        <w:bottom w:val="none" w:sz="0" w:space="0" w:color="auto"/>
        <w:right w:val="none" w:sz="0" w:space="0" w:color="auto"/>
      </w:divBdr>
    </w:div>
    <w:div w:id="1130512449">
      <w:bodyDiv w:val="1"/>
      <w:marLeft w:val="0"/>
      <w:marRight w:val="0"/>
      <w:marTop w:val="0"/>
      <w:marBottom w:val="0"/>
      <w:divBdr>
        <w:top w:val="none" w:sz="0" w:space="0" w:color="auto"/>
        <w:left w:val="none" w:sz="0" w:space="0" w:color="auto"/>
        <w:bottom w:val="none" w:sz="0" w:space="0" w:color="auto"/>
        <w:right w:val="none" w:sz="0" w:space="0" w:color="auto"/>
      </w:divBdr>
    </w:div>
    <w:div w:id="1291088554">
      <w:bodyDiv w:val="1"/>
      <w:marLeft w:val="0"/>
      <w:marRight w:val="0"/>
      <w:marTop w:val="0"/>
      <w:marBottom w:val="0"/>
      <w:divBdr>
        <w:top w:val="none" w:sz="0" w:space="0" w:color="auto"/>
        <w:left w:val="none" w:sz="0" w:space="0" w:color="auto"/>
        <w:bottom w:val="none" w:sz="0" w:space="0" w:color="auto"/>
        <w:right w:val="none" w:sz="0" w:space="0" w:color="auto"/>
      </w:divBdr>
    </w:div>
    <w:div w:id="1324043903">
      <w:bodyDiv w:val="1"/>
      <w:marLeft w:val="0"/>
      <w:marRight w:val="0"/>
      <w:marTop w:val="0"/>
      <w:marBottom w:val="0"/>
      <w:divBdr>
        <w:top w:val="none" w:sz="0" w:space="0" w:color="auto"/>
        <w:left w:val="none" w:sz="0" w:space="0" w:color="auto"/>
        <w:bottom w:val="none" w:sz="0" w:space="0" w:color="auto"/>
        <w:right w:val="none" w:sz="0" w:space="0" w:color="auto"/>
      </w:divBdr>
    </w:div>
    <w:div w:id="1420061558">
      <w:bodyDiv w:val="1"/>
      <w:marLeft w:val="0"/>
      <w:marRight w:val="0"/>
      <w:marTop w:val="0"/>
      <w:marBottom w:val="0"/>
      <w:divBdr>
        <w:top w:val="none" w:sz="0" w:space="0" w:color="auto"/>
        <w:left w:val="none" w:sz="0" w:space="0" w:color="auto"/>
        <w:bottom w:val="none" w:sz="0" w:space="0" w:color="auto"/>
        <w:right w:val="none" w:sz="0" w:space="0" w:color="auto"/>
      </w:divBdr>
    </w:div>
    <w:div w:id="1495297527">
      <w:bodyDiv w:val="1"/>
      <w:marLeft w:val="0"/>
      <w:marRight w:val="0"/>
      <w:marTop w:val="0"/>
      <w:marBottom w:val="0"/>
      <w:divBdr>
        <w:top w:val="none" w:sz="0" w:space="0" w:color="auto"/>
        <w:left w:val="none" w:sz="0" w:space="0" w:color="auto"/>
        <w:bottom w:val="none" w:sz="0" w:space="0" w:color="auto"/>
        <w:right w:val="none" w:sz="0" w:space="0" w:color="auto"/>
      </w:divBdr>
    </w:div>
    <w:div w:id="1563057143">
      <w:bodyDiv w:val="1"/>
      <w:marLeft w:val="0"/>
      <w:marRight w:val="0"/>
      <w:marTop w:val="0"/>
      <w:marBottom w:val="0"/>
      <w:divBdr>
        <w:top w:val="none" w:sz="0" w:space="0" w:color="auto"/>
        <w:left w:val="none" w:sz="0" w:space="0" w:color="auto"/>
        <w:bottom w:val="none" w:sz="0" w:space="0" w:color="auto"/>
        <w:right w:val="none" w:sz="0" w:space="0" w:color="auto"/>
      </w:divBdr>
    </w:div>
    <w:div w:id="1571498587">
      <w:bodyDiv w:val="1"/>
      <w:marLeft w:val="0"/>
      <w:marRight w:val="0"/>
      <w:marTop w:val="0"/>
      <w:marBottom w:val="0"/>
      <w:divBdr>
        <w:top w:val="none" w:sz="0" w:space="0" w:color="auto"/>
        <w:left w:val="none" w:sz="0" w:space="0" w:color="auto"/>
        <w:bottom w:val="none" w:sz="0" w:space="0" w:color="auto"/>
        <w:right w:val="none" w:sz="0" w:space="0" w:color="auto"/>
      </w:divBdr>
    </w:div>
    <w:div w:id="1660502704">
      <w:bodyDiv w:val="1"/>
      <w:marLeft w:val="0"/>
      <w:marRight w:val="0"/>
      <w:marTop w:val="0"/>
      <w:marBottom w:val="0"/>
      <w:divBdr>
        <w:top w:val="none" w:sz="0" w:space="0" w:color="auto"/>
        <w:left w:val="none" w:sz="0" w:space="0" w:color="auto"/>
        <w:bottom w:val="none" w:sz="0" w:space="0" w:color="auto"/>
        <w:right w:val="none" w:sz="0" w:space="0" w:color="auto"/>
      </w:divBdr>
    </w:div>
    <w:div w:id="1662999876">
      <w:bodyDiv w:val="1"/>
      <w:marLeft w:val="0"/>
      <w:marRight w:val="0"/>
      <w:marTop w:val="0"/>
      <w:marBottom w:val="0"/>
      <w:divBdr>
        <w:top w:val="none" w:sz="0" w:space="0" w:color="auto"/>
        <w:left w:val="none" w:sz="0" w:space="0" w:color="auto"/>
        <w:bottom w:val="none" w:sz="0" w:space="0" w:color="auto"/>
        <w:right w:val="none" w:sz="0" w:space="0" w:color="auto"/>
      </w:divBdr>
    </w:div>
    <w:div w:id="1727604603">
      <w:bodyDiv w:val="1"/>
      <w:marLeft w:val="0"/>
      <w:marRight w:val="0"/>
      <w:marTop w:val="0"/>
      <w:marBottom w:val="0"/>
      <w:divBdr>
        <w:top w:val="none" w:sz="0" w:space="0" w:color="auto"/>
        <w:left w:val="none" w:sz="0" w:space="0" w:color="auto"/>
        <w:bottom w:val="none" w:sz="0" w:space="0" w:color="auto"/>
        <w:right w:val="none" w:sz="0" w:space="0" w:color="auto"/>
      </w:divBdr>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
    <w:div w:id="2045665794">
      <w:bodyDiv w:val="1"/>
      <w:marLeft w:val="0"/>
      <w:marRight w:val="0"/>
      <w:marTop w:val="0"/>
      <w:marBottom w:val="0"/>
      <w:divBdr>
        <w:top w:val="none" w:sz="0" w:space="0" w:color="auto"/>
        <w:left w:val="none" w:sz="0" w:space="0" w:color="auto"/>
        <w:bottom w:val="none" w:sz="0" w:space="0" w:color="auto"/>
        <w:right w:val="none" w:sz="0" w:space="0" w:color="auto"/>
      </w:divBdr>
    </w:div>
    <w:div w:id="20858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Engelis@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E561-591A-40C5-A867-F83D95B3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7</Pages>
  <Words>9876</Words>
  <Characters>5630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Nepieciešamā finansējuma apmēra aprēķināšanas un piešķiršanas kārtība pievienotās vērtības nodokļa summas, kas nav atgūstama kā priekšnodoklis, kompensācijai Igaunijai un Lietuvai AS “RB Rail” veikto aktivitāšu ietvaros</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Nepieciešamā finansējuma apmēra aprēķināšanas un piešķiršanas kārtība pievienotās vērtības nodokļa summas, kas nav atgūstama kā priekšnodoklis, kompensācijai Igaunijai un Lietuvai AS “RB Rail” veikto aktivitāšu ietvaros</dc:title>
  <dc:creator>Karlis.Engelis@sam.gov.lv</dc:creator>
  <cp:keywords>Izziņa</cp:keywords>
  <dc:description>Karlis.Engelis@sam.gov.lv, 67028229</dc:description>
  <cp:lastModifiedBy>Ineta Vula</cp:lastModifiedBy>
  <cp:revision>24</cp:revision>
  <cp:lastPrinted>2019-04-18T10:35:00Z</cp:lastPrinted>
  <dcterms:created xsi:type="dcterms:W3CDTF">2020-03-24T15:20:00Z</dcterms:created>
  <dcterms:modified xsi:type="dcterms:W3CDTF">2020-03-26T10:04:00Z</dcterms:modified>
</cp:coreProperties>
</file>