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B3" w:rsidRPr="001D0C02" w:rsidRDefault="002C4AB3" w:rsidP="0017696A">
      <w:pPr>
        <w:pStyle w:val="Parasts1"/>
        <w:jc w:val="center"/>
        <w:rPr>
          <w:b/>
          <w:sz w:val="28"/>
          <w:szCs w:val="28"/>
        </w:rPr>
      </w:pPr>
      <w:r w:rsidRPr="001D0C02">
        <w:rPr>
          <w:b/>
          <w:sz w:val="28"/>
          <w:szCs w:val="28"/>
        </w:rPr>
        <w:t>Izziņa par atzinum</w:t>
      </w:r>
      <w:r w:rsidR="006F3FF0" w:rsidRPr="001D0C02">
        <w:rPr>
          <w:b/>
          <w:sz w:val="28"/>
          <w:szCs w:val="28"/>
        </w:rPr>
        <w:t>os</w:t>
      </w:r>
      <w:r w:rsidR="00A57A75">
        <w:rPr>
          <w:b/>
          <w:sz w:val="28"/>
          <w:szCs w:val="28"/>
        </w:rPr>
        <w:t xml:space="preserve"> </w:t>
      </w:r>
      <w:r w:rsidRPr="001D0C02">
        <w:rPr>
          <w:b/>
          <w:sz w:val="28"/>
          <w:szCs w:val="28"/>
        </w:rPr>
        <w:t>sniegt</w:t>
      </w:r>
      <w:r w:rsidR="00AE5F9C" w:rsidRPr="001D0C02">
        <w:rPr>
          <w:b/>
          <w:sz w:val="28"/>
          <w:szCs w:val="28"/>
        </w:rPr>
        <w:t>ajiem</w:t>
      </w:r>
      <w:r w:rsidRPr="001D0C02">
        <w:rPr>
          <w:b/>
          <w:sz w:val="28"/>
          <w:szCs w:val="28"/>
        </w:rPr>
        <w:t xml:space="preserve"> iebildum</w:t>
      </w:r>
      <w:r w:rsidR="00AE5F9C" w:rsidRPr="001D0C02">
        <w:rPr>
          <w:b/>
          <w:sz w:val="28"/>
          <w:szCs w:val="28"/>
        </w:rPr>
        <w:t>iem</w:t>
      </w:r>
    </w:p>
    <w:tbl>
      <w:tblPr>
        <w:tblW w:w="0" w:type="auto"/>
        <w:jc w:val="center"/>
        <w:tblCellSpacing w:w="0" w:type="dxa"/>
        <w:tblCellMar>
          <w:left w:w="0" w:type="dxa"/>
          <w:right w:w="0" w:type="dxa"/>
        </w:tblCellMar>
        <w:tblLook w:val="0000" w:firstRow="0" w:lastRow="0" w:firstColumn="0" w:lastColumn="0" w:noHBand="0" w:noVBand="0"/>
      </w:tblPr>
      <w:tblGrid>
        <w:gridCol w:w="10185"/>
      </w:tblGrid>
      <w:tr w:rsidR="002C4AB3" w:rsidRPr="001D0C02" w:rsidTr="0017696A">
        <w:trPr>
          <w:tblCellSpacing w:w="0" w:type="dxa"/>
          <w:jc w:val="center"/>
        </w:trPr>
        <w:tc>
          <w:tcPr>
            <w:tcW w:w="10185" w:type="dxa"/>
          </w:tcPr>
          <w:p w:rsidR="002C4AB3" w:rsidRPr="001D0C02" w:rsidRDefault="00EE42EC" w:rsidP="0017696A">
            <w:pPr>
              <w:pStyle w:val="Parasts1"/>
              <w:jc w:val="center"/>
              <w:rPr>
                <w:b/>
                <w:sz w:val="28"/>
                <w:szCs w:val="28"/>
              </w:rPr>
            </w:pPr>
            <w:r>
              <w:rPr>
                <w:b/>
                <w:sz w:val="28"/>
                <w:szCs w:val="28"/>
              </w:rPr>
              <w:t xml:space="preserve">par </w:t>
            </w:r>
            <w:r w:rsidR="00831EFD" w:rsidRPr="001D0C02">
              <w:rPr>
                <w:b/>
                <w:sz w:val="28"/>
                <w:szCs w:val="28"/>
              </w:rPr>
              <w:t>Ministru kabineta noteikumu</w:t>
            </w:r>
            <w:r w:rsidR="006F3FF0" w:rsidRPr="001D0C02">
              <w:rPr>
                <w:b/>
                <w:sz w:val="28"/>
                <w:szCs w:val="28"/>
              </w:rPr>
              <w:t xml:space="preserve"> projekt</w:t>
            </w:r>
            <w:r>
              <w:rPr>
                <w:b/>
                <w:sz w:val="28"/>
                <w:szCs w:val="28"/>
              </w:rPr>
              <w:t>u</w:t>
            </w:r>
            <w:r w:rsidR="006F3FF0" w:rsidRPr="001D0C02">
              <w:rPr>
                <w:b/>
                <w:sz w:val="28"/>
                <w:szCs w:val="28"/>
              </w:rPr>
              <w:t xml:space="preserve"> </w:t>
            </w:r>
            <w:r w:rsidR="00A57A75" w:rsidRPr="00E145AD">
              <w:rPr>
                <w:b/>
                <w:sz w:val="28"/>
                <w:szCs w:val="28"/>
              </w:rPr>
              <w:t>„</w:t>
            </w:r>
            <w:r w:rsidR="00727992">
              <w:rPr>
                <w:b/>
                <w:bCs/>
                <w:sz w:val="28"/>
                <w:szCs w:val="28"/>
              </w:rPr>
              <w:t>Grozījumi Ministru kabineta 2015. gada 3. februāra noteikumos Nr. 59 „</w:t>
            </w:r>
            <w:r w:rsidR="00727992">
              <w:rPr>
                <w:b/>
                <w:bCs/>
                <w:color w:val="000000"/>
                <w:sz w:val="28"/>
                <w:szCs w:val="28"/>
              </w:rPr>
              <w:t>V</w:t>
            </w:r>
            <w:r w:rsidR="00727992" w:rsidRPr="00D86256">
              <w:rPr>
                <w:b/>
                <w:bCs/>
                <w:color w:val="000000"/>
                <w:sz w:val="28"/>
                <w:szCs w:val="28"/>
              </w:rPr>
              <w:t>alsts un Eiropas Savienības atbalsta piešķiršan</w:t>
            </w:r>
            <w:r w:rsidR="00727992">
              <w:rPr>
                <w:b/>
                <w:bCs/>
                <w:color w:val="000000"/>
                <w:sz w:val="28"/>
                <w:szCs w:val="28"/>
              </w:rPr>
              <w:t>as kārtība</w:t>
            </w:r>
            <w:r w:rsidR="00727992" w:rsidRPr="00D86256">
              <w:rPr>
                <w:b/>
                <w:bCs/>
                <w:color w:val="000000"/>
                <w:sz w:val="28"/>
                <w:szCs w:val="28"/>
              </w:rPr>
              <w:t xml:space="preserve"> investīciju veicināšanai lauksaimniecībā</w:t>
            </w:r>
            <w:r w:rsidR="00727992">
              <w:rPr>
                <w:b/>
                <w:bCs/>
                <w:sz w:val="28"/>
                <w:szCs w:val="28"/>
              </w:rPr>
              <w:t>”</w:t>
            </w:r>
            <w:r w:rsidR="00A57A75" w:rsidRPr="00E145AD">
              <w:rPr>
                <w:b/>
                <w:sz w:val="28"/>
                <w:szCs w:val="28"/>
              </w:rPr>
              <w:t>”</w:t>
            </w:r>
          </w:p>
        </w:tc>
        <w:bookmarkStart w:id="0" w:name="_GoBack"/>
        <w:bookmarkEnd w:id="0"/>
      </w:tr>
    </w:tbl>
    <w:p w:rsidR="0017696A" w:rsidRDefault="0017696A" w:rsidP="00E536CD">
      <w:pPr>
        <w:pStyle w:val="naislab"/>
        <w:jc w:val="both"/>
        <w:rPr>
          <w:b/>
          <w:sz w:val="28"/>
          <w:szCs w:val="28"/>
        </w:rPr>
      </w:pPr>
    </w:p>
    <w:p w:rsidR="002C4AB3" w:rsidRPr="0017696A" w:rsidRDefault="002C4AB3" w:rsidP="00E536CD">
      <w:pPr>
        <w:pStyle w:val="naislab"/>
        <w:jc w:val="both"/>
        <w:rPr>
          <w:b/>
          <w:sz w:val="28"/>
          <w:szCs w:val="28"/>
        </w:rPr>
      </w:pPr>
      <w:r w:rsidRPr="00E11505">
        <w:rPr>
          <w:b/>
          <w:sz w:val="28"/>
          <w:szCs w:val="28"/>
        </w:rPr>
        <w:t> </w:t>
      </w:r>
      <w:r w:rsidRPr="00616213">
        <w:rPr>
          <w:b/>
        </w:rPr>
        <w:t>I. Jautājumi, par kuriem saskaņošanā vienošanās nav panākta</w:t>
      </w:r>
    </w:p>
    <w:tbl>
      <w:tblPr>
        <w:tblW w:w="144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16"/>
        <w:gridCol w:w="3135"/>
        <w:gridCol w:w="3166"/>
        <w:gridCol w:w="3014"/>
        <w:gridCol w:w="2511"/>
        <w:gridCol w:w="1933"/>
      </w:tblGrid>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 Nr.</w:t>
            </w:r>
            <w:r>
              <w:br/>
              <w:t> p.k.</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Saskaņošanai nosūtītā projekta redakcija (konkrēta punkta (panta) redakcija)</w:t>
            </w:r>
          </w:p>
        </w:tc>
        <w:tc>
          <w:tcPr>
            <w:tcW w:w="3166"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3014"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Atbildīgās ministrijas pamatojums iebilduma noraidījumam</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Atzinuma sniedzēja uzturētais iebildums, ja tas atšķiras no atzinumā norādītā iebilduma pamatojuma</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2C4AB3" w:rsidP="002C4AB3">
            <w:pPr>
              <w:pStyle w:val="Parasts1"/>
              <w:jc w:val="both"/>
            </w:pPr>
            <w:r>
              <w:t>Projekta attiecīgā punkta (panta) galīgā redakcija</w:t>
            </w:r>
          </w:p>
        </w:tc>
      </w:tr>
      <w:tr w:rsidR="002C4AB3">
        <w:trPr>
          <w:tblCellSpacing w:w="0" w:type="dxa"/>
        </w:trPr>
        <w:tc>
          <w:tcPr>
            <w:tcW w:w="71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1</w:t>
            </w:r>
          </w:p>
        </w:tc>
        <w:tc>
          <w:tcPr>
            <w:tcW w:w="3135"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2</w:t>
            </w:r>
          </w:p>
        </w:tc>
        <w:tc>
          <w:tcPr>
            <w:tcW w:w="3166"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3</w:t>
            </w:r>
          </w:p>
        </w:tc>
        <w:tc>
          <w:tcPr>
            <w:tcW w:w="3014"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4</w:t>
            </w:r>
          </w:p>
        </w:tc>
        <w:tc>
          <w:tcPr>
            <w:tcW w:w="2511"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5</w:t>
            </w:r>
          </w:p>
        </w:tc>
        <w:tc>
          <w:tcPr>
            <w:tcW w:w="1933" w:type="dxa"/>
            <w:tcBorders>
              <w:top w:val="single" w:sz="6" w:space="0" w:color="808080"/>
              <w:left w:val="single" w:sz="6" w:space="0" w:color="808080"/>
              <w:bottom w:val="single" w:sz="6" w:space="0" w:color="808080"/>
              <w:right w:val="single" w:sz="6" w:space="0" w:color="808080"/>
            </w:tcBorders>
          </w:tcPr>
          <w:p w:rsidR="002C4AB3" w:rsidRDefault="002C4AB3" w:rsidP="002C4AB3">
            <w:pPr>
              <w:pStyle w:val="Parasts1"/>
              <w:jc w:val="both"/>
            </w:pPr>
            <w:r>
              <w:t>6</w:t>
            </w:r>
          </w:p>
        </w:tc>
      </w:tr>
      <w:tr w:rsidR="002C4AB3" w:rsidTr="002068C5">
        <w:trPr>
          <w:tblCellSpacing w:w="0" w:type="dxa"/>
        </w:trPr>
        <w:tc>
          <w:tcPr>
            <w:tcW w:w="716"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jc w:val="center"/>
            </w:pPr>
            <w:r>
              <w:t>–</w:t>
            </w:r>
          </w:p>
        </w:tc>
        <w:tc>
          <w:tcPr>
            <w:tcW w:w="3135"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Parasts1"/>
              <w:ind w:firstLine="135"/>
              <w:jc w:val="center"/>
            </w:pPr>
            <w:r>
              <w:t>–</w:t>
            </w:r>
          </w:p>
        </w:tc>
        <w:tc>
          <w:tcPr>
            <w:tcW w:w="3166" w:type="dxa"/>
            <w:tcBorders>
              <w:top w:val="single" w:sz="6" w:space="0" w:color="808080"/>
              <w:left w:val="single" w:sz="6" w:space="0" w:color="808080"/>
              <w:bottom w:val="single" w:sz="6" w:space="0" w:color="808080"/>
              <w:right w:val="single" w:sz="6" w:space="0" w:color="808080"/>
            </w:tcBorders>
          </w:tcPr>
          <w:p w:rsidR="00951DCA" w:rsidRDefault="00AD1EB9" w:rsidP="00AD1EB9">
            <w:pPr>
              <w:pStyle w:val="Parasts1"/>
              <w:jc w:val="center"/>
            </w:pPr>
            <w:r>
              <w:t>–</w:t>
            </w:r>
          </w:p>
        </w:tc>
        <w:tc>
          <w:tcPr>
            <w:tcW w:w="3014" w:type="dxa"/>
            <w:tcBorders>
              <w:top w:val="single" w:sz="6" w:space="0" w:color="808080"/>
              <w:left w:val="single" w:sz="6" w:space="0" w:color="808080"/>
              <w:bottom w:val="single" w:sz="6" w:space="0" w:color="808080"/>
              <w:right w:val="single" w:sz="6" w:space="0" w:color="808080"/>
            </w:tcBorders>
          </w:tcPr>
          <w:p w:rsidR="002068C5" w:rsidRDefault="00AD1EB9" w:rsidP="00AD1EB9">
            <w:pPr>
              <w:pStyle w:val="Parasts1"/>
              <w:jc w:val="center"/>
            </w:pPr>
            <w:r>
              <w:t>–</w:t>
            </w:r>
          </w:p>
        </w:tc>
        <w:tc>
          <w:tcPr>
            <w:tcW w:w="2511"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c>
          <w:tcPr>
            <w:tcW w:w="1933" w:type="dxa"/>
            <w:tcBorders>
              <w:top w:val="single" w:sz="6" w:space="0" w:color="808080"/>
              <w:left w:val="single" w:sz="6" w:space="0" w:color="808080"/>
              <w:bottom w:val="single" w:sz="6" w:space="0" w:color="808080"/>
              <w:right w:val="single" w:sz="6" w:space="0" w:color="808080"/>
            </w:tcBorders>
            <w:vAlign w:val="center"/>
          </w:tcPr>
          <w:p w:rsidR="002C4AB3" w:rsidRDefault="00AD1EB9" w:rsidP="00AD1EB9">
            <w:pPr>
              <w:pStyle w:val="naislab"/>
              <w:jc w:val="center"/>
            </w:pPr>
            <w:r>
              <w:t>–</w:t>
            </w:r>
          </w:p>
        </w:tc>
      </w:tr>
    </w:tbl>
    <w:p w:rsidR="002C4AB3" w:rsidRPr="00E536CD" w:rsidRDefault="002C4AB3" w:rsidP="00E536CD">
      <w:pPr>
        <w:pStyle w:val="naislab"/>
        <w:jc w:val="both"/>
        <w:rPr>
          <w:b/>
        </w:rPr>
      </w:pPr>
      <w:r w:rsidRPr="00E536CD">
        <w:rPr>
          <w:b/>
        </w:rPr>
        <w:t> Informācija par starpministriju (starpinstitūciju) sanāksmi vai elektronisko saskaņošanu</w:t>
      </w:r>
    </w:p>
    <w:tbl>
      <w:tblPr>
        <w:tblW w:w="12615" w:type="dxa"/>
        <w:tblCellSpacing w:w="0" w:type="dxa"/>
        <w:tblCellMar>
          <w:left w:w="0" w:type="dxa"/>
          <w:right w:w="0" w:type="dxa"/>
        </w:tblCellMar>
        <w:tblLook w:val="0000" w:firstRow="0" w:lastRow="0" w:firstColumn="0" w:lastColumn="0" w:noHBand="0" w:noVBand="0"/>
      </w:tblPr>
      <w:tblGrid>
        <w:gridCol w:w="2826"/>
        <w:gridCol w:w="9789"/>
      </w:tblGrid>
      <w:tr w:rsidR="002C4AB3" w:rsidTr="0011035C">
        <w:trPr>
          <w:tblCellSpacing w:w="0" w:type="dxa"/>
        </w:trPr>
        <w:tc>
          <w:tcPr>
            <w:tcW w:w="2826" w:type="dxa"/>
          </w:tcPr>
          <w:p w:rsidR="002C4AB3" w:rsidRDefault="002C4AB3" w:rsidP="002C4AB3">
            <w:pPr>
              <w:pStyle w:val="Kjene"/>
              <w:jc w:val="both"/>
            </w:pPr>
            <w:r>
              <w:rPr>
                <w:b/>
                <w:bCs/>
              </w:rPr>
              <w:t> </w:t>
            </w:r>
            <w:r>
              <w:t>Datums</w:t>
            </w:r>
          </w:p>
        </w:tc>
        <w:tc>
          <w:tcPr>
            <w:tcW w:w="9789" w:type="dxa"/>
            <w:tcBorders>
              <w:top w:val="nil"/>
              <w:left w:val="nil"/>
              <w:bottom w:val="single" w:sz="8" w:space="0" w:color="000000"/>
              <w:right w:val="nil"/>
            </w:tcBorders>
          </w:tcPr>
          <w:p w:rsidR="002C4AB3" w:rsidRDefault="002A2ACE" w:rsidP="00A767B5">
            <w:pPr>
              <w:pStyle w:val="naislab"/>
              <w:jc w:val="both"/>
            </w:pPr>
            <w:r>
              <w:t>12</w:t>
            </w:r>
            <w:r w:rsidR="00F17FC9">
              <w:t>.</w:t>
            </w:r>
            <w:r>
              <w:t>03</w:t>
            </w:r>
            <w:r w:rsidR="00F17FC9">
              <w:t>.20</w:t>
            </w:r>
            <w:r>
              <w:t>20</w:t>
            </w:r>
            <w:r w:rsidR="00F17FC9">
              <w:t>.</w:t>
            </w:r>
          </w:p>
        </w:tc>
      </w:tr>
      <w:tr w:rsidR="002C4AB3" w:rsidTr="0011035C">
        <w:trPr>
          <w:tblCellSpacing w:w="0" w:type="dxa"/>
        </w:trPr>
        <w:tc>
          <w:tcPr>
            <w:tcW w:w="2826" w:type="dxa"/>
            <w:vAlign w:val="center"/>
          </w:tcPr>
          <w:p w:rsidR="002C4AB3" w:rsidRDefault="002C4AB3" w:rsidP="002C4AB3">
            <w:pPr>
              <w:pStyle w:val="Kjene"/>
              <w:jc w:val="both"/>
            </w:pPr>
            <w:r>
              <w:t>Saskaņošanas dalībnieki</w:t>
            </w:r>
          </w:p>
        </w:tc>
        <w:tc>
          <w:tcPr>
            <w:tcW w:w="9789" w:type="dxa"/>
            <w:vAlign w:val="center"/>
          </w:tcPr>
          <w:p w:rsidR="005379C7" w:rsidRPr="00227859" w:rsidRDefault="002A2ACE" w:rsidP="00FD3A2F">
            <w:pPr>
              <w:pStyle w:val="Parasts1"/>
              <w:rPr>
                <w:sz w:val="20"/>
                <w:szCs w:val="20"/>
              </w:rPr>
            </w:pPr>
            <w:r>
              <w:rPr>
                <w:sz w:val="20"/>
                <w:szCs w:val="20"/>
              </w:rPr>
              <w:t>L</w:t>
            </w:r>
            <w:r w:rsidR="00BF205D">
              <w:rPr>
                <w:sz w:val="20"/>
                <w:szCs w:val="20"/>
              </w:rPr>
              <w:t xml:space="preserve">. </w:t>
            </w:r>
            <w:r w:rsidRPr="001F0299">
              <w:rPr>
                <w:color w:val="000000" w:themeColor="text1"/>
                <w:sz w:val="18"/>
                <w:szCs w:val="18"/>
              </w:rPr>
              <w:t>Bernāne</w:t>
            </w:r>
            <w:r w:rsidR="00BF205D">
              <w:rPr>
                <w:sz w:val="20"/>
                <w:szCs w:val="20"/>
              </w:rPr>
              <w:t xml:space="preserve"> </w:t>
            </w:r>
            <w:r w:rsidR="00377BA3">
              <w:rPr>
                <w:sz w:val="20"/>
                <w:szCs w:val="20"/>
              </w:rPr>
              <w:t>Tieslietu ministrija</w:t>
            </w:r>
          </w:p>
        </w:tc>
      </w:tr>
      <w:tr w:rsidR="001F2B65" w:rsidTr="0011035C">
        <w:trPr>
          <w:tblCellSpacing w:w="0" w:type="dxa"/>
        </w:trPr>
        <w:tc>
          <w:tcPr>
            <w:tcW w:w="2826" w:type="dxa"/>
            <w:vAlign w:val="center"/>
          </w:tcPr>
          <w:p w:rsidR="001F2B65" w:rsidRDefault="001F2B65" w:rsidP="002C4AB3">
            <w:pPr>
              <w:pStyle w:val="Kjene"/>
              <w:jc w:val="both"/>
            </w:pPr>
          </w:p>
        </w:tc>
        <w:tc>
          <w:tcPr>
            <w:tcW w:w="9789" w:type="dxa"/>
            <w:tcBorders>
              <w:top w:val="single" w:sz="8" w:space="0" w:color="000000"/>
              <w:left w:val="nil"/>
              <w:bottom w:val="single" w:sz="8" w:space="0" w:color="000000"/>
              <w:right w:val="nil"/>
            </w:tcBorders>
            <w:vAlign w:val="center"/>
          </w:tcPr>
          <w:p w:rsidR="001F2B65" w:rsidRDefault="001F2B65" w:rsidP="002C4AB3">
            <w:pPr>
              <w:pStyle w:val="Kjene"/>
              <w:jc w:val="both"/>
            </w:pPr>
          </w:p>
        </w:tc>
      </w:tr>
      <w:tr w:rsidR="001F2B65" w:rsidTr="0066517E">
        <w:trPr>
          <w:tblCellSpacing w:w="0" w:type="dxa"/>
        </w:trPr>
        <w:tc>
          <w:tcPr>
            <w:tcW w:w="12615" w:type="dxa"/>
            <w:gridSpan w:val="2"/>
            <w:vAlign w:val="center"/>
          </w:tcPr>
          <w:p w:rsidR="001F2B65" w:rsidRPr="001F2B65" w:rsidRDefault="001F2B65" w:rsidP="001F2B65">
            <w:pPr>
              <w:pStyle w:val="Kjene"/>
              <w:ind w:firstLine="2835"/>
              <w:jc w:val="both"/>
              <w:rPr>
                <w:u w:val="single"/>
              </w:rPr>
            </w:pPr>
          </w:p>
        </w:tc>
      </w:tr>
    </w:tbl>
    <w:p w:rsidR="002C4AB3" w:rsidRDefault="002C4AB3" w:rsidP="002C4AB3">
      <w:pPr>
        <w:pStyle w:val="Parasts1"/>
        <w:jc w:val="both"/>
        <w:rPr>
          <w:vanish/>
        </w:rPr>
      </w:pPr>
    </w:p>
    <w:tbl>
      <w:tblPr>
        <w:tblW w:w="13349" w:type="dxa"/>
        <w:tblCellSpacing w:w="0" w:type="dxa"/>
        <w:tblCellMar>
          <w:left w:w="0" w:type="dxa"/>
          <w:right w:w="0" w:type="dxa"/>
        </w:tblCellMar>
        <w:tblLook w:val="0000" w:firstRow="0" w:lastRow="0" w:firstColumn="0" w:lastColumn="0" w:noHBand="0" w:noVBand="0"/>
      </w:tblPr>
      <w:tblGrid>
        <w:gridCol w:w="7527"/>
        <w:gridCol w:w="4809"/>
        <w:gridCol w:w="1013"/>
      </w:tblGrid>
      <w:tr w:rsidR="002C4AB3" w:rsidTr="002068C5">
        <w:trPr>
          <w:trHeight w:val="241"/>
          <w:tblCellSpacing w:w="0" w:type="dxa"/>
        </w:trPr>
        <w:tc>
          <w:tcPr>
            <w:tcW w:w="7527" w:type="dxa"/>
          </w:tcPr>
          <w:p w:rsidR="002C4AB3" w:rsidRDefault="002C4AB3" w:rsidP="002C4AB3">
            <w:pPr>
              <w:pStyle w:val="Kjene"/>
              <w:jc w:val="both"/>
            </w:pPr>
            <w:r>
              <w:t>Saskaņošanas dalībnieki izskatīja šādu ministriju (citu institūciju) iebildumus</w:t>
            </w:r>
          </w:p>
        </w:tc>
        <w:tc>
          <w:tcPr>
            <w:tcW w:w="4809" w:type="dxa"/>
          </w:tcPr>
          <w:p w:rsidR="00377BA3" w:rsidRDefault="002C4AB3" w:rsidP="00C31D2A">
            <w:pPr>
              <w:pStyle w:val="Kjene"/>
              <w:jc w:val="both"/>
            </w:pPr>
            <w:r>
              <w:t> </w:t>
            </w:r>
            <w:r w:rsidR="00377BA3">
              <w:t>Tieslietu ministrija</w:t>
            </w:r>
          </w:p>
        </w:tc>
        <w:tc>
          <w:tcPr>
            <w:tcW w:w="1013" w:type="dxa"/>
          </w:tcPr>
          <w:p w:rsidR="002C4AB3" w:rsidRDefault="002C4AB3" w:rsidP="002C4AB3">
            <w:pPr>
              <w:pStyle w:val="Kjene"/>
              <w:jc w:val="both"/>
            </w:pPr>
            <w:r>
              <w:t> </w:t>
            </w:r>
          </w:p>
        </w:tc>
      </w:tr>
      <w:tr w:rsidR="002C4AB3" w:rsidTr="002068C5">
        <w:trPr>
          <w:trHeight w:val="373"/>
          <w:tblCellSpacing w:w="0" w:type="dxa"/>
        </w:trPr>
        <w:tc>
          <w:tcPr>
            <w:tcW w:w="7527" w:type="dxa"/>
          </w:tcPr>
          <w:p w:rsidR="002C4AB3" w:rsidRDefault="002C4AB3" w:rsidP="002C4AB3">
            <w:pPr>
              <w:pStyle w:val="Kjene"/>
              <w:jc w:val="both"/>
            </w:pPr>
          </w:p>
        </w:tc>
        <w:tc>
          <w:tcPr>
            <w:tcW w:w="5822" w:type="dxa"/>
            <w:gridSpan w:val="2"/>
            <w:tcBorders>
              <w:top w:val="single" w:sz="8" w:space="0" w:color="000000"/>
              <w:left w:val="nil"/>
              <w:bottom w:val="single" w:sz="8" w:space="0" w:color="000000"/>
              <w:right w:val="nil"/>
            </w:tcBorders>
          </w:tcPr>
          <w:p w:rsidR="002C4AB3" w:rsidRDefault="002C4AB3" w:rsidP="00AD1EB9">
            <w:pPr>
              <w:pStyle w:val="naislab"/>
              <w:jc w:val="both"/>
            </w:pPr>
          </w:p>
        </w:tc>
      </w:tr>
      <w:tr w:rsidR="002C4AB3" w:rsidTr="002068C5">
        <w:trPr>
          <w:trHeight w:val="241"/>
          <w:tblCellSpacing w:w="0" w:type="dxa"/>
        </w:trPr>
        <w:tc>
          <w:tcPr>
            <w:tcW w:w="13349" w:type="dxa"/>
            <w:gridSpan w:val="3"/>
            <w:vAlign w:val="center"/>
          </w:tcPr>
          <w:p w:rsidR="002C4AB3" w:rsidRDefault="002C4AB3" w:rsidP="002C4AB3">
            <w:pPr>
              <w:pStyle w:val="Parasts1"/>
              <w:jc w:val="both"/>
            </w:pPr>
            <w:r>
              <w:t> </w:t>
            </w:r>
          </w:p>
        </w:tc>
      </w:tr>
      <w:tr w:rsidR="002C4AB3" w:rsidTr="002068C5">
        <w:trPr>
          <w:trHeight w:val="493"/>
          <w:tblCellSpacing w:w="0" w:type="dxa"/>
        </w:trPr>
        <w:tc>
          <w:tcPr>
            <w:tcW w:w="7527" w:type="dxa"/>
            <w:vAlign w:val="center"/>
          </w:tcPr>
          <w:p w:rsidR="002C4AB3" w:rsidRDefault="002C4AB3" w:rsidP="002C4AB3">
            <w:pPr>
              <w:pStyle w:val="Kjene"/>
              <w:jc w:val="both"/>
            </w:pPr>
            <w:r>
              <w:t>Ministrijas (citas institūcijas), kuras nav ieradušās uz sanāksmi vai kuras nav atbildējušas uz uzaicinājumu piedalīties elektroniskajā saskaņošanā</w:t>
            </w:r>
          </w:p>
        </w:tc>
        <w:tc>
          <w:tcPr>
            <w:tcW w:w="5822" w:type="dxa"/>
            <w:gridSpan w:val="2"/>
            <w:vAlign w:val="center"/>
          </w:tcPr>
          <w:p w:rsidR="002C4AB3" w:rsidRDefault="002C4AB3" w:rsidP="002C4AB3">
            <w:pPr>
              <w:pStyle w:val="Kjene"/>
              <w:jc w:val="both"/>
            </w:pPr>
            <w:r>
              <w:t> </w:t>
            </w:r>
            <w:r w:rsidR="0069412A">
              <w:t>–</w:t>
            </w:r>
          </w:p>
        </w:tc>
      </w:tr>
      <w:tr w:rsidR="002C4AB3" w:rsidTr="002068C5">
        <w:trPr>
          <w:trHeight w:val="241"/>
          <w:tblCellSpacing w:w="0" w:type="dxa"/>
        </w:trPr>
        <w:tc>
          <w:tcPr>
            <w:tcW w:w="7527" w:type="dxa"/>
            <w:vAlign w:val="center"/>
          </w:tcPr>
          <w:p w:rsidR="002C4AB3" w:rsidRDefault="002C4AB3" w:rsidP="002C4AB3">
            <w:pPr>
              <w:pStyle w:val="Kjene"/>
              <w:jc w:val="both"/>
            </w:pPr>
            <w:r>
              <w:t>  </w:t>
            </w:r>
          </w:p>
        </w:tc>
        <w:tc>
          <w:tcPr>
            <w:tcW w:w="5822" w:type="dxa"/>
            <w:gridSpan w:val="2"/>
            <w:tcBorders>
              <w:top w:val="single" w:sz="8" w:space="0" w:color="000000"/>
              <w:left w:val="nil"/>
              <w:bottom w:val="single" w:sz="8" w:space="0" w:color="000000"/>
              <w:right w:val="nil"/>
            </w:tcBorders>
            <w:vAlign w:val="center"/>
          </w:tcPr>
          <w:p w:rsidR="002C4AB3" w:rsidRDefault="002C4AB3" w:rsidP="002C4AB3">
            <w:pPr>
              <w:pStyle w:val="Kjene"/>
              <w:jc w:val="both"/>
            </w:pPr>
            <w:r>
              <w:t> </w:t>
            </w:r>
          </w:p>
        </w:tc>
      </w:tr>
    </w:tbl>
    <w:p w:rsidR="00E10B21" w:rsidRDefault="00E10B21" w:rsidP="002C4AB3">
      <w:pPr>
        <w:pStyle w:val="Parasts1"/>
        <w:jc w:val="both"/>
        <w:rPr>
          <w:b/>
        </w:rPr>
      </w:pPr>
    </w:p>
    <w:p w:rsidR="0017696A" w:rsidRDefault="0017696A" w:rsidP="002C4AB3">
      <w:pPr>
        <w:pStyle w:val="Parasts1"/>
        <w:jc w:val="both"/>
        <w:rPr>
          <w:b/>
        </w:rPr>
      </w:pPr>
    </w:p>
    <w:p w:rsidR="0017696A" w:rsidRDefault="0017696A" w:rsidP="002C4AB3">
      <w:pPr>
        <w:pStyle w:val="Parasts1"/>
        <w:jc w:val="both"/>
        <w:rPr>
          <w:b/>
        </w:rPr>
      </w:pPr>
    </w:p>
    <w:p w:rsidR="002C4AB3" w:rsidRPr="00E536CD" w:rsidRDefault="002C4AB3" w:rsidP="002C4AB3">
      <w:pPr>
        <w:pStyle w:val="Parasts1"/>
        <w:jc w:val="both"/>
        <w:rPr>
          <w:b/>
        </w:rPr>
      </w:pPr>
      <w:r w:rsidRPr="00E536CD">
        <w:rPr>
          <w:b/>
        </w:rPr>
        <w:lastRenderedPageBreak/>
        <w:t>II. Jautājumi, par kuriem saskaņošanā vienošanās ir panākta</w:t>
      </w:r>
    </w:p>
    <w:tbl>
      <w:tblPr>
        <w:tblW w:w="14317" w:type="dxa"/>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1"/>
        <w:gridCol w:w="3260"/>
        <w:gridCol w:w="4961"/>
        <w:gridCol w:w="2410"/>
        <w:gridCol w:w="3245"/>
      </w:tblGrid>
      <w:tr w:rsidR="00615F31" w:rsidTr="00A73F5E">
        <w:trPr>
          <w:tblCellSpacing w:w="0" w:type="dxa"/>
        </w:trPr>
        <w:tc>
          <w:tcPr>
            <w:tcW w:w="441" w:type="dxa"/>
            <w:vAlign w:val="center"/>
          </w:tcPr>
          <w:p w:rsidR="002C4AB3" w:rsidRDefault="002C4AB3" w:rsidP="002C4AB3">
            <w:pPr>
              <w:pStyle w:val="Parasts1"/>
              <w:jc w:val="both"/>
            </w:pPr>
            <w:r>
              <w:t> Nr. p.k.</w:t>
            </w:r>
          </w:p>
        </w:tc>
        <w:tc>
          <w:tcPr>
            <w:tcW w:w="3260" w:type="dxa"/>
            <w:vAlign w:val="center"/>
          </w:tcPr>
          <w:p w:rsidR="002C4AB3" w:rsidRPr="00E3343C" w:rsidRDefault="002C4AB3" w:rsidP="002C4AB3">
            <w:pPr>
              <w:pStyle w:val="Parasts1"/>
              <w:jc w:val="both"/>
            </w:pPr>
            <w:r w:rsidRPr="00E3343C">
              <w:t>Saskaņošanai nosūtītā projekta redakcija (konkrēta punkta (panta) redakcija)</w:t>
            </w:r>
          </w:p>
        </w:tc>
        <w:tc>
          <w:tcPr>
            <w:tcW w:w="4961" w:type="dxa"/>
            <w:vAlign w:val="center"/>
          </w:tcPr>
          <w:p w:rsidR="002C4AB3" w:rsidRDefault="002C4AB3" w:rsidP="002C4AB3">
            <w:pPr>
              <w:pStyle w:val="Parasts1"/>
              <w:jc w:val="both"/>
            </w:pPr>
            <w:r>
              <w:t>Atzinumā norādītais ministrijas (citas institūcijas) iebildums, kā arī saskaņošanā papildus izteiktais iebildums par projekta konkrēto punktu (pantu)</w:t>
            </w:r>
          </w:p>
        </w:tc>
        <w:tc>
          <w:tcPr>
            <w:tcW w:w="2410" w:type="dxa"/>
            <w:vAlign w:val="center"/>
          </w:tcPr>
          <w:p w:rsidR="002C4AB3" w:rsidRDefault="002C4AB3" w:rsidP="002C4AB3">
            <w:pPr>
              <w:pStyle w:val="Parasts1"/>
              <w:jc w:val="both"/>
            </w:pPr>
            <w:r>
              <w:t>Atbildīgās ministrijas norāde par to, ka iebildums ir ņemts vērā, vai informācija par saskaņošanā panākto alternatīvo risinājumu</w:t>
            </w:r>
          </w:p>
        </w:tc>
        <w:tc>
          <w:tcPr>
            <w:tcW w:w="3245" w:type="dxa"/>
            <w:vAlign w:val="center"/>
          </w:tcPr>
          <w:p w:rsidR="002C4AB3" w:rsidRDefault="002C4AB3" w:rsidP="002C4AB3">
            <w:pPr>
              <w:pStyle w:val="Parasts1"/>
              <w:jc w:val="both"/>
            </w:pPr>
            <w:r>
              <w:t>Projekta attiecīgā punkta (panta) galīgā redakcija</w:t>
            </w:r>
          </w:p>
        </w:tc>
      </w:tr>
      <w:tr w:rsidR="00615F31" w:rsidTr="00A73F5E">
        <w:trPr>
          <w:tblCellSpacing w:w="0" w:type="dxa"/>
        </w:trPr>
        <w:tc>
          <w:tcPr>
            <w:tcW w:w="441" w:type="dxa"/>
          </w:tcPr>
          <w:p w:rsidR="002C4AB3" w:rsidRDefault="002C4AB3" w:rsidP="002C4AB3">
            <w:pPr>
              <w:pStyle w:val="Parasts1"/>
              <w:jc w:val="center"/>
            </w:pPr>
            <w:r>
              <w:t>1</w:t>
            </w:r>
          </w:p>
        </w:tc>
        <w:tc>
          <w:tcPr>
            <w:tcW w:w="3260" w:type="dxa"/>
          </w:tcPr>
          <w:p w:rsidR="002C4AB3" w:rsidRPr="00E3343C" w:rsidRDefault="002C4AB3" w:rsidP="002C4AB3">
            <w:pPr>
              <w:pStyle w:val="Parasts1"/>
              <w:jc w:val="center"/>
            </w:pPr>
            <w:r w:rsidRPr="00E3343C">
              <w:t>2</w:t>
            </w:r>
          </w:p>
        </w:tc>
        <w:tc>
          <w:tcPr>
            <w:tcW w:w="4961" w:type="dxa"/>
          </w:tcPr>
          <w:p w:rsidR="002C4AB3" w:rsidRDefault="002C4AB3" w:rsidP="002C4AB3">
            <w:pPr>
              <w:pStyle w:val="Parasts1"/>
              <w:jc w:val="center"/>
            </w:pPr>
            <w:r>
              <w:t>3</w:t>
            </w:r>
          </w:p>
        </w:tc>
        <w:tc>
          <w:tcPr>
            <w:tcW w:w="2410" w:type="dxa"/>
          </w:tcPr>
          <w:p w:rsidR="002C4AB3" w:rsidRDefault="002C4AB3" w:rsidP="002C4AB3">
            <w:pPr>
              <w:pStyle w:val="Parasts1"/>
              <w:jc w:val="center"/>
            </w:pPr>
            <w:r>
              <w:t>4</w:t>
            </w:r>
          </w:p>
        </w:tc>
        <w:tc>
          <w:tcPr>
            <w:tcW w:w="3245" w:type="dxa"/>
          </w:tcPr>
          <w:p w:rsidR="002C4AB3" w:rsidRDefault="002C4AB3" w:rsidP="002C4AB3">
            <w:pPr>
              <w:pStyle w:val="Parasts1"/>
              <w:jc w:val="center"/>
            </w:pPr>
            <w:r>
              <w:t>5</w:t>
            </w:r>
          </w:p>
        </w:tc>
      </w:tr>
      <w:tr w:rsidR="00615F31" w:rsidTr="00A73F5E">
        <w:trPr>
          <w:tblCellSpacing w:w="0" w:type="dxa"/>
        </w:trPr>
        <w:tc>
          <w:tcPr>
            <w:tcW w:w="441" w:type="dxa"/>
          </w:tcPr>
          <w:p w:rsidR="00831EFD" w:rsidRDefault="00831EFD" w:rsidP="002C4AB3">
            <w:pPr>
              <w:pStyle w:val="Parasts1"/>
              <w:jc w:val="center"/>
            </w:pPr>
          </w:p>
        </w:tc>
        <w:tc>
          <w:tcPr>
            <w:tcW w:w="3260" w:type="dxa"/>
          </w:tcPr>
          <w:p w:rsidR="00831EFD" w:rsidRPr="00E3343C" w:rsidRDefault="00831EFD" w:rsidP="005036BE">
            <w:pPr>
              <w:pStyle w:val="Parasts1"/>
              <w:jc w:val="both"/>
            </w:pPr>
          </w:p>
        </w:tc>
        <w:tc>
          <w:tcPr>
            <w:tcW w:w="4961" w:type="dxa"/>
          </w:tcPr>
          <w:p w:rsidR="00EC4676" w:rsidRPr="00AD1268" w:rsidRDefault="002A2ACE" w:rsidP="00EC4676">
            <w:pPr>
              <w:pStyle w:val="Parasts1"/>
              <w:jc w:val="both"/>
              <w:rPr>
                <w:b/>
              </w:rPr>
            </w:pPr>
            <w:r>
              <w:rPr>
                <w:b/>
              </w:rPr>
              <w:t>Tieslietu</w:t>
            </w:r>
            <w:r w:rsidR="00367715">
              <w:rPr>
                <w:b/>
              </w:rPr>
              <w:t xml:space="preserve"> ministrija</w:t>
            </w:r>
          </w:p>
        </w:tc>
        <w:tc>
          <w:tcPr>
            <w:tcW w:w="2410" w:type="dxa"/>
          </w:tcPr>
          <w:p w:rsidR="00831EFD" w:rsidRDefault="00831EFD" w:rsidP="002C4AB3">
            <w:pPr>
              <w:pStyle w:val="Parasts1"/>
              <w:jc w:val="center"/>
            </w:pPr>
          </w:p>
        </w:tc>
        <w:tc>
          <w:tcPr>
            <w:tcW w:w="3245" w:type="dxa"/>
          </w:tcPr>
          <w:p w:rsidR="00831EFD" w:rsidRDefault="00831EFD" w:rsidP="00931E24">
            <w:pPr>
              <w:pStyle w:val="Parasts1"/>
              <w:jc w:val="both"/>
            </w:pPr>
          </w:p>
        </w:tc>
      </w:tr>
      <w:tr w:rsidR="00615F31" w:rsidTr="00A73F5E">
        <w:trPr>
          <w:tblCellSpacing w:w="0" w:type="dxa"/>
        </w:trPr>
        <w:tc>
          <w:tcPr>
            <w:tcW w:w="441" w:type="dxa"/>
          </w:tcPr>
          <w:p w:rsidR="00831EFD" w:rsidRDefault="002A2ACE" w:rsidP="002C4AB3">
            <w:pPr>
              <w:pStyle w:val="Parasts1"/>
              <w:jc w:val="center"/>
            </w:pPr>
            <w:r>
              <w:t>1.</w:t>
            </w:r>
          </w:p>
        </w:tc>
        <w:tc>
          <w:tcPr>
            <w:tcW w:w="3260" w:type="dxa"/>
          </w:tcPr>
          <w:p w:rsidR="00147E13" w:rsidRPr="00DC09A7" w:rsidRDefault="002A2ACE" w:rsidP="00DC09A7">
            <w:pPr>
              <w:jc w:val="both"/>
              <w:rPr>
                <w:sz w:val="24"/>
                <w:szCs w:val="24"/>
                <w:lang w:eastAsia="en-US"/>
              </w:rPr>
            </w:pPr>
            <w:r w:rsidRPr="002A2ACE">
              <w:rPr>
                <w:sz w:val="24"/>
                <w:szCs w:val="24"/>
                <w:lang w:eastAsia="en-US"/>
              </w:rPr>
              <w:t xml:space="preserve">10.4. ja atbalsta pretendentam Valsts ieņēmumu dienesta administrēto nodokļu vai nodevu parāda, tostarp valsts sociālās apdrošināšanas obligāto iemaksu parāda, kopsumma pārsniedz 150 </w:t>
            </w:r>
            <w:proofErr w:type="spellStart"/>
            <w:r w:rsidRPr="002A2ACE">
              <w:rPr>
                <w:i/>
                <w:sz w:val="24"/>
                <w:szCs w:val="24"/>
                <w:lang w:eastAsia="en-US"/>
              </w:rPr>
              <w:t>euro</w:t>
            </w:r>
            <w:proofErr w:type="spellEnd"/>
            <w:r w:rsidRPr="002A2ACE">
              <w:rPr>
                <w:sz w:val="24"/>
                <w:szCs w:val="24"/>
                <w:lang w:eastAsia="en-US"/>
              </w:rPr>
              <w:t>;</w:t>
            </w:r>
          </w:p>
        </w:tc>
        <w:tc>
          <w:tcPr>
            <w:tcW w:w="4961" w:type="dxa"/>
          </w:tcPr>
          <w:p w:rsidR="00831EFD" w:rsidRPr="00DC09A7" w:rsidRDefault="002A2ACE" w:rsidP="00FD3A2F">
            <w:pPr>
              <w:pStyle w:val="Sarakstarindkopa"/>
              <w:widowControl w:val="0"/>
              <w:tabs>
                <w:tab w:val="left" w:pos="0"/>
                <w:tab w:val="left" w:pos="993"/>
              </w:tabs>
              <w:ind w:left="0"/>
              <w:contextualSpacing/>
              <w:jc w:val="both"/>
              <w:rPr>
                <w:lang w:val="lv-LV"/>
              </w:rPr>
            </w:pPr>
            <w:r w:rsidRPr="002A2ACE">
              <w:rPr>
                <w:rFonts w:eastAsiaTheme="minorHAnsi"/>
                <w:lang w:val="lv-LV" w:eastAsia="lv-LV"/>
              </w:rPr>
              <w:t xml:space="preserve">Noteikumu projekta 5. punktā izteiktajā Ministru kabineta 2015. gada 3. februāra noteikumu Nr. 59 ''Valsts un Eiropas Savienības atbalsta piešķiršanas kārtība investīciju veicināšanai lauksaimniecībā'''' (turpmāk – Noteikumi) 10.4. apakšpunktā noteikts, ka gadījumā, ja atbalsta pretendentam Valsts ieņēmumu dienesta administrēto nodokļu vai nodevu parāda, tostarp valsts sociālās apdrošināšanas obligāto iemaksu parāda, kopsumma pārsniedz 150 </w:t>
            </w:r>
            <w:proofErr w:type="spellStart"/>
            <w:r w:rsidRPr="003F1651">
              <w:rPr>
                <w:rFonts w:eastAsiaTheme="minorHAnsi"/>
                <w:i/>
                <w:lang w:val="lv-LV" w:eastAsia="lv-LV"/>
              </w:rPr>
              <w:t>euro</w:t>
            </w:r>
            <w:proofErr w:type="spellEnd"/>
            <w:r w:rsidRPr="002A2ACE">
              <w:rPr>
                <w:rFonts w:eastAsiaTheme="minorHAnsi"/>
                <w:lang w:val="lv-LV" w:eastAsia="lv-LV"/>
              </w:rPr>
              <w:t>, atbalstu nepiešķir. Izsakām bažas, ka šāds nosacījums, iespējams, ir pārāk stingrs un nesamērīgs. Atbalsta pretendents var nebūt informēts par nodokļu parādu, vai arī nodokļu parāds var tikt reģistrēts pēc iesnieguma iesniegšanas brīža, šādos gadījumos nebūtu pamatoti liegt iespēju pretendēt uz atbalsta piešķiršanu. Pamatojoties uz iepriekš minēto, lūdzam izvērtēt iespēju papildināt noteikumu projekta 5. punktu ar iespēju atbalsta pretendentam saprātīgā termiņā nomaksāt nodokļu parādu, kas atļautu pretendēt uz atbalsta piešķiršanu.</w:t>
            </w:r>
          </w:p>
        </w:tc>
        <w:tc>
          <w:tcPr>
            <w:tcW w:w="2410" w:type="dxa"/>
          </w:tcPr>
          <w:p w:rsidR="003E7AA5" w:rsidRPr="00367715" w:rsidRDefault="00367715" w:rsidP="004B1391">
            <w:pPr>
              <w:pStyle w:val="Parasts1"/>
              <w:jc w:val="both"/>
              <w:rPr>
                <w:b/>
              </w:rPr>
            </w:pPr>
            <w:r w:rsidRPr="00367715">
              <w:rPr>
                <w:b/>
              </w:rPr>
              <w:t>Ņemts vērā</w:t>
            </w:r>
            <w:r>
              <w:rPr>
                <w:b/>
              </w:rPr>
              <w:t>.</w:t>
            </w:r>
          </w:p>
        </w:tc>
        <w:tc>
          <w:tcPr>
            <w:tcW w:w="3245" w:type="dxa"/>
          </w:tcPr>
          <w:p w:rsidR="000E35F6" w:rsidRDefault="009C0344" w:rsidP="00594ADD">
            <w:pPr>
              <w:pStyle w:val="Parasts1"/>
              <w:rPr>
                <w:color w:val="000000" w:themeColor="text1"/>
                <w:lang w:eastAsia="en-US"/>
              </w:rPr>
            </w:pPr>
            <w:r w:rsidRPr="009C0344">
              <w:rPr>
                <w:color w:val="000000" w:themeColor="text1"/>
                <w:lang w:eastAsia="en-US"/>
              </w:rPr>
              <w:t xml:space="preserve">10.4. ja atbalsta pretendentam Valsts ieņēmumu dienesta administrēto nodokļu vai nodevu parāda, tostarp valsts sociālās apdrošināšanas obligāto iemaksu parāda, kopsumma pārsniedz 150 </w:t>
            </w:r>
            <w:proofErr w:type="spellStart"/>
            <w:r w:rsidRPr="009C0344">
              <w:rPr>
                <w:i/>
                <w:color w:val="000000" w:themeColor="text1"/>
                <w:lang w:eastAsia="en-US"/>
              </w:rPr>
              <w:t>euro</w:t>
            </w:r>
            <w:proofErr w:type="spellEnd"/>
            <w:r w:rsidRPr="009C0344">
              <w:rPr>
                <w:color w:val="000000" w:themeColor="text1"/>
                <w:lang w:eastAsia="en-US"/>
              </w:rPr>
              <w:t xml:space="preserve">, izņemot gadījumu, ja tas ir samaksāts 10 dienu laikā no </w:t>
            </w:r>
            <w:r>
              <w:rPr>
                <w:color w:val="000000" w:themeColor="text1"/>
                <w:lang w:eastAsia="en-US"/>
              </w:rPr>
              <w:t xml:space="preserve">iesnieguma </w:t>
            </w:r>
            <w:r w:rsidRPr="009C0344">
              <w:rPr>
                <w:color w:val="000000" w:themeColor="text1"/>
                <w:lang w:eastAsia="en-US"/>
              </w:rPr>
              <w:t>iesniegšanas brīža;</w:t>
            </w:r>
          </w:p>
          <w:p w:rsidR="000F7F9D" w:rsidRPr="009320DE" w:rsidRDefault="000F7F9D" w:rsidP="00594ADD">
            <w:pPr>
              <w:pStyle w:val="Parasts1"/>
              <w:rPr>
                <w:i/>
                <w:color w:val="000000" w:themeColor="text1"/>
                <w:lang w:eastAsia="en-US"/>
              </w:rPr>
            </w:pPr>
            <w:r w:rsidRPr="009320DE">
              <w:rPr>
                <w:i/>
                <w:color w:val="000000" w:themeColor="text1"/>
                <w:lang w:eastAsia="en-US"/>
              </w:rPr>
              <w:t>(šī 10.4. apakšpunkta redakcija bija aktuāla līdz 13.03.2020., kad no Tieslietu ministrijas tika saņemts priekšlikums izteikt 10.4. apakšpunktu citā redakcijā)</w:t>
            </w:r>
          </w:p>
        </w:tc>
      </w:tr>
      <w:tr w:rsidR="002A2ACE" w:rsidTr="00A73F5E">
        <w:trPr>
          <w:tblCellSpacing w:w="0" w:type="dxa"/>
        </w:trPr>
        <w:tc>
          <w:tcPr>
            <w:tcW w:w="441" w:type="dxa"/>
          </w:tcPr>
          <w:p w:rsidR="002A2ACE" w:rsidRDefault="002A2ACE" w:rsidP="002C4AB3">
            <w:pPr>
              <w:pStyle w:val="Parasts1"/>
              <w:jc w:val="center"/>
            </w:pPr>
            <w:r>
              <w:t>2.</w:t>
            </w:r>
          </w:p>
        </w:tc>
        <w:tc>
          <w:tcPr>
            <w:tcW w:w="3260" w:type="dxa"/>
          </w:tcPr>
          <w:p w:rsidR="002A2ACE" w:rsidRPr="00DC09A7" w:rsidRDefault="002A2ACE" w:rsidP="00DC09A7">
            <w:pPr>
              <w:jc w:val="both"/>
              <w:rPr>
                <w:sz w:val="24"/>
                <w:szCs w:val="24"/>
                <w:lang w:eastAsia="en-US"/>
              </w:rPr>
            </w:pPr>
          </w:p>
        </w:tc>
        <w:tc>
          <w:tcPr>
            <w:tcW w:w="4961" w:type="dxa"/>
          </w:tcPr>
          <w:p w:rsidR="002A2ACE" w:rsidRPr="002A2ACE" w:rsidRDefault="002A2ACE" w:rsidP="00FD3A2F">
            <w:pPr>
              <w:pStyle w:val="Sarakstarindkopa"/>
              <w:widowControl w:val="0"/>
              <w:tabs>
                <w:tab w:val="left" w:pos="0"/>
                <w:tab w:val="left" w:pos="993"/>
              </w:tabs>
              <w:ind w:left="0"/>
              <w:contextualSpacing/>
              <w:jc w:val="both"/>
              <w:rPr>
                <w:rFonts w:eastAsiaTheme="minorHAnsi"/>
                <w:lang w:val="lv-LV" w:eastAsia="lv-LV"/>
              </w:rPr>
            </w:pPr>
            <w:r w:rsidRPr="002A2ACE">
              <w:rPr>
                <w:rFonts w:eastAsiaTheme="minorHAnsi"/>
                <w:lang w:val="lv-LV" w:eastAsia="lv-LV"/>
              </w:rPr>
              <w:t xml:space="preserve">Vēršam uzmanību, ka noteikumu projekta 7. punktā Noteikumu 13.1.4. apakšpunkts izteikts jaunā </w:t>
            </w:r>
            <w:r w:rsidRPr="002A2ACE">
              <w:rPr>
                <w:rFonts w:eastAsiaTheme="minorHAnsi"/>
                <w:lang w:val="lv-LV" w:eastAsia="lv-LV"/>
              </w:rPr>
              <w:lastRenderedPageBreak/>
              <w:t>redakcijā, kas paredz, ka uz atbalstu var pretendēt par ''tādas lauksaimniecībā izmantojamās zemes iegādi, kuru pretendents izmanto lauksaimniecības produkcijas ražošanai un kura kārtējā gadā ir deklarēta vienotā platību maksājuma saņemšanai atbilstoši normatīvajiem aktiem par tiešo maksājumu piešķiršanas kārtību lauksaimniekiem.'' Attiecīgi tiek sašaurināta atbalsta piešķiršana lauksaimniecības zemes iegādei. Lūdzam anotācijā izvērsti skaidrot šāda ierobežojuma nepieciešamību.</w:t>
            </w:r>
          </w:p>
        </w:tc>
        <w:tc>
          <w:tcPr>
            <w:tcW w:w="2410" w:type="dxa"/>
          </w:tcPr>
          <w:p w:rsidR="002A2ACE" w:rsidRPr="00367715" w:rsidRDefault="002A2ACE" w:rsidP="004B1391">
            <w:pPr>
              <w:pStyle w:val="Parasts1"/>
              <w:jc w:val="both"/>
              <w:rPr>
                <w:b/>
              </w:rPr>
            </w:pPr>
            <w:r>
              <w:rPr>
                <w:b/>
              </w:rPr>
              <w:lastRenderedPageBreak/>
              <w:t>Ņemts vērā</w:t>
            </w:r>
            <w:r w:rsidR="00C21D42">
              <w:rPr>
                <w:b/>
              </w:rPr>
              <w:t>.</w:t>
            </w:r>
          </w:p>
        </w:tc>
        <w:tc>
          <w:tcPr>
            <w:tcW w:w="3245" w:type="dxa"/>
          </w:tcPr>
          <w:p w:rsidR="002A2ACE" w:rsidRPr="003B0D44" w:rsidRDefault="001F0A73" w:rsidP="00594ADD">
            <w:pPr>
              <w:pStyle w:val="Parasts1"/>
              <w:rPr>
                <w:lang w:eastAsia="en-US"/>
              </w:rPr>
            </w:pPr>
            <w:r>
              <w:rPr>
                <w:lang w:eastAsia="en-US"/>
              </w:rPr>
              <w:t>Papildināts anotācijas I sadaļas 2.punkts.</w:t>
            </w:r>
          </w:p>
        </w:tc>
      </w:tr>
      <w:tr w:rsidR="002A2ACE" w:rsidTr="00A73F5E">
        <w:trPr>
          <w:tblCellSpacing w:w="0" w:type="dxa"/>
        </w:trPr>
        <w:tc>
          <w:tcPr>
            <w:tcW w:w="441" w:type="dxa"/>
          </w:tcPr>
          <w:p w:rsidR="002A2ACE" w:rsidRDefault="002A2ACE" w:rsidP="002C4AB3">
            <w:pPr>
              <w:pStyle w:val="Parasts1"/>
              <w:jc w:val="center"/>
            </w:pPr>
            <w:r>
              <w:t>3.</w:t>
            </w:r>
          </w:p>
        </w:tc>
        <w:tc>
          <w:tcPr>
            <w:tcW w:w="3260" w:type="dxa"/>
          </w:tcPr>
          <w:p w:rsidR="002B5542" w:rsidRPr="002B5542" w:rsidRDefault="002B5542" w:rsidP="002B5542">
            <w:pPr>
              <w:jc w:val="both"/>
              <w:rPr>
                <w:sz w:val="24"/>
                <w:szCs w:val="24"/>
                <w:lang w:eastAsia="en-US"/>
              </w:rPr>
            </w:pPr>
            <w:r w:rsidRPr="002B5542">
              <w:rPr>
                <w:sz w:val="24"/>
                <w:szCs w:val="24"/>
                <w:lang w:eastAsia="en-US"/>
              </w:rPr>
              <w:t>9.</w:t>
            </w:r>
            <w:r w:rsidRPr="002B5542">
              <w:rPr>
                <w:sz w:val="24"/>
                <w:szCs w:val="24"/>
                <w:lang w:eastAsia="en-US"/>
              </w:rPr>
              <w:tab/>
              <w:t>Izteikt 18.5. apakšpunktu šādā redakcijā:</w:t>
            </w:r>
          </w:p>
          <w:p w:rsidR="002A2ACE" w:rsidRPr="00DC09A7" w:rsidRDefault="002B5542" w:rsidP="002B5542">
            <w:pPr>
              <w:jc w:val="both"/>
              <w:rPr>
                <w:sz w:val="24"/>
                <w:szCs w:val="24"/>
                <w:lang w:eastAsia="en-US"/>
              </w:rPr>
            </w:pPr>
            <w:r w:rsidRPr="002B5542">
              <w:rPr>
                <w:sz w:val="24"/>
                <w:szCs w:val="24"/>
                <w:lang w:eastAsia="en-US"/>
              </w:rPr>
              <w:t>“18.5. kredītlīdzekļu vai finanšu līzinga darījumu apliecinošu dokumentu kopijas – pirkuma vai komersanta līgumu (būvniecības līgumu) un ar tiem saistīto maksājumu dokumentu kopijas vai, ja pirkums izdarīts vai pakalpojums sniegts bez rakstiska līguma, – maksājumu apliecinošu dokumentu kopijas;”</w:t>
            </w:r>
          </w:p>
        </w:tc>
        <w:tc>
          <w:tcPr>
            <w:tcW w:w="4961" w:type="dxa"/>
          </w:tcPr>
          <w:p w:rsidR="002A2ACE" w:rsidRPr="002A2ACE" w:rsidRDefault="002A2ACE" w:rsidP="00FD3A2F">
            <w:pPr>
              <w:pStyle w:val="Sarakstarindkopa"/>
              <w:widowControl w:val="0"/>
              <w:tabs>
                <w:tab w:val="left" w:pos="0"/>
                <w:tab w:val="left" w:pos="993"/>
              </w:tabs>
              <w:ind w:left="0"/>
              <w:contextualSpacing/>
              <w:jc w:val="both"/>
              <w:rPr>
                <w:rFonts w:eastAsiaTheme="minorHAnsi"/>
                <w:lang w:val="lv-LV" w:eastAsia="lv-LV"/>
              </w:rPr>
            </w:pPr>
            <w:r w:rsidRPr="002A2ACE">
              <w:rPr>
                <w:rFonts w:eastAsiaTheme="minorHAnsi"/>
                <w:lang w:val="lv-LV" w:eastAsia="lv-LV"/>
              </w:rPr>
              <w:t>Lūdzam noteikumu projekta 9. punktā pieturzīmi iekavas aizstāt ar saikli "vai", jo šajā gadījumā iekavu lietošana padara tiesību normu neskaidru un apgrūtina tās viennozīmīgu uztveri. Norādām, ka iekavās ietvertie skaidrojumi un precizējumi var padarīt tiesību aktu neskaidru un var sašaurināt vai paplašināt tiesību normas tvērumu.</w:t>
            </w:r>
          </w:p>
        </w:tc>
        <w:tc>
          <w:tcPr>
            <w:tcW w:w="2410" w:type="dxa"/>
          </w:tcPr>
          <w:p w:rsidR="002A2ACE" w:rsidRPr="00367715" w:rsidRDefault="002A2ACE" w:rsidP="004B1391">
            <w:pPr>
              <w:pStyle w:val="Parasts1"/>
              <w:jc w:val="both"/>
              <w:rPr>
                <w:b/>
              </w:rPr>
            </w:pPr>
            <w:r>
              <w:rPr>
                <w:b/>
              </w:rPr>
              <w:t>Ņemts vērā</w:t>
            </w:r>
            <w:r w:rsidR="00C21D42">
              <w:rPr>
                <w:b/>
              </w:rPr>
              <w:t>.</w:t>
            </w:r>
          </w:p>
        </w:tc>
        <w:tc>
          <w:tcPr>
            <w:tcW w:w="3245" w:type="dxa"/>
          </w:tcPr>
          <w:p w:rsidR="003F1651" w:rsidRDefault="003F1651" w:rsidP="003F1651">
            <w:pPr>
              <w:pStyle w:val="Parasts1"/>
              <w:rPr>
                <w:lang w:eastAsia="en-US"/>
              </w:rPr>
            </w:pPr>
            <w:r>
              <w:rPr>
                <w:lang w:eastAsia="en-US"/>
              </w:rPr>
              <w:t>9.</w:t>
            </w:r>
            <w:r>
              <w:rPr>
                <w:lang w:eastAsia="en-US"/>
              </w:rPr>
              <w:tab/>
              <w:t>Izteikt 18.5. apakšpunktu šādā redakcijā:</w:t>
            </w:r>
          </w:p>
          <w:p w:rsidR="002A2ACE" w:rsidRPr="003B0D44" w:rsidRDefault="003F1651">
            <w:pPr>
              <w:pStyle w:val="Parasts1"/>
              <w:rPr>
                <w:lang w:eastAsia="en-US"/>
              </w:rPr>
            </w:pPr>
            <w:r>
              <w:rPr>
                <w:lang w:eastAsia="en-US"/>
              </w:rPr>
              <w:t>“18.5. kredītlīdzekļu vai finanšu līzinga darījumu apliecinošu dokumentu</w:t>
            </w:r>
            <w:r w:rsidR="00C21D42">
              <w:rPr>
                <w:lang w:eastAsia="en-US"/>
              </w:rPr>
              <w:t xml:space="preserve"> </w:t>
            </w:r>
            <w:r>
              <w:rPr>
                <w:lang w:eastAsia="en-US"/>
              </w:rPr>
              <w:t>– pirkuma vai komersanta līgumu vai būvniecības līgumu un ar tiem saistīto maksājumu dokumentu</w:t>
            </w:r>
            <w:r w:rsidR="00C21D42">
              <w:rPr>
                <w:lang w:eastAsia="en-US"/>
              </w:rPr>
              <w:t> –</w:t>
            </w:r>
            <w:r>
              <w:rPr>
                <w:lang w:eastAsia="en-US"/>
              </w:rPr>
              <w:t xml:space="preserve"> kopijas vai, ja pirkums izdarīts vai pakalpojums sniegts bez rakstiska līguma, – maksājumu apliecinošu dokumentu kopijas;”</w:t>
            </w:r>
          </w:p>
        </w:tc>
      </w:tr>
    </w:tbl>
    <w:p w:rsidR="00E3343C" w:rsidRDefault="00E3343C">
      <w:pPr>
        <w:pStyle w:val="Parasts1"/>
      </w:pPr>
    </w:p>
    <w:tbl>
      <w:tblPr>
        <w:tblW w:w="0" w:type="auto"/>
        <w:tblCellSpacing w:w="0" w:type="dxa"/>
        <w:tblCellMar>
          <w:left w:w="0" w:type="dxa"/>
          <w:right w:w="0" w:type="dxa"/>
        </w:tblCellMar>
        <w:tblLook w:val="0000" w:firstRow="0" w:lastRow="0" w:firstColumn="0" w:lastColumn="0" w:noHBand="0" w:noVBand="0"/>
      </w:tblPr>
      <w:tblGrid>
        <w:gridCol w:w="60"/>
        <w:gridCol w:w="1067"/>
        <w:gridCol w:w="5213"/>
      </w:tblGrid>
      <w:tr w:rsidR="005B79B3">
        <w:trPr>
          <w:tblCellSpacing w:w="0" w:type="dxa"/>
        </w:trPr>
        <w:tc>
          <w:tcPr>
            <w:tcW w:w="0" w:type="auto"/>
            <w:tcBorders>
              <w:top w:val="nil"/>
              <w:left w:val="nil"/>
              <w:bottom w:val="nil"/>
              <w:right w:val="nil"/>
            </w:tcBorders>
            <w:vAlign w:val="center"/>
          </w:tcPr>
          <w:p w:rsidR="005B79B3" w:rsidRDefault="005B79B3" w:rsidP="005B79B3">
            <w:pPr>
              <w:pStyle w:val="Kjene"/>
              <w:jc w:val="both"/>
            </w:pPr>
            <w:r>
              <w:t> </w:t>
            </w:r>
          </w:p>
        </w:tc>
        <w:tc>
          <w:tcPr>
            <w:tcW w:w="0" w:type="auto"/>
            <w:tcBorders>
              <w:top w:val="single" w:sz="8" w:space="0" w:color="000000"/>
              <w:left w:val="nil"/>
              <w:bottom w:val="nil"/>
              <w:right w:val="nil"/>
            </w:tcBorders>
            <w:vAlign w:val="center"/>
          </w:tcPr>
          <w:p w:rsidR="005B79B3" w:rsidRDefault="005B79B3" w:rsidP="005B79B3">
            <w:pPr>
              <w:pStyle w:val="Parasts1"/>
              <w:jc w:val="center"/>
            </w:pPr>
            <w:r>
              <w:t>(paraksts)*</w:t>
            </w:r>
          </w:p>
        </w:tc>
        <w:tc>
          <w:tcPr>
            <w:tcW w:w="5213" w:type="dxa"/>
            <w:tcBorders>
              <w:top w:val="nil"/>
              <w:left w:val="nil"/>
              <w:bottom w:val="nil"/>
              <w:right w:val="nil"/>
            </w:tcBorders>
            <w:vAlign w:val="center"/>
          </w:tcPr>
          <w:p w:rsidR="005B79B3" w:rsidRDefault="005B79B3" w:rsidP="005B79B3">
            <w:pPr>
              <w:pStyle w:val="naislab"/>
              <w:jc w:val="both"/>
            </w:pPr>
            <w:r>
              <w:t> </w:t>
            </w:r>
          </w:p>
        </w:tc>
      </w:tr>
    </w:tbl>
    <w:p w:rsidR="005B79B3" w:rsidRPr="00616213" w:rsidRDefault="005B79B3" w:rsidP="005B79B3">
      <w:pPr>
        <w:pStyle w:val="naislab"/>
        <w:jc w:val="both"/>
        <w:rPr>
          <w:sz w:val="16"/>
        </w:rPr>
      </w:pPr>
      <w:r w:rsidRPr="00616213">
        <w:rPr>
          <w:sz w:val="20"/>
        </w:rPr>
        <w:t> Piezīme. * Dokumenta rekvizītu "paraksts" neaizpilda, ja elektroniskais dokuments ir sagatavots atbilstoši normatīvajiem aktiem par elektronisko dokumentu noformēšanu.</w:t>
      </w:r>
    </w:p>
    <w:tbl>
      <w:tblPr>
        <w:tblW w:w="0" w:type="auto"/>
        <w:tblCellSpacing w:w="0" w:type="dxa"/>
        <w:tblCellMar>
          <w:left w:w="0" w:type="dxa"/>
          <w:right w:w="0" w:type="dxa"/>
        </w:tblCellMar>
        <w:tblLook w:val="0000" w:firstRow="0" w:lastRow="0" w:firstColumn="0" w:lastColumn="0" w:noHBand="0" w:noVBand="0"/>
      </w:tblPr>
      <w:tblGrid>
        <w:gridCol w:w="8265"/>
      </w:tblGrid>
      <w:tr w:rsidR="005B79B3" w:rsidRPr="008C3358">
        <w:trPr>
          <w:tblCellSpacing w:w="0" w:type="dxa"/>
        </w:trPr>
        <w:tc>
          <w:tcPr>
            <w:tcW w:w="8265" w:type="dxa"/>
            <w:tcBorders>
              <w:top w:val="single" w:sz="8" w:space="0" w:color="000000"/>
              <w:left w:val="nil"/>
              <w:bottom w:val="nil"/>
              <w:right w:val="nil"/>
            </w:tcBorders>
          </w:tcPr>
          <w:p w:rsidR="005B79B3" w:rsidRPr="008C3358" w:rsidRDefault="005B79B3" w:rsidP="005B79B3">
            <w:pPr>
              <w:pStyle w:val="Parasts1"/>
              <w:jc w:val="both"/>
            </w:pPr>
            <w:r w:rsidRPr="008C3358">
              <w:t>  (par projektu atbildīgās amatpersonas vārds un uzvārds)</w:t>
            </w:r>
          </w:p>
        </w:tc>
      </w:tr>
      <w:tr w:rsidR="005B79B3" w:rsidRPr="008C3358">
        <w:trPr>
          <w:tblCellSpacing w:w="0" w:type="dxa"/>
        </w:trPr>
        <w:tc>
          <w:tcPr>
            <w:tcW w:w="8265" w:type="dxa"/>
            <w:tcBorders>
              <w:top w:val="nil"/>
              <w:left w:val="nil"/>
              <w:bottom w:val="single" w:sz="8" w:space="0" w:color="000000"/>
              <w:right w:val="nil"/>
            </w:tcBorders>
          </w:tcPr>
          <w:p w:rsidR="005B79B3" w:rsidRPr="008C3358" w:rsidRDefault="005B79B3" w:rsidP="00070E7F">
            <w:pPr>
              <w:pStyle w:val="naislab"/>
              <w:jc w:val="both"/>
            </w:pPr>
            <w:r w:rsidRPr="008C3358">
              <w:t> </w:t>
            </w:r>
            <w:r w:rsidR="00070E7F">
              <w:t>Linda Voiče</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5B79B3">
            <w:pPr>
              <w:pStyle w:val="Parasts1"/>
              <w:jc w:val="both"/>
            </w:pPr>
            <w:r w:rsidRPr="008C3358">
              <w:t>(amats)</w:t>
            </w:r>
          </w:p>
        </w:tc>
      </w:tr>
      <w:tr w:rsidR="005B79B3" w:rsidRPr="008C3358" w:rsidTr="003D10B7">
        <w:trPr>
          <w:trHeight w:val="249"/>
          <w:tblCellSpacing w:w="0" w:type="dxa"/>
        </w:trPr>
        <w:tc>
          <w:tcPr>
            <w:tcW w:w="0" w:type="auto"/>
            <w:tcBorders>
              <w:top w:val="nil"/>
              <w:left w:val="nil"/>
              <w:bottom w:val="single" w:sz="8" w:space="0" w:color="000000"/>
              <w:right w:val="nil"/>
            </w:tcBorders>
            <w:vAlign w:val="center"/>
          </w:tcPr>
          <w:p w:rsidR="005B79B3" w:rsidRPr="008C3358" w:rsidRDefault="005B79B3" w:rsidP="00070E7F">
            <w:pPr>
              <w:pStyle w:val="naislab"/>
              <w:jc w:val="both"/>
            </w:pPr>
            <w:r w:rsidRPr="008C3358">
              <w:t> </w:t>
            </w:r>
            <w:r w:rsidR="00D169D7">
              <w:t>Vecāk</w:t>
            </w:r>
            <w:r w:rsidR="00070E7F">
              <w:t>ā</w:t>
            </w:r>
            <w:r w:rsidR="00D169D7">
              <w:t xml:space="preserve"> referent</w:t>
            </w:r>
            <w:r w:rsidR="00070E7F">
              <w:t>e</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5B79B3">
            <w:pPr>
              <w:pStyle w:val="Parasts1"/>
              <w:jc w:val="both"/>
            </w:pPr>
            <w:r w:rsidRPr="008C3358">
              <w:lastRenderedPageBreak/>
              <w:t>(tālruņa un faksa numurs)</w:t>
            </w:r>
          </w:p>
        </w:tc>
      </w:tr>
      <w:tr w:rsidR="005B79B3" w:rsidRPr="008C3358" w:rsidTr="003D10B7">
        <w:trPr>
          <w:trHeight w:val="245"/>
          <w:tblCellSpacing w:w="0" w:type="dxa"/>
        </w:trPr>
        <w:tc>
          <w:tcPr>
            <w:tcW w:w="0" w:type="auto"/>
            <w:tcBorders>
              <w:top w:val="nil"/>
              <w:left w:val="nil"/>
              <w:bottom w:val="single" w:sz="8" w:space="0" w:color="000000"/>
              <w:right w:val="nil"/>
            </w:tcBorders>
            <w:vAlign w:val="center"/>
          </w:tcPr>
          <w:p w:rsidR="005B79B3" w:rsidRPr="008C3358" w:rsidRDefault="005B79B3" w:rsidP="00070E7F">
            <w:pPr>
              <w:pStyle w:val="naislab"/>
              <w:jc w:val="both"/>
            </w:pPr>
            <w:r w:rsidRPr="008C3358">
              <w:t> tāl</w:t>
            </w:r>
            <w:r w:rsidR="00B33832" w:rsidRPr="008C3358">
              <w:t>r</w:t>
            </w:r>
            <w:r w:rsidRPr="008C3358">
              <w:t>. 67027</w:t>
            </w:r>
            <w:r w:rsidR="00070E7F">
              <w:t>12</w:t>
            </w:r>
            <w:r w:rsidR="00D169D7">
              <w:t>1</w:t>
            </w:r>
            <w:r w:rsidRPr="008C3358">
              <w:t>; fakss: 67</w:t>
            </w:r>
            <w:r w:rsidR="00FA3503" w:rsidRPr="008C3358">
              <w:t>878722</w:t>
            </w:r>
          </w:p>
        </w:tc>
      </w:tr>
      <w:tr w:rsidR="005B79B3" w:rsidRPr="008C3358">
        <w:trPr>
          <w:tblCellSpacing w:w="0" w:type="dxa"/>
        </w:trPr>
        <w:tc>
          <w:tcPr>
            <w:tcW w:w="0" w:type="auto"/>
            <w:tcBorders>
              <w:top w:val="nil"/>
              <w:left w:val="nil"/>
              <w:bottom w:val="nil"/>
              <w:right w:val="nil"/>
            </w:tcBorders>
            <w:vAlign w:val="center"/>
          </w:tcPr>
          <w:p w:rsidR="005B79B3" w:rsidRPr="008C3358" w:rsidRDefault="005B79B3" w:rsidP="00070E7F">
            <w:pPr>
              <w:pStyle w:val="Parasts1"/>
              <w:jc w:val="both"/>
            </w:pPr>
            <w:r w:rsidRPr="008C3358">
              <w:t>(e-pasta adrese</w:t>
            </w:r>
            <w:r w:rsidR="00070E7F">
              <w:t>) Linda.Voice</w:t>
            </w:r>
            <w:r w:rsidRPr="008C3358">
              <w:t>@zm.gov.lv</w:t>
            </w:r>
          </w:p>
        </w:tc>
      </w:tr>
    </w:tbl>
    <w:p w:rsidR="005B79B3" w:rsidRDefault="005B79B3" w:rsidP="00A73F5E">
      <w:pPr>
        <w:pStyle w:val="Parasts1"/>
      </w:pPr>
    </w:p>
    <w:sectPr w:rsidR="005B79B3" w:rsidSect="0017696A">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BE5" w:rsidRDefault="00973BE5">
      <w:pPr>
        <w:pStyle w:val="Parasts1"/>
      </w:pPr>
      <w:r>
        <w:separator/>
      </w:r>
    </w:p>
  </w:endnote>
  <w:endnote w:type="continuationSeparator" w:id="0">
    <w:p w:rsidR="00973BE5" w:rsidRDefault="00973BE5">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Sitka Small"/>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17696A" w:rsidRDefault="0017696A" w:rsidP="0017696A">
    <w:pPr>
      <w:pStyle w:val="Kjene"/>
    </w:pPr>
    <w:r w:rsidRPr="0017696A">
      <w:rPr>
        <w:sz w:val="20"/>
        <w:szCs w:val="20"/>
      </w:rPr>
      <w:t>ZMizz_230320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Pr="0017696A" w:rsidRDefault="0017696A" w:rsidP="0017696A">
    <w:pPr>
      <w:pStyle w:val="Kjene"/>
    </w:pPr>
    <w:r w:rsidRPr="0017696A">
      <w:rPr>
        <w:sz w:val="20"/>
        <w:szCs w:val="20"/>
      </w:rPr>
      <w:t>ZMizz_230320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BE5" w:rsidRDefault="00973BE5">
      <w:pPr>
        <w:pStyle w:val="Parasts1"/>
      </w:pPr>
      <w:r>
        <w:separator/>
      </w:r>
    </w:p>
  </w:footnote>
  <w:footnote w:type="continuationSeparator" w:id="0">
    <w:p w:rsidR="00973BE5" w:rsidRDefault="00973BE5">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end"/>
    </w:r>
  </w:p>
  <w:p w:rsidR="00B962E2" w:rsidRDefault="00B962E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2E2" w:rsidRDefault="003A58C3" w:rsidP="006F6BC5">
    <w:pPr>
      <w:pStyle w:val="Galvene"/>
      <w:framePr w:wrap="around" w:vAnchor="text" w:hAnchor="margin" w:xAlign="center" w:y="1"/>
      <w:rPr>
        <w:rStyle w:val="Lappusesnumurs"/>
      </w:rPr>
    </w:pPr>
    <w:r>
      <w:rPr>
        <w:rStyle w:val="Lappusesnumurs"/>
      </w:rPr>
      <w:fldChar w:fldCharType="begin"/>
    </w:r>
    <w:r w:rsidR="00B962E2">
      <w:rPr>
        <w:rStyle w:val="Lappusesnumurs"/>
      </w:rPr>
      <w:instrText xml:space="preserve">PAGE  </w:instrText>
    </w:r>
    <w:r>
      <w:rPr>
        <w:rStyle w:val="Lappusesnumurs"/>
      </w:rPr>
      <w:fldChar w:fldCharType="separate"/>
    </w:r>
    <w:r w:rsidR="00A93E12">
      <w:rPr>
        <w:rStyle w:val="Lappusesnumurs"/>
        <w:noProof/>
      </w:rPr>
      <w:t>4</w:t>
    </w:r>
    <w:r>
      <w:rPr>
        <w:rStyle w:val="Lappusesnumurs"/>
      </w:rPr>
      <w:fldChar w:fldCharType="end"/>
    </w:r>
  </w:p>
  <w:p w:rsidR="00B962E2" w:rsidRDefault="00B962E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F15"/>
    <w:multiLevelType w:val="hybridMultilevel"/>
    <w:tmpl w:val="6B4EF13E"/>
    <w:lvl w:ilvl="0" w:tplc="DEB8B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FA7766"/>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078C26F4"/>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75BE9"/>
    <w:multiLevelType w:val="hybridMultilevel"/>
    <w:tmpl w:val="97F41940"/>
    <w:lvl w:ilvl="0" w:tplc="9698DED8">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099655E"/>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144A01F5"/>
    <w:multiLevelType w:val="hybridMultilevel"/>
    <w:tmpl w:val="9CF27C72"/>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162251D7"/>
    <w:multiLevelType w:val="multilevel"/>
    <w:tmpl w:val="A7C6C7C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15:restartNumberingAfterBreak="0">
    <w:nsid w:val="16415EB1"/>
    <w:multiLevelType w:val="hybridMultilevel"/>
    <w:tmpl w:val="96364042"/>
    <w:lvl w:ilvl="0" w:tplc="A3547E1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18A6498B"/>
    <w:multiLevelType w:val="hybridMultilevel"/>
    <w:tmpl w:val="897001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0577EF"/>
    <w:multiLevelType w:val="hybridMultilevel"/>
    <w:tmpl w:val="55AC11BE"/>
    <w:lvl w:ilvl="0" w:tplc="538ECD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EF00229"/>
    <w:multiLevelType w:val="hybridMultilevel"/>
    <w:tmpl w:val="3108665E"/>
    <w:lvl w:ilvl="0" w:tplc="8CDC53F4">
      <w:start w:val="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9027F"/>
    <w:multiLevelType w:val="hybridMultilevel"/>
    <w:tmpl w:val="D3889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6B4FF0"/>
    <w:multiLevelType w:val="hybridMultilevel"/>
    <w:tmpl w:val="E7566A4A"/>
    <w:lvl w:ilvl="0" w:tplc="2AFA1110">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3" w15:restartNumberingAfterBreak="0">
    <w:nsid w:val="21090B53"/>
    <w:multiLevelType w:val="hybridMultilevel"/>
    <w:tmpl w:val="7062C3F6"/>
    <w:lvl w:ilvl="0" w:tplc="2F4CEEFA">
      <w:start w:val="1"/>
      <w:numFmt w:val="decimal"/>
      <w:lvlText w:val="%1."/>
      <w:lvlJc w:val="left"/>
      <w:pPr>
        <w:ind w:left="1495"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1673236"/>
    <w:multiLevelType w:val="hybridMultilevel"/>
    <w:tmpl w:val="F632A18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23040810"/>
    <w:multiLevelType w:val="hybridMultilevel"/>
    <w:tmpl w:val="204434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493AFA"/>
    <w:multiLevelType w:val="hybridMultilevel"/>
    <w:tmpl w:val="9FFE6D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CF616D1"/>
    <w:multiLevelType w:val="hybridMultilevel"/>
    <w:tmpl w:val="4B542D88"/>
    <w:lvl w:ilvl="0" w:tplc="9E2C75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CFC027E"/>
    <w:multiLevelType w:val="hybridMultilevel"/>
    <w:tmpl w:val="14AC6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256A7F"/>
    <w:multiLevelType w:val="multilevel"/>
    <w:tmpl w:val="F85A1D10"/>
    <w:lvl w:ilvl="0">
      <w:start w:val="1"/>
      <w:numFmt w:val="decimal"/>
      <w:lvlText w:val="%1."/>
      <w:lvlJc w:val="left"/>
      <w:pPr>
        <w:ind w:left="720" w:hanging="360"/>
      </w:pPr>
      <w:rPr>
        <w:rFonts w:hint="default"/>
      </w:rPr>
    </w:lvl>
    <w:lvl w:ilvl="1">
      <w:start w:val="1"/>
      <w:numFmt w:val="decimal"/>
      <w:isLgl/>
      <w:lvlText w:val="%1.%2."/>
      <w:lvlJc w:val="left"/>
      <w:pPr>
        <w:ind w:left="1063" w:hanging="49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Verdana" w:hAnsi="Verdana" w:hint="default"/>
        <w:sz w:val="18"/>
      </w:rPr>
    </w:lvl>
    <w:lvl w:ilvl="4">
      <w:start w:val="1"/>
      <w:numFmt w:val="decimal"/>
      <w:isLgl/>
      <w:lvlText w:val="%1.%2.%3.%4.%5."/>
      <w:lvlJc w:val="left"/>
      <w:pPr>
        <w:ind w:left="1440" w:hanging="1080"/>
      </w:pPr>
      <w:rPr>
        <w:rFonts w:ascii="Verdana" w:hAnsi="Verdana" w:hint="default"/>
        <w:sz w:val="18"/>
      </w:rPr>
    </w:lvl>
    <w:lvl w:ilvl="5">
      <w:start w:val="1"/>
      <w:numFmt w:val="decimal"/>
      <w:isLgl/>
      <w:lvlText w:val="%1.%2.%3.%4.%5.%6."/>
      <w:lvlJc w:val="left"/>
      <w:pPr>
        <w:ind w:left="1440" w:hanging="1080"/>
      </w:pPr>
      <w:rPr>
        <w:rFonts w:ascii="Verdana" w:hAnsi="Verdana" w:hint="default"/>
        <w:sz w:val="18"/>
      </w:rPr>
    </w:lvl>
    <w:lvl w:ilvl="6">
      <w:start w:val="1"/>
      <w:numFmt w:val="decimal"/>
      <w:isLgl/>
      <w:lvlText w:val="%1.%2.%3.%4.%5.%6.%7."/>
      <w:lvlJc w:val="left"/>
      <w:pPr>
        <w:ind w:left="1800" w:hanging="1440"/>
      </w:pPr>
      <w:rPr>
        <w:rFonts w:ascii="Verdana" w:hAnsi="Verdana" w:hint="default"/>
        <w:sz w:val="18"/>
      </w:rPr>
    </w:lvl>
    <w:lvl w:ilvl="7">
      <w:start w:val="1"/>
      <w:numFmt w:val="decimal"/>
      <w:isLgl/>
      <w:lvlText w:val="%1.%2.%3.%4.%5.%6.%7.%8."/>
      <w:lvlJc w:val="left"/>
      <w:pPr>
        <w:ind w:left="1800" w:hanging="1440"/>
      </w:pPr>
      <w:rPr>
        <w:rFonts w:ascii="Verdana" w:hAnsi="Verdana" w:hint="default"/>
        <w:sz w:val="18"/>
      </w:rPr>
    </w:lvl>
    <w:lvl w:ilvl="8">
      <w:start w:val="1"/>
      <w:numFmt w:val="decimal"/>
      <w:isLgl/>
      <w:lvlText w:val="%1.%2.%3.%4.%5.%6.%7.%8.%9."/>
      <w:lvlJc w:val="left"/>
      <w:pPr>
        <w:ind w:left="2160" w:hanging="1800"/>
      </w:pPr>
      <w:rPr>
        <w:rFonts w:ascii="Verdana" w:hAnsi="Verdana" w:hint="default"/>
        <w:sz w:val="18"/>
      </w:rPr>
    </w:lvl>
  </w:abstractNum>
  <w:abstractNum w:abstractNumId="20" w15:restartNumberingAfterBreak="0">
    <w:nsid w:val="33E764DE"/>
    <w:multiLevelType w:val="hybridMultilevel"/>
    <w:tmpl w:val="87B472FA"/>
    <w:lvl w:ilvl="0" w:tplc="A34C2C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7740C4C"/>
    <w:multiLevelType w:val="hybridMultilevel"/>
    <w:tmpl w:val="346C5AD6"/>
    <w:lvl w:ilvl="0" w:tplc="3D32324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AA1778F"/>
    <w:multiLevelType w:val="hybridMultilevel"/>
    <w:tmpl w:val="E9A4E2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7A83989"/>
    <w:multiLevelType w:val="hybridMultilevel"/>
    <w:tmpl w:val="126C0DF8"/>
    <w:lvl w:ilvl="0" w:tplc="DCCE8A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A91A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212B3"/>
    <w:multiLevelType w:val="hybridMultilevel"/>
    <w:tmpl w:val="AF6AF14E"/>
    <w:lvl w:ilvl="0" w:tplc="BAF4B224">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50D70731"/>
    <w:multiLevelType w:val="hybridMultilevel"/>
    <w:tmpl w:val="B20AA0DA"/>
    <w:lvl w:ilvl="0" w:tplc="E368B770">
      <w:start w:val="1"/>
      <w:numFmt w:val="decimal"/>
      <w:lvlText w:val="%1)"/>
      <w:lvlJc w:val="left"/>
      <w:pPr>
        <w:ind w:left="761" w:hanging="360"/>
      </w:pPr>
      <w:rPr>
        <w:rFonts w:hint="default"/>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28" w15:restartNumberingAfterBreak="0">
    <w:nsid w:val="521115A0"/>
    <w:multiLevelType w:val="hybridMultilevel"/>
    <w:tmpl w:val="3AA2B89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13724E"/>
    <w:multiLevelType w:val="hybridMultilevel"/>
    <w:tmpl w:val="6592E940"/>
    <w:lvl w:ilvl="0" w:tplc="647666DC">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3FD5D89"/>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15:restartNumberingAfterBreak="0">
    <w:nsid w:val="622F7EF7"/>
    <w:multiLevelType w:val="hybridMultilevel"/>
    <w:tmpl w:val="1676F3B4"/>
    <w:lvl w:ilvl="0" w:tplc="0426000F">
      <w:start w:val="1"/>
      <w:numFmt w:val="decimal"/>
      <w:lvlText w:val="%1."/>
      <w:lvlJc w:val="left"/>
      <w:pPr>
        <w:ind w:left="720" w:hanging="360"/>
      </w:pPr>
    </w:lvl>
    <w:lvl w:ilvl="1" w:tplc="607CE174">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676124F"/>
    <w:multiLevelType w:val="hybridMultilevel"/>
    <w:tmpl w:val="05503F9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3" w15:restartNumberingAfterBreak="0">
    <w:nsid w:val="6B310C1B"/>
    <w:multiLevelType w:val="hybridMultilevel"/>
    <w:tmpl w:val="C25E3FB8"/>
    <w:lvl w:ilvl="0" w:tplc="BA9ECA42">
      <w:start w:val="2"/>
      <w:numFmt w:val="decimal"/>
      <w:lvlText w:val="%1."/>
      <w:lvlJc w:val="left"/>
      <w:pPr>
        <w:ind w:left="1084" w:hanging="360"/>
      </w:pPr>
      <w:rPr>
        <w:rFonts w:hint="default"/>
        <w:color w:val="000000"/>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34" w15:restartNumberingAfterBreak="0">
    <w:nsid w:val="77677B7B"/>
    <w:multiLevelType w:val="hybridMultilevel"/>
    <w:tmpl w:val="CFB28C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A363C39"/>
    <w:multiLevelType w:val="hybridMultilevel"/>
    <w:tmpl w:val="031EDB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9E3087"/>
    <w:multiLevelType w:val="hybridMultilevel"/>
    <w:tmpl w:val="5E8459CC"/>
    <w:lvl w:ilvl="0" w:tplc="07E08DAA">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F3B5A73"/>
    <w:multiLevelType w:val="hybridMultilevel"/>
    <w:tmpl w:val="0F184D2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35"/>
  </w:num>
  <w:num w:numId="5">
    <w:abstractNumId w:val="5"/>
  </w:num>
  <w:num w:numId="6">
    <w:abstractNumId w:val="2"/>
  </w:num>
  <w:num w:numId="7">
    <w:abstractNumId w:val="30"/>
  </w:num>
  <w:num w:numId="8">
    <w:abstractNumId w:val="32"/>
  </w:num>
  <w:num w:numId="9">
    <w:abstractNumId w:val="4"/>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9"/>
  </w:num>
  <w:num w:numId="14">
    <w:abstractNumId w:val="28"/>
  </w:num>
  <w:num w:numId="15">
    <w:abstractNumId w:val="23"/>
  </w:num>
  <w:num w:numId="16">
    <w:abstractNumId w:val="31"/>
  </w:num>
  <w:num w:numId="17">
    <w:abstractNumId w:val="3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3"/>
  </w:num>
  <w:num w:numId="21">
    <w:abstractNumId w:val="1"/>
  </w:num>
  <w:num w:numId="22">
    <w:abstractNumId w:val="7"/>
  </w:num>
  <w:num w:numId="23">
    <w:abstractNumId w:val="27"/>
  </w:num>
  <w:num w:numId="24">
    <w:abstractNumId w:val="24"/>
  </w:num>
  <w:num w:numId="25">
    <w:abstractNumId w:val="36"/>
  </w:num>
  <w:num w:numId="26">
    <w:abstractNumId w:val="15"/>
  </w:num>
  <w:num w:numId="27">
    <w:abstractNumId w:val="10"/>
  </w:num>
  <w:num w:numId="28">
    <w:abstractNumId w:val="19"/>
  </w:num>
  <w:num w:numId="29">
    <w:abstractNumId w:val="6"/>
  </w:num>
  <w:num w:numId="30">
    <w:abstractNumId w:val="2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11"/>
  </w:num>
  <w:num w:numId="40">
    <w:abstractNumId w:val="18"/>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AB3"/>
    <w:rsid w:val="000143AC"/>
    <w:rsid w:val="000209CF"/>
    <w:rsid w:val="00021BAB"/>
    <w:rsid w:val="0002257D"/>
    <w:rsid w:val="00023B79"/>
    <w:rsid w:val="000255D5"/>
    <w:rsid w:val="0003201B"/>
    <w:rsid w:val="0003415E"/>
    <w:rsid w:val="000344B9"/>
    <w:rsid w:val="00034A19"/>
    <w:rsid w:val="00037398"/>
    <w:rsid w:val="0004021A"/>
    <w:rsid w:val="000407C0"/>
    <w:rsid w:val="00044F7B"/>
    <w:rsid w:val="0005086D"/>
    <w:rsid w:val="00050D2A"/>
    <w:rsid w:val="00054DEB"/>
    <w:rsid w:val="00055E5F"/>
    <w:rsid w:val="00063788"/>
    <w:rsid w:val="00066005"/>
    <w:rsid w:val="00070E7F"/>
    <w:rsid w:val="00072C64"/>
    <w:rsid w:val="000733EE"/>
    <w:rsid w:val="000850CA"/>
    <w:rsid w:val="000873E6"/>
    <w:rsid w:val="00087814"/>
    <w:rsid w:val="00091EEA"/>
    <w:rsid w:val="0009351F"/>
    <w:rsid w:val="00093703"/>
    <w:rsid w:val="000953A9"/>
    <w:rsid w:val="000B0745"/>
    <w:rsid w:val="000B0F27"/>
    <w:rsid w:val="000B55A0"/>
    <w:rsid w:val="000C2DAE"/>
    <w:rsid w:val="000C5057"/>
    <w:rsid w:val="000C7787"/>
    <w:rsid w:val="000D2D90"/>
    <w:rsid w:val="000D42E7"/>
    <w:rsid w:val="000D4C21"/>
    <w:rsid w:val="000D78F0"/>
    <w:rsid w:val="000D793A"/>
    <w:rsid w:val="000E35C1"/>
    <w:rsid w:val="000E35F6"/>
    <w:rsid w:val="000E42BB"/>
    <w:rsid w:val="000F053C"/>
    <w:rsid w:val="000F4229"/>
    <w:rsid w:val="000F7B59"/>
    <w:rsid w:val="000F7F9D"/>
    <w:rsid w:val="00107D72"/>
    <w:rsid w:val="0011035C"/>
    <w:rsid w:val="0011169C"/>
    <w:rsid w:val="00114EFB"/>
    <w:rsid w:val="00120B01"/>
    <w:rsid w:val="00130C06"/>
    <w:rsid w:val="00133061"/>
    <w:rsid w:val="00135703"/>
    <w:rsid w:val="00143806"/>
    <w:rsid w:val="001473AC"/>
    <w:rsid w:val="00147E13"/>
    <w:rsid w:val="001506BE"/>
    <w:rsid w:val="00162F5D"/>
    <w:rsid w:val="00165E45"/>
    <w:rsid w:val="00167211"/>
    <w:rsid w:val="0017696A"/>
    <w:rsid w:val="00180D2B"/>
    <w:rsid w:val="00187DB2"/>
    <w:rsid w:val="00195D94"/>
    <w:rsid w:val="00195F2C"/>
    <w:rsid w:val="00197C96"/>
    <w:rsid w:val="001A3AA6"/>
    <w:rsid w:val="001A57B7"/>
    <w:rsid w:val="001A6488"/>
    <w:rsid w:val="001B02A2"/>
    <w:rsid w:val="001B0B31"/>
    <w:rsid w:val="001B2F72"/>
    <w:rsid w:val="001B3D76"/>
    <w:rsid w:val="001C3146"/>
    <w:rsid w:val="001C404E"/>
    <w:rsid w:val="001C483D"/>
    <w:rsid w:val="001D068C"/>
    <w:rsid w:val="001D0C02"/>
    <w:rsid w:val="001D3712"/>
    <w:rsid w:val="001D383C"/>
    <w:rsid w:val="001D3964"/>
    <w:rsid w:val="001E61BD"/>
    <w:rsid w:val="001F0A73"/>
    <w:rsid w:val="001F2B65"/>
    <w:rsid w:val="001F6469"/>
    <w:rsid w:val="00201EE0"/>
    <w:rsid w:val="0020476C"/>
    <w:rsid w:val="002068C5"/>
    <w:rsid w:val="00210078"/>
    <w:rsid w:val="002162E8"/>
    <w:rsid w:val="0022049B"/>
    <w:rsid w:val="00225A6F"/>
    <w:rsid w:val="00227859"/>
    <w:rsid w:val="002305B5"/>
    <w:rsid w:val="00232543"/>
    <w:rsid w:val="0025412E"/>
    <w:rsid w:val="00262F05"/>
    <w:rsid w:val="0027057B"/>
    <w:rsid w:val="00275053"/>
    <w:rsid w:val="00275E91"/>
    <w:rsid w:val="002879C5"/>
    <w:rsid w:val="00295DD3"/>
    <w:rsid w:val="002A2046"/>
    <w:rsid w:val="002A2ACE"/>
    <w:rsid w:val="002A5995"/>
    <w:rsid w:val="002A663C"/>
    <w:rsid w:val="002A7A89"/>
    <w:rsid w:val="002B156F"/>
    <w:rsid w:val="002B17D7"/>
    <w:rsid w:val="002B1D75"/>
    <w:rsid w:val="002B3673"/>
    <w:rsid w:val="002B5542"/>
    <w:rsid w:val="002C4AB3"/>
    <w:rsid w:val="002C5703"/>
    <w:rsid w:val="002D2605"/>
    <w:rsid w:val="002D6389"/>
    <w:rsid w:val="002E0A6D"/>
    <w:rsid w:val="002E3A2B"/>
    <w:rsid w:val="002E4DC8"/>
    <w:rsid w:val="002E7229"/>
    <w:rsid w:val="002E7C04"/>
    <w:rsid w:val="002F0765"/>
    <w:rsid w:val="002F2C53"/>
    <w:rsid w:val="002F4B2D"/>
    <w:rsid w:val="002F5A9F"/>
    <w:rsid w:val="002F5D3F"/>
    <w:rsid w:val="00302FEA"/>
    <w:rsid w:val="00307F05"/>
    <w:rsid w:val="00310132"/>
    <w:rsid w:val="00316D34"/>
    <w:rsid w:val="00317E0B"/>
    <w:rsid w:val="00321650"/>
    <w:rsid w:val="0032559E"/>
    <w:rsid w:val="00326DC0"/>
    <w:rsid w:val="00330016"/>
    <w:rsid w:val="003329A3"/>
    <w:rsid w:val="0033661A"/>
    <w:rsid w:val="00341E8B"/>
    <w:rsid w:val="00343BD7"/>
    <w:rsid w:val="00352DA5"/>
    <w:rsid w:val="00352E84"/>
    <w:rsid w:val="003541FC"/>
    <w:rsid w:val="00354384"/>
    <w:rsid w:val="003636EF"/>
    <w:rsid w:val="00367715"/>
    <w:rsid w:val="00371548"/>
    <w:rsid w:val="00377BA3"/>
    <w:rsid w:val="00377CEE"/>
    <w:rsid w:val="00387758"/>
    <w:rsid w:val="00391758"/>
    <w:rsid w:val="003A58C3"/>
    <w:rsid w:val="003A7DB2"/>
    <w:rsid w:val="003A7F82"/>
    <w:rsid w:val="003B0829"/>
    <w:rsid w:val="003B0D44"/>
    <w:rsid w:val="003B2277"/>
    <w:rsid w:val="003B3991"/>
    <w:rsid w:val="003B40B6"/>
    <w:rsid w:val="003B65DB"/>
    <w:rsid w:val="003C13D2"/>
    <w:rsid w:val="003C50E2"/>
    <w:rsid w:val="003D10B7"/>
    <w:rsid w:val="003E206F"/>
    <w:rsid w:val="003E3B4A"/>
    <w:rsid w:val="003E7AA5"/>
    <w:rsid w:val="003E7F50"/>
    <w:rsid w:val="003F1651"/>
    <w:rsid w:val="003F55C2"/>
    <w:rsid w:val="003F5D53"/>
    <w:rsid w:val="003F7A95"/>
    <w:rsid w:val="004022B2"/>
    <w:rsid w:val="00404D72"/>
    <w:rsid w:val="004139F4"/>
    <w:rsid w:val="0041615D"/>
    <w:rsid w:val="00420078"/>
    <w:rsid w:val="00424841"/>
    <w:rsid w:val="004307CD"/>
    <w:rsid w:val="00432968"/>
    <w:rsid w:val="00432BE6"/>
    <w:rsid w:val="00433560"/>
    <w:rsid w:val="004463DF"/>
    <w:rsid w:val="00455441"/>
    <w:rsid w:val="00455ED7"/>
    <w:rsid w:val="00461EFC"/>
    <w:rsid w:val="0046671A"/>
    <w:rsid w:val="0046796F"/>
    <w:rsid w:val="004718CD"/>
    <w:rsid w:val="004725A4"/>
    <w:rsid w:val="00480EE8"/>
    <w:rsid w:val="004858E6"/>
    <w:rsid w:val="00486494"/>
    <w:rsid w:val="0049351F"/>
    <w:rsid w:val="004A14AB"/>
    <w:rsid w:val="004B0656"/>
    <w:rsid w:val="004B1391"/>
    <w:rsid w:val="004B1C3B"/>
    <w:rsid w:val="004B3DFF"/>
    <w:rsid w:val="004C0C1B"/>
    <w:rsid w:val="004C4F50"/>
    <w:rsid w:val="004D763D"/>
    <w:rsid w:val="004E521B"/>
    <w:rsid w:val="004F0C41"/>
    <w:rsid w:val="004F1C53"/>
    <w:rsid w:val="00502228"/>
    <w:rsid w:val="005036BE"/>
    <w:rsid w:val="00507356"/>
    <w:rsid w:val="005157F2"/>
    <w:rsid w:val="00522B66"/>
    <w:rsid w:val="00530160"/>
    <w:rsid w:val="00530770"/>
    <w:rsid w:val="00530C81"/>
    <w:rsid w:val="00532DBB"/>
    <w:rsid w:val="005379C7"/>
    <w:rsid w:val="00540F41"/>
    <w:rsid w:val="005413D5"/>
    <w:rsid w:val="00542BA3"/>
    <w:rsid w:val="00544D47"/>
    <w:rsid w:val="00546131"/>
    <w:rsid w:val="0055357C"/>
    <w:rsid w:val="005543D1"/>
    <w:rsid w:val="00562476"/>
    <w:rsid w:val="005663BA"/>
    <w:rsid w:val="00566652"/>
    <w:rsid w:val="00571044"/>
    <w:rsid w:val="00575A0C"/>
    <w:rsid w:val="00576CDD"/>
    <w:rsid w:val="00580226"/>
    <w:rsid w:val="0058062F"/>
    <w:rsid w:val="00582092"/>
    <w:rsid w:val="00582AD0"/>
    <w:rsid w:val="00584AE8"/>
    <w:rsid w:val="00593599"/>
    <w:rsid w:val="005941F1"/>
    <w:rsid w:val="00594ADD"/>
    <w:rsid w:val="005A4A79"/>
    <w:rsid w:val="005A7F4B"/>
    <w:rsid w:val="005B79B3"/>
    <w:rsid w:val="005C022A"/>
    <w:rsid w:val="005D49EF"/>
    <w:rsid w:val="005E013A"/>
    <w:rsid w:val="005E1D64"/>
    <w:rsid w:val="005F2419"/>
    <w:rsid w:val="006044B4"/>
    <w:rsid w:val="00606733"/>
    <w:rsid w:val="0061565E"/>
    <w:rsid w:val="00615F31"/>
    <w:rsid w:val="00616213"/>
    <w:rsid w:val="006237F3"/>
    <w:rsid w:val="00624EDA"/>
    <w:rsid w:val="00625182"/>
    <w:rsid w:val="00633A95"/>
    <w:rsid w:val="00635033"/>
    <w:rsid w:val="00635134"/>
    <w:rsid w:val="00635173"/>
    <w:rsid w:val="00637775"/>
    <w:rsid w:val="00641216"/>
    <w:rsid w:val="006444A0"/>
    <w:rsid w:val="006463B6"/>
    <w:rsid w:val="00652C31"/>
    <w:rsid w:val="0065380F"/>
    <w:rsid w:val="0065467B"/>
    <w:rsid w:val="0066305A"/>
    <w:rsid w:val="0066517E"/>
    <w:rsid w:val="0066659B"/>
    <w:rsid w:val="00670ED8"/>
    <w:rsid w:val="00673373"/>
    <w:rsid w:val="006734CF"/>
    <w:rsid w:val="00676262"/>
    <w:rsid w:val="006770E9"/>
    <w:rsid w:val="0068021D"/>
    <w:rsid w:val="00680FE9"/>
    <w:rsid w:val="006831F9"/>
    <w:rsid w:val="006853C3"/>
    <w:rsid w:val="006872B0"/>
    <w:rsid w:val="0069225E"/>
    <w:rsid w:val="0069412A"/>
    <w:rsid w:val="006A15FA"/>
    <w:rsid w:val="006A1DAF"/>
    <w:rsid w:val="006A51B5"/>
    <w:rsid w:val="006B475E"/>
    <w:rsid w:val="006B6219"/>
    <w:rsid w:val="006D3AC0"/>
    <w:rsid w:val="006D674F"/>
    <w:rsid w:val="006D70FC"/>
    <w:rsid w:val="006E090F"/>
    <w:rsid w:val="006E30C3"/>
    <w:rsid w:val="006E31C7"/>
    <w:rsid w:val="006E44E3"/>
    <w:rsid w:val="006E59D9"/>
    <w:rsid w:val="006F1136"/>
    <w:rsid w:val="006F3FF0"/>
    <w:rsid w:val="006F63CC"/>
    <w:rsid w:val="006F6BC5"/>
    <w:rsid w:val="006F7AF1"/>
    <w:rsid w:val="00703CBB"/>
    <w:rsid w:val="00704C3E"/>
    <w:rsid w:val="00706E25"/>
    <w:rsid w:val="00720858"/>
    <w:rsid w:val="007254E7"/>
    <w:rsid w:val="00726FAC"/>
    <w:rsid w:val="00727992"/>
    <w:rsid w:val="0073233D"/>
    <w:rsid w:val="007324B3"/>
    <w:rsid w:val="007372C0"/>
    <w:rsid w:val="00740331"/>
    <w:rsid w:val="00741A39"/>
    <w:rsid w:val="0074352F"/>
    <w:rsid w:val="00744E25"/>
    <w:rsid w:val="00745C1C"/>
    <w:rsid w:val="007476D1"/>
    <w:rsid w:val="0075296B"/>
    <w:rsid w:val="0076027B"/>
    <w:rsid w:val="007644A7"/>
    <w:rsid w:val="0076514A"/>
    <w:rsid w:val="00767942"/>
    <w:rsid w:val="00773ED4"/>
    <w:rsid w:val="00774E05"/>
    <w:rsid w:val="0077746B"/>
    <w:rsid w:val="007877F5"/>
    <w:rsid w:val="00791314"/>
    <w:rsid w:val="00793829"/>
    <w:rsid w:val="00796106"/>
    <w:rsid w:val="007A2D4F"/>
    <w:rsid w:val="007B2CC9"/>
    <w:rsid w:val="007B2DB2"/>
    <w:rsid w:val="007B49A6"/>
    <w:rsid w:val="007D3449"/>
    <w:rsid w:val="007D63B5"/>
    <w:rsid w:val="007D6C87"/>
    <w:rsid w:val="007E2663"/>
    <w:rsid w:val="007E26CC"/>
    <w:rsid w:val="007E506B"/>
    <w:rsid w:val="008009D8"/>
    <w:rsid w:val="00804C96"/>
    <w:rsid w:val="00807769"/>
    <w:rsid w:val="0081173D"/>
    <w:rsid w:val="00812270"/>
    <w:rsid w:val="00816C8E"/>
    <w:rsid w:val="00823110"/>
    <w:rsid w:val="00823BEE"/>
    <w:rsid w:val="00825C87"/>
    <w:rsid w:val="00827167"/>
    <w:rsid w:val="00831EFD"/>
    <w:rsid w:val="00835987"/>
    <w:rsid w:val="00840BEC"/>
    <w:rsid w:val="00842B1E"/>
    <w:rsid w:val="00851325"/>
    <w:rsid w:val="00854BA8"/>
    <w:rsid w:val="0087289D"/>
    <w:rsid w:val="0087614B"/>
    <w:rsid w:val="00876802"/>
    <w:rsid w:val="008811AC"/>
    <w:rsid w:val="008847B1"/>
    <w:rsid w:val="00884E86"/>
    <w:rsid w:val="00893623"/>
    <w:rsid w:val="0089690F"/>
    <w:rsid w:val="008A66DE"/>
    <w:rsid w:val="008B0E40"/>
    <w:rsid w:val="008B670D"/>
    <w:rsid w:val="008C3358"/>
    <w:rsid w:val="008C7413"/>
    <w:rsid w:val="008C7780"/>
    <w:rsid w:val="008D1011"/>
    <w:rsid w:val="008D20BF"/>
    <w:rsid w:val="008D2B7F"/>
    <w:rsid w:val="008D2F4A"/>
    <w:rsid w:val="008D55C3"/>
    <w:rsid w:val="008E7DB4"/>
    <w:rsid w:val="008F14C3"/>
    <w:rsid w:val="008F3A97"/>
    <w:rsid w:val="008F4B34"/>
    <w:rsid w:val="008F7AE9"/>
    <w:rsid w:val="00906AA9"/>
    <w:rsid w:val="00915857"/>
    <w:rsid w:val="009238FF"/>
    <w:rsid w:val="00925058"/>
    <w:rsid w:val="00925B3A"/>
    <w:rsid w:val="00931E24"/>
    <w:rsid w:val="009320DE"/>
    <w:rsid w:val="00932AD1"/>
    <w:rsid w:val="009419A8"/>
    <w:rsid w:val="00947D79"/>
    <w:rsid w:val="0095009A"/>
    <w:rsid w:val="00950CD0"/>
    <w:rsid w:val="00951DCA"/>
    <w:rsid w:val="00953BA7"/>
    <w:rsid w:val="00955393"/>
    <w:rsid w:val="009607E6"/>
    <w:rsid w:val="009610C3"/>
    <w:rsid w:val="00964826"/>
    <w:rsid w:val="009655CF"/>
    <w:rsid w:val="009657BA"/>
    <w:rsid w:val="0096622F"/>
    <w:rsid w:val="009663BC"/>
    <w:rsid w:val="00966E32"/>
    <w:rsid w:val="009709CD"/>
    <w:rsid w:val="00970C06"/>
    <w:rsid w:val="00973BE5"/>
    <w:rsid w:val="00974AD2"/>
    <w:rsid w:val="009944D4"/>
    <w:rsid w:val="009A6DAD"/>
    <w:rsid w:val="009B16C1"/>
    <w:rsid w:val="009B1FDD"/>
    <w:rsid w:val="009B6576"/>
    <w:rsid w:val="009B6CFF"/>
    <w:rsid w:val="009B70F5"/>
    <w:rsid w:val="009B7416"/>
    <w:rsid w:val="009C0344"/>
    <w:rsid w:val="009C0736"/>
    <w:rsid w:val="009C0B8A"/>
    <w:rsid w:val="009D039C"/>
    <w:rsid w:val="009D2BE6"/>
    <w:rsid w:val="009E5D45"/>
    <w:rsid w:val="009E7B99"/>
    <w:rsid w:val="009F6596"/>
    <w:rsid w:val="009F7764"/>
    <w:rsid w:val="009F7896"/>
    <w:rsid w:val="00A075BA"/>
    <w:rsid w:val="00A12B28"/>
    <w:rsid w:val="00A17B47"/>
    <w:rsid w:val="00A206FA"/>
    <w:rsid w:val="00A30A29"/>
    <w:rsid w:val="00A3536B"/>
    <w:rsid w:val="00A4015B"/>
    <w:rsid w:val="00A463D0"/>
    <w:rsid w:val="00A47BC4"/>
    <w:rsid w:val="00A571FB"/>
    <w:rsid w:val="00A57A75"/>
    <w:rsid w:val="00A60218"/>
    <w:rsid w:val="00A6097A"/>
    <w:rsid w:val="00A61D49"/>
    <w:rsid w:val="00A63F01"/>
    <w:rsid w:val="00A6646E"/>
    <w:rsid w:val="00A72259"/>
    <w:rsid w:val="00A7374D"/>
    <w:rsid w:val="00A73F5E"/>
    <w:rsid w:val="00A767B5"/>
    <w:rsid w:val="00A93E12"/>
    <w:rsid w:val="00A94118"/>
    <w:rsid w:val="00A94ADF"/>
    <w:rsid w:val="00AA03AE"/>
    <w:rsid w:val="00AA0C0D"/>
    <w:rsid w:val="00AA43C3"/>
    <w:rsid w:val="00AB0202"/>
    <w:rsid w:val="00AB0CFD"/>
    <w:rsid w:val="00AB7243"/>
    <w:rsid w:val="00AC7675"/>
    <w:rsid w:val="00AD1268"/>
    <w:rsid w:val="00AD1EB9"/>
    <w:rsid w:val="00AD2A67"/>
    <w:rsid w:val="00AD5EF2"/>
    <w:rsid w:val="00AE05B3"/>
    <w:rsid w:val="00AE538E"/>
    <w:rsid w:val="00AE5F9C"/>
    <w:rsid w:val="00AE6138"/>
    <w:rsid w:val="00AE644C"/>
    <w:rsid w:val="00B021C2"/>
    <w:rsid w:val="00B022B7"/>
    <w:rsid w:val="00B05925"/>
    <w:rsid w:val="00B0674B"/>
    <w:rsid w:val="00B12FF4"/>
    <w:rsid w:val="00B13019"/>
    <w:rsid w:val="00B1410D"/>
    <w:rsid w:val="00B15E10"/>
    <w:rsid w:val="00B17878"/>
    <w:rsid w:val="00B22E93"/>
    <w:rsid w:val="00B23399"/>
    <w:rsid w:val="00B27158"/>
    <w:rsid w:val="00B27672"/>
    <w:rsid w:val="00B33832"/>
    <w:rsid w:val="00B43EA4"/>
    <w:rsid w:val="00B47064"/>
    <w:rsid w:val="00B5460B"/>
    <w:rsid w:val="00B64C34"/>
    <w:rsid w:val="00B67274"/>
    <w:rsid w:val="00B67461"/>
    <w:rsid w:val="00B677CE"/>
    <w:rsid w:val="00B8010C"/>
    <w:rsid w:val="00B838AB"/>
    <w:rsid w:val="00B83C64"/>
    <w:rsid w:val="00B87332"/>
    <w:rsid w:val="00B90370"/>
    <w:rsid w:val="00B9313D"/>
    <w:rsid w:val="00B9560D"/>
    <w:rsid w:val="00B962E2"/>
    <w:rsid w:val="00BA3C1E"/>
    <w:rsid w:val="00BA6238"/>
    <w:rsid w:val="00BA777D"/>
    <w:rsid w:val="00BB76D4"/>
    <w:rsid w:val="00BC2D63"/>
    <w:rsid w:val="00BD26BF"/>
    <w:rsid w:val="00BD354E"/>
    <w:rsid w:val="00BD6493"/>
    <w:rsid w:val="00BD66A2"/>
    <w:rsid w:val="00BE0CFD"/>
    <w:rsid w:val="00BE20BB"/>
    <w:rsid w:val="00BE7EDF"/>
    <w:rsid w:val="00BF205D"/>
    <w:rsid w:val="00BF30E3"/>
    <w:rsid w:val="00C0295D"/>
    <w:rsid w:val="00C072C5"/>
    <w:rsid w:val="00C21D42"/>
    <w:rsid w:val="00C26E24"/>
    <w:rsid w:val="00C274ED"/>
    <w:rsid w:val="00C302A9"/>
    <w:rsid w:val="00C31D2A"/>
    <w:rsid w:val="00C320E7"/>
    <w:rsid w:val="00C32A7C"/>
    <w:rsid w:val="00C45DA3"/>
    <w:rsid w:val="00C46CCD"/>
    <w:rsid w:val="00C47EF0"/>
    <w:rsid w:val="00C541F7"/>
    <w:rsid w:val="00C64998"/>
    <w:rsid w:val="00C71BE2"/>
    <w:rsid w:val="00C82CF0"/>
    <w:rsid w:val="00C83963"/>
    <w:rsid w:val="00C86A6C"/>
    <w:rsid w:val="00C94508"/>
    <w:rsid w:val="00C967FF"/>
    <w:rsid w:val="00C974D8"/>
    <w:rsid w:val="00CA14DD"/>
    <w:rsid w:val="00CA693B"/>
    <w:rsid w:val="00CB06E7"/>
    <w:rsid w:val="00CB1FDD"/>
    <w:rsid w:val="00CB2F1C"/>
    <w:rsid w:val="00CB418E"/>
    <w:rsid w:val="00CB51A3"/>
    <w:rsid w:val="00CB7926"/>
    <w:rsid w:val="00CC31B0"/>
    <w:rsid w:val="00CC6788"/>
    <w:rsid w:val="00CD2883"/>
    <w:rsid w:val="00CE55ED"/>
    <w:rsid w:val="00CF0C5D"/>
    <w:rsid w:val="00CF20BB"/>
    <w:rsid w:val="00D0226F"/>
    <w:rsid w:val="00D05AF4"/>
    <w:rsid w:val="00D07FA2"/>
    <w:rsid w:val="00D10772"/>
    <w:rsid w:val="00D146F4"/>
    <w:rsid w:val="00D169D7"/>
    <w:rsid w:val="00D27332"/>
    <w:rsid w:val="00D43CCD"/>
    <w:rsid w:val="00D44AD0"/>
    <w:rsid w:val="00D5461E"/>
    <w:rsid w:val="00D5605D"/>
    <w:rsid w:val="00D564E8"/>
    <w:rsid w:val="00D5664B"/>
    <w:rsid w:val="00D609AF"/>
    <w:rsid w:val="00D60CCB"/>
    <w:rsid w:val="00D62774"/>
    <w:rsid w:val="00D646DF"/>
    <w:rsid w:val="00D7733E"/>
    <w:rsid w:val="00D81EFB"/>
    <w:rsid w:val="00D823C5"/>
    <w:rsid w:val="00D834EF"/>
    <w:rsid w:val="00D848AF"/>
    <w:rsid w:val="00D84B9D"/>
    <w:rsid w:val="00D925B5"/>
    <w:rsid w:val="00D96672"/>
    <w:rsid w:val="00DB11FC"/>
    <w:rsid w:val="00DB1F80"/>
    <w:rsid w:val="00DB4BF6"/>
    <w:rsid w:val="00DB713E"/>
    <w:rsid w:val="00DB789F"/>
    <w:rsid w:val="00DC09A7"/>
    <w:rsid w:val="00DD463D"/>
    <w:rsid w:val="00DE2770"/>
    <w:rsid w:val="00E01CEE"/>
    <w:rsid w:val="00E103C1"/>
    <w:rsid w:val="00E10B21"/>
    <w:rsid w:val="00E11505"/>
    <w:rsid w:val="00E12974"/>
    <w:rsid w:val="00E145AD"/>
    <w:rsid w:val="00E20803"/>
    <w:rsid w:val="00E216F0"/>
    <w:rsid w:val="00E2570B"/>
    <w:rsid w:val="00E332E7"/>
    <w:rsid w:val="00E3343C"/>
    <w:rsid w:val="00E371B7"/>
    <w:rsid w:val="00E46384"/>
    <w:rsid w:val="00E51E79"/>
    <w:rsid w:val="00E536CD"/>
    <w:rsid w:val="00E606A7"/>
    <w:rsid w:val="00E60F70"/>
    <w:rsid w:val="00E613E4"/>
    <w:rsid w:val="00E725E5"/>
    <w:rsid w:val="00E73B14"/>
    <w:rsid w:val="00E75EF4"/>
    <w:rsid w:val="00E76182"/>
    <w:rsid w:val="00E76DF5"/>
    <w:rsid w:val="00E80E53"/>
    <w:rsid w:val="00E8248D"/>
    <w:rsid w:val="00E871D4"/>
    <w:rsid w:val="00E96E32"/>
    <w:rsid w:val="00EC4676"/>
    <w:rsid w:val="00ED3F78"/>
    <w:rsid w:val="00ED50DF"/>
    <w:rsid w:val="00ED7607"/>
    <w:rsid w:val="00EE1125"/>
    <w:rsid w:val="00EE1351"/>
    <w:rsid w:val="00EE32E6"/>
    <w:rsid w:val="00EE42EC"/>
    <w:rsid w:val="00EE612C"/>
    <w:rsid w:val="00EF18E8"/>
    <w:rsid w:val="00EF5BC9"/>
    <w:rsid w:val="00EF7053"/>
    <w:rsid w:val="00F0798A"/>
    <w:rsid w:val="00F13653"/>
    <w:rsid w:val="00F17FC9"/>
    <w:rsid w:val="00F204BA"/>
    <w:rsid w:val="00F231A6"/>
    <w:rsid w:val="00F2572A"/>
    <w:rsid w:val="00F26691"/>
    <w:rsid w:val="00F32B27"/>
    <w:rsid w:val="00F334B4"/>
    <w:rsid w:val="00F3404C"/>
    <w:rsid w:val="00F353C2"/>
    <w:rsid w:val="00F521AA"/>
    <w:rsid w:val="00F530E8"/>
    <w:rsid w:val="00F55D18"/>
    <w:rsid w:val="00F579E5"/>
    <w:rsid w:val="00F654BB"/>
    <w:rsid w:val="00F67220"/>
    <w:rsid w:val="00F7282C"/>
    <w:rsid w:val="00F73D89"/>
    <w:rsid w:val="00F74917"/>
    <w:rsid w:val="00F74E83"/>
    <w:rsid w:val="00F92972"/>
    <w:rsid w:val="00F959F8"/>
    <w:rsid w:val="00FA2E3A"/>
    <w:rsid w:val="00FA3503"/>
    <w:rsid w:val="00FA7268"/>
    <w:rsid w:val="00FB3097"/>
    <w:rsid w:val="00FB44EF"/>
    <w:rsid w:val="00FC045E"/>
    <w:rsid w:val="00FC0919"/>
    <w:rsid w:val="00FC5257"/>
    <w:rsid w:val="00FD155B"/>
    <w:rsid w:val="00FD29C6"/>
    <w:rsid w:val="00FD3A2F"/>
    <w:rsid w:val="00FE0661"/>
    <w:rsid w:val="00FE5FB5"/>
    <w:rsid w:val="00FE77E6"/>
    <w:rsid w:val="00FF0543"/>
    <w:rsid w:val="00FF09C5"/>
    <w:rsid w:val="00FF2809"/>
    <w:rsid w:val="00FF5153"/>
    <w:rsid w:val="00FF71A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34E1FB"/>
  <w15:docId w15:val="{F2852741-787A-40DB-93B9-8E8004E9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EE1125"/>
  </w:style>
  <w:style w:type="paragraph" w:styleId="Virsraksts4">
    <w:name w:val="heading 4"/>
    <w:basedOn w:val="Parasts1"/>
    <w:link w:val="Virsraksts4Rakstz"/>
    <w:uiPriority w:val="99"/>
    <w:qFormat/>
    <w:rsid w:val="002F5A9F"/>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uiPriority w:val="99"/>
    <w:qFormat/>
    <w:rsid w:val="002C4AB3"/>
    <w:rPr>
      <w:sz w:val="24"/>
      <w:szCs w:val="24"/>
    </w:rPr>
  </w:style>
  <w:style w:type="paragraph" w:customStyle="1" w:styleId="naisf">
    <w:name w:val="naisf"/>
    <w:basedOn w:val="Parasts1"/>
    <w:uiPriority w:val="99"/>
    <w:rsid w:val="002C4AB3"/>
    <w:pPr>
      <w:spacing w:before="75" w:after="75"/>
      <w:ind w:firstLine="375"/>
      <w:jc w:val="both"/>
    </w:pPr>
  </w:style>
  <w:style w:type="paragraph" w:styleId="Galvene">
    <w:name w:val="header"/>
    <w:basedOn w:val="Parasts1"/>
    <w:link w:val="GalveneRakstz"/>
    <w:rsid w:val="002C4AB3"/>
    <w:pPr>
      <w:tabs>
        <w:tab w:val="center" w:pos="4153"/>
        <w:tab w:val="right" w:pos="8306"/>
      </w:tabs>
    </w:pPr>
  </w:style>
  <w:style w:type="character" w:customStyle="1" w:styleId="GalveneRakstz">
    <w:name w:val="Galvene Rakstz."/>
    <w:link w:val="Galvene"/>
    <w:semiHidden/>
    <w:locked/>
    <w:rsid w:val="002C4AB3"/>
    <w:rPr>
      <w:sz w:val="24"/>
      <w:szCs w:val="24"/>
      <w:lang w:val="lv-LV" w:eastAsia="lv-LV" w:bidi="ar-SA"/>
    </w:rPr>
  </w:style>
  <w:style w:type="character" w:styleId="Lappusesnumurs">
    <w:name w:val="page number"/>
    <w:rsid w:val="002C4AB3"/>
    <w:rPr>
      <w:rFonts w:cs="Times New Roman"/>
    </w:rPr>
  </w:style>
  <w:style w:type="paragraph" w:styleId="Kjene">
    <w:name w:val="footer"/>
    <w:basedOn w:val="Parasts1"/>
    <w:link w:val="KjeneRakstz"/>
    <w:rsid w:val="002C4AB3"/>
    <w:pPr>
      <w:tabs>
        <w:tab w:val="center" w:pos="4153"/>
        <w:tab w:val="right" w:pos="8306"/>
      </w:tabs>
    </w:pPr>
  </w:style>
  <w:style w:type="character" w:customStyle="1" w:styleId="KjeneRakstz">
    <w:name w:val="Kājene Rakstz."/>
    <w:link w:val="Kjene"/>
    <w:locked/>
    <w:rsid w:val="002C4AB3"/>
    <w:rPr>
      <w:sz w:val="24"/>
      <w:szCs w:val="24"/>
      <w:lang w:val="lv-LV" w:eastAsia="lv-LV" w:bidi="ar-SA"/>
    </w:rPr>
  </w:style>
  <w:style w:type="paragraph" w:customStyle="1" w:styleId="naislab">
    <w:name w:val="naislab"/>
    <w:basedOn w:val="Parasts1"/>
    <w:uiPriority w:val="99"/>
    <w:rsid w:val="002C4AB3"/>
    <w:pPr>
      <w:spacing w:before="75" w:after="75"/>
      <w:jc w:val="right"/>
    </w:pPr>
  </w:style>
  <w:style w:type="paragraph" w:customStyle="1" w:styleId="Sarakstarindkopa1">
    <w:name w:val="Saraksta rindkopa1"/>
    <w:basedOn w:val="Parasts1"/>
    <w:qFormat/>
    <w:rsid w:val="002C4AB3"/>
    <w:pPr>
      <w:ind w:left="720"/>
    </w:pPr>
    <w:rPr>
      <w:rFonts w:ascii="Calibri" w:eastAsia="Calibri" w:hAnsi="Calibri"/>
      <w:sz w:val="22"/>
      <w:szCs w:val="22"/>
    </w:rPr>
  </w:style>
  <w:style w:type="paragraph" w:styleId="Pamatteksts">
    <w:name w:val="Body Text"/>
    <w:basedOn w:val="Parasts1"/>
    <w:rsid w:val="002C4AB3"/>
    <w:pPr>
      <w:jc w:val="both"/>
    </w:pPr>
    <w:rPr>
      <w:sz w:val="28"/>
      <w:szCs w:val="20"/>
      <w:lang w:eastAsia="en-US"/>
    </w:rPr>
  </w:style>
  <w:style w:type="paragraph" w:customStyle="1" w:styleId="RakstzRakstzRakstzCharChar">
    <w:name w:val="Rakstz. Rakstz. Rakstz. Char Char"/>
    <w:basedOn w:val="Parasts1"/>
    <w:rsid w:val="002C4AB3"/>
    <w:pPr>
      <w:spacing w:before="40"/>
    </w:pPr>
    <w:rPr>
      <w:lang w:val="pl-PL" w:eastAsia="pl-PL"/>
    </w:rPr>
  </w:style>
  <w:style w:type="paragraph" w:styleId="Sarakstarindkopa">
    <w:name w:val="List Paragraph"/>
    <w:basedOn w:val="Parasts1"/>
    <w:uiPriority w:val="34"/>
    <w:qFormat/>
    <w:rsid w:val="009F7896"/>
    <w:pPr>
      <w:ind w:left="720"/>
    </w:pPr>
    <w:rPr>
      <w:lang w:val="en-GB" w:eastAsia="en-US"/>
    </w:rPr>
  </w:style>
  <w:style w:type="paragraph" w:customStyle="1" w:styleId="timenewroman">
    <w:name w:val="time new roman"/>
    <w:basedOn w:val="naisf"/>
    <w:rsid w:val="009F7896"/>
    <w:rPr>
      <w:sz w:val="28"/>
      <w:szCs w:val="28"/>
    </w:rPr>
  </w:style>
  <w:style w:type="paragraph" w:customStyle="1" w:styleId="RakstzRakstzRakstzCharCharRakstzRakstzCharChar">
    <w:name w:val="Rakstz. Rakstz. Rakstz. Char Char Rakstz. Rakstz. Char Char"/>
    <w:basedOn w:val="Parasts1"/>
    <w:rsid w:val="00CB2F1C"/>
    <w:pPr>
      <w:spacing w:before="40"/>
    </w:pPr>
    <w:rPr>
      <w:lang w:val="pl-PL" w:eastAsia="pl-PL"/>
    </w:rPr>
  </w:style>
  <w:style w:type="paragraph" w:customStyle="1" w:styleId="TimeNewRoman0">
    <w:name w:val="Time New Roman"/>
    <w:basedOn w:val="Nosaukums"/>
    <w:rsid w:val="00CB2F1C"/>
    <w:pPr>
      <w:spacing w:before="0" w:after="0"/>
      <w:outlineLvl w:val="9"/>
    </w:pPr>
    <w:rPr>
      <w:rFonts w:ascii="Times New Roman" w:hAnsi="Times New Roman" w:cs="Times New Roman"/>
      <w:bCs w:val="0"/>
      <w:kern w:val="0"/>
      <w:sz w:val="28"/>
      <w:szCs w:val="20"/>
    </w:rPr>
  </w:style>
  <w:style w:type="paragraph" w:styleId="Nosaukums">
    <w:name w:val="Title"/>
    <w:basedOn w:val="Parasts1"/>
    <w:qFormat/>
    <w:rsid w:val="00CB2F1C"/>
    <w:pPr>
      <w:spacing w:before="240" w:after="60"/>
      <w:jc w:val="center"/>
      <w:outlineLvl w:val="0"/>
    </w:pPr>
    <w:rPr>
      <w:rFonts w:ascii="Arial" w:hAnsi="Arial" w:cs="Arial"/>
      <w:b/>
      <w:bCs/>
      <w:kern w:val="28"/>
      <w:sz w:val="32"/>
      <w:szCs w:val="32"/>
    </w:rPr>
  </w:style>
  <w:style w:type="character" w:customStyle="1" w:styleId="BirutaIngilavicute">
    <w:name w:val="Biruta.Ingilavicute"/>
    <w:semiHidden/>
    <w:rsid w:val="00D5605D"/>
    <w:rPr>
      <w:rFonts w:ascii="Arial" w:hAnsi="Arial" w:cs="Arial"/>
      <w:color w:val="000080"/>
      <w:sz w:val="20"/>
      <w:szCs w:val="20"/>
    </w:rPr>
  </w:style>
  <w:style w:type="character" w:styleId="Izteiksmgs">
    <w:name w:val="Strong"/>
    <w:uiPriority w:val="22"/>
    <w:qFormat/>
    <w:rsid w:val="00F204BA"/>
    <w:rPr>
      <w:rFonts w:cs="Times New Roman"/>
      <w:b/>
      <w:bCs/>
    </w:rPr>
  </w:style>
  <w:style w:type="paragraph" w:customStyle="1" w:styleId="Preformatted">
    <w:name w:val="Preformatted"/>
    <w:basedOn w:val="Parasts1"/>
    <w:rsid w:val="0079131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eastAsia="en-US"/>
    </w:rPr>
  </w:style>
  <w:style w:type="character" w:styleId="Hipersaite">
    <w:name w:val="Hyperlink"/>
    <w:rsid w:val="005B79B3"/>
    <w:rPr>
      <w:color w:val="0000FF"/>
      <w:u w:val="single"/>
    </w:rPr>
  </w:style>
  <w:style w:type="paragraph" w:customStyle="1" w:styleId="timenewroman1">
    <w:name w:val="timenewroman"/>
    <w:basedOn w:val="Parasts1"/>
    <w:rsid w:val="00E46384"/>
    <w:pPr>
      <w:spacing w:before="75" w:after="75"/>
      <w:ind w:firstLine="375"/>
      <w:jc w:val="both"/>
    </w:pPr>
    <w:rPr>
      <w:sz w:val="28"/>
      <w:szCs w:val="28"/>
    </w:rPr>
  </w:style>
  <w:style w:type="paragraph" w:styleId="Balonteksts">
    <w:name w:val="Balloon Text"/>
    <w:basedOn w:val="Parasts1"/>
    <w:semiHidden/>
    <w:rsid w:val="00ED50DF"/>
    <w:rPr>
      <w:rFonts w:ascii="Tahoma" w:hAnsi="Tahoma" w:cs="Tahoma"/>
      <w:sz w:val="16"/>
      <w:szCs w:val="16"/>
    </w:rPr>
  </w:style>
  <w:style w:type="character" w:styleId="Komentraatsauce">
    <w:name w:val="annotation reference"/>
    <w:semiHidden/>
    <w:rsid w:val="009657BA"/>
    <w:rPr>
      <w:sz w:val="16"/>
      <w:szCs w:val="16"/>
    </w:rPr>
  </w:style>
  <w:style w:type="paragraph" w:styleId="Komentrateksts">
    <w:name w:val="annotation text"/>
    <w:basedOn w:val="Parasts1"/>
    <w:semiHidden/>
    <w:rsid w:val="009657BA"/>
    <w:rPr>
      <w:sz w:val="20"/>
      <w:szCs w:val="20"/>
    </w:rPr>
  </w:style>
  <w:style w:type="paragraph" w:styleId="Komentratma">
    <w:name w:val="annotation subject"/>
    <w:basedOn w:val="Komentrateksts"/>
    <w:next w:val="Komentrateksts"/>
    <w:semiHidden/>
    <w:rsid w:val="009657BA"/>
    <w:rPr>
      <w:b/>
      <w:bCs/>
    </w:rPr>
  </w:style>
  <w:style w:type="paragraph" w:customStyle="1" w:styleId="naisc">
    <w:name w:val="naisc"/>
    <w:basedOn w:val="Parasts1"/>
    <w:rsid w:val="001A6488"/>
    <w:pPr>
      <w:spacing w:before="100" w:beforeAutospacing="1" w:after="100" w:afterAutospacing="1"/>
    </w:pPr>
    <w:rPr>
      <w:lang w:val="en-US" w:eastAsia="en-US"/>
    </w:rPr>
  </w:style>
  <w:style w:type="paragraph" w:customStyle="1" w:styleId="Rakstz2RakstzRakstzRakstz">
    <w:name w:val="Rakstz.2 Rakstz. Rakstz. Rakstz."/>
    <w:basedOn w:val="Parasts1"/>
    <w:rsid w:val="001A6488"/>
    <w:pPr>
      <w:spacing w:after="160" w:line="240" w:lineRule="exact"/>
    </w:pPr>
    <w:rPr>
      <w:rFonts w:ascii="Tahoma" w:hAnsi="Tahoma"/>
      <w:sz w:val="20"/>
      <w:szCs w:val="20"/>
      <w:lang w:val="en-US" w:eastAsia="en-US"/>
    </w:rPr>
  </w:style>
  <w:style w:type="table" w:styleId="Reatabula">
    <w:name w:val="Table Grid"/>
    <w:basedOn w:val="Parastatabula"/>
    <w:uiPriority w:val="99"/>
    <w:rsid w:val="0042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uiPriority w:val="99"/>
    <w:rsid w:val="002F5A9F"/>
    <w:rPr>
      <w:b/>
      <w:bCs/>
      <w:sz w:val="24"/>
      <w:szCs w:val="24"/>
    </w:rPr>
  </w:style>
  <w:style w:type="paragraph" w:customStyle="1" w:styleId="naiskr">
    <w:name w:val="naiskr"/>
    <w:basedOn w:val="Parasts1"/>
    <w:rsid w:val="002B17D7"/>
    <w:pPr>
      <w:spacing w:before="75" w:after="75"/>
    </w:pPr>
  </w:style>
  <w:style w:type="paragraph" w:customStyle="1" w:styleId="Paraststmeklis1">
    <w:name w:val="Parasts (tīmeklis)1"/>
    <w:basedOn w:val="Parasts1"/>
    <w:rsid w:val="00BD26BF"/>
    <w:pPr>
      <w:spacing w:before="100" w:after="100"/>
    </w:pPr>
  </w:style>
  <w:style w:type="paragraph" w:styleId="Vienkrsteksts">
    <w:name w:val="Plain Text"/>
    <w:basedOn w:val="Parasts1"/>
    <w:link w:val="VienkrstekstsRakstz"/>
    <w:rsid w:val="006A51B5"/>
    <w:rPr>
      <w:rFonts w:ascii="Courier New" w:hAnsi="Courier New"/>
      <w:sz w:val="20"/>
      <w:szCs w:val="20"/>
    </w:rPr>
  </w:style>
  <w:style w:type="character" w:customStyle="1" w:styleId="VienkrstekstsRakstz">
    <w:name w:val="Vienkāršs teksts Rakstz."/>
    <w:link w:val="Vienkrsteksts"/>
    <w:rsid w:val="006A51B5"/>
    <w:rPr>
      <w:rFonts w:ascii="Courier New" w:hAnsi="Courier New" w:cs="Courier New"/>
    </w:rPr>
  </w:style>
  <w:style w:type="paragraph" w:styleId="Vresteksts">
    <w:name w:val="footnote text"/>
    <w:basedOn w:val="Parasts1"/>
    <w:link w:val="VrestekstsRakstz"/>
    <w:rsid w:val="008F14C3"/>
    <w:rPr>
      <w:sz w:val="20"/>
      <w:szCs w:val="20"/>
    </w:rPr>
  </w:style>
  <w:style w:type="character" w:customStyle="1" w:styleId="VrestekstsRakstz">
    <w:name w:val="Vēres teksts Rakstz."/>
    <w:basedOn w:val="Noklusjumarindkopasfonts"/>
    <w:link w:val="Vresteksts"/>
    <w:rsid w:val="008F14C3"/>
  </w:style>
  <w:style w:type="character" w:styleId="Vresatsauce">
    <w:name w:val="footnote reference"/>
    <w:rsid w:val="008F14C3"/>
    <w:rPr>
      <w:vertAlign w:val="superscript"/>
    </w:rPr>
  </w:style>
  <w:style w:type="paragraph" w:customStyle="1" w:styleId="naisnod">
    <w:name w:val="naisnod"/>
    <w:basedOn w:val="Parasts1"/>
    <w:rsid w:val="00E76182"/>
    <w:pPr>
      <w:spacing w:before="100" w:beforeAutospacing="1" w:after="100" w:afterAutospacing="1"/>
    </w:pPr>
  </w:style>
  <w:style w:type="paragraph" w:customStyle="1" w:styleId="tv2131">
    <w:name w:val="tv2131"/>
    <w:basedOn w:val="Parasts"/>
    <w:rsid w:val="00461EFC"/>
    <w:pPr>
      <w:spacing w:before="240" w:line="360" w:lineRule="auto"/>
      <w:ind w:firstLine="300"/>
      <w:jc w:val="both"/>
    </w:pPr>
    <w:rPr>
      <w:rFonts w:ascii="Verdana" w:hAnsi="Verdana"/>
      <w:sz w:val="18"/>
      <w:szCs w:val="18"/>
    </w:rPr>
  </w:style>
  <w:style w:type="paragraph" w:customStyle="1" w:styleId="Default">
    <w:name w:val="Default"/>
    <w:rsid w:val="00B022B7"/>
    <w:pPr>
      <w:autoSpaceDE w:val="0"/>
      <w:autoSpaceDN w:val="0"/>
      <w:adjustRightInd w:val="0"/>
    </w:pPr>
    <w:rPr>
      <w:color w:val="000000"/>
      <w:sz w:val="24"/>
      <w:szCs w:val="24"/>
    </w:rPr>
  </w:style>
  <w:style w:type="paragraph" w:customStyle="1" w:styleId="CM1">
    <w:name w:val="CM1"/>
    <w:basedOn w:val="Default"/>
    <w:next w:val="Default"/>
    <w:uiPriority w:val="99"/>
    <w:rsid w:val="00812270"/>
    <w:rPr>
      <w:rFonts w:ascii="EUAlbertina" w:hAnsi="EUAlbertina"/>
      <w:color w:val="auto"/>
    </w:rPr>
  </w:style>
  <w:style w:type="paragraph" w:customStyle="1" w:styleId="CM3">
    <w:name w:val="CM3"/>
    <w:basedOn w:val="Default"/>
    <w:next w:val="Default"/>
    <w:uiPriority w:val="99"/>
    <w:rsid w:val="00812270"/>
    <w:rPr>
      <w:rFonts w:ascii="EUAlbertina" w:hAnsi="EUAlbertina"/>
      <w:color w:val="auto"/>
    </w:rPr>
  </w:style>
  <w:style w:type="paragraph" w:styleId="Paraststmeklis">
    <w:name w:val="Normal (Web)"/>
    <w:basedOn w:val="Parasts"/>
    <w:uiPriority w:val="99"/>
    <w:unhideWhenUsed/>
    <w:rsid w:val="00225A6F"/>
    <w:rPr>
      <w:rFonts w:eastAsiaTheme="minorHAnsi"/>
      <w:sz w:val="24"/>
      <w:szCs w:val="24"/>
    </w:rPr>
  </w:style>
  <w:style w:type="paragraph" w:styleId="Pamattekstsaratkpi">
    <w:name w:val="Body Text Indent"/>
    <w:basedOn w:val="Parasts"/>
    <w:link w:val="PamattekstsaratkpiRakstz"/>
    <w:semiHidden/>
    <w:unhideWhenUsed/>
    <w:rsid w:val="008D2F4A"/>
    <w:pPr>
      <w:spacing w:after="120"/>
      <w:ind w:left="283"/>
    </w:pPr>
  </w:style>
  <w:style w:type="character" w:customStyle="1" w:styleId="PamattekstsaratkpiRakstz">
    <w:name w:val="Pamatteksts ar atkāpi Rakstz."/>
    <w:basedOn w:val="Noklusjumarindkopasfonts"/>
    <w:link w:val="Pamattekstsaratkpi"/>
    <w:semiHidden/>
    <w:rsid w:val="008D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962">
      <w:bodyDiv w:val="1"/>
      <w:marLeft w:val="0"/>
      <w:marRight w:val="0"/>
      <w:marTop w:val="0"/>
      <w:marBottom w:val="0"/>
      <w:divBdr>
        <w:top w:val="none" w:sz="0" w:space="0" w:color="auto"/>
        <w:left w:val="none" w:sz="0" w:space="0" w:color="auto"/>
        <w:bottom w:val="none" w:sz="0" w:space="0" w:color="auto"/>
        <w:right w:val="none" w:sz="0" w:space="0" w:color="auto"/>
      </w:divBdr>
    </w:div>
    <w:div w:id="545219676">
      <w:bodyDiv w:val="1"/>
      <w:marLeft w:val="0"/>
      <w:marRight w:val="0"/>
      <w:marTop w:val="0"/>
      <w:marBottom w:val="0"/>
      <w:divBdr>
        <w:top w:val="none" w:sz="0" w:space="0" w:color="auto"/>
        <w:left w:val="none" w:sz="0" w:space="0" w:color="auto"/>
        <w:bottom w:val="none" w:sz="0" w:space="0" w:color="auto"/>
        <w:right w:val="none" w:sz="0" w:space="0" w:color="auto"/>
      </w:divBdr>
    </w:div>
    <w:div w:id="592393424">
      <w:bodyDiv w:val="1"/>
      <w:marLeft w:val="0"/>
      <w:marRight w:val="0"/>
      <w:marTop w:val="0"/>
      <w:marBottom w:val="0"/>
      <w:divBdr>
        <w:top w:val="none" w:sz="0" w:space="0" w:color="auto"/>
        <w:left w:val="none" w:sz="0" w:space="0" w:color="auto"/>
        <w:bottom w:val="none" w:sz="0" w:space="0" w:color="auto"/>
        <w:right w:val="none" w:sz="0" w:space="0" w:color="auto"/>
      </w:divBdr>
    </w:div>
    <w:div w:id="634069718">
      <w:bodyDiv w:val="1"/>
      <w:marLeft w:val="0"/>
      <w:marRight w:val="0"/>
      <w:marTop w:val="0"/>
      <w:marBottom w:val="0"/>
      <w:divBdr>
        <w:top w:val="none" w:sz="0" w:space="0" w:color="auto"/>
        <w:left w:val="none" w:sz="0" w:space="0" w:color="auto"/>
        <w:bottom w:val="none" w:sz="0" w:space="0" w:color="auto"/>
        <w:right w:val="none" w:sz="0" w:space="0" w:color="auto"/>
      </w:divBdr>
    </w:div>
    <w:div w:id="636952865">
      <w:bodyDiv w:val="1"/>
      <w:marLeft w:val="0"/>
      <w:marRight w:val="0"/>
      <w:marTop w:val="0"/>
      <w:marBottom w:val="0"/>
      <w:divBdr>
        <w:top w:val="none" w:sz="0" w:space="0" w:color="auto"/>
        <w:left w:val="none" w:sz="0" w:space="0" w:color="auto"/>
        <w:bottom w:val="none" w:sz="0" w:space="0" w:color="auto"/>
        <w:right w:val="none" w:sz="0" w:space="0" w:color="auto"/>
      </w:divBdr>
    </w:div>
    <w:div w:id="687607464">
      <w:bodyDiv w:val="1"/>
      <w:marLeft w:val="0"/>
      <w:marRight w:val="0"/>
      <w:marTop w:val="0"/>
      <w:marBottom w:val="0"/>
      <w:divBdr>
        <w:top w:val="none" w:sz="0" w:space="0" w:color="auto"/>
        <w:left w:val="none" w:sz="0" w:space="0" w:color="auto"/>
        <w:bottom w:val="none" w:sz="0" w:space="0" w:color="auto"/>
        <w:right w:val="none" w:sz="0" w:space="0" w:color="auto"/>
      </w:divBdr>
    </w:div>
    <w:div w:id="692655902">
      <w:bodyDiv w:val="1"/>
      <w:marLeft w:val="0"/>
      <w:marRight w:val="0"/>
      <w:marTop w:val="0"/>
      <w:marBottom w:val="0"/>
      <w:divBdr>
        <w:top w:val="none" w:sz="0" w:space="0" w:color="auto"/>
        <w:left w:val="none" w:sz="0" w:space="0" w:color="auto"/>
        <w:bottom w:val="none" w:sz="0" w:space="0" w:color="auto"/>
        <w:right w:val="none" w:sz="0" w:space="0" w:color="auto"/>
      </w:divBdr>
    </w:div>
    <w:div w:id="749548664">
      <w:bodyDiv w:val="1"/>
      <w:marLeft w:val="0"/>
      <w:marRight w:val="0"/>
      <w:marTop w:val="0"/>
      <w:marBottom w:val="0"/>
      <w:divBdr>
        <w:top w:val="none" w:sz="0" w:space="0" w:color="auto"/>
        <w:left w:val="none" w:sz="0" w:space="0" w:color="auto"/>
        <w:bottom w:val="none" w:sz="0" w:space="0" w:color="auto"/>
        <w:right w:val="none" w:sz="0" w:space="0" w:color="auto"/>
      </w:divBdr>
    </w:div>
    <w:div w:id="802305649">
      <w:bodyDiv w:val="1"/>
      <w:marLeft w:val="0"/>
      <w:marRight w:val="0"/>
      <w:marTop w:val="0"/>
      <w:marBottom w:val="0"/>
      <w:divBdr>
        <w:top w:val="none" w:sz="0" w:space="0" w:color="auto"/>
        <w:left w:val="none" w:sz="0" w:space="0" w:color="auto"/>
        <w:bottom w:val="none" w:sz="0" w:space="0" w:color="auto"/>
        <w:right w:val="none" w:sz="0" w:space="0" w:color="auto"/>
      </w:divBdr>
    </w:div>
    <w:div w:id="1167749792">
      <w:bodyDiv w:val="1"/>
      <w:marLeft w:val="0"/>
      <w:marRight w:val="0"/>
      <w:marTop w:val="0"/>
      <w:marBottom w:val="0"/>
      <w:divBdr>
        <w:top w:val="none" w:sz="0" w:space="0" w:color="auto"/>
        <w:left w:val="none" w:sz="0" w:space="0" w:color="auto"/>
        <w:bottom w:val="none" w:sz="0" w:space="0" w:color="auto"/>
        <w:right w:val="none" w:sz="0" w:space="0" w:color="auto"/>
      </w:divBdr>
    </w:div>
    <w:div w:id="1211770784">
      <w:bodyDiv w:val="1"/>
      <w:marLeft w:val="0"/>
      <w:marRight w:val="0"/>
      <w:marTop w:val="0"/>
      <w:marBottom w:val="0"/>
      <w:divBdr>
        <w:top w:val="none" w:sz="0" w:space="0" w:color="auto"/>
        <w:left w:val="none" w:sz="0" w:space="0" w:color="auto"/>
        <w:bottom w:val="none" w:sz="0" w:space="0" w:color="auto"/>
        <w:right w:val="none" w:sz="0" w:space="0" w:color="auto"/>
      </w:divBdr>
    </w:div>
    <w:div w:id="1230188082">
      <w:bodyDiv w:val="1"/>
      <w:marLeft w:val="0"/>
      <w:marRight w:val="0"/>
      <w:marTop w:val="0"/>
      <w:marBottom w:val="0"/>
      <w:divBdr>
        <w:top w:val="none" w:sz="0" w:space="0" w:color="auto"/>
        <w:left w:val="none" w:sz="0" w:space="0" w:color="auto"/>
        <w:bottom w:val="none" w:sz="0" w:space="0" w:color="auto"/>
        <w:right w:val="none" w:sz="0" w:space="0" w:color="auto"/>
      </w:divBdr>
    </w:div>
    <w:div w:id="1254322299">
      <w:bodyDiv w:val="1"/>
      <w:marLeft w:val="0"/>
      <w:marRight w:val="0"/>
      <w:marTop w:val="0"/>
      <w:marBottom w:val="0"/>
      <w:divBdr>
        <w:top w:val="none" w:sz="0" w:space="0" w:color="auto"/>
        <w:left w:val="none" w:sz="0" w:space="0" w:color="auto"/>
        <w:bottom w:val="none" w:sz="0" w:space="0" w:color="auto"/>
        <w:right w:val="none" w:sz="0" w:space="0" w:color="auto"/>
      </w:divBdr>
    </w:div>
    <w:div w:id="1410034073">
      <w:bodyDiv w:val="1"/>
      <w:marLeft w:val="0"/>
      <w:marRight w:val="0"/>
      <w:marTop w:val="0"/>
      <w:marBottom w:val="0"/>
      <w:divBdr>
        <w:top w:val="none" w:sz="0" w:space="0" w:color="auto"/>
        <w:left w:val="none" w:sz="0" w:space="0" w:color="auto"/>
        <w:bottom w:val="none" w:sz="0" w:space="0" w:color="auto"/>
        <w:right w:val="none" w:sz="0" w:space="0" w:color="auto"/>
      </w:divBdr>
    </w:div>
    <w:div w:id="1451630604">
      <w:bodyDiv w:val="1"/>
      <w:marLeft w:val="0"/>
      <w:marRight w:val="0"/>
      <w:marTop w:val="0"/>
      <w:marBottom w:val="0"/>
      <w:divBdr>
        <w:top w:val="none" w:sz="0" w:space="0" w:color="auto"/>
        <w:left w:val="none" w:sz="0" w:space="0" w:color="auto"/>
        <w:bottom w:val="none" w:sz="0" w:space="0" w:color="auto"/>
        <w:right w:val="none" w:sz="0" w:space="0" w:color="auto"/>
      </w:divBdr>
    </w:div>
    <w:div w:id="1504127700">
      <w:bodyDiv w:val="1"/>
      <w:marLeft w:val="0"/>
      <w:marRight w:val="0"/>
      <w:marTop w:val="0"/>
      <w:marBottom w:val="0"/>
      <w:divBdr>
        <w:top w:val="none" w:sz="0" w:space="0" w:color="auto"/>
        <w:left w:val="none" w:sz="0" w:space="0" w:color="auto"/>
        <w:bottom w:val="none" w:sz="0" w:space="0" w:color="auto"/>
        <w:right w:val="none" w:sz="0" w:space="0" w:color="auto"/>
      </w:divBdr>
    </w:div>
    <w:div w:id="1539859364">
      <w:bodyDiv w:val="1"/>
      <w:marLeft w:val="0"/>
      <w:marRight w:val="0"/>
      <w:marTop w:val="0"/>
      <w:marBottom w:val="0"/>
      <w:divBdr>
        <w:top w:val="none" w:sz="0" w:space="0" w:color="auto"/>
        <w:left w:val="none" w:sz="0" w:space="0" w:color="auto"/>
        <w:bottom w:val="none" w:sz="0" w:space="0" w:color="auto"/>
        <w:right w:val="none" w:sz="0" w:space="0" w:color="auto"/>
      </w:divBdr>
    </w:div>
    <w:div w:id="1581477821">
      <w:bodyDiv w:val="1"/>
      <w:marLeft w:val="0"/>
      <w:marRight w:val="0"/>
      <w:marTop w:val="0"/>
      <w:marBottom w:val="0"/>
      <w:divBdr>
        <w:top w:val="none" w:sz="0" w:space="0" w:color="auto"/>
        <w:left w:val="none" w:sz="0" w:space="0" w:color="auto"/>
        <w:bottom w:val="none" w:sz="0" w:space="0" w:color="auto"/>
        <w:right w:val="none" w:sz="0" w:space="0" w:color="auto"/>
      </w:divBdr>
    </w:div>
    <w:div w:id="1729918721">
      <w:bodyDiv w:val="1"/>
      <w:marLeft w:val="0"/>
      <w:marRight w:val="0"/>
      <w:marTop w:val="0"/>
      <w:marBottom w:val="0"/>
      <w:divBdr>
        <w:top w:val="none" w:sz="0" w:space="0" w:color="auto"/>
        <w:left w:val="none" w:sz="0" w:space="0" w:color="auto"/>
        <w:bottom w:val="none" w:sz="0" w:space="0" w:color="auto"/>
        <w:right w:val="none" w:sz="0" w:space="0" w:color="auto"/>
      </w:divBdr>
    </w:div>
    <w:div w:id="21410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D7604-75E9-490C-BDDA-02614B43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654</Words>
  <Characters>4786</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„Kārtība, kādā piešķir valsts un Eiropas Savienības atbalstu investīciju veicināšanai lauksaimniecībā un investīcijām materiālās bāzes pilnveidošanai”</vt:lpstr>
      <vt:lpstr>Izziņa par atzinumos sniegtajiem iebildumiem Ministru kabineta noteikumu projekts „Kārtība, kādā piešķir valsts un Eiropas Savienības atbalstu investīciju veicināšanai lauksaimniecībā un investīcijām materiālās bāzes pilnveidošanai”</vt:lpstr>
    </vt:vector>
  </TitlesOfParts>
  <Company>ZM</Company>
  <LinksUpToDate>false</LinksUpToDate>
  <CharactersWithSpaces>5430</CharactersWithSpaces>
  <SharedDoc>false</SharedDoc>
  <HLinks>
    <vt:vector size="6" baseType="variant">
      <vt:variant>
        <vt:i4>8323198</vt:i4>
      </vt:variant>
      <vt:variant>
        <vt:i4>0</vt:i4>
      </vt:variant>
      <vt:variant>
        <vt:i4>0</vt:i4>
      </vt:variant>
      <vt:variant>
        <vt:i4>5</vt:i4>
      </vt:variant>
      <vt:variant>
        <vt:lpwstr>http://likumi.lv/doc.php?id=193915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„Kārtība, kādā piešķir valsts un Eiropas Savienības atbalstu investīciju veicināšanai lauksaimniecībā un investīcijām materiālās bāzes pilnveidošanai”</dc:title>
  <dc:subject>izziņa</dc:subject>
  <dc:creator>Ritvars Zapereckis</dc:creator>
  <dc:description>Ritvars.Zapereckis@zm.gov.lv, 67027301</dc:description>
  <cp:lastModifiedBy>Kristiāna Sebre</cp:lastModifiedBy>
  <cp:revision>4</cp:revision>
  <cp:lastPrinted>2014-04-23T08:22:00Z</cp:lastPrinted>
  <dcterms:created xsi:type="dcterms:W3CDTF">2020-03-20T11:15:00Z</dcterms:created>
  <dcterms:modified xsi:type="dcterms:W3CDTF">2020-03-23T07:46:00Z</dcterms:modified>
</cp:coreProperties>
</file>