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0D" w:rsidRPr="00E75B82" w:rsidRDefault="005F740D" w:rsidP="00B130CC">
      <w:pPr>
        <w:pStyle w:val="naisnod"/>
        <w:spacing w:before="0" w:beforeAutospacing="0" w:after="0" w:afterAutospacing="0"/>
        <w:jc w:val="center"/>
        <w:rPr>
          <w:b/>
          <w:color w:val="000000"/>
          <w:sz w:val="26"/>
          <w:szCs w:val="26"/>
        </w:rPr>
      </w:pPr>
      <w:r w:rsidRPr="00E75B82">
        <w:rPr>
          <w:b/>
          <w:color w:val="000000"/>
          <w:sz w:val="26"/>
          <w:szCs w:val="26"/>
        </w:rPr>
        <w:t>Izziņa par atzinumos sniegtajiem iebildumiem</w:t>
      </w:r>
    </w:p>
    <w:p w:rsidR="00FB6291" w:rsidRPr="00E75B82" w:rsidRDefault="005E79C6" w:rsidP="00B130CC">
      <w:pPr>
        <w:jc w:val="center"/>
        <w:rPr>
          <w:sz w:val="26"/>
          <w:szCs w:val="26"/>
        </w:rPr>
      </w:pPr>
      <w:r w:rsidRPr="00E75B82">
        <w:rPr>
          <w:sz w:val="26"/>
          <w:szCs w:val="26"/>
        </w:rPr>
        <w:t xml:space="preserve">Ministru kabineta noteikumu projekts </w:t>
      </w:r>
      <w:r w:rsidR="00D0728B">
        <w:rPr>
          <w:sz w:val="26"/>
          <w:szCs w:val="26"/>
        </w:rPr>
        <w:t>“</w:t>
      </w:r>
      <w:r w:rsidR="00D0728B" w:rsidRPr="00D0728B">
        <w:rPr>
          <w:sz w:val="26"/>
          <w:szCs w:val="26"/>
        </w:rPr>
        <w:t>Grozījumi Ministru kabineta 2017. gada 10. oktobra noteikumos Nr. 621 “Noteikumi par augļu un dārzeņu ražotāju organizācijām”</w:t>
      </w:r>
      <w:r w:rsidR="00180782">
        <w:rPr>
          <w:sz w:val="26"/>
          <w:szCs w:val="26"/>
        </w:rPr>
        <w:t>”</w:t>
      </w:r>
    </w:p>
    <w:p w:rsidR="00B130CC" w:rsidRPr="00E75B82" w:rsidRDefault="00B130CC" w:rsidP="00B130CC">
      <w:pPr>
        <w:jc w:val="center"/>
        <w:rPr>
          <w:color w:val="000000"/>
          <w:sz w:val="20"/>
          <w:szCs w:val="28"/>
        </w:rPr>
      </w:pPr>
    </w:p>
    <w:p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rsidTr="00A13ACE">
        <w:tc>
          <w:tcPr>
            <w:tcW w:w="648" w:type="dxa"/>
          </w:tcPr>
          <w:p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rsidTr="00A13ACE">
        <w:tc>
          <w:tcPr>
            <w:tcW w:w="648" w:type="dxa"/>
          </w:tcPr>
          <w:p w:rsidR="005F740D" w:rsidRPr="00AC04F8" w:rsidRDefault="005F740D" w:rsidP="00B12893">
            <w:pPr>
              <w:pStyle w:val="naisf"/>
              <w:jc w:val="center"/>
              <w:rPr>
                <w:color w:val="000000"/>
              </w:rPr>
            </w:pPr>
            <w:r w:rsidRPr="00AC04F8">
              <w:rPr>
                <w:color w:val="000000"/>
              </w:rPr>
              <w:t>1</w:t>
            </w:r>
          </w:p>
        </w:tc>
        <w:tc>
          <w:tcPr>
            <w:tcW w:w="2700" w:type="dxa"/>
          </w:tcPr>
          <w:p w:rsidR="005F740D" w:rsidRPr="00AC04F8" w:rsidRDefault="005F740D" w:rsidP="00B12893">
            <w:pPr>
              <w:pStyle w:val="naisf"/>
              <w:jc w:val="center"/>
              <w:rPr>
                <w:color w:val="000000"/>
              </w:rPr>
            </w:pPr>
            <w:r w:rsidRPr="00AC04F8">
              <w:rPr>
                <w:color w:val="000000"/>
              </w:rPr>
              <w:t>2</w:t>
            </w:r>
          </w:p>
        </w:tc>
        <w:tc>
          <w:tcPr>
            <w:tcW w:w="3240" w:type="dxa"/>
          </w:tcPr>
          <w:p w:rsidR="005F740D" w:rsidRPr="00AC04F8" w:rsidRDefault="005F740D" w:rsidP="00B12893">
            <w:pPr>
              <w:pStyle w:val="naisf"/>
              <w:jc w:val="center"/>
              <w:rPr>
                <w:color w:val="000000"/>
              </w:rPr>
            </w:pPr>
            <w:r w:rsidRPr="00AC04F8">
              <w:rPr>
                <w:color w:val="000000"/>
              </w:rPr>
              <w:t>3</w:t>
            </w:r>
          </w:p>
        </w:tc>
        <w:tc>
          <w:tcPr>
            <w:tcW w:w="3420" w:type="dxa"/>
          </w:tcPr>
          <w:p w:rsidR="005F740D" w:rsidRPr="00AC04F8" w:rsidRDefault="005F740D" w:rsidP="00B12893">
            <w:pPr>
              <w:pStyle w:val="naisf"/>
              <w:jc w:val="center"/>
              <w:rPr>
                <w:color w:val="000000"/>
              </w:rPr>
            </w:pPr>
            <w:r w:rsidRPr="00AC04F8">
              <w:rPr>
                <w:color w:val="000000"/>
              </w:rPr>
              <w:t>4</w:t>
            </w:r>
          </w:p>
        </w:tc>
        <w:tc>
          <w:tcPr>
            <w:tcW w:w="1980" w:type="dxa"/>
          </w:tcPr>
          <w:p w:rsidR="005F740D" w:rsidRPr="00AC04F8" w:rsidRDefault="005F740D" w:rsidP="00B12893">
            <w:pPr>
              <w:pStyle w:val="naisf"/>
              <w:jc w:val="center"/>
              <w:rPr>
                <w:color w:val="000000"/>
              </w:rPr>
            </w:pPr>
            <w:r w:rsidRPr="00AC04F8">
              <w:rPr>
                <w:color w:val="000000"/>
              </w:rPr>
              <w:t>5</w:t>
            </w:r>
          </w:p>
        </w:tc>
        <w:tc>
          <w:tcPr>
            <w:tcW w:w="2700" w:type="dxa"/>
          </w:tcPr>
          <w:p w:rsidR="005F740D" w:rsidRPr="00AC04F8" w:rsidRDefault="005F740D" w:rsidP="00B12893">
            <w:pPr>
              <w:pStyle w:val="naisf"/>
              <w:jc w:val="center"/>
              <w:rPr>
                <w:color w:val="000000"/>
              </w:rPr>
            </w:pPr>
            <w:r w:rsidRPr="00AC04F8">
              <w:rPr>
                <w:color w:val="000000"/>
              </w:rPr>
              <w:t>6</w:t>
            </w:r>
          </w:p>
        </w:tc>
      </w:tr>
    </w:tbl>
    <w:p w:rsidR="003A5046" w:rsidRDefault="003A5046" w:rsidP="003A5046">
      <w:pPr>
        <w:pStyle w:val="naisf"/>
        <w:spacing w:before="0" w:beforeAutospacing="0" w:after="0" w:afterAutospacing="0"/>
        <w:rPr>
          <w:color w:val="000000"/>
          <w:sz w:val="18"/>
        </w:rPr>
      </w:pPr>
    </w:p>
    <w:p w:rsidR="00A1098C" w:rsidRPr="00E75B82" w:rsidRDefault="00A1098C" w:rsidP="003A5046">
      <w:pPr>
        <w:pStyle w:val="naisf"/>
        <w:spacing w:before="0" w:beforeAutospacing="0" w:after="0" w:afterAutospacing="0"/>
        <w:rPr>
          <w:color w:val="000000"/>
          <w:sz w:val="18"/>
        </w:rPr>
      </w:pPr>
    </w:p>
    <w:p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rsidR="00A1098C" w:rsidRPr="00AC04F8" w:rsidRDefault="00A1098C" w:rsidP="003A5046">
      <w:pPr>
        <w:pStyle w:val="naisf"/>
        <w:spacing w:before="0" w:beforeAutospacing="0" w:after="0" w:afterAutospacing="0"/>
        <w:jc w:val="center"/>
        <w:rPr>
          <w:b/>
          <w:color w:val="000000"/>
        </w:rPr>
      </w:pPr>
    </w:p>
    <w:p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rsidTr="00E75B82">
        <w:trPr>
          <w:gridAfter w:val="1"/>
          <w:wAfter w:w="30" w:type="dxa"/>
          <w:tblCellSpacing w:w="0" w:type="dxa"/>
        </w:trPr>
        <w:tc>
          <w:tcPr>
            <w:tcW w:w="2694" w:type="dxa"/>
          </w:tcPr>
          <w:p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rsidR="005F740D" w:rsidRPr="00AC04F8" w:rsidRDefault="002D0A2F" w:rsidP="00A37099">
            <w:pPr>
              <w:pStyle w:val="naisf"/>
              <w:spacing w:before="0" w:beforeAutospacing="0" w:after="0" w:afterAutospacing="0"/>
              <w:rPr>
                <w:color w:val="000000"/>
              </w:rPr>
            </w:pPr>
            <w:r w:rsidRPr="00AC04F8">
              <w:rPr>
                <w:color w:val="000000"/>
              </w:rPr>
              <w:t xml:space="preserve">Elektroniskā saskaņošana - </w:t>
            </w:r>
            <w:r w:rsidR="00441CCE">
              <w:rPr>
                <w:color w:val="000000"/>
              </w:rPr>
              <w:t>2020</w:t>
            </w:r>
            <w:r w:rsidR="00D044E9">
              <w:rPr>
                <w:color w:val="000000"/>
              </w:rPr>
              <w:t xml:space="preserve">. gada </w:t>
            </w:r>
            <w:r w:rsidR="00A37099">
              <w:rPr>
                <w:color w:val="000000"/>
              </w:rPr>
              <w:t>20</w:t>
            </w:r>
            <w:r w:rsidR="00D0728B">
              <w:rPr>
                <w:color w:val="000000"/>
              </w:rPr>
              <w:t xml:space="preserve">. </w:t>
            </w:r>
            <w:r w:rsidR="00441CCE">
              <w:rPr>
                <w:color w:val="000000"/>
              </w:rPr>
              <w:t>februārī</w:t>
            </w:r>
          </w:p>
        </w:tc>
      </w:tr>
      <w:tr w:rsidR="005F740D" w:rsidRPr="00AC04F8" w:rsidTr="00E75B82">
        <w:trPr>
          <w:gridAfter w:val="1"/>
          <w:wAfter w:w="30" w:type="dxa"/>
          <w:tblCellSpacing w:w="0" w:type="dxa"/>
        </w:trPr>
        <w:tc>
          <w:tcPr>
            <w:tcW w:w="2694" w:type="dxa"/>
          </w:tcPr>
          <w:p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rsidTr="00E75B82">
        <w:trPr>
          <w:gridAfter w:val="1"/>
          <w:wAfter w:w="30" w:type="dxa"/>
          <w:tblCellSpacing w:w="0" w:type="dxa"/>
        </w:trPr>
        <w:tc>
          <w:tcPr>
            <w:tcW w:w="2694" w:type="dxa"/>
            <w:vAlign w:val="center"/>
          </w:tcPr>
          <w:p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rsidR="005F740D" w:rsidRPr="00AC04F8" w:rsidRDefault="00441CCE" w:rsidP="00311AC1">
            <w:pPr>
              <w:pStyle w:val="naisf"/>
              <w:spacing w:before="0" w:beforeAutospacing="0" w:after="0" w:afterAutospacing="0"/>
              <w:rPr>
                <w:color w:val="000000"/>
              </w:rPr>
            </w:pPr>
            <w:r>
              <w:rPr>
                <w:color w:val="000000"/>
              </w:rPr>
              <w:t>Edgars Gūte</w:t>
            </w:r>
            <w:r w:rsidR="007E3F6A" w:rsidRPr="00AC04F8">
              <w:rPr>
                <w:color w:val="000000"/>
              </w:rPr>
              <w:t xml:space="preserve">, </w:t>
            </w:r>
            <w:r w:rsidR="002D0A2F" w:rsidRPr="00AC04F8">
              <w:rPr>
                <w:color w:val="000000"/>
              </w:rPr>
              <w:t>Tieslietu ministrija</w:t>
            </w:r>
          </w:p>
        </w:tc>
      </w:tr>
      <w:tr w:rsidR="005F740D" w:rsidRPr="00AC04F8" w:rsidTr="00E75B82">
        <w:trPr>
          <w:gridAfter w:val="1"/>
          <w:wAfter w:w="30" w:type="dxa"/>
          <w:tblCellSpacing w:w="0" w:type="dxa"/>
        </w:trPr>
        <w:tc>
          <w:tcPr>
            <w:tcW w:w="2694" w:type="dxa"/>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rsidR="00D0728B" w:rsidRPr="00AC04F8" w:rsidRDefault="00DC532A" w:rsidP="003A5046">
            <w:pPr>
              <w:pStyle w:val="naiskr"/>
              <w:spacing w:before="0" w:beforeAutospacing="0" w:after="0" w:afterAutospacing="0"/>
              <w:rPr>
                <w:color w:val="000000"/>
              </w:rPr>
            </w:pPr>
            <w:r>
              <w:rPr>
                <w:color w:val="000000"/>
              </w:rPr>
              <w:t>Vairis Šantars, Finanšu ministrija</w:t>
            </w:r>
          </w:p>
        </w:tc>
      </w:tr>
      <w:tr w:rsidR="006D0875" w:rsidRPr="00AC04F8" w:rsidTr="00E75B82">
        <w:trPr>
          <w:gridAfter w:val="1"/>
          <w:wAfter w:w="30" w:type="dxa"/>
          <w:tblCellSpacing w:w="0" w:type="dxa"/>
        </w:trPr>
        <w:tc>
          <w:tcPr>
            <w:tcW w:w="2694" w:type="dxa"/>
            <w:vAlign w:val="center"/>
          </w:tcPr>
          <w:p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rsidR="006D0875" w:rsidRPr="00AC04F8" w:rsidRDefault="006D0875" w:rsidP="003A5046">
            <w:pPr>
              <w:pStyle w:val="naiskr"/>
              <w:spacing w:before="0" w:beforeAutospacing="0" w:after="0" w:afterAutospacing="0"/>
              <w:rPr>
                <w:color w:val="000000"/>
              </w:rPr>
            </w:pPr>
            <w:r w:rsidRPr="00AC04F8">
              <w:rPr>
                <w:color w:val="000000"/>
              </w:rPr>
              <w:t>  </w:t>
            </w:r>
          </w:p>
        </w:tc>
      </w:tr>
      <w:tr w:rsidR="006D0875" w:rsidRPr="00AC04F8" w:rsidTr="00E75B82">
        <w:trPr>
          <w:tblCellSpacing w:w="0" w:type="dxa"/>
        </w:trPr>
        <w:tc>
          <w:tcPr>
            <w:tcW w:w="6180" w:type="dxa"/>
            <w:gridSpan w:val="2"/>
          </w:tcPr>
          <w:p w:rsidR="006D0875" w:rsidRPr="00AC04F8" w:rsidRDefault="006D0875" w:rsidP="003A5046">
            <w:pPr>
              <w:pStyle w:val="naiskr"/>
              <w:spacing w:before="0" w:beforeAutospacing="0" w:after="0" w:afterAutospacing="0"/>
              <w:rPr>
                <w:color w:val="000000"/>
              </w:rPr>
            </w:pPr>
            <w:r w:rsidRPr="00AC04F8">
              <w:rPr>
                <w:color w:val="000000"/>
              </w:rPr>
              <w:t>Saskaņošanas dalībnieki izskatīja šādu ministriju (citu institūciju) iebildumus</w:t>
            </w:r>
          </w:p>
        </w:tc>
        <w:tc>
          <w:tcPr>
            <w:tcW w:w="6465" w:type="dxa"/>
            <w:gridSpan w:val="2"/>
          </w:tcPr>
          <w:p w:rsidR="006D0875" w:rsidRPr="00AC04F8" w:rsidRDefault="002D0A2F" w:rsidP="00441CCE">
            <w:pPr>
              <w:pStyle w:val="naiskr"/>
              <w:spacing w:before="0" w:beforeAutospacing="0" w:after="0" w:afterAutospacing="0"/>
              <w:rPr>
                <w:color w:val="000000"/>
              </w:rPr>
            </w:pPr>
            <w:r w:rsidRPr="00AC04F8">
              <w:rPr>
                <w:color w:val="000000"/>
              </w:rPr>
              <w:t>Tieslietu ministrijas</w:t>
            </w:r>
          </w:p>
        </w:tc>
      </w:tr>
      <w:tr w:rsidR="005F740D" w:rsidRPr="00AC04F8" w:rsidTr="00E75B82">
        <w:trPr>
          <w:tblCellSpacing w:w="0" w:type="dxa"/>
        </w:trPr>
        <w:tc>
          <w:tcPr>
            <w:tcW w:w="6180" w:type="dxa"/>
            <w:gridSpan w:val="2"/>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tcPr>
          <w:p w:rsidR="005F740D" w:rsidRPr="00AC04F8" w:rsidRDefault="005F740D" w:rsidP="003A5046">
            <w:pPr>
              <w:pStyle w:val="naisf"/>
              <w:spacing w:before="0" w:beforeAutospacing="0" w:after="0" w:afterAutospacing="0"/>
              <w:rPr>
                <w:color w:val="000000"/>
              </w:rPr>
            </w:pPr>
            <w:r w:rsidRPr="00AC04F8">
              <w:rPr>
                <w:color w:val="000000"/>
              </w:rPr>
              <w:t> </w:t>
            </w:r>
            <w:r w:rsidR="00F92BE6">
              <w:rPr>
                <w:color w:val="000000"/>
              </w:rPr>
              <w:t>Finanšu ministrija saskaņoja bez iebildumiem.</w:t>
            </w:r>
          </w:p>
        </w:tc>
      </w:tr>
      <w:tr w:rsidR="005F740D" w:rsidRPr="00AC04F8" w:rsidTr="00E75B82">
        <w:trPr>
          <w:tblCellSpacing w:w="0" w:type="dxa"/>
        </w:trPr>
        <w:tc>
          <w:tcPr>
            <w:tcW w:w="12645" w:type="dxa"/>
            <w:gridSpan w:val="4"/>
            <w:vAlign w:val="center"/>
          </w:tcPr>
          <w:p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rsidTr="00E75B82">
        <w:trPr>
          <w:tblCellSpacing w:w="0" w:type="dxa"/>
        </w:trPr>
        <w:tc>
          <w:tcPr>
            <w:tcW w:w="6180" w:type="dxa"/>
            <w:gridSpan w:val="2"/>
            <w:vAlign w:val="center"/>
          </w:tcPr>
          <w:p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6465" w:type="dxa"/>
            <w:gridSpan w:val="2"/>
            <w:vAlign w:val="center"/>
          </w:tcPr>
          <w:p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rsidTr="00E75B82">
        <w:trPr>
          <w:tblCellSpacing w:w="0" w:type="dxa"/>
        </w:trPr>
        <w:tc>
          <w:tcPr>
            <w:tcW w:w="6180" w:type="dxa"/>
            <w:gridSpan w:val="2"/>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r>
    </w:tbl>
    <w:p w:rsidR="00A1098C" w:rsidRDefault="00A1098C" w:rsidP="00E75B82">
      <w:pPr>
        <w:pStyle w:val="naisf"/>
        <w:tabs>
          <w:tab w:val="left" w:pos="915"/>
          <w:tab w:val="left" w:pos="1665"/>
          <w:tab w:val="center" w:pos="7001"/>
        </w:tabs>
        <w:jc w:val="center"/>
        <w:rPr>
          <w:b/>
          <w:color w:val="000000"/>
        </w:rPr>
      </w:pPr>
    </w:p>
    <w:p w:rsidR="005F740D" w:rsidRPr="00AC04F8" w:rsidRDefault="005F740D" w:rsidP="00E75B82">
      <w:pPr>
        <w:pStyle w:val="naisf"/>
        <w:tabs>
          <w:tab w:val="left" w:pos="915"/>
          <w:tab w:val="left" w:pos="1665"/>
          <w:tab w:val="center" w:pos="7001"/>
        </w:tabs>
        <w:jc w:val="center"/>
        <w:rPr>
          <w:b/>
          <w:color w:val="000000"/>
        </w:rPr>
      </w:pPr>
      <w:r w:rsidRPr="00AC04F8">
        <w:rPr>
          <w:b/>
          <w:color w:val="000000"/>
        </w:rPr>
        <w:t>II. Jautājumi, par kuriem saskaņošanā vienošanās ir panākta</w:t>
      </w: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92"/>
        <w:gridCol w:w="2203"/>
        <w:gridCol w:w="378"/>
        <w:gridCol w:w="4532"/>
        <w:gridCol w:w="1269"/>
        <w:gridCol w:w="2020"/>
        <w:gridCol w:w="3071"/>
      </w:tblGrid>
      <w:tr w:rsidR="000548C4" w:rsidRPr="00AC04F8" w:rsidTr="0068097A">
        <w:trPr>
          <w:gridBefore w:val="1"/>
          <w:wBefore w:w="113" w:type="dxa"/>
        </w:trPr>
        <w:tc>
          <w:tcPr>
            <w:tcW w:w="792" w:type="dxa"/>
          </w:tcPr>
          <w:p w:rsidR="00585FCA" w:rsidRPr="00AC04F8" w:rsidRDefault="00585FCA" w:rsidP="00B12893">
            <w:pPr>
              <w:pStyle w:val="naisnod"/>
              <w:jc w:val="center"/>
              <w:rPr>
                <w:color w:val="000000"/>
              </w:rPr>
            </w:pPr>
            <w:r w:rsidRPr="00AC04F8">
              <w:rPr>
                <w:color w:val="000000"/>
              </w:rPr>
              <w:t>Nr. p.k.</w:t>
            </w:r>
          </w:p>
        </w:tc>
        <w:tc>
          <w:tcPr>
            <w:tcW w:w="2581" w:type="dxa"/>
            <w:gridSpan w:val="2"/>
          </w:tcPr>
          <w:p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gridSpan w:val="2"/>
          </w:tcPr>
          <w:p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rsidTr="0068097A">
        <w:trPr>
          <w:gridBefore w:val="1"/>
          <w:wBefore w:w="113" w:type="dxa"/>
        </w:trPr>
        <w:tc>
          <w:tcPr>
            <w:tcW w:w="792" w:type="dxa"/>
          </w:tcPr>
          <w:p w:rsidR="00585FCA" w:rsidRPr="00AC04F8" w:rsidRDefault="00585FCA" w:rsidP="00B12893">
            <w:pPr>
              <w:pStyle w:val="naisnod"/>
              <w:jc w:val="center"/>
              <w:rPr>
                <w:color w:val="000000"/>
              </w:rPr>
            </w:pPr>
            <w:r w:rsidRPr="00AC04F8">
              <w:rPr>
                <w:color w:val="000000"/>
              </w:rPr>
              <w:t>1</w:t>
            </w:r>
          </w:p>
        </w:tc>
        <w:tc>
          <w:tcPr>
            <w:tcW w:w="2581" w:type="dxa"/>
            <w:gridSpan w:val="2"/>
          </w:tcPr>
          <w:p w:rsidR="00585FCA" w:rsidRPr="00AC04F8" w:rsidRDefault="00585FCA" w:rsidP="00B12893">
            <w:pPr>
              <w:pStyle w:val="naisnod"/>
              <w:jc w:val="center"/>
              <w:rPr>
                <w:color w:val="000000"/>
              </w:rPr>
            </w:pPr>
            <w:r w:rsidRPr="00AC04F8">
              <w:rPr>
                <w:color w:val="000000"/>
              </w:rPr>
              <w:t>2</w:t>
            </w:r>
          </w:p>
        </w:tc>
        <w:tc>
          <w:tcPr>
            <w:tcW w:w="4532" w:type="dxa"/>
          </w:tcPr>
          <w:p w:rsidR="00585FCA" w:rsidRPr="00AC04F8" w:rsidRDefault="00585FCA" w:rsidP="00B12893">
            <w:pPr>
              <w:pStyle w:val="naisnod"/>
              <w:jc w:val="center"/>
              <w:rPr>
                <w:color w:val="000000"/>
              </w:rPr>
            </w:pPr>
            <w:r w:rsidRPr="00AC04F8">
              <w:rPr>
                <w:color w:val="000000"/>
              </w:rPr>
              <w:t>3</w:t>
            </w:r>
          </w:p>
        </w:tc>
        <w:tc>
          <w:tcPr>
            <w:tcW w:w="3289" w:type="dxa"/>
            <w:gridSpan w:val="2"/>
          </w:tcPr>
          <w:p w:rsidR="00585FCA" w:rsidRPr="00AC04F8" w:rsidRDefault="00585FCA" w:rsidP="00B12893">
            <w:pPr>
              <w:pStyle w:val="naisnod"/>
              <w:jc w:val="center"/>
              <w:rPr>
                <w:color w:val="000000"/>
              </w:rPr>
            </w:pPr>
            <w:r w:rsidRPr="00AC04F8">
              <w:rPr>
                <w:color w:val="000000"/>
              </w:rPr>
              <w:t>4</w:t>
            </w:r>
          </w:p>
        </w:tc>
        <w:tc>
          <w:tcPr>
            <w:tcW w:w="3071" w:type="dxa"/>
          </w:tcPr>
          <w:p w:rsidR="00585FCA" w:rsidRPr="00AC04F8" w:rsidRDefault="00585FCA" w:rsidP="00B12893">
            <w:pPr>
              <w:pStyle w:val="naisnod"/>
              <w:jc w:val="center"/>
              <w:rPr>
                <w:color w:val="000000"/>
              </w:rPr>
            </w:pPr>
            <w:r w:rsidRPr="00AC04F8">
              <w:rPr>
                <w:color w:val="000000"/>
              </w:rPr>
              <w:t>5</w:t>
            </w:r>
          </w:p>
        </w:tc>
      </w:tr>
      <w:tr w:rsidR="00976112" w:rsidRPr="00AC04F8" w:rsidTr="0068097A">
        <w:trPr>
          <w:gridBefore w:val="1"/>
          <w:wBefore w:w="113" w:type="dxa"/>
        </w:trPr>
        <w:tc>
          <w:tcPr>
            <w:tcW w:w="14265" w:type="dxa"/>
            <w:gridSpan w:val="7"/>
            <w:tcBorders>
              <w:left w:val="single" w:sz="4" w:space="0" w:color="auto"/>
              <w:bottom w:val="single" w:sz="4" w:space="0" w:color="auto"/>
              <w:right w:val="single" w:sz="4" w:space="0" w:color="auto"/>
            </w:tcBorders>
          </w:tcPr>
          <w:p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0548C4" w:rsidRPr="00AC04F8" w:rsidTr="0068097A">
        <w:trPr>
          <w:gridBefore w:val="1"/>
          <w:wBefore w:w="113" w:type="dxa"/>
          <w:trHeight w:val="1966"/>
        </w:trPr>
        <w:tc>
          <w:tcPr>
            <w:tcW w:w="792" w:type="dxa"/>
            <w:tcBorders>
              <w:left w:val="single" w:sz="4" w:space="0" w:color="auto"/>
              <w:bottom w:val="single" w:sz="4" w:space="0" w:color="auto"/>
              <w:right w:val="single" w:sz="4" w:space="0" w:color="auto"/>
            </w:tcBorders>
          </w:tcPr>
          <w:p w:rsidR="003B4249" w:rsidRPr="00AC04F8" w:rsidRDefault="003B4249" w:rsidP="003B4249">
            <w:pPr>
              <w:pStyle w:val="naisnod"/>
              <w:jc w:val="center"/>
              <w:rPr>
                <w:color w:val="000000"/>
              </w:rPr>
            </w:pPr>
            <w:r>
              <w:rPr>
                <w:color w:val="000000"/>
              </w:rPr>
              <w:t xml:space="preserve">1. </w:t>
            </w:r>
          </w:p>
        </w:tc>
        <w:tc>
          <w:tcPr>
            <w:tcW w:w="2581" w:type="dxa"/>
            <w:gridSpan w:val="2"/>
            <w:tcBorders>
              <w:top w:val="single" w:sz="4" w:space="0" w:color="auto"/>
              <w:left w:val="single" w:sz="4" w:space="0" w:color="auto"/>
              <w:bottom w:val="single" w:sz="4" w:space="0" w:color="auto"/>
              <w:right w:val="single" w:sz="4" w:space="0" w:color="auto"/>
            </w:tcBorders>
          </w:tcPr>
          <w:p w:rsidR="003B4249" w:rsidRDefault="00112DD0" w:rsidP="00D0728B">
            <w:pPr>
              <w:pStyle w:val="Paraststmeklis"/>
              <w:spacing w:before="0" w:after="0"/>
              <w:ind w:right="13"/>
              <w:jc w:val="both"/>
              <w:rPr>
                <w:szCs w:val="28"/>
              </w:rPr>
            </w:pPr>
            <w:r>
              <w:t>Anotācijas I sadaļas 2. tabula.</w:t>
            </w:r>
          </w:p>
        </w:tc>
        <w:tc>
          <w:tcPr>
            <w:tcW w:w="4532" w:type="dxa"/>
            <w:tcBorders>
              <w:top w:val="single" w:sz="4" w:space="0" w:color="auto"/>
              <w:left w:val="single" w:sz="4" w:space="0" w:color="auto"/>
              <w:bottom w:val="single" w:sz="4" w:space="0" w:color="auto"/>
              <w:right w:val="single" w:sz="4" w:space="0" w:color="auto"/>
            </w:tcBorders>
          </w:tcPr>
          <w:p w:rsidR="003B4249" w:rsidRPr="004D02E3" w:rsidRDefault="00112DD0" w:rsidP="00D0728B">
            <w:pPr>
              <w:pStyle w:val="Paraststmeklis"/>
              <w:spacing w:before="0" w:after="0"/>
              <w:ind w:right="13"/>
              <w:jc w:val="both"/>
            </w:pPr>
            <w:r w:rsidRPr="004D02E3">
              <w:t>Projekta anotācijas I sadaļas 2. punktā cita starpā norādīts, ka projekts izstrādāts, lai ieviestu Komisijas 2018. gada 7. jūnija Deleģēto regulu (ES) 2018/1145, ar ko groza Deleģēto regulu (ES) 2017/891 attiecībā uz ražotāju organizācijām augļu un dārzeņu nozarē, un Komisijas 2018. gada 7. jūnija Īstenošanas regulu (ES) 2018/1146, ar kuru groza Īstenošanas regulu (ES) 2017/892, ar ko nosaka noteikumus par Eiropas Parlamenta un Padomes Regulas (ES) Nr. 1308/2013 piemērošanu attiecībā uz augļu un dārzeņu un pārstrādātu augļu un dārzeņu nozari, un Regulu (EK) Nr. 606/2009, ar ko nosaka konkrētus sīki izstrādātus Padomes Regulas (EK) Nr. 479/2008 īstenošanas noteikumus attiecībā uz vīnkopības produktu kategorijām, vīndarības metodēm un piemērojamiem ierobežojumiem.</w:t>
            </w:r>
          </w:p>
          <w:p w:rsidR="00112DD0" w:rsidRPr="004D02E3" w:rsidRDefault="00112DD0" w:rsidP="00F26BAF">
            <w:pPr>
              <w:ind w:right="12"/>
            </w:pPr>
            <w:r w:rsidRPr="004D02E3">
              <w:t xml:space="preserve">Vēršam uzmanību, ka ar projektu atsauces uz minētajām Eiropas Savienības regulām </w:t>
            </w:r>
            <w:r w:rsidRPr="004D02E3">
              <w:lastRenderedPageBreak/>
              <w:t>tiek svītrotas. Attiecīgi nav saprotama šādu grozījumu nepieciešamība. Ievērojot minēto, lūdzam skaidrot, kādēļ šādi grozījumi veikti, nepieciešamības gadījumā precizējot projektu.</w:t>
            </w:r>
          </w:p>
        </w:tc>
        <w:tc>
          <w:tcPr>
            <w:tcW w:w="3289" w:type="dxa"/>
            <w:gridSpan w:val="2"/>
            <w:tcBorders>
              <w:left w:val="single" w:sz="4" w:space="0" w:color="auto"/>
              <w:bottom w:val="single" w:sz="4" w:space="0" w:color="auto"/>
            </w:tcBorders>
          </w:tcPr>
          <w:p w:rsidR="00112DD0" w:rsidRPr="004D02E3" w:rsidRDefault="00112DD0" w:rsidP="00112DD0">
            <w:pPr>
              <w:jc w:val="both"/>
              <w:rPr>
                <w:b/>
                <w:iCs/>
              </w:rPr>
            </w:pPr>
            <w:r w:rsidRPr="004D02E3">
              <w:rPr>
                <w:b/>
                <w:iCs/>
              </w:rPr>
              <w:lastRenderedPageBreak/>
              <w:t>Ņemts vērā.</w:t>
            </w:r>
          </w:p>
          <w:p w:rsidR="003B4249" w:rsidRPr="004D02E3" w:rsidRDefault="0023534F" w:rsidP="003027F3">
            <w:pPr>
              <w:pStyle w:val="Paraststmeklis"/>
              <w:spacing w:before="0" w:after="0"/>
              <w:ind w:right="13"/>
              <w:jc w:val="both"/>
              <w:rPr>
                <w:b/>
                <w:iCs/>
              </w:rPr>
            </w:pPr>
            <w:r w:rsidRPr="004D02E3">
              <w:t>Noteikuma projektā svītrotas atsauces uz</w:t>
            </w:r>
            <w:r w:rsidRPr="004D02E3">
              <w:rPr>
                <w:b/>
                <w:iCs/>
              </w:rPr>
              <w:t xml:space="preserve"> </w:t>
            </w:r>
            <w:r w:rsidR="008C7930" w:rsidRPr="004D02E3">
              <w:t xml:space="preserve">Komisijas 2018. gada 7. jūnija Deleģēto regulu (ES) 2018/1145, ar ko groza Deleģēto regulu (ES) 2017/891 attiecībā uz ražotāju organizācijām augļu un dārzeņu nozarē, un Komisijas 2018. gada 7. jūnija Īstenošanas regulu (ES) 2018/1146, ar kuru groza Īstenošanas regulu (ES) 2017/892, ar ko nosaka noteikumus par Eiropas Parlamenta un Padomes Regulas (ES) Nr. 1308/2013 piemērošanu attiecībā uz augļu un dārzeņu un pārstrādātu augļu un dārzeņu nozari, un Regulu (EK) Nr. 606/2009, ar ko nosaka konkrētus sīki </w:t>
            </w:r>
            <w:r w:rsidR="008C7930" w:rsidRPr="004D02E3">
              <w:lastRenderedPageBreak/>
              <w:t>izstrādātus Padomes Regulas (EK) Nr. 479/2008 īstenošanas noteikumus attiecībā uz vīnkopības produktu kategorijām, vīndarības metodēm un piemērojamiem ierobežojumiem</w:t>
            </w:r>
            <w:r w:rsidR="003027F3">
              <w:t>, ņemot vērā augļu un dārzeņu RO regulējošos EK tiesību aktus.</w:t>
            </w:r>
          </w:p>
        </w:tc>
        <w:tc>
          <w:tcPr>
            <w:tcW w:w="3071" w:type="dxa"/>
            <w:tcBorders>
              <w:bottom w:val="single" w:sz="4" w:space="0" w:color="auto"/>
              <w:right w:val="single" w:sz="4" w:space="0" w:color="auto"/>
            </w:tcBorders>
          </w:tcPr>
          <w:p w:rsidR="003B4249" w:rsidRPr="00F26BAF" w:rsidRDefault="00112DD0" w:rsidP="00F26BAF">
            <w:pPr>
              <w:widowControl w:val="0"/>
              <w:tabs>
                <w:tab w:val="left" w:pos="720"/>
                <w:tab w:val="left" w:pos="993"/>
              </w:tabs>
              <w:jc w:val="both"/>
            </w:pPr>
            <w:r w:rsidRPr="004D02E3">
              <w:lastRenderedPageBreak/>
              <w:t xml:space="preserve">Skatīt anotācijas I sadaļas 2. </w:t>
            </w:r>
            <w:r w:rsidR="00CE361F">
              <w:t>punktu</w:t>
            </w:r>
            <w:r w:rsidRPr="004D02E3">
              <w:t>.</w:t>
            </w:r>
          </w:p>
        </w:tc>
      </w:tr>
      <w:tr w:rsidR="000548C4" w:rsidRPr="00AC04F8" w:rsidTr="0068097A">
        <w:trPr>
          <w:gridBefore w:val="1"/>
          <w:wBefore w:w="113" w:type="dxa"/>
        </w:trPr>
        <w:tc>
          <w:tcPr>
            <w:tcW w:w="792" w:type="dxa"/>
            <w:tcBorders>
              <w:left w:val="single" w:sz="4" w:space="0" w:color="auto"/>
              <w:bottom w:val="single" w:sz="4" w:space="0" w:color="auto"/>
              <w:right w:val="single" w:sz="4" w:space="0" w:color="auto"/>
            </w:tcBorders>
          </w:tcPr>
          <w:p w:rsidR="00112DD0" w:rsidRDefault="00112DD0" w:rsidP="003B4249">
            <w:pPr>
              <w:pStyle w:val="naisnod"/>
              <w:jc w:val="center"/>
              <w:rPr>
                <w:color w:val="000000"/>
              </w:rPr>
            </w:pPr>
            <w:r>
              <w:rPr>
                <w:color w:val="000000"/>
              </w:rPr>
              <w:t xml:space="preserve">2. </w:t>
            </w:r>
          </w:p>
        </w:tc>
        <w:tc>
          <w:tcPr>
            <w:tcW w:w="2581" w:type="dxa"/>
            <w:gridSpan w:val="2"/>
            <w:tcBorders>
              <w:top w:val="single" w:sz="4" w:space="0" w:color="auto"/>
              <w:left w:val="single" w:sz="4" w:space="0" w:color="auto"/>
              <w:bottom w:val="single" w:sz="4" w:space="0" w:color="auto"/>
              <w:right w:val="single" w:sz="4" w:space="0" w:color="auto"/>
            </w:tcBorders>
          </w:tcPr>
          <w:p w:rsidR="00112DD0" w:rsidRDefault="00112DD0" w:rsidP="00D0728B">
            <w:pPr>
              <w:pStyle w:val="Paraststmeklis"/>
              <w:spacing w:before="0" w:after="0"/>
              <w:ind w:right="13"/>
              <w:jc w:val="both"/>
            </w:pPr>
            <w:r>
              <w:t>Anotācijas I sadaļas 2. tabula.</w:t>
            </w:r>
          </w:p>
        </w:tc>
        <w:tc>
          <w:tcPr>
            <w:tcW w:w="4532" w:type="dxa"/>
            <w:tcBorders>
              <w:top w:val="single" w:sz="4" w:space="0" w:color="auto"/>
              <w:left w:val="single" w:sz="4" w:space="0" w:color="auto"/>
              <w:bottom w:val="single" w:sz="4" w:space="0" w:color="auto"/>
              <w:right w:val="single" w:sz="4" w:space="0" w:color="auto"/>
            </w:tcBorders>
          </w:tcPr>
          <w:p w:rsidR="00112DD0" w:rsidRPr="004D02E3" w:rsidRDefault="00112DD0" w:rsidP="00F26BAF">
            <w:pPr>
              <w:ind w:right="12"/>
              <w:jc w:val="both"/>
            </w:pPr>
            <w:r w:rsidRPr="004D02E3">
              <w:t xml:space="preserve">Norādām, ka projekta anotācijas I sadaļas 2. punktā nav sniegts izvērsts skaidrojums par tām projekta normām, kas </w:t>
            </w:r>
            <w:proofErr w:type="spellStart"/>
            <w:r w:rsidRPr="004D02E3">
              <w:t>pirmšķietami</w:t>
            </w:r>
            <w:proofErr w:type="spellEnd"/>
            <w:r w:rsidRPr="004D02E3">
              <w:t xml:space="preserve"> neizriet no Eiropas Savienības regulu prasībām, piemēram, projekta 1.8., 1.9., 1.10., 1.11. un citos apakšpunktos ietvertajiem grozījumiem. Ievērojot minēto, lūdzam sniegt izvērstu skaidrojumu minēto normu nepieciešamībai. Ja skaidrojumu nav iespējams sniegt, lūdzam svītrot attiecīgās projekta normas.</w:t>
            </w:r>
          </w:p>
          <w:p w:rsidR="00112DD0" w:rsidRPr="004D02E3" w:rsidRDefault="00112DD0" w:rsidP="00D0728B">
            <w:pPr>
              <w:pStyle w:val="Paraststmeklis"/>
              <w:spacing w:before="0" w:after="0"/>
              <w:ind w:right="13"/>
              <w:jc w:val="both"/>
            </w:pPr>
          </w:p>
        </w:tc>
        <w:tc>
          <w:tcPr>
            <w:tcW w:w="3289" w:type="dxa"/>
            <w:gridSpan w:val="2"/>
            <w:tcBorders>
              <w:left w:val="single" w:sz="4" w:space="0" w:color="auto"/>
              <w:bottom w:val="single" w:sz="4" w:space="0" w:color="auto"/>
            </w:tcBorders>
          </w:tcPr>
          <w:p w:rsidR="00112DD0" w:rsidRPr="004D02E3" w:rsidRDefault="00112DD0" w:rsidP="00112DD0">
            <w:pPr>
              <w:jc w:val="both"/>
              <w:rPr>
                <w:b/>
                <w:iCs/>
              </w:rPr>
            </w:pPr>
            <w:r w:rsidRPr="004D02E3">
              <w:rPr>
                <w:b/>
                <w:iCs/>
              </w:rPr>
              <w:t>Ņemts vērā.</w:t>
            </w:r>
          </w:p>
          <w:p w:rsidR="00112DD0" w:rsidRPr="004D02E3" w:rsidRDefault="00A953E9" w:rsidP="00112DD0">
            <w:pPr>
              <w:jc w:val="both"/>
              <w:rPr>
                <w:b/>
                <w:iCs/>
              </w:rPr>
            </w:pPr>
            <w:r w:rsidRPr="004D02E3">
              <w:rPr>
                <w:iCs/>
              </w:rPr>
              <w:t>Noteikumu projekta anotācij</w:t>
            </w:r>
            <w:r w:rsidR="000548C4" w:rsidRPr="004D02E3">
              <w:rPr>
                <w:iCs/>
              </w:rPr>
              <w:t xml:space="preserve">a papildināta ar </w:t>
            </w:r>
            <w:r w:rsidR="00944BF5" w:rsidRPr="004D02E3">
              <w:rPr>
                <w:iCs/>
              </w:rPr>
              <w:t xml:space="preserve">izvērstu skaidrojumu par </w:t>
            </w:r>
            <w:r w:rsidR="000548C4" w:rsidRPr="004D02E3">
              <w:rPr>
                <w:iCs/>
              </w:rPr>
              <w:t>augļu un dārzeņu RO darbības programmas</w:t>
            </w:r>
            <w:r w:rsidR="00944BF5" w:rsidRPr="004D02E3">
              <w:rPr>
                <w:iCs/>
              </w:rPr>
              <w:t xml:space="preserve"> esošo un jauno</w:t>
            </w:r>
            <w:r w:rsidR="000548C4" w:rsidRPr="004D02E3">
              <w:rPr>
                <w:iCs/>
              </w:rPr>
              <w:t xml:space="preserve"> </w:t>
            </w:r>
            <w:proofErr w:type="spellStart"/>
            <w:r w:rsidR="000548C4" w:rsidRPr="004D02E3">
              <w:rPr>
                <w:iCs/>
              </w:rPr>
              <w:t>atbalstties</w:t>
            </w:r>
            <w:r w:rsidR="00944BF5" w:rsidRPr="004D02E3">
              <w:rPr>
                <w:iCs/>
              </w:rPr>
              <w:t>īgo</w:t>
            </w:r>
            <w:proofErr w:type="spellEnd"/>
            <w:r w:rsidR="000548C4" w:rsidRPr="004D02E3">
              <w:rPr>
                <w:iCs/>
              </w:rPr>
              <w:t xml:space="preserve"> pas</w:t>
            </w:r>
            <w:r w:rsidR="00944BF5" w:rsidRPr="004D02E3">
              <w:rPr>
                <w:iCs/>
              </w:rPr>
              <w:t>ākumu nepieciešamību</w:t>
            </w:r>
            <w:r w:rsidR="008C7930" w:rsidRPr="004D02E3">
              <w:rPr>
                <w:iCs/>
              </w:rPr>
              <w:t xml:space="preserve">, </w:t>
            </w:r>
            <w:r w:rsidR="008C7930" w:rsidRPr="004D02E3">
              <w:t>RO darbinieku, biedru ražotāju vai ārpakalpojumu ņēmēja personāla izmaksu prasībām, būvniecības, pārbūves vai atjaunošanas projektu maksimāl</w:t>
            </w:r>
            <w:r w:rsidR="008B4474" w:rsidRPr="004D02E3">
              <w:t>ām</w:t>
            </w:r>
            <w:r w:rsidR="008C7930" w:rsidRPr="004D02E3">
              <w:t xml:space="preserve"> attiecinām</w:t>
            </w:r>
            <w:r w:rsidR="006E732E">
              <w:t>aj</w:t>
            </w:r>
            <w:r w:rsidR="008B4474" w:rsidRPr="004D02E3">
              <w:t>ām izmaksām finansējuma aprēķināšanai.</w:t>
            </w:r>
          </w:p>
        </w:tc>
        <w:tc>
          <w:tcPr>
            <w:tcW w:w="3071" w:type="dxa"/>
            <w:tcBorders>
              <w:bottom w:val="single" w:sz="4" w:space="0" w:color="auto"/>
              <w:right w:val="single" w:sz="4" w:space="0" w:color="auto"/>
            </w:tcBorders>
          </w:tcPr>
          <w:p w:rsidR="00112DD0" w:rsidRPr="004D02E3" w:rsidRDefault="00112DD0" w:rsidP="00112DD0">
            <w:pPr>
              <w:widowControl w:val="0"/>
              <w:tabs>
                <w:tab w:val="left" w:pos="720"/>
                <w:tab w:val="left" w:pos="993"/>
              </w:tabs>
              <w:jc w:val="both"/>
            </w:pPr>
            <w:r w:rsidRPr="004D02E3">
              <w:t xml:space="preserve">Skatīt anotācijas I sadaļas 2. </w:t>
            </w:r>
            <w:r w:rsidR="00D82734">
              <w:t>punktu</w:t>
            </w:r>
            <w:r w:rsidRPr="004D02E3">
              <w:t>.</w:t>
            </w:r>
          </w:p>
          <w:p w:rsidR="00112DD0" w:rsidRPr="004D02E3" w:rsidRDefault="00112DD0" w:rsidP="00112DD0">
            <w:pPr>
              <w:widowControl w:val="0"/>
              <w:tabs>
                <w:tab w:val="left" w:pos="720"/>
                <w:tab w:val="left" w:pos="993"/>
              </w:tabs>
              <w:jc w:val="both"/>
            </w:pPr>
          </w:p>
        </w:tc>
      </w:tr>
      <w:tr w:rsidR="000548C4" w:rsidRPr="00AC04F8" w:rsidTr="0068097A">
        <w:trPr>
          <w:gridBefore w:val="1"/>
          <w:wBefore w:w="113" w:type="dxa"/>
        </w:trPr>
        <w:tc>
          <w:tcPr>
            <w:tcW w:w="792" w:type="dxa"/>
            <w:tcBorders>
              <w:left w:val="single" w:sz="4" w:space="0" w:color="auto"/>
              <w:bottom w:val="single" w:sz="4" w:space="0" w:color="auto"/>
              <w:right w:val="single" w:sz="4" w:space="0" w:color="auto"/>
            </w:tcBorders>
          </w:tcPr>
          <w:p w:rsidR="00112DD0" w:rsidRDefault="00112DD0" w:rsidP="00112DD0">
            <w:pPr>
              <w:pStyle w:val="naisnod"/>
              <w:jc w:val="center"/>
              <w:rPr>
                <w:color w:val="000000"/>
              </w:rPr>
            </w:pPr>
            <w:r>
              <w:rPr>
                <w:color w:val="000000"/>
              </w:rPr>
              <w:t>3.</w:t>
            </w:r>
          </w:p>
        </w:tc>
        <w:tc>
          <w:tcPr>
            <w:tcW w:w="2581" w:type="dxa"/>
            <w:gridSpan w:val="2"/>
            <w:tcBorders>
              <w:top w:val="single" w:sz="4" w:space="0" w:color="auto"/>
              <w:left w:val="single" w:sz="4" w:space="0" w:color="auto"/>
              <w:bottom w:val="single" w:sz="4" w:space="0" w:color="auto"/>
              <w:right w:val="single" w:sz="4" w:space="0" w:color="auto"/>
            </w:tcBorders>
          </w:tcPr>
          <w:p w:rsidR="00112DD0" w:rsidRDefault="00112DD0" w:rsidP="00112DD0">
            <w:pPr>
              <w:pStyle w:val="Paraststmeklis"/>
              <w:spacing w:before="0" w:after="0"/>
              <w:ind w:right="13"/>
              <w:jc w:val="both"/>
            </w:pPr>
            <w:r>
              <w:t>Anotācijas I sadaļas 2. tabula.</w:t>
            </w:r>
          </w:p>
        </w:tc>
        <w:tc>
          <w:tcPr>
            <w:tcW w:w="4532" w:type="dxa"/>
            <w:tcBorders>
              <w:top w:val="single" w:sz="4" w:space="0" w:color="auto"/>
              <w:left w:val="single" w:sz="4" w:space="0" w:color="auto"/>
              <w:bottom w:val="single" w:sz="4" w:space="0" w:color="auto"/>
              <w:right w:val="single" w:sz="4" w:space="0" w:color="auto"/>
            </w:tcBorders>
          </w:tcPr>
          <w:p w:rsidR="00112DD0" w:rsidRPr="004D02E3" w:rsidRDefault="00112DD0" w:rsidP="002D04D4">
            <w:pPr>
              <w:ind w:right="12"/>
              <w:jc w:val="both"/>
            </w:pPr>
            <w:r w:rsidRPr="004D02E3">
              <w:t xml:space="preserve">Projektā nav skaidrots, kāpēc noteikumos tiek svītrotas atsauces uz Komisijas 2017. gada 20. aprīļa Deleģēto regulu (ES) 2017/1165, ar ko nosaka pagaidu ārkārtas atbalsta pasākumus konkrētu augļu ražotājiem. Attiecīgi lūdzam papildināt </w:t>
            </w:r>
            <w:r w:rsidRPr="004D02E3">
              <w:lastRenderedPageBreak/>
              <w:t>projekta anotācijas I sadaļas 2. punktu vai precizēt projektu.</w:t>
            </w:r>
          </w:p>
          <w:p w:rsidR="00112DD0" w:rsidRPr="004D02E3" w:rsidRDefault="00112DD0" w:rsidP="00112DD0">
            <w:pPr>
              <w:ind w:right="12"/>
            </w:pPr>
          </w:p>
        </w:tc>
        <w:tc>
          <w:tcPr>
            <w:tcW w:w="3289" w:type="dxa"/>
            <w:gridSpan w:val="2"/>
            <w:tcBorders>
              <w:left w:val="single" w:sz="4" w:space="0" w:color="auto"/>
              <w:bottom w:val="single" w:sz="4" w:space="0" w:color="auto"/>
            </w:tcBorders>
          </w:tcPr>
          <w:p w:rsidR="00112DD0" w:rsidRPr="004D02E3" w:rsidRDefault="00112DD0" w:rsidP="00112DD0">
            <w:pPr>
              <w:jc w:val="both"/>
              <w:rPr>
                <w:b/>
                <w:iCs/>
              </w:rPr>
            </w:pPr>
            <w:r w:rsidRPr="004D02E3">
              <w:rPr>
                <w:b/>
                <w:iCs/>
              </w:rPr>
              <w:lastRenderedPageBreak/>
              <w:t>Ņemts vērā.</w:t>
            </w:r>
          </w:p>
          <w:p w:rsidR="00112DD0" w:rsidRPr="002D04D4" w:rsidRDefault="00116374" w:rsidP="002D04D4">
            <w:pPr>
              <w:ind w:right="142"/>
              <w:jc w:val="both"/>
            </w:pPr>
            <w:r w:rsidRPr="004D02E3">
              <w:t>EK</w:t>
            </w:r>
            <w:r w:rsidR="00812098">
              <w:t>,</w:t>
            </w:r>
            <w:r w:rsidRPr="004D02E3">
              <w:t xml:space="preserve"> reaģēdama uz Krievijas importa aizliegumu, pieņēma vairākus pagaidu ārkārtas atbalsta pasākumus, kuru termiņš beidzās 2018. gada 30. jūnijā. </w:t>
            </w:r>
            <w:r w:rsidR="00812098">
              <w:t>Tādējādi</w:t>
            </w:r>
            <w:r w:rsidRPr="004D02E3">
              <w:t xml:space="preserve"> ar Komisijas </w:t>
            </w:r>
            <w:r w:rsidRPr="004D02E3">
              <w:lastRenderedPageBreak/>
              <w:t>2017. gada 20.</w:t>
            </w:r>
            <w:r w:rsidR="006E732E">
              <w:t> </w:t>
            </w:r>
            <w:r w:rsidRPr="004D02E3">
              <w:t xml:space="preserve">aprīļa Deleģēto regulu (ES) 2017/ 1165, ar ko nosaka pagaidu ārkārtas atbalstu pasākumus konkrētu augļu ražotājiem, </w:t>
            </w:r>
            <w:r w:rsidR="00812098">
              <w:t xml:space="preserve">paredzētā </w:t>
            </w:r>
            <w:r w:rsidR="00812098" w:rsidRPr="004D02E3">
              <w:t xml:space="preserve">ārkārtas atbalsta termiņš </w:t>
            </w:r>
            <w:r w:rsidRPr="004D02E3">
              <w:t xml:space="preserve">pēc iepriekš norādītā perioda netika pagarināts, </w:t>
            </w:r>
            <w:r w:rsidR="00812098">
              <w:t>tāpēc</w:t>
            </w:r>
            <w:r w:rsidRPr="004D02E3">
              <w:t xml:space="preserve"> noteikumu projekta </w:t>
            </w:r>
            <w:r w:rsidR="004D02E3" w:rsidRPr="004D02E3">
              <w:t xml:space="preserve">1.1., 1.2., 1.3., 1.22., 1.23. un 1.37. apakšpunktā tiek svītrotas normas, kas attiecas uz šo regulu. </w:t>
            </w:r>
          </w:p>
        </w:tc>
        <w:tc>
          <w:tcPr>
            <w:tcW w:w="3071" w:type="dxa"/>
            <w:tcBorders>
              <w:bottom w:val="single" w:sz="4" w:space="0" w:color="auto"/>
              <w:right w:val="single" w:sz="4" w:space="0" w:color="auto"/>
            </w:tcBorders>
          </w:tcPr>
          <w:p w:rsidR="00112DD0" w:rsidRPr="004D02E3" w:rsidRDefault="00112DD0" w:rsidP="00112DD0">
            <w:pPr>
              <w:widowControl w:val="0"/>
              <w:tabs>
                <w:tab w:val="left" w:pos="720"/>
                <w:tab w:val="left" w:pos="993"/>
              </w:tabs>
              <w:jc w:val="both"/>
            </w:pPr>
            <w:r w:rsidRPr="004D02E3">
              <w:lastRenderedPageBreak/>
              <w:t xml:space="preserve">Skatīt anotācijas I sadaļas 2. </w:t>
            </w:r>
            <w:r w:rsidR="009A1181">
              <w:t>punktu</w:t>
            </w:r>
            <w:r w:rsidRPr="004D02E3">
              <w:t>.</w:t>
            </w:r>
          </w:p>
          <w:p w:rsidR="00112DD0" w:rsidRPr="004D02E3" w:rsidRDefault="00112DD0" w:rsidP="00112DD0">
            <w:pPr>
              <w:widowControl w:val="0"/>
              <w:tabs>
                <w:tab w:val="left" w:pos="720"/>
                <w:tab w:val="left" w:pos="993"/>
              </w:tabs>
              <w:jc w:val="both"/>
            </w:pPr>
          </w:p>
        </w:tc>
      </w:tr>
      <w:tr w:rsidR="000548C4" w:rsidRPr="00AC04F8" w:rsidTr="0068097A">
        <w:trPr>
          <w:gridBefore w:val="1"/>
          <w:wBefore w:w="113" w:type="dxa"/>
        </w:trPr>
        <w:tc>
          <w:tcPr>
            <w:tcW w:w="792" w:type="dxa"/>
            <w:tcBorders>
              <w:left w:val="single" w:sz="4" w:space="0" w:color="auto"/>
              <w:bottom w:val="single" w:sz="4" w:space="0" w:color="auto"/>
              <w:right w:val="single" w:sz="4" w:space="0" w:color="auto"/>
            </w:tcBorders>
          </w:tcPr>
          <w:p w:rsidR="00112DD0" w:rsidRDefault="00112DD0" w:rsidP="00112DD0">
            <w:pPr>
              <w:pStyle w:val="naisnod"/>
              <w:jc w:val="center"/>
              <w:rPr>
                <w:color w:val="000000"/>
              </w:rPr>
            </w:pPr>
            <w:r>
              <w:rPr>
                <w:color w:val="000000"/>
              </w:rPr>
              <w:t xml:space="preserve">4. </w:t>
            </w:r>
          </w:p>
        </w:tc>
        <w:tc>
          <w:tcPr>
            <w:tcW w:w="2581" w:type="dxa"/>
            <w:gridSpan w:val="2"/>
            <w:tcBorders>
              <w:top w:val="single" w:sz="4" w:space="0" w:color="auto"/>
              <w:left w:val="single" w:sz="4" w:space="0" w:color="auto"/>
              <w:bottom w:val="single" w:sz="4" w:space="0" w:color="auto"/>
              <w:right w:val="single" w:sz="4" w:space="0" w:color="auto"/>
            </w:tcBorders>
          </w:tcPr>
          <w:p w:rsidR="00963D56" w:rsidRPr="004D02E3" w:rsidRDefault="00963D56" w:rsidP="00963D56">
            <w:pPr>
              <w:jc w:val="both"/>
            </w:pPr>
            <w:r w:rsidRPr="004D02E3">
              <w:rPr>
                <w:color w:val="000000" w:themeColor="text1"/>
              </w:rPr>
              <w:t>1</w:t>
            </w:r>
            <w:r w:rsidRPr="004D02E3">
              <w:t>.13. Izteikt 35.6. apakšpunktu šādā redakcijā:</w:t>
            </w:r>
          </w:p>
          <w:p w:rsidR="00112DD0" w:rsidRPr="004D02E3" w:rsidRDefault="00963D56" w:rsidP="00963D56">
            <w:pPr>
              <w:pStyle w:val="Paraststmeklis"/>
              <w:spacing w:before="0" w:after="0"/>
              <w:ind w:right="13"/>
              <w:jc w:val="both"/>
            </w:pPr>
            <w:r w:rsidRPr="004D02E3">
              <w:t>“35.6. krīžu novēršanai un pārvarēšanai atbilstoši regulas Nr. </w:t>
            </w:r>
            <w:hyperlink r:id="rId8" w:tgtFrame="_blank" w:history="1">
              <w:r w:rsidRPr="004D02E3">
                <w:t>1308/2013</w:t>
              </w:r>
            </w:hyperlink>
            <w:r w:rsidRPr="004D02E3">
              <w:t> 33. panta 3. punkta pirmās daļas "b", "c", "f", "g", "h" un "i" apakšpunktam un regulas Nr. </w:t>
            </w:r>
            <w:hyperlink r:id="rId9" w:tgtFrame="_blank" w:history="1">
              <w:r w:rsidRPr="004D02E3">
                <w:t>2017/891</w:t>
              </w:r>
            </w:hyperlink>
            <w:r w:rsidRPr="004D02E3">
              <w:t> III nodaļas 5., 6., 7. un 8. iedaļai:”</w:t>
            </w:r>
          </w:p>
        </w:tc>
        <w:tc>
          <w:tcPr>
            <w:tcW w:w="4532" w:type="dxa"/>
            <w:tcBorders>
              <w:top w:val="single" w:sz="4" w:space="0" w:color="auto"/>
              <w:left w:val="single" w:sz="4" w:space="0" w:color="auto"/>
              <w:bottom w:val="single" w:sz="4" w:space="0" w:color="auto"/>
              <w:right w:val="single" w:sz="4" w:space="0" w:color="auto"/>
            </w:tcBorders>
          </w:tcPr>
          <w:p w:rsidR="00112DD0" w:rsidRPr="004D02E3" w:rsidRDefault="00112DD0" w:rsidP="00112DD0">
            <w:pPr>
              <w:ind w:right="12"/>
            </w:pPr>
            <w:r w:rsidRPr="004D02E3">
              <w:t>Norādām, ka projekta 1.13. apakšpunkts attiecas uz spēkā esošo noteikumu 35.6. apakšpunkta ievaddaļu. Attiecīgi lūdzam precizēt projektu.</w:t>
            </w:r>
          </w:p>
          <w:p w:rsidR="00112DD0" w:rsidRPr="004D02E3" w:rsidRDefault="00112DD0" w:rsidP="00112DD0">
            <w:pPr>
              <w:ind w:right="12"/>
            </w:pPr>
          </w:p>
        </w:tc>
        <w:tc>
          <w:tcPr>
            <w:tcW w:w="3289" w:type="dxa"/>
            <w:gridSpan w:val="2"/>
            <w:tcBorders>
              <w:left w:val="single" w:sz="4" w:space="0" w:color="auto"/>
              <w:bottom w:val="single" w:sz="4" w:space="0" w:color="auto"/>
            </w:tcBorders>
          </w:tcPr>
          <w:p w:rsidR="00112DD0" w:rsidRPr="004D02E3" w:rsidRDefault="00112DD0" w:rsidP="00112DD0">
            <w:pPr>
              <w:jc w:val="both"/>
              <w:rPr>
                <w:b/>
                <w:iCs/>
              </w:rPr>
            </w:pPr>
            <w:r w:rsidRPr="004D02E3">
              <w:rPr>
                <w:b/>
                <w:iCs/>
              </w:rPr>
              <w:t>Ņemts vērā.</w:t>
            </w:r>
          </w:p>
          <w:p w:rsidR="00112DD0" w:rsidRPr="004D02E3" w:rsidRDefault="00812098" w:rsidP="00A953E9">
            <w:pPr>
              <w:jc w:val="both"/>
              <w:rPr>
                <w:b/>
                <w:iCs/>
              </w:rPr>
            </w:pPr>
            <w:r>
              <w:t>A</w:t>
            </w:r>
            <w:r w:rsidRPr="00B95A7E">
              <w:t>tbilstoši norādījumiem</w:t>
            </w:r>
            <w:r w:rsidRPr="004D02E3">
              <w:t xml:space="preserve"> </w:t>
            </w:r>
            <w:r>
              <w:t>p</w:t>
            </w:r>
            <w:r w:rsidR="00A953E9" w:rsidRPr="004D02E3">
              <w:t>recizēts noteikum</w:t>
            </w:r>
            <w:r>
              <w:t>u</w:t>
            </w:r>
            <w:r w:rsidR="00A953E9" w:rsidRPr="004D02E3">
              <w:t xml:space="preserve"> projekta apakšpunkts</w:t>
            </w:r>
            <w:r w:rsidR="00B95A7E" w:rsidRPr="00B95A7E">
              <w:t>.</w:t>
            </w:r>
          </w:p>
        </w:tc>
        <w:tc>
          <w:tcPr>
            <w:tcW w:w="3071" w:type="dxa"/>
            <w:tcBorders>
              <w:bottom w:val="single" w:sz="4" w:space="0" w:color="auto"/>
              <w:right w:val="single" w:sz="4" w:space="0" w:color="auto"/>
            </w:tcBorders>
          </w:tcPr>
          <w:p w:rsidR="00963D56" w:rsidRPr="004D02E3" w:rsidRDefault="00963D56" w:rsidP="00963D56">
            <w:pPr>
              <w:jc w:val="both"/>
            </w:pPr>
            <w:r w:rsidRPr="004D02E3">
              <w:t xml:space="preserve">1.13. </w:t>
            </w:r>
            <w:r w:rsidR="00717F5F">
              <w:t>i</w:t>
            </w:r>
            <w:r w:rsidRPr="004D02E3">
              <w:t>zteikt 35.6. apakšpunkta ievaddaļu šādā redakcijā:</w:t>
            </w:r>
          </w:p>
          <w:p w:rsidR="00112DD0" w:rsidRPr="004D02E3" w:rsidRDefault="00963D56" w:rsidP="00963D56">
            <w:pPr>
              <w:widowControl w:val="0"/>
              <w:tabs>
                <w:tab w:val="left" w:pos="720"/>
                <w:tab w:val="left" w:pos="993"/>
              </w:tabs>
              <w:jc w:val="both"/>
            </w:pPr>
            <w:r w:rsidRPr="004D02E3">
              <w:t>“35.6. krīžu novēršanai un pārvarēšanai atbilstoši regulas Nr. </w:t>
            </w:r>
            <w:hyperlink r:id="rId10" w:tgtFrame="_blank" w:history="1">
              <w:r w:rsidRPr="004D02E3">
                <w:t>1308/2013</w:t>
              </w:r>
            </w:hyperlink>
            <w:r w:rsidRPr="004D02E3">
              <w:t> 33. panta 3. punkta pirmās daļas "b", "c", "f", "g", "h" un "i" apakšpunktam un regulas Nr. </w:t>
            </w:r>
            <w:hyperlink r:id="rId11" w:tgtFrame="_blank" w:history="1">
              <w:r w:rsidRPr="004D02E3">
                <w:t>2017/891</w:t>
              </w:r>
            </w:hyperlink>
            <w:r w:rsidRPr="004D02E3">
              <w:t> III nodaļas 5., 6., 7. un 8. iedaļai:”</w:t>
            </w:r>
          </w:p>
        </w:tc>
      </w:tr>
      <w:tr w:rsidR="000548C4" w:rsidRPr="00AC04F8" w:rsidTr="0068097A">
        <w:trPr>
          <w:gridBefore w:val="1"/>
          <w:wBefore w:w="113" w:type="dxa"/>
          <w:trHeight w:val="3393"/>
        </w:trPr>
        <w:tc>
          <w:tcPr>
            <w:tcW w:w="792" w:type="dxa"/>
            <w:tcBorders>
              <w:left w:val="single" w:sz="4" w:space="0" w:color="auto"/>
              <w:bottom w:val="single" w:sz="4" w:space="0" w:color="auto"/>
              <w:right w:val="single" w:sz="4" w:space="0" w:color="auto"/>
            </w:tcBorders>
          </w:tcPr>
          <w:p w:rsidR="00963D56" w:rsidRDefault="00963D56" w:rsidP="00112DD0">
            <w:pPr>
              <w:pStyle w:val="naisnod"/>
              <w:jc w:val="center"/>
              <w:rPr>
                <w:color w:val="000000"/>
              </w:rPr>
            </w:pPr>
            <w:r>
              <w:rPr>
                <w:color w:val="000000"/>
              </w:rPr>
              <w:lastRenderedPageBreak/>
              <w:t>5.</w:t>
            </w:r>
          </w:p>
        </w:tc>
        <w:tc>
          <w:tcPr>
            <w:tcW w:w="2581" w:type="dxa"/>
            <w:gridSpan w:val="2"/>
            <w:tcBorders>
              <w:top w:val="single" w:sz="4" w:space="0" w:color="auto"/>
              <w:left w:val="single" w:sz="4" w:space="0" w:color="auto"/>
              <w:bottom w:val="single" w:sz="4" w:space="0" w:color="auto"/>
              <w:right w:val="single" w:sz="4" w:space="0" w:color="auto"/>
            </w:tcBorders>
          </w:tcPr>
          <w:p w:rsidR="00B05739" w:rsidRPr="004D02E3" w:rsidRDefault="00B05739" w:rsidP="00B05739">
            <w:pPr>
              <w:jc w:val="both"/>
            </w:pPr>
            <w:r w:rsidRPr="004D02E3">
              <w:t>1.18. Papildināt noteikumus ar 37.2, 37.3 un 37.4 punktu šādā redakcijā:</w:t>
            </w:r>
          </w:p>
          <w:p w:rsidR="00B05739" w:rsidRPr="004D02E3" w:rsidRDefault="00B05739" w:rsidP="00B05739">
            <w:pPr>
              <w:ind w:firstLine="709"/>
              <w:jc w:val="both"/>
            </w:pPr>
            <w:r w:rsidRPr="004D02E3">
              <w:t xml:space="preserve">“37.2 Ja šo noteikumu 35.2.11., 35.3.12. un 35.4.5. apakšpunktā minēto pasākumu īstenošanai ražotāju organizācija izmanto savus darbiniekus vai biedrus ražotājus, ražotāju organizācija saskaņā ar regulas Nr. 2017/891 III pielikuma 2. punkta “b” apakšpunkta otro daļu pierāda, ka personāls ir atbilstoši kvalificēts, iesniedzot valsts izglītības informācijas sistēmā reģistrētas izglītības iestādes izsniegtu izglītību apliecinošu dokumenta kopiju (uzrādot oriģinālu) par iegūto augstāko vai profesionālo izglītību vai izziņu par šo noteikumu 5.1 pielikumā noteikto </w:t>
            </w:r>
            <w:r w:rsidRPr="004D02E3">
              <w:lastRenderedPageBreak/>
              <w:t>mācību priekšmetiem apgūšanu vismaz 160 stundu apjomā.</w:t>
            </w:r>
          </w:p>
          <w:p w:rsidR="00B05739" w:rsidRPr="004D02E3" w:rsidRDefault="00B05739" w:rsidP="00B05739">
            <w:pPr>
              <w:ind w:firstLine="709"/>
              <w:jc w:val="both"/>
            </w:pPr>
            <w:r w:rsidRPr="004D02E3">
              <w:t>37.3 Dienests, izvērtējot šo noteikumu 37.2 punktā minēto izglītības atbilstību, ņem vērā šo noteikumu 5.1 pielikumā norādīto mācību priekšmetu sarakstu. Ja pabeigti vairāki īslaicīgi kursi, tajos norādīto stundu skaitu summē. Ja izglītību apliecinošajā dokumentā nav norādīts stundu skaits, pievieno attiecīgo mācību programmu vai arhīva izrakstu vai mācību iestādes izziņu par apgūto mācību programmu ar apgūto mācību stundu apjomu.</w:t>
            </w:r>
          </w:p>
          <w:p w:rsidR="00B05739" w:rsidRPr="004D02E3" w:rsidRDefault="00B05739" w:rsidP="00B05739">
            <w:pPr>
              <w:ind w:firstLine="709"/>
              <w:jc w:val="both"/>
            </w:pPr>
            <w:r w:rsidRPr="004D02E3">
              <w:t xml:space="preserve">37.4 Ja ražotāju organizācija izmanto ārpakalpojumu šo noteikumu 35.2.11., 35.3.12. un 35.4.5. apakšpunktā minēto pasākumu īstenošanai, tā ievēro iepirkuma </w:t>
            </w:r>
            <w:r w:rsidRPr="004D02E3">
              <w:lastRenderedPageBreak/>
              <w:t>procedūras noteikumus un saskaņā ar regulas Nr. 2017/891 III pielikuma 2. punkta “b” apakšpunkta otro daļu pierāda, ka ārpakalpojuma sniedzējs ir atbilstoši kvalificēts, ievērojot šo noteikumu 37.2 un 37.3 punktā minētos nosacījumus.”</w:t>
            </w:r>
          </w:p>
          <w:p w:rsidR="00963D56" w:rsidRPr="004D02E3" w:rsidRDefault="00963D56" w:rsidP="00963D56">
            <w:pPr>
              <w:jc w:val="both"/>
            </w:pPr>
          </w:p>
        </w:tc>
        <w:tc>
          <w:tcPr>
            <w:tcW w:w="4532" w:type="dxa"/>
            <w:tcBorders>
              <w:top w:val="single" w:sz="4" w:space="0" w:color="auto"/>
              <w:left w:val="single" w:sz="4" w:space="0" w:color="auto"/>
              <w:bottom w:val="single" w:sz="4" w:space="0" w:color="auto"/>
              <w:right w:val="single" w:sz="4" w:space="0" w:color="auto"/>
            </w:tcBorders>
          </w:tcPr>
          <w:p w:rsidR="00963D56" w:rsidRPr="004D02E3" w:rsidRDefault="00B05739" w:rsidP="00112DD0">
            <w:pPr>
              <w:ind w:right="12"/>
            </w:pPr>
            <w:r w:rsidRPr="004D02E3">
              <w:lastRenderedPageBreak/>
              <w:t>Lūdzam projekta 1.18. apakšpunktā izteikto atsauci uz “iepirkuma procedūras noteikumiem” izteikt saskaņā ar Ministru kabineta 2009. gada 3. februāra noteikumu Nr. 108 “Normatīvo aktu projektu sagatavošanas noteikumi” 3.7. apakšnodaļu</w:t>
            </w:r>
          </w:p>
        </w:tc>
        <w:tc>
          <w:tcPr>
            <w:tcW w:w="3289" w:type="dxa"/>
            <w:gridSpan w:val="2"/>
            <w:tcBorders>
              <w:left w:val="single" w:sz="4" w:space="0" w:color="auto"/>
              <w:bottom w:val="single" w:sz="4" w:space="0" w:color="auto"/>
            </w:tcBorders>
          </w:tcPr>
          <w:p w:rsidR="00B05739" w:rsidRPr="004D02E3" w:rsidRDefault="00B05739" w:rsidP="00B05739">
            <w:pPr>
              <w:jc w:val="both"/>
            </w:pPr>
            <w:r w:rsidRPr="004D02E3">
              <w:t>Ņemts vērā.</w:t>
            </w:r>
          </w:p>
          <w:p w:rsidR="004D02E3" w:rsidRPr="004D02E3" w:rsidRDefault="003027F3" w:rsidP="004D02E3">
            <w:pPr>
              <w:jc w:val="both"/>
            </w:pPr>
            <w:r>
              <w:t xml:space="preserve">Noteikumu projekta </w:t>
            </w:r>
            <w:r w:rsidR="004D02E3" w:rsidRPr="004D02E3">
              <w:t>1.18.</w:t>
            </w:r>
            <w:r w:rsidR="00812098">
              <w:t xml:space="preserve"> </w:t>
            </w:r>
            <w:r w:rsidR="004D02E3" w:rsidRPr="004D02E3">
              <w:t>apakšpunktā izteikta</w:t>
            </w:r>
            <w:r w:rsidR="00A941D0">
              <w:t>jā</w:t>
            </w:r>
            <w:r w:rsidR="004D02E3" w:rsidRPr="004D02E3">
              <w:t xml:space="preserve"> noteikumu Nr.621 37.</w:t>
            </w:r>
            <w:r w:rsidR="004D02E3" w:rsidRPr="00F001E2">
              <w:rPr>
                <w:vertAlign w:val="superscript"/>
              </w:rPr>
              <w:t>4</w:t>
            </w:r>
            <w:r w:rsidR="00A941D0">
              <w:t xml:space="preserve"> </w:t>
            </w:r>
            <w:r w:rsidR="004D02E3" w:rsidRPr="004D02E3">
              <w:t>apakšpunkt</w:t>
            </w:r>
            <w:r w:rsidR="00A941D0">
              <w:t xml:space="preserve">ā </w:t>
            </w:r>
            <w:r>
              <w:t>precizēta</w:t>
            </w:r>
            <w:r w:rsidRPr="004D02E3">
              <w:t xml:space="preserve"> </w:t>
            </w:r>
            <w:r w:rsidR="004D02E3" w:rsidRPr="004D02E3">
              <w:t>atsauc</w:t>
            </w:r>
            <w:r w:rsidR="00A941D0">
              <w:t>e</w:t>
            </w:r>
            <w:r w:rsidR="004D02E3" w:rsidRPr="004D02E3">
              <w:t xml:space="preserve"> uz</w:t>
            </w:r>
            <w:r>
              <w:t xml:space="preserve"> </w:t>
            </w:r>
            <w:r w:rsidR="004D02E3" w:rsidRPr="004D02E3">
              <w:t>Publisko iepirkumu likumu</w:t>
            </w:r>
            <w:r w:rsidR="004D02E3">
              <w:t>.</w:t>
            </w:r>
          </w:p>
        </w:tc>
        <w:tc>
          <w:tcPr>
            <w:tcW w:w="3071" w:type="dxa"/>
            <w:tcBorders>
              <w:bottom w:val="single" w:sz="4" w:space="0" w:color="auto"/>
              <w:right w:val="single" w:sz="4" w:space="0" w:color="auto"/>
            </w:tcBorders>
          </w:tcPr>
          <w:p w:rsidR="00B05739" w:rsidRPr="004D02E3" w:rsidRDefault="00B05739" w:rsidP="00B05739">
            <w:pPr>
              <w:jc w:val="both"/>
            </w:pPr>
            <w:r w:rsidRPr="004D02E3">
              <w:t>1.18. </w:t>
            </w:r>
            <w:r w:rsidR="000641BD">
              <w:t>p</w:t>
            </w:r>
            <w:r w:rsidRPr="004D02E3">
              <w:t>apildināt noteikumus ar 37.</w:t>
            </w:r>
            <w:r w:rsidRPr="00F001E2">
              <w:rPr>
                <w:vertAlign w:val="superscript"/>
              </w:rPr>
              <w:t>2</w:t>
            </w:r>
            <w:r w:rsidRPr="004D02E3">
              <w:t>, 37.</w:t>
            </w:r>
            <w:r w:rsidRPr="00F001E2">
              <w:rPr>
                <w:vertAlign w:val="superscript"/>
              </w:rPr>
              <w:t>3</w:t>
            </w:r>
            <w:r w:rsidRPr="004D02E3">
              <w:t xml:space="preserve"> un 37.</w:t>
            </w:r>
            <w:r w:rsidRPr="00F001E2">
              <w:rPr>
                <w:vertAlign w:val="superscript"/>
              </w:rPr>
              <w:t>4</w:t>
            </w:r>
            <w:r w:rsidRPr="004D02E3">
              <w:t xml:space="preserve"> punktu šādā redakcijā:</w:t>
            </w:r>
          </w:p>
          <w:p w:rsidR="00B05739" w:rsidRPr="004D02E3" w:rsidRDefault="00B05739" w:rsidP="00B05739">
            <w:pPr>
              <w:ind w:firstLine="709"/>
              <w:jc w:val="both"/>
            </w:pPr>
            <w:r w:rsidRPr="004D02E3">
              <w:t>“37.</w:t>
            </w:r>
            <w:r w:rsidRPr="00F001E2">
              <w:rPr>
                <w:vertAlign w:val="superscript"/>
              </w:rPr>
              <w:t>2</w:t>
            </w:r>
            <w:r w:rsidRPr="004D02E3">
              <w:t xml:space="preserve"> Ja šo noteikumu 35.2.11., 35.3.12. un 35.4.5. apakšpunktā minēto pasākumu īstenošanai ražotāju organizācija izmanto savus darbiniekus vai biedrus ražotājus, ražotāju organizācija saskaņā ar regulas Nr. 2017/891 III pielikuma 2. punkta “b” apakšpunkta otro daļu pierāda, ka personāls ir atbilstoši kvalificēts, iesniedzot valsts izglītības informācijas sistēmā reģistrētas izglītības iestādes izsniegtu izglītību apliecinošu dokumenta kopiju (uzrādot oriģinālu) par iegūto augstāko vai profesionālo izglītību vai izziņu par šo noteikumu 5.</w:t>
            </w:r>
            <w:r w:rsidRPr="00F001E2">
              <w:rPr>
                <w:vertAlign w:val="superscript"/>
              </w:rPr>
              <w:t>1</w:t>
            </w:r>
            <w:r w:rsidRPr="004D02E3">
              <w:t xml:space="preserve"> pielikumā noteikto mācību priekšmet</w:t>
            </w:r>
            <w:r w:rsidR="00A941D0">
              <w:t>u</w:t>
            </w:r>
            <w:r w:rsidRPr="004D02E3">
              <w:t xml:space="preserve"> apgūšanu vismaz 160 stundu apjomā.</w:t>
            </w:r>
          </w:p>
          <w:p w:rsidR="00B05739" w:rsidRPr="004D02E3" w:rsidRDefault="00B05739" w:rsidP="00B05739">
            <w:pPr>
              <w:ind w:firstLine="709"/>
              <w:jc w:val="both"/>
            </w:pPr>
            <w:r w:rsidRPr="004D02E3">
              <w:t>37.</w:t>
            </w:r>
            <w:r w:rsidRPr="00F001E2">
              <w:rPr>
                <w:vertAlign w:val="superscript"/>
              </w:rPr>
              <w:t>3</w:t>
            </w:r>
            <w:r w:rsidRPr="004D02E3">
              <w:t xml:space="preserve"> Dienests, izvērtējot šo noteikumu 37.</w:t>
            </w:r>
            <w:r w:rsidRPr="00F001E2">
              <w:rPr>
                <w:vertAlign w:val="superscript"/>
              </w:rPr>
              <w:t>2</w:t>
            </w:r>
            <w:r w:rsidRPr="004D02E3">
              <w:t xml:space="preserve"> punktā minēto izglītības atbilstību, ņem vērā šo noteikumu 5.</w:t>
            </w:r>
            <w:r w:rsidRPr="00F001E2">
              <w:rPr>
                <w:vertAlign w:val="superscript"/>
              </w:rPr>
              <w:t>1</w:t>
            </w:r>
            <w:r w:rsidRPr="004D02E3">
              <w:t xml:space="preserve"> pielikumā </w:t>
            </w:r>
            <w:r w:rsidRPr="004D02E3">
              <w:lastRenderedPageBreak/>
              <w:t>norādīto mācību priekšmetu sarakstu. Ja pabeigti vairāki īslaicīgi kursi, tajos norādīto stundu skaitu summē. Ja izglītību apliecinošajā dokumentā nav norādīts stundu skaits, pievieno attiecīgo mācību programmu vai arhīva izrakstu vai mācību iestādes izziņu par apgūto mācību programmu ar apgūto mācību stundu apjomu.</w:t>
            </w:r>
          </w:p>
          <w:p w:rsidR="00B05739" w:rsidRPr="004D02E3" w:rsidRDefault="00B05739" w:rsidP="00B05739">
            <w:pPr>
              <w:ind w:firstLine="709"/>
              <w:jc w:val="both"/>
            </w:pPr>
            <w:r w:rsidRPr="004D02E3">
              <w:t>37.</w:t>
            </w:r>
            <w:r w:rsidRPr="00F001E2">
              <w:rPr>
                <w:vertAlign w:val="superscript"/>
              </w:rPr>
              <w:t>4</w:t>
            </w:r>
            <w:r w:rsidRPr="004D02E3">
              <w:t xml:space="preserve"> Ja ražotāju organizācija izmanto ārpakalpojumu šo noteikumu 35.2.11., 35.3.12. un 35.4.5. apakšpunktā minēto pasākumu īstenošanai, </w:t>
            </w:r>
            <w:r w:rsidR="000D05E4">
              <w:t xml:space="preserve">tā </w:t>
            </w:r>
            <w:r w:rsidRPr="004D02E3">
              <w:t>saskaņā ar Publisko iepirkumu likumu un regulas Nr. 2017/891 III pielikuma 2. punkta “b” apakšpunkta otro daļu pierāda, ka ārpakalpojuma sniedzējs ir atbilstoši kvalificēts, ievērojot šo noteikumu 37.</w:t>
            </w:r>
            <w:r w:rsidRPr="00F001E2">
              <w:rPr>
                <w:vertAlign w:val="superscript"/>
              </w:rPr>
              <w:t>2</w:t>
            </w:r>
            <w:r w:rsidRPr="004D02E3">
              <w:t xml:space="preserve"> un 37.</w:t>
            </w:r>
            <w:r w:rsidRPr="00F001E2">
              <w:rPr>
                <w:vertAlign w:val="superscript"/>
              </w:rPr>
              <w:t>3</w:t>
            </w:r>
            <w:r w:rsidRPr="004D02E3">
              <w:t> punkt</w:t>
            </w:r>
            <w:r w:rsidR="00A941D0">
              <w:t>a</w:t>
            </w:r>
            <w:r w:rsidRPr="004D02E3">
              <w:t xml:space="preserve"> nosacījumus.”</w:t>
            </w:r>
          </w:p>
          <w:p w:rsidR="00963D56" w:rsidRPr="004D02E3" w:rsidRDefault="00963D56" w:rsidP="00963D56">
            <w:pPr>
              <w:jc w:val="both"/>
            </w:pPr>
          </w:p>
        </w:tc>
      </w:tr>
      <w:tr w:rsidR="000548C4" w:rsidRPr="00AC04F8" w:rsidTr="0068097A">
        <w:trPr>
          <w:gridBefore w:val="1"/>
          <w:wBefore w:w="113" w:type="dxa"/>
        </w:trPr>
        <w:tc>
          <w:tcPr>
            <w:tcW w:w="792" w:type="dxa"/>
            <w:tcBorders>
              <w:left w:val="single" w:sz="4" w:space="0" w:color="auto"/>
              <w:bottom w:val="single" w:sz="4" w:space="0" w:color="auto"/>
              <w:right w:val="single" w:sz="4" w:space="0" w:color="auto"/>
            </w:tcBorders>
          </w:tcPr>
          <w:p w:rsidR="00112DD0" w:rsidRDefault="00B05739" w:rsidP="00112DD0">
            <w:pPr>
              <w:pStyle w:val="naisnod"/>
              <w:jc w:val="center"/>
              <w:rPr>
                <w:color w:val="000000"/>
              </w:rPr>
            </w:pPr>
            <w:r>
              <w:rPr>
                <w:color w:val="000000"/>
              </w:rPr>
              <w:lastRenderedPageBreak/>
              <w:t>6.</w:t>
            </w:r>
          </w:p>
        </w:tc>
        <w:tc>
          <w:tcPr>
            <w:tcW w:w="2581" w:type="dxa"/>
            <w:gridSpan w:val="2"/>
            <w:tcBorders>
              <w:top w:val="single" w:sz="4" w:space="0" w:color="auto"/>
              <w:left w:val="single" w:sz="4" w:space="0" w:color="auto"/>
              <w:bottom w:val="single" w:sz="4" w:space="0" w:color="auto"/>
              <w:right w:val="single" w:sz="4" w:space="0" w:color="auto"/>
            </w:tcBorders>
          </w:tcPr>
          <w:p w:rsidR="00112DD0" w:rsidRPr="004D02E3" w:rsidRDefault="00B05739" w:rsidP="00B05739">
            <w:pPr>
              <w:pStyle w:val="Paraststmeklis"/>
              <w:spacing w:before="0" w:after="0"/>
              <w:ind w:right="13"/>
              <w:jc w:val="both"/>
            </w:pPr>
            <w:r w:rsidRPr="004D02E3">
              <w:t>Anotācijas V sadaļas 1. punkta un 1. tabula.</w:t>
            </w:r>
          </w:p>
        </w:tc>
        <w:tc>
          <w:tcPr>
            <w:tcW w:w="4532" w:type="dxa"/>
            <w:tcBorders>
              <w:top w:val="single" w:sz="4" w:space="0" w:color="auto"/>
              <w:left w:val="single" w:sz="4" w:space="0" w:color="auto"/>
              <w:bottom w:val="single" w:sz="4" w:space="0" w:color="auto"/>
              <w:right w:val="single" w:sz="4" w:space="0" w:color="auto"/>
            </w:tcBorders>
          </w:tcPr>
          <w:p w:rsidR="00B05739" w:rsidRPr="004D02E3" w:rsidRDefault="00B05739" w:rsidP="00B05739">
            <w:pPr>
              <w:ind w:right="12"/>
            </w:pPr>
            <w:r w:rsidRPr="004D02E3">
              <w:t>Vēršam uzmanību, ka projekta pamattekstā un projekta pielikumos ir vairākas atsauces uz Eiropas Savienības regulām, par kurām nav sniegts izvērtējums projekta anotācijas V sadaļas 1. punktā un 1. tabulā (turpmāk – Tabula). Ievērojot minēto, lūdzam papildināt projekta anotācijas V sadaļas 1. punktu un Tabulu atbilstoši instrukcijas 55. un 56. punktam.</w:t>
            </w:r>
          </w:p>
          <w:p w:rsidR="00112DD0" w:rsidRPr="004D02E3" w:rsidRDefault="00112DD0" w:rsidP="00112DD0">
            <w:pPr>
              <w:ind w:right="12"/>
            </w:pPr>
          </w:p>
        </w:tc>
        <w:tc>
          <w:tcPr>
            <w:tcW w:w="3289" w:type="dxa"/>
            <w:gridSpan w:val="2"/>
            <w:tcBorders>
              <w:left w:val="single" w:sz="4" w:space="0" w:color="auto"/>
              <w:bottom w:val="single" w:sz="4" w:space="0" w:color="auto"/>
            </w:tcBorders>
          </w:tcPr>
          <w:p w:rsidR="00112DD0" w:rsidRDefault="00B05739" w:rsidP="00112DD0">
            <w:pPr>
              <w:jc w:val="both"/>
              <w:rPr>
                <w:b/>
                <w:iCs/>
              </w:rPr>
            </w:pPr>
            <w:r w:rsidRPr="004D02E3">
              <w:rPr>
                <w:b/>
                <w:iCs/>
              </w:rPr>
              <w:t>Ņemts vērā.</w:t>
            </w:r>
          </w:p>
          <w:p w:rsidR="00B95A7E" w:rsidRPr="004D02E3" w:rsidRDefault="00B95A7E" w:rsidP="00112DD0">
            <w:pPr>
              <w:jc w:val="both"/>
              <w:rPr>
                <w:b/>
                <w:iCs/>
              </w:rPr>
            </w:pPr>
            <w:r w:rsidRPr="00B95A7E">
              <w:t>Projekta anotācijas V sadaļas 1</w:t>
            </w:r>
            <w:r w:rsidR="00A941D0">
              <w:t>. </w:t>
            </w:r>
            <w:r w:rsidRPr="00B95A7E">
              <w:t>punkta 1. tabula papildināta ar atsaucēm uz Eiropas Savienības regulām</w:t>
            </w:r>
            <w:r w:rsidRPr="00F001E2">
              <w:rPr>
                <w:bCs/>
                <w:iCs/>
              </w:rPr>
              <w:t>,</w:t>
            </w:r>
            <w:r>
              <w:rPr>
                <w:b/>
                <w:iCs/>
              </w:rPr>
              <w:t xml:space="preserve"> </w:t>
            </w:r>
            <w:r w:rsidRPr="00B95A7E">
              <w:t>kā arī sniegts to izvērtējums.</w:t>
            </w:r>
          </w:p>
        </w:tc>
        <w:tc>
          <w:tcPr>
            <w:tcW w:w="3071" w:type="dxa"/>
            <w:tcBorders>
              <w:bottom w:val="single" w:sz="4" w:space="0" w:color="auto"/>
              <w:right w:val="single" w:sz="4" w:space="0" w:color="auto"/>
            </w:tcBorders>
          </w:tcPr>
          <w:p w:rsidR="00112DD0" w:rsidRPr="004D02E3" w:rsidRDefault="00B05739" w:rsidP="000641BD">
            <w:pPr>
              <w:widowControl w:val="0"/>
              <w:tabs>
                <w:tab w:val="left" w:pos="720"/>
                <w:tab w:val="left" w:pos="993"/>
              </w:tabs>
              <w:jc w:val="both"/>
            </w:pPr>
            <w:r w:rsidRPr="004D02E3">
              <w:t xml:space="preserve">Skatīt anotācijas V sadaļas 1. tabulu </w:t>
            </w:r>
          </w:p>
        </w:tc>
      </w:tr>
      <w:tr w:rsidR="000548C4" w:rsidRPr="00AC04F8" w:rsidTr="0068097A">
        <w:trPr>
          <w:gridBefore w:val="1"/>
          <w:wBefore w:w="113" w:type="dxa"/>
        </w:trPr>
        <w:tc>
          <w:tcPr>
            <w:tcW w:w="792" w:type="dxa"/>
            <w:tcBorders>
              <w:left w:val="single" w:sz="4" w:space="0" w:color="auto"/>
              <w:bottom w:val="single" w:sz="4" w:space="0" w:color="auto"/>
              <w:right w:val="single" w:sz="4" w:space="0" w:color="auto"/>
            </w:tcBorders>
          </w:tcPr>
          <w:p w:rsidR="00112DD0" w:rsidRDefault="00A953E9" w:rsidP="00112DD0">
            <w:pPr>
              <w:pStyle w:val="naisnod"/>
              <w:jc w:val="center"/>
              <w:rPr>
                <w:color w:val="000000"/>
              </w:rPr>
            </w:pPr>
            <w:r>
              <w:rPr>
                <w:color w:val="000000"/>
              </w:rPr>
              <w:t>7.</w:t>
            </w:r>
          </w:p>
        </w:tc>
        <w:tc>
          <w:tcPr>
            <w:tcW w:w="2581" w:type="dxa"/>
            <w:gridSpan w:val="2"/>
            <w:tcBorders>
              <w:top w:val="single" w:sz="4" w:space="0" w:color="auto"/>
              <w:left w:val="single" w:sz="4" w:space="0" w:color="auto"/>
              <w:bottom w:val="single" w:sz="4" w:space="0" w:color="auto"/>
              <w:right w:val="single" w:sz="4" w:space="0" w:color="auto"/>
            </w:tcBorders>
          </w:tcPr>
          <w:p w:rsidR="00112DD0" w:rsidRPr="004D02E3" w:rsidRDefault="0010626A" w:rsidP="0010626A">
            <w:pPr>
              <w:pStyle w:val="Paraststmeklis"/>
              <w:spacing w:before="0" w:after="0"/>
              <w:ind w:right="13"/>
              <w:jc w:val="both"/>
            </w:pPr>
            <w:r w:rsidRPr="004D02E3">
              <w:t>Anotācijas V sadaļas 1. tabula</w:t>
            </w:r>
          </w:p>
        </w:tc>
        <w:tc>
          <w:tcPr>
            <w:tcW w:w="4532" w:type="dxa"/>
            <w:tcBorders>
              <w:top w:val="single" w:sz="4" w:space="0" w:color="auto"/>
              <w:left w:val="single" w:sz="4" w:space="0" w:color="auto"/>
              <w:bottom w:val="single" w:sz="4" w:space="0" w:color="auto"/>
              <w:right w:val="single" w:sz="4" w:space="0" w:color="auto"/>
            </w:tcBorders>
          </w:tcPr>
          <w:p w:rsidR="00A953E9" w:rsidRPr="004D02E3" w:rsidRDefault="00A953E9" w:rsidP="00A953E9">
            <w:pPr>
              <w:ind w:right="12"/>
            </w:pPr>
            <w:r w:rsidRPr="004D02E3">
              <w:t>Vēršam uzmanību, ka Tabulas sadaļa par dalībvalsts rīcības brīvību aizpildīta nepareizi, neievērojot instrukcijas 56.5. apakšpunkta prasības. Norādām, ka konkrētajā gadījumā nav secināms, ka dalībvalstīm vispār ir rīcības brīvība izvēlēties sagatavot ziņojumu un ko ietvert ziņojumā. Attiecīgi lūdzam precizēt vai svītrot minēto informāciju.</w:t>
            </w:r>
          </w:p>
          <w:p w:rsidR="00112DD0" w:rsidRPr="004D02E3" w:rsidRDefault="00112DD0" w:rsidP="00112DD0">
            <w:pPr>
              <w:ind w:right="12"/>
            </w:pPr>
          </w:p>
        </w:tc>
        <w:tc>
          <w:tcPr>
            <w:tcW w:w="3289" w:type="dxa"/>
            <w:gridSpan w:val="2"/>
            <w:tcBorders>
              <w:left w:val="single" w:sz="4" w:space="0" w:color="auto"/>
              <w:bottom w:val="single" w:sz="4" w:space="0" w:color="auto"/>
            </w:tcBorders>
          </w:tcPr>
          <w:p w:rsidR="00112DD0" w:rsidRPr="004D02E3" w:rsidRDefault="00A953E9" w:rsidP="00112DD0">
            <w:pPr>
              <w:jc w:val="both"/>
              <w:rPr>
                <w:b/>
                <w:iCs/>
              </w:rPr>
            </w:pPr>
            <w:r w:rsidRPr="004D02E3">
              <w:rPr>
                <w:b/>
                <w:iCs/>
              </w:rPr>
              <w:t>Ņemts vērā.</w:t>
            </w:r>
          </w:p>
          <w:p w:rsidR="0010626A" w:rsidRPr="004D02E3" w:rsidRDefault="0010626A" w:rsidP="0010626A">
            <w:pPr>
              <w:jc w:val="both"/>
              <w:rPr>
                <w:iCs/>
              </w:rPr>
            </w:pPr>
            <w:r w:rsidRPr="004D02E3">
              <w:rPr>
                <w:iCs/>
              </w:rPr>
              <w:t>Noteikumu projekta anotācijā tiek sniegts dalībvalsts rīcības brīvības izmantošanas pamatojums.</w:t>
            </w:r>
          </w:p>
          <w:p w:rsidR="0010626A" w:rsidRPr="004D02E3" w:rsidRDefault="0010626A" w:rsidP="00112DD0">
            <w:pPr>
              <w:jc w:val="both"/>
              <w:rPr>
                <w:b/>
                <w:iCs/>
              </w:rPr>
            </w:pPr>
          </w:p>
        </w:tc>
        <w:tc>
          <w:tcPr>
            <w:tcW w:w="3071" w:type="dxa"/>
            <w:tcBorders>
              <w:bottom w:val="single" w:sz="4" w:space="0" w:color="auto"/>
              <w:right w:val="single" w:sz="4" w:space="0" w:color="auto"/>
            </w:tcBorders>
          </w:tcPr>
          <w:p w:rsidR="0010626A" w:rsidRPr="004D02E3" w:rsidRDefault="0010626A" w:rsidP="0010626A">
            <w:pPr>
              <w:widowControl w:val="0"/>
              <w:tabs>
                <w:tab w:val="left" w:pos="720"/>
                <w:tab w:val="left" w:pos="993"/>
              </w:tabs>
              <w:jc w:val="both"/>
            </w:pPr>
            <w:r w:rsidRPr="004D02E3">
              <w:t>Skatīt anotācijas V sadaļas 1.</w:t>
            </w:r>
            <w:r w:rsidR="00A941D0">
              <w:t> </w:t>
            </w:r>
            <w:r w:rsidRPr="004D02E3">
              <w:t>tabulu.</w:t>
            </w:r>
          </w:p>
          <w:p w:rsidR="00112DD0" w:rsidRPr="004D02E3" w:rsidRDefault="00112DD0" w:rsidP="00112DD0">
            <w:pPr>
              <w:widowControl w:val="0"/>
              <w:tabs>
                <w:tab w:val="left" w:pos="720"/>
                <w:tab w:val="left" w:pos="993"/>
              </w:tabs>
              <w:jc w:val="both"/>
            </w:pPr>
          </w:p>
        </w:tc>
      </w:tr>
      <w:tr w:rsidR="0068097A" w:rsidRPr="00712B66"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rsidR="0068097A" w:rsidRPr="00712B66" w:rsidRDefault="0068097A" w:rsidP="001A2D95">
            <w:pPr>
              <w:pStyle w:val="naiskr"/>
              <w:spacing w:before="0" w:after="0"/>
            </w:pPr>
            <w:r w:rsidRPr="00712B66">
              <w:lastRenderedPageBreak/>
              <w:t>Atbildīgā amatpersona</w:t>
            </w:r>
          </w:p>
        </w:tc>
        <w:tc>
          <w:tcPr>
            <w:tcW w:w="6179" w:type="dxa"/>
            <w:gridSpan w:val="3"/>
          </w:tcPr>
          <w:p w:rsidR="0068097A" w:rsidRPr="00712B66" w:rsidRDefault="0068097A" w:rsidP="001A2D95">
            <w:pPr>
              <w:pStyle w:val="naiskr"/>
              <w:spacing w:before="0" w:after="0"/>
              <w:ind w:firstLine="720"/>
            </w:pPr>
            <w:r w:rsidRPr="00712B66">
              <w:t>  </w:t>
            </w:r>
          </w:p>
        </w:tc>
      </w:tr>
      <w:tr w:rsidR="0068097A" w:rsidRPr="00712B66"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rsidR="0068097A" w:rsidRPr="00712B66" w:rsidRDefault="0068097A" w:rsidP="001A2D95">
            <w:pPr>
              <w:pStyle w:val="naiskr"/>
              <w:spacing w:before="0" w:after="0"/>
              <w:ind w:firstLine="720"/>
            </w:pPr>
          </w:p>
        </w:tc>
        <w:tc>
          <w:tcPr>
            <w:tcW w:w="6179" w:type="dxa"/>
            <w:gridSpan w:val="3"/>
            <w:tcBorders>
              <w:top w:val="single" w:sz="6" w:space="0" w:color="000000"/>
            </w:tcBorders>
          </w:tcPr>
          <w:p w:rsidR="0068097A" w:rsidRPr="00712B66" w:rsidRDefault="0068097A" w:rsidP="0068097A">
            <w:pPr>
              <w:pStyle w:val="naisc"/>
              <w:spacing w:before="0" w:after="0"/>
              <w:ind w:firstLine="2707"/>
            </w:pPr>
            <w:r w:rsidRPr="00712B66">
              <w:t>(paraksts*)</w:t>
            </w:r>
          </w:p>
        </w:tc>
      </w:tr>
    </w:tbl>
    <w:p w:rsidR="0068097A" w:rsidRPr="00712B66" w:rsidRDefault="0068097A" w:rsidP="0068097A">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2B7F99" w:rsidRDefault="002B7F99" w:rsidP="0068097A">
      <w:pPr>
        <w:pStyle w:val="naisf"/>
        <w:ind w:firstLine="3686"/>
        <w:rPr>
          <w:color w:val="000000"/>
        </w:rPr>
      </w:pPr>
    </w:p>
    <w:p w:rsidR="005F740D" w:rsidRPr="0068097A" w:rsidRDefault="00C166A5" w:rsidP="0068097A">
      <w:pPr>
        <w:pStyle w:val="naisf"/>
        <w:ind w:firstLine="3686"/>
        <w:rPr>
          <w:color w:val="000000"/>
        </w:rPr>
      </w:pPr>
      <w:bookmarkStart w:id="0" w:name="_GoBack"/>
      <w:bookmarkEnd w:id="0"/>
      <w:r w:rsidRPr="0068097A">
        <w:rPr>
          <w:color w:val="000000"/>
        </w:rPr>
        <w:t>Inese Ozola</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68097A" w:rsidTr="0068097A">
        <w:trPr>
          <w:tblCellSpacing w:w="0" w:type="dxa"/>
        </w:trPr>
        <w:tc>
          <w:tcPr>
            <w:tcW w:w="8265" w:type="dxa"/>
            <w:tcBorders>
              <w:top w:val="single" w:sz="8" w:space="0" w:color="000000"/>
              <w:left w:val="nil"/>
              <w:bottom w:val="nil"/>
              <w:right w:val="nil"/>
            </w:tcBorders>
          </w:tcPr>
          <w:p w:rsidR="006D0875" w:rsidRPr="0068097A" w:rsidRDefault="005F740D" w:rsidP="0068097A">
            <w:pPr>
              <w:pStyle w:val="naisc"/>
              <w:spacing w:before="0" w:beforeAutospacing="0" w:after="120" w:afterAutospacing="0"/>
              <w:jc w:val="center"/>
              <w:rPr>
                <w:color w:val="000000"/>
              </w:rPr>
            </w:pPr>
            <w:r w:rsidRPr="0068097A">
              <w:rPr>
                <w:color w:val="000000"/>
              </w:rPr>
              <w:t>(par projektu atbildīgās amatpersonas vārds un uzvārds)</w:t>
            </w:r>
          </w:p>
        </w:tc>
      </w:tr>
      <w:tr w:rsidR="005F740D" w:rsidRPr="0068097A" w:rsidTr="0068097A">
        <w:trPr>
          <w:tblCellSpacing w:w="0" w:type="dxa"/>
        </w:trPr>
        <w:tc>
          <w:tcPr>
            <w:tcW w:w="8265" w:type="dxa"/>
            <w:tcBorders>
              <w:top w:val="nil"/>
              <w:left w:val="nil"/>
              <w:bottom w:val="single" w:sz="8" w:space="0" w:color="000000"/>
              <w:right w:val="nil"/>
            </w:tcBorders>
          </w:tcPr>
          <w:p w:rsidR="005F740D" w:rsidRPr="0068097A" w:rsidRDefault="005E79C6" w:rsidP="0068097A">
            <w:pPr>
              <w:pStyle w:val="naisf"/>
              <w:jc w:val="center"/>
              <w:rPr>
                <w:color w:val="000000"/>
              </w:rPr>
            </w:pPr>
            <w:r w:rsidRPr="0068097A">
              <w:rPr>
                <w:color w:val="000000"/>
              </w:rPr>
              <w:t>Tirgus un tiešā atbalsta departamenta</w:t>
            </w:r>
            <w:r w:rsidR="002B7F99">
              <w:rPr>
                <w:color w:val="000000"/>
              </w:rPr>
              <w:t xml:space="preserve"> </w:t>
            </w:r>
            <w:r w:rsidR="002B7F99">
              <w:rPr>
                <w:color w:val="000000"/>
              </w:rPr>
              <w:br/>
            </w:r>
            <w:r w:rsidRPr="0068097A">
              <w:rPr>
                <w:color w:val="000000"/>
              </w:rPr>
              <w:t>Tirgus kopējās organizācijas nodaļ</w:t>
            </w:r>
            <w:r w:rsidR="003532EF" w:rsidRPr="0068097A">
              <w:rPr>
                <w:color w:val="000000"/>
              </w:rPr>
              <w:t>a</w:t>
            </w:r>
            <w:r w:rsidRPr="0068097A">
              <w:rPr>
                <w:color w:val="000000"/>
              </w:rPr>
              <w:t xml:space="preserve">s </w:t>
            </w:r>
            <w:r w:rsidR="00617CFF" w:rsidRPr="0068097A">
              <w:rPr>
                <w:color w:val="000000"/>
              </w:rPr>
              <w:t>vecākā</w:t>
            </w:r>
            <w:r w:rsidR="002B7F99">
              <w:rPr>
                <w:color w:val="000000"/>
              </w:rPr>
              <w:t xml:space="preserve"> </w:t>
            </w:r>
            <w:r w:rsidR="00617CFF" w:rsidRPr="0068097A">
              <w:rPr>
                <w:color w:val="000000"/>
              </w:rPr>
              <w:t>referente</w:t>
            </w:r>
          </w:p>
        </w:tc>
      </w:tr>
      <w:tr w:rsidR="005F740D" w:rsidRPr="0068097A" w:rsidTr="0068097A">
        <w:trPr>
          <w:trHeight w:val="341"/>
          <w:tblCellSpacing w:w="0" w:type="dxa"/>
        </w:trPr>
        <w:tc>
          <w:tcPr>
            <w:tcW w:w="0" w:type="auto"/>
            <w:tcBorders>
              <w:top w:val="nil"/>
              <w:left w:val="nil"/>
              <w:bottom w:val="nil"/>
              <w:right w:val="nil"/>
            </w:tcBorders>
            <w:vAlign w:val="center"/>
          </w:tcPr>
          <w:p w:rsidR="005F740D" w:rsidRPr="0068097A" w:rsidRDefault="005F740D" w:rsidP="0068097A">
            <w:pPr>
              <w:pStyle w:val="naisc"/>
              <w:spacing w:before="0" w:beforeAutospacing="0" w:after="120" w:afterAutospacing="0"/>
              <w:jc w:val="center"/>
              <w:rPr>
                <w:color w:val="000000"/>
              </w:rPr>
            </w:pPr>
            <w:r w:rsidRPr="0068097A">
              <w:rPr>
                <w:color w:val="000000"/>
              </w:rPr>
              <w:t>(amats)</w:t>
            </w:r>
          </w:p>
        </w:tc>
      </w:tr>
      <w:tr w:rsidR="005F740D" w:rsidRPr="0068097A" w:rsidTr="0068097A">
        <w:trPr>
          <w:tblCellSpacing w:w="0" w:type="dxa"/>
        </w:trPr>
        <w:tc>
          <w:tcPr>
            <w:tcW w:w="0" w:type="auto"/>
            <w:tcBorders>
              <w:top w:val="nil"/>
              <w:left w:val="nil"/>
              <w:bottom w:val="single" w:sz="8" w:space="0" w:color="000000"/>
              <w:right w:val="nil"/>
            </w:tcBorders>
            <w:vAlign w:val="center"/>
          </w:tcPr>
          <w:p w:rsidR="005F740D" w:rsidRPr="0068097A" w:rsidRDefault="00C166A5" w:rsidP="0068097A">
            <w:pPr>
              <w:pStyle w:val="naisf"/>
              <w:jc w:val="center"/>
              <w:rPr>
                <w:color w:val="000000"/>
              </w:rPr>
            </w:pPr>
            <w:r w:rsidRPr="0068097A">
              <w:t>67027019</w:t>
            </w:r>
          </w:p>
        </w:tc>
      </w:tr>
      <w:tr w:rsidR="005F740D" w:rsidRPr="0068097A" w:rsidTr="0068097A">
        <w:trPr>
          <w:tblCellSpacing w:w="0" w:type="dxa"/>
        </w:trPr>
        <w:tc>
          <w:tcPr>
            <w:tcW w:w="0" w:type="auto"/>
            <w:tcBorders>
              <w:top w:val="nil"/>
              <w:left w:val="nil"/>
              <w:bottom w:val="nil"/>
              <w:right w:val="nil"/>
            </w:tcBorders>
            <w:vAlign w:val="center"/>
          </w:tcPr>
          <w:p w:rsidR="005F740D" w:rsidRPr="0068097A" w:rsidRDefault="005F740D" w:rsidP="0068097A">
            <w:pPr>
              <w:pStyle w:val="naisc"/>
              <w:spacing w:before="0" w:beforeAutospacing="0" w:after="120" w:afterAutospacing="0"/>
              <w:jc w:val="center"/>
              <w:rPr>
                <w:color w:val="000000"/>
              </w:rPr>
            </w:pPr>
            <w:r w:rsidRPr="0068097A">
              <w:rPr>
                <w:color w:val="000000"/>
              </w:rPr>
              <w:t>(tālruņa un faksa numurs)</w:t>
            </w:r>
          </w:p>
        </w:tc>
      </w:tr>
      <w:tr w:rsidR="005F740D" w:rsidRPr="0068097A" w:rsidTr="0068097A">
        <w:trPr>
          <w:tblCellSpacing w:w="0" w:type="dxa"/>
        </w:trPr>
        <w:tc>
          <w:tcPr>
            <w:tcW w:w="0" w:type="auto"/>
            <w:tcBorders>
              <w:top w:val="nil"/>
              <w:left w:val="nil"/>
              <w:bottom w:val="single" w:sz="8" w:space="0" w:color="000000"/>
              <w:right w:val="nil"/>
            </w:tcBorders>
            <w:vAlign w:val="center"/>
          </w:tcPr>
          <w:p w:rsidR="005F740D" w:rsidRPr="0068097A" w:rsidRDefault="00C166A5" w:rsidP="0068097A">
            <w:pPr>
              <w:pStyle w:val="naisf"/>
              <w:jc w:val="center"/>
              <w:rPr>
                <w:color w:val="000000"/>
              </w:rPr>
            </w:pPr>
            <w:r w:rsidRPr="0068097A">
              <w:rPr>
                <w:color w:val="000000"/>
              </w:rPr>
              <w:t>Inese.Ozola</w:t>
            </w:r>
            <w:r w:rsidR="005E79C6" w:rsidRPr="0068097A">
              <w:rPr>
                <w:color w:val="000000"/>
              </w:rPr>
              <w:t>@zm.gov.lv</w:t>
            </w:r>
          </w:p>
        </w:tc>
      </w:tr>
      <w:tr w:rsidR="005F740D" w:rsidRPr="0068097A" w:rsidTr="0068097A">
        <w:trPr>
          <w:tblCellSpacing w:w="0" w:type="dxa"/>
        </w:trPr>
        <w:tc>
          <w:tcPr>
            <w:tcW w:w="0" w:type="auto"/>
            <w:tcBorders>
              <w:top w:val="nil"/>
              <w:left w:val="nil"/>
              <w:bottom w:val="nil"/>
              <w:right w:val="nil"/>
            </w:tcBorders>
            <w:vAlign w:val="center"/>
          </w:tcPr>
          <w:p w:rsidR="005F740D" w:rsidRPr="0068097A" w:rsidRDefault="005F740D" w:rsidP="0068097A">
            <w:pPr>
              <w:pStyle w:val="naisc"/>
              <w:jc w:val="center"/>
              <w:rPr>
                <w:color w:val="000000"/>
              </w:rPr>
            </w:pPr>
            <w:r w:rsidRPr="0068097A">
              <w:rPr>
                <w:color w:val="000000"/>
              </w:rPr>
              <w:t>(e-pasta adrese)</w:t>
            </w:r>
          </w:p>
        </w:tc>
      </w:tr>
    </w:tbl>
    <w:p w:rsidR="008145A3" w:rsidRPr="00AC04F8" w:rsidRDefault="008145A3" w:rsidP="001622D4">
      <w:pPr>
        <w:pStyle w:val="naiskr"/>
        <w:rPr>
          <w:color w:val="000000"/>
        </w:rPr>
      </w:pPr>
    </w:p>
    <w:sectPr w:rsidR="008145A3" w:rsidRPr="00AC04F8" w:rsidSect="0068097A">
      <w:headerReference w:type="default" r:id="rId12"/>
      <w:footerReference w:type="even"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ED9" w:rsidRDefault="007E7ED9">
      <w:r>
        <w:separator/>
      </w:r>
    </w:p>
  </w:endnote>
  <w:endnote w:type="continuationSeparator" w:id="0">
    <w:p w:rsidR="007E7ED9" w:rsidRDefault="007E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rsidP="00EC29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3E0F" w:rsidRDefault="009C3E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rsidP="00EC29C5">
    <w:pPr>
      <w:pStyle w:val="Kjene"/>
      <w:framePr w:wrap="around" w:vAnchor="text" w:hAnchor="margin" w:xAlign="center" w:y="1"/>
      <w:rPr>
        <w:rStyle w:val="Lappusesnumurs"/>
      </w:rPr>
    </w:pPr>
  </w:p>
  <w:p w:rsidR="009C3E0F" w:rsidRPr="00747C9A" w:rsidRDefault="0068097A" w:rsidP="0068097A">
    <w:pPr>
      <w:pStyle w:val="Kjene"/>
      <w:rPr>
        <w:sz w:val="20"/>
        <w:szCs w:val="20"/>
        <w:lang w:val="lv-LV"/>
      </w:rPr>
    </w:pPr>
    <w:r w:rsidRPr="0068097A">
      <w:rPr>
        <w:sz w:val="20"/>
        <w:szCs w:val="20"/>
        <w:lang w:val="lv-LV"/>
      </w:rPr>
      <w:t>ZMizz_270220_razorg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Pr="0068097A" w:rsidRDefault="0068097A" w:rsidP="0068097A">
    <w:pPr>
      <w:pStyle w:val="Kjene"/>
    </w:pPr>
    <w:r w:rsidRPr="0068097A">
      <w:rPr>
        <w:sz w:val="20"/>
        <w:szCs w:val="20"/>
        <w:lang w:val="lv-LV"/>
      </w:rPr>
      <w:t>ZMizz_270220_razorg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ED9" w:rsidRDefault="007E7ED9">
      <w:r>
        <w:separator/>
      </w:r>
    </w:p>
  </w:footnote>
  <w:footnote w:type="continuationSeparator" w:id="0">
    <w:p w:rsidR="007E7ED9" w:rsidRDefault="007E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pPr>
      <w:pStyle w:val="Galvene"/>
      <w:jc w:val="center"/>
    </w:pPr>
    <w:r>
      <w:fldChar w:fldCharType="begin"/>
    </w:r>
    <w:r>
      <w:instrText xml:space="preserve"> PAGE   \* MERGEFORMAT </w:instrText>
    </w:r>
    <w:r>
      <w:fldChar w:fldCharType="separate"/>
    </w:r>
    <w:r w:rsidR="00D83CBE">
      <w:rPr>
        <w:noProof/>
      </w:rPr>
      <w:t>8</w:t>
    </w:r>
    <w:r>
      <w:fldChar w:fldCharType="end"/>
    </w:r>
  </w:p>
  <w:p w:rsidR="009C3E0F" w:rsidRDefault="009C3E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4"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3"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6"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4"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7"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13"/>
  </w:num>
  <w:num w:numId="4">
    <w:abstractNumId w:val="10"/>
  </w:num>
  <w:num w:numId="5">
    <w:abstractNumId w:val="12"/>
  </w:num>
  <w:num w:numId="6">
    <w:abstractNumId w:val="15"/>
  </w:num>
  <w:num w:numId="7">
    <w:abstractNumId w:val="26"/>
  </w:num>
  <w:num w:numId="8">
    <w:abstractNumId w:val="23"/>
  </w:num>
  <w:num w:numId="9">
    <w:abstractNumId w:val="22"/>
  </w:num>
  <w:num w:numId="10">
    <w:abstractNumId w:val="32"/>
  </w:num>
  <w:num w:numId="11">
    <w:abstractNumId w:val="24"/>
  </w:num>
  <w:num w:numId="12">
    <w:abstractNumId w:val="4"/>
  </w:num>
  <w:num w:numId="13">
    <w:abstractNumId w:val="5"/>
  </w:num>
  <w:num w:numId="14">
    <w:abstractNumId w:val="17"/>
  </w:num>
  <w:num w:numId="15">
    <w:abstractNumId w:val="27"/>
  </w:num>
  <w:num w:numId="16">
    <w:abstractNumId w:val="28"/>
  </w:num>
  <w:num w:numId="17">
    <w:abstractNumId w:val="20"/>
  </w:num>
  <w:num w:numId="18">
    <w:abstractNumId w:val="7"/>
  </w:num>
  <w:num w:numId="19">
    <w:abstractNumId w:val="1"/>
  </w:num>
  <w:num w:numId="20">
    <w:abstractNumId w:val="21"/>
  </w:num>
  <w:num w:numId="21">
    <w:abstractNumId w:val="14"/>
  </w:num>
  <w:num w:numId="22">
    <w:abstractNumId w:val="2"/>
  </w:num>
  <w:num w:numId="23">
    <w:abstractNumId w:val="18"/>
  </w:num>
  <w:num w:numId="24">
    <w:abstractNumId w:val="30"/>
  </w:num>
  <w:num w:numId="25">
    <w:abstractNumId w:val="33"/>
  </w:num>
  <w:num w:numId="26">
    <w:abstractNumId w:val="8"/>
  </w:num>
  <w:num w:numId="27">
    <w:abstractNumId w:val="11"/>
  </w:num>
  <w:num w:numId="28">
    <w:abstractNumId w:val="25"/>
  </w:num>
  <w:num w:numId="29">
    <w:abstractNumId w:val="34"/>
  </w:num>
  <w:num w:numId="30">
    <w:abstractNumId w:val="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D"/>
    <w:rsid w:val="000004ED"/>
    <w:rsid w:val="000022B3"/>
    <w:rsid w:val="0000247B"/>
    <w:rsid w:val="00002D25"/>
    <w:rsid w:val="0000737C"/>
    <w:rsid w:val="00011BC3"/>
    <w:rsid w:val="0001358B"/>
    <w:rsid w:val="00013BBB"/>
    <w:rsid w:val="00015C2A"/>
    <w:rsid w:val="000171C9"/>
    <w:rsid w:val="000238F6"/>
    <w:rsid w:val="0003056D"/>
    <w:rsid w:val="00030E76"/>
    <w:rsid w:val="00043A1B"/>
    <w:rsid w:val="000500DF"/>
    <w:rsid w:val="00052ED0"/>
    <w:rsid w:val="000548C4"/>
    <w:rsid w:val="00057B1A"/>
    <w:rsid w:val="000641BD"/>
    <w:rsid w:val="00066218"/>
    <w:rsid w:val="0006657F"/>
    <w:rsid w:val="000772B0"/>
    <w:rsid w:val="00077CB6"/>
    <w:rsid w:val="000821E8"/>
    <w:rsid w:val="000842ED"/>
    <w:rsid w:val="00093DA3"/>
    <w:rsid w:val="00095ED8"/>
    <w:rsid w:val="000973FD"/>
    <w:rsid w:val="00097AF6"/>
    <w:rsid w:val="000A627A"/>
    <w:rsid w:val="000B177E"/>
    <w:rsid w:val="000B39F8"/>
    <w:rsid w:val="000B41AB"/>
    <w:rsid w:val="000C0E95"/>
    <w:rsid w:val="000C1811"/>
    <w:rsid w:val="000C3555"/>
    <w:rsid w:val="000C5DB4"/>
    <w:rsid w:val="000C69B2"/>
    <w:rsid w:val="000C75CD"/>
    <w:rsid w:val="000C7CDF"/>
    <w:rsid w:val="000D05E4"/>
    <w:rsid w:val="000D145A"/>
    <w:rsid w:val="000D2026"/>
    <w:rsid w:val="000D46EF"/>
    <w:rsid w:val="000E045E"/>
    <w:rsid w:val="000E13D2"/>
    <w:rsid w:val="000F1449"/>
    <w:rsid w:val="000F6AB0"/>
    <w:rsid w:val="000F73A4"/>
    <w:rsid w:val="001012A2"/>
    <w:rsid w:val="00101444"/>
    <w:rsid w:val="00104290"/>
    <w:rsid w:val="0010625D"/>
    <w:rsid w:val="0010626A"/>
    <w:rsid w:val="001069E5"/>
    <w:rsid w:val="00110181"/>
    <w:rsid w:val="00112DD0"/>
    <w:rsid w:val="00116374"/>
    <w:rsid w:val="00117401"/>
    <w:rsid w:val="00120230"/>
    <w:rsid w:val="00121EE0"/>
    <w:rsid w:val="001252ED"/>
    <w:rsid w:val="001314D8"/>
    <w:rsid w:val="00134515"/>
    <w:rsid w:val="0013559F"/>
    <w:rsid w:val="00153371"/>
    <w:rsid w:val="0015467F"/>
    <w:rsid w:val="00155A21"/>
    <w:rsid w:val="00155E02"/>
    <w:rsid w:val="00157636"/>
    <w:rsid w:val="00157DEF"/>
    <w:rsid w:val="001611F9"/>
    <w:rsid w:val="001622D4"/>
    <w:rsid w:val="00163D78"/>
    <w:rsid w:val="00165EAD"/>
    <w:rsid w:val="00165F89"/>
    <w:rsid w:val="00170E30"/>
    <w:rsid w:val="00180782"/>
    <w:rsid w:val="00183296"/>
    <w:rsid w:val="00187EC5"/>
    <w:rsid w:val="00194423"/>
    <w:rsid w:val="00195BF9"/>
    <w:rsid w:val="001970B3"/>
    <w:rsid w:val="001A6A0B"/>
    <w:rsid w:val="001A77EA"/>
    <w:rsid w:val="001B18DD"/>
    <w:rsid w:val="001B7935"/>
    <w:rsid w:val="001C0D4C"/>
    <w:rsid w:val="001C207B"/>
    <w:rsid w:val="001C2D3E"/>
    <w:rsid w:val="001C472A"/>
    <w:rsid w:val="001C51D6"/>
    <w:rsid w:val="001D125B"/>
    <w:rsid w:val="001D24F7"/>
    <w:rsid w:val="001D309F"/>
    <w:rsid w:val="001D5CE3"/>
    <w:rsid w:val="001D5E15"/>
    <w:rsid w:val="001D60DD"/>
    <w:rsid w:val="001E24CC"/>
    <w:rsid w:val="001E298C"/>
    <w:rsid w:val="001E694A"/>
    <w:rsid w:val="001F2B38"/>
    <w:rsid w:val="001F32DE"/>
    <w:rsid w:val="001F43DF"/>
    <w:rsid w:val="00200A5D"/>
    <w:rsid w:val="0020252E"/>
    <w:rsid w:val="00202D83"/>
    <w:rsid w:val="00204673"/>
    <w:rsid w:val="00206CA7"/>
    <w:rsid w:val="0021066D"/>
    <w:rsid w:val="0021407D"/>
    <w:rsid w:val="00223F70"/>
    <w:rsid w:val="00226CD8"/>
    <w:rsid w:val="00230B96"/>
    <w:rsid w:val="0023534F"/>
    <w:rsid w:val="00237FA2"/>
    <w:rsid w:val="00240525"/>
    <w:rsid w:val="00241B6F"/>
    <w:rsid w:val="00242A24"/>
    <w:rsid w:val="00243D6D"/>
    <w:rsid w:val="0025027C"/>
    <w:rsid w:val="00251CFB"/>
    <w:rsid w:val="00255D46"/>
    <w:rsid w:val="00257372"/>
    <w:rsid w:val="00261C20"/>
    <w:rsid w:val="002638D2"/>
    <w:rsid w:val="002656E9"/>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B7F99"/>
    <w:rsid w:val="002C0C98"/>
    <w:rsid w:val="002C20A8"/>
    <w:rsid w:val="002C5088"/>
    <w:rsid w:val="002D04D4"/>
    <w:rsid w:val="002D0640"/>
    <w:rsid w:val="002D0677"/>
    <w:rsid w:val="002D0A2F"/>
    <w:rsid w:val="002D17AF"/>
    <w:rsid w:val="002D7B70"/>
    <w:rsid w:val="002E0A9B"/>
    <w:rsid w:val="002E6464"/>
    <w:rsid w:val="002E778F"/>
    <w:rsid w:val="002F02A0"/>
    <w:rsid w:val="002F17C4"/>
    <w:rsid w:val="002F3A35"/>
    <w:rsid w:val="00300946"/>
    <w:rsid w:val="003027F3"/>
    <w:rsid w:val="0030622B"/>
    <w:rsid w:val="00311AC1"/>
    <w:rsid w:val="003126DC"/>
    <w:rsid w:val="00312F30"/>
    <w:rsid w:val="003168BA"/>
    <w:rsid w:val="003254BC"/>
    <w:rsid w:val="0032749D"/>
    <w:rsid w:val="003277A1"/>
    <w:rsid w:val="00334A08"/>
    <w:rsid w:val="00336A85"/>
    <w:rsid w:val="0033772C"/>
    <w:rsid w:val="003406DB"/>
    <w:rsid w:val="00341B7C"/>
    <w:rsid w:val="00343575"/>
    <w:rsid w:val="003451CF"/>
    <w:rsid w:val="003532EF"/>
    <w:rsid w:val="003550CA"/>
    <w:rsid w:val="00355937"/>
    <w:rsid w:val="00361C5A"/>
    <w:rsid w:val="00362711"/>
    <w:rsid w:val="003649D6"/>
    <w:rsid w:val="003749DC"/>
    <w:rsid w:val="00374A9F"/>
    <w:rsid w:val="00377C93"/>
    <w:rsid w:val="00381B8C"/>
    <w:rsid w:val="003A1455"/>
    <w:rsid w:val="003A2C95"/>
    <w:rsid w:val="003A413C"/>
    <w:rsid w:val="003A5046"/>
    <w:rsid w:val="003A6C08"/>
    <w:rsid w:val="003A702D"/>
    <w:rsid w:val="003B1AAB"/>
    <w:rsid w:val="003B2E4A"/>
    <w:rsid w:val="003B4249"/>
    <w:rsid w:val="003B4C29"/>
    <w:rsid w:val="003C1862"/>
    <w:rsid w:val="003C2300"/>
    <w:rsid w:val="003C2846"/>
    <w:rsid w:val="003C517A"/>
    <w:rsid w:val="003D2F6B"/>
    <w:rsid w:val="003D3125"/>
    <w:rsid w:val="003D6CA8"/>
    <w:rsid w:val="003F6B0E"/>
    <w:rsid w:val="0040573B"/>
    <w:rsid w:val="00405756"/>
    <w:rsid w:val="00412BF7"/>
    <w:rsid w:val="00414150"/>
    <w:rsid w:val="00416CB0"/>
    <w:rsid w:val="0042293E"/>
    <w:rsid w:val="00422DF1"/>
    <w:rsid w:val="00426C89"/>
    <w:rsid w:val="00441CCE"/>
    <w:rsid w:val="00442194"/>
    <w:rsid w:val="00442A32"/>
    <w:rsid w:val="00445D72"/>
    <w:rsid w:val="00445FFD"/>
    <w:rsid w:val="004503C0"/>
    <w:rsid w:val="00451C44"/>
    <w:rsid w:val="00453C82"/>
    <w:rsid w:val="00456356"/>
    <w:rsid w:val="0045748F"/>
    <w:rsid w:val="0046253B"/>
    <w:rsid w:val="00463031"/>
    <w:rsid w:val="004647C1"/>
    <w:rsid w:val="00465C3F"/>
    <w:rsid w:val="00467C60"/>
    <w:rsid w:val="004752BE"/>
    <w:rsid w:val="00480E8B"/>
    <w:rsid w:val="004840FA"/>
    <w:rsid w:val="00484CA6"/>
    <w:rsid w:val="004926D2"/>
    <w:rsid w:val="00493EB3"/>
    <w:rsid w:val="004B3796"/>
    <w:rsid w:val="004B5F37"/>
    <w:rsid w:val="004C229F"/>
    <w:rsid w:val="004C2BF0"/>
    <w:rsid w:val="004C3ED1"/>
    <w:rsid w:val="004C6DCE"/>
    <w:rsid w:val="004D02E3"/>
    <w:rsid w:val="004D29C0"/>
    <w:rsid w:val="004D5AB8"/>
    <w:rsid w:val="004D7C81"/>
    <w:rsid w:val="004E5B3C"/>
    <w:rsid w:val="004E677D"/>
    <w:rsid w:val="004E6CA1"/>
    <w:rsid w:val="004F0F5B"/>
    <w:rsid w:val="004F11C0"/>
    <w:rsid w:val="004F5811"/>
    <w:rsid w:val="004F5AE4"/>
    <w:rsid w:val="004F6B5C"/>
    <w:rsid w:val="004F7C70"/>
    <w:rsid w:val="00502FA2"/>
    <w:rsid w:val="00505DF9"/>
    <w:rsid w:val="00511ACF"/>
    <w:rsid w:val="005121CD"/>
    <w:rsid w:val="00513275"/>
    <w:rsid w:val="0051503C"/>
    <w:rsid w:val="00517209"/>
    <w:rsid w:val="0052135F"/>
    <w:rsid w:val="00531BAC"/>
    <w:rsid w:val="005345C3"/>
    <w:rsid w:val="005356DA"/>
    <w:rsid w:val="005437AE"/>
    <w:rsid w:val="0054457B"/>
    <w:rsid w:val="0054735F"/>
    <w:rsid w:val="005526BE"/>
    <w:rsid w:val="005645C6"/>
    <w:rsid w:val="00567CD9"/>
    <w:rsid w:val="00571314"/>
    <w:rsid w:val="005733C3"/>
    <w:rsid w:val="00573D7B"/>
    <w:rsid w:val="005748E4"/>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C1486"/>
    <w:rsid w:val="005C3666"/>
    <w:rsid w:val="005C404E"/>
    <w:rsid w:val="005C4946"/>
    <w:rsid w:val="005D0850"/>
    <w:rsid w:val="005D1FF0"/>
    <w:rsid w:val="005D3D95"/>
    <w:rsid w:val="005D4EF3"/>
    <w:rsid w:val="005E23EA"/>
    <w:rsid w:val="005E4FD1"/>
    <w:rsid w:val="005E5A14"/>
    <w:rsid w:val="005E79C6"/>
    <w:rsid w:val="005F740D"/>
    <w:rsid w:val="00602886"/>
    <w:rsid w:val="006112D6"/>
    <w:rsid w:val="00611581"/>
    <w:rsid w:val="0061646F"/>
    <w:rsid w:val="00617CFF"/>
    <w:rsid w:val="006216D8"/>
    <w:rsid w:val="006237DD"/>
    <w:rsid w:val="00624AB6"/>
    <w:rsid w:val="00627923"/>
    <w:rsid w:val="00631759"/>
    <w:rsid w:val="0063318D"/>
    <w:rsid w:val="00635D50"/>
    <w:rsid w:val="006371DB"/>
    <w:rsid w:val="00642A0E"/>
    <w:rsid w:val="00656821"/>
    <w:rsid w:val="00657543"/>
    <w:rsid w:val="006628AB"/>
    <w:rsid w:val="00667C17"/>
    <w:rsid w:val="00672E06"/>
    <w:rsid w:val="00672E1E"/>
    <w:rsid w:val="00673315"/>
    <w:rsid w:val="00677A4C"/>
    <w:rsid w:val="00680313"/>
    <w:rsid w:val="0068097A"/>
    <w:rsid w:val="00682615"/>
    <w:rsid w:val="00682861"/>
    <w:rsid w:val="00686868"/>
    <w:rsid w:val="00690D88"/>
    <w:rsid w:val="00691795"/>
    <w:rsid w:val="0069314D"/>
    <w:rsid w:val="006A351D"/>
    <w:rsid w:val="006A4A57"/>
    <w:rsid w:val="006A5B32"/>
    <w:rsid w:val="006B386F"/>
    <w:rsid w:val="006C25BF"/>
    <w:rsid w:val="006C3034"/>
    <w:rsid w:val="006C510F"/>
    <w:rsid w:val="006C5573"/>
    <w:rsid w:val="006C678A"/>
    <w:rsid w:val="006D0875"/>
    <w:rsid w:val="006D2A76"/>
    <w:rsid w:val="006D5B4B"/>
    <w:rsid w:val="006D5BD4"/>
    <w:rsid w:val="006D6557"/>
    <w:rsid w:val="006D670B"/>
    <w:rsid w:val="006D6AD8"/>
    <w:rsid w:val="006E3161"/>
    <w:rsid w:val="006E4458"/>
    <w:rsid w:val="006E732E"/>
    <w:rsid w:val="006F021F"/>
    <w:rsid w:val="006F06C2"/>
    <w:rsid w:val="006F1BEE"/>
    <w:rsid w:val="006F45E2"/>
    <w:rsid w:val="007006A1"/>
    <w:rsid w:val="00701C56"/>
    <w:rsid w:val="00702C4C"/>
    <w:rsid w:val="00712871"/>
    <w:rsid w:val="00714001"/>
    <w:rsid w:val="00716150"/>
    <w:rsid w:val="0071633B"/>
    <w:rsid w:val="00717F5F"/>
    <w:rsid w:val="00722AA1"/>
    <w:rsid w:val="00726DA7"/>
    <w:rsid w:val="00734B4A"/>
    <w:rsid w:val="00735564"/>
    <w:rsid w:val="00735B15"/>
    <w:rsid w:val="00735EBB"/>
    <w:rsid w:val="007361BA"/>
    <w:rsid w:val="00737A1A"/>
    <w:rsid w:val="00737DF7"/>
    <w:rsid w:val="007412F5"/>
    <w:rsid w:val="00741E98"/>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470C"/>
    <w:rsid w:val="007A035C"/>
    <w:rsid w:val="007A33BC"/>
    <w:rsid w:val="007A56D5"/>
    <w:rsid w:val="007A64B2"/>
    <w:rsid w:val="007A710F"/>
    <w:rsid w:val="007A7D7D"/>
    <w:rsid w:val="007B4AB1"/>
    <w:rsid w:val="007B651A"/>
    <w:rsid w:val="007C478A"/>
    <w:rsid w:val="007D07A6"/>
    <w:rsid w:val="007D2397"/>
    <w:rsid w:val="007D2493"/>
    <w:rsid w:val="007D2FFC"/>
    <w:rsid w:val="007D55B7"/>
    <w:rsid w:val="007E22E5"/>
    <w:rsid w:val="007E3F6A"/>
    <w:rsid w:val="007E70EC"/>
    <w:rsid w:val="007E7ED9"/>
    <w:rsid w:val="007F03A2"/>
    <w:rsid w:val="007F07CB"/>
    <w:rsid w:val="007F6F5E"/>
    <w:rsid w:val="008019C9"/>
    <w:rsid w:val="00805F26"/>
    <w:rsid w:val="008062CA"/>
    <w:rsid w:val="008068CF"/>
    <w:rsid w:val="0080744D"/>
    <w:rsid w:val="00811BB5"/>
    <w:rsid w:val="00812098"/>
    <w:rsid w:val="008145A3"/>
    <w:rsid w:val="00815F29"/>
    <w:rsid w:val="00817069"/>
    <w:rsid w:val="0082417B"/>
    <w:rsid w:val="008276FC"/>
    <w:rsid w:val="008304AF"/>
    <w:rsid w:val="00831563"/>
    <w:rsid w:val="00840581"/>
    <w:rsid w:val="008429A0"/>
    <w:rsid w:val="00843930"/>
    <w:rsid w:val="00846A1C"/>
    <w:rsid w:val="008568DE"/>
    <w:rsid w:val="00860612"/>
    <w:rsid w:val="00860D6E"/>
    <w:rsid w:val="00862651"/>
    <w:rsid w:val="00862F9E"/>
    <w:rsid w:val="0086318D"/>
    <w:rsid w:val="00863C5B"/>
    <w:rsid w:val="0086534C"/>
    <w:rsid w:val="0086633F"/>
    <w:rsid w:val="008666F2"/>
    <w:rsid w:val="00875799"/>
    <w:rsid w:val="00877120"/>
    <w:rsid w:val="008772FE"/>
    <w:rsid w:val="00877BA0"/>
    <w:rsid w:val="00881402"/>
    <w:rsid w:val="00882F49"/>
    <w:rsid w:val="008839B8"/>
    <w:rsid w:val="00893978"/>
    <w:rsid w:val="008A0C52"/>
    <w:rsid w:val="008A1210"/>
    <w:rsid w:val="008A2329"/>
    <w:rsid w:val="008A2C7A"/>
    <w:rsid w:val="008A3F69"/>
    <w:rsid w:val="008A4ADF"/>
    <w:rsid w:val="008A73DF"/>
    <w:rsid w:val="008A7A74"/>
    <w:rsid w:val="008B4321"/>
    <w:rsid w:val="008B436B"/>
    <w:rsid w:val="008B4474"/>
    <w:rsid w:val="008B64B7"/>
    <w:rsid w:val="008C7930"/>
    <w:rsid w:val="008D4DE7"/>
    <w:rsid w:val="008D6681"/>
    <w:rsid w:val="008D738D"/>
    <w:rsid w:val="008E047D"/>
    <w:rsid w:val="008E1BBF"/>
    <w:rsid w:val="008E4740"/>
    <w:rsid w:val="008E5857"/>
    <w:rsid w:val="008F0109"/>
    <w:rsid w:val="008F0A02"/>
    <w:rsid w:val="008F2A0D"/>
    <w:rsid w:val="008F4038"/>
    <w:rsid w:val="008F5EE7"/>
    <w:rsid w:val="00900101"/>
    <w:rsid w:val="00900875"/>
    <w:rsid w:val="009011AA"/>
    <w:rsid w:val="009030EC"/>
    <w:rsid w:val="00903CCA"/>
    <w:rsid w:val="00903FA1"/>
    <w:rsid w:val="009062BC"/>
    <w:rsid w:val="00912CA2"/>
    <w:rsid w:val="00913531"/>
    <w:rsid w:val="00917176"/>
    <w:rsid w:val="009178B1"/>
    <w:rsid w:val="00923A39"/>
    <w:rsid w:val="00931ADE"/>
    <w:rsid w:val="00933FB7"/>
    <w:rsid w:val="009349D1"/>
    <w:rsid w:val="00942578"/>
    <w:rsid w:val="0094350E"/>
    <w:rsid w:val="00943AAB"/>
    <w:rsid w:val="009443D1"/>
    <w:rsid w:val="009449D8"/>
    <w:rsid w:val="00944BF5"/>
    <w:rsid w:val="00946F7F"/>
    <w:rsid w:val="0095154D"/>
    <w:rsid w:val="0095293E"/>
    <w:rsid w:val="00955723"/>
    <w:rsid w:val="00963C0C"/>
    <w:rsid w:val="00963D56"/>
    <w:rsid w:val="00964659"/>
    <w:rsid w:val="00967300"/>
    <w:rsid w:val="00973474"/>
    <w:rsid w:val="009740FC"/>
    <w:rsid w:val="00976112"/>
    <w:rsid w:val="009774CE"/>
    <w:rsid w:val="00980CFB"/>
    <w:rsid w:val="009856BD"/>
    <w:rsid w:val="00990DF9"/>
    <w:rsid w:val="00991801"/>
    <w:rsid w:val="009944E7"/>
    <w:rsid w:val="00995383"/>
    <w:rsid w:val="009A1181"/>
    <w:rsid w:val="009A1CE7"/>
    <w:rsid w:val="009A25D2"/>
    <w:rsid w:val="009A488A"/>
    <w:rsid w:val="009B22E4"/>
    <w:rsid w:val="009C04FD"/>
    <w:rsid w:val="009C3D45"/>
    <w:rsid w:val="009C3E0F"/>
    <w:rsid w:val="009C7B5F"/>
    <w:rsid w:val="009D2C2A"/>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37099"/>
    <w:rsid w:val="00A40C35"/>
    <w:rsid w:val="00A44A9A"/>
    <w:rsid w:val="00A46B42"/>
    <w:rsid w:val="00A50BE4"/>
    <w:rsid w:val="00A51811"/>
    <w:rsid w:val="00A569A0"/>
    <w:rsid w:val="00A75789"/>
    <w:rsid w:val="00A82DBB"/>
    <w:rsid w:val="00A86425"/>
    <w:rsid w:val="00A868A3"/>
    <w:rsid w:val="00A941D0"/>
    <w:rsid w:val="00A953E9"/>
    <w:rsid w:val="00AA0C27"/>
    <w:rsid w:val="00AA2E84"/>
    <w:rsid w:val="00AA62C6"/>
    <w:rsid w:val="00AC04F8"/>
    <w:rsid w:val="00AC4E0C"/>
    <w:rsid w:val="00AC524F"/>
    <w:rsid w:val="00AC6D5B"/>
    <w:rsid w:val="00AC7307"/>
    <w:rsid w:val="00AD0D63"/>
    <w:rsid w:val="00AD4320"/>
    <w:rsid w:val="00AD43EE"/>
    <w:rsid w:val="00AD7C12"/>
    <w:rsid w:val="00AE535B"/>
    <w:rsid w:val="00AE739D"/>
    <w:rsid w:val="00AF410F"/>
    <w:rsid w:val="00AF431A"/>
    <w:rsid w:val="00AF5CC0"/>
    <w:rsid w:val="00AF76D6"/>
    <w:rsid w:val="00B005DD"/>
    <w:rsid w:val="00B006A3"/>
    <w:rsid w:val="00B02570"/>
    <w:rsid w:val="00B05739"/>
    <w:rsid w:val="00B05D64"/>
    <w:rsid w:val="00B06462"/>
    <w:rsid w:val="00B10BE9"/>
    <w:rsid w:val="00B12893"/>
    <w:rsid w:val="00B130CC"/>
    <w:rsid w:val="00B142FC"/>
    <w:rsid w:val="00B146E7"/>
    <w:rsid w:val="00B167D6"/>
    <w:rsid w:val="00B16A75"/>
    <w:rsid w:val="00B200C0"/>
    <w:rsid w:val="00B221DA"/>
    <w:rsid w:val="00B232A6"/>
    <w:rsid w:val="00B257B1"/>
    <w:rsid w:val="00B303F4"/>
    <w:rsid w:val="00B33E12"/>
    <w:rsid w:val="00B33E27"/>
    <w:rsid w:val="00B34166"/>
    <w:rsid w:val="00B34551"/>
    <w:rsid w:val="00B34BF4"/>
    <w:rsid w:val="00B3577A"/>
    <w:rsid w:val="00B35FF7"/>
    <w:rsid w:val="00B40162"/>
    <w:rsid w:val="00B47477"/>
    <w:rsid w:val="00B474EC"/>
    <w:rsid w:val="00B47DB2"/>
    <w:rsid w:val="00B50072"/>
    <w:rsid w:val="00B50374"/>
    <w:rsid w:val="00B51A7C"/>
    <w:rsid w:val="00B60BEF"/>
    <w:rsid w:val="00B6257C"/>
    <w:rsid w:val="00B636A9"/>
    <w:rsid w:val="00B67BAE"/>
    <w:rsid w:val="00B875BB"/>
    <w:rsid w:val="00B90BFD"/>
    <w:rsid w:val="00B91CF0"/>
    <w:rsid w:val="00B94A57"/>
    <w:rsid w:val="00B95A7E"/>
    <w:rsid w:val="00BA02DF"/>
    <w:rsid w:val="00BA5845"/>
    <w:rsid w:val="00BB19DB"/>
    <w:rsid w:val="00BC0839"/>
    <w:rsid w:val="00BD26D0"/>
    <w:rsid w:val="00BD50BF"/>
    <w:rsid w:val="00BE42E2"/>
    <w:rsid w:val="00BE6886"/>
    <w:rsid w:val="00BE7A72"/>
    <w:rsid w:val="00BF1E51"/>
    <w:rsid w:val="00BF4201"/>
    <w:rsid w:val="00BF4C0F"/>
    <w:rsid w:val="00BF677F"/>
    <w:rsid w:val="00BF7AD7"/>
    <w:rsid w:val="00C06BFB"/>
    <w:rsid w:val="00C111EB"/>
    <w:rsid w:val="00C166A5"/>
    <w:rsid w:val="00C17443"/>
    <w:rsid w:val="00C213E5"/>
    <w:rsid w:val="00C31499"/>
    <w:rsid w:val="00C3771F"/>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BC5"/>
    <w:rsid w:val="00C83CA2"/>
    <w:rsid w:val="00C83DFF"/>
    <w:rsid w:val="00C90E71"/>
    <w:rsid w:val="00CA197F"/>
    <w:rsid w:val="00CA2C08"/>
    <w:rsid w:val="00CA2CE1"/>
    <w:rsid w:val="00CA3F9F"/>
    <w:rsid w:val="00CA4309"/>
    <w:rsid w:val="00CA6BDA"/>
    <w:rsid w:val="00CA6F81"/>
    <w:rsid w:val="00CB00CA"/>
    <w:rsid w:val="00CB1825"/>
    <w:rsid w:val="00CB2719"/>
    <w:rsid w:val="00CD02EC"/>
    <w:rsid w:val="00CD08E3"/>
    <w:rsid w:val="00CD35EC"/>
    <w:rsid w:val="00CD76B1"/>
    <w:rsid w:val="00CD775B"/>
    <w:rsid w:val="00CD7865"/>
    <w:rsid w:val="00CE07D6"/>
    <w:rsid w:val="00CE3288"/>
    <w:rsid w:val="00CE361F"/>
    <w:rsid w:val="00CE41BC"/>
    <w:rsid w:val="00CE60A4"/>
    <w:rsid w:val="00CE699C"/>
    <w:rsid w:val="00CF2C02"/>
    <w:rsid w:val="00CF4B18"/>
    <w:rsid w:val="00CF55A1"/>
    <w:rsid w:val="00D0132C"/>
    <w:rsid w:val="00D044E9"/>
    <w:rsid w:val="00D0728B"/>
    <w:rsid w:val="00D14E78"/>
    <w:rsid w:val="00D176CC"/>
    <w:rsid w:val="00D21C17"/>
    <w:rsid w:val="00D260D6"/>
    <w:rsid w:val="00D31BB3"/>
    <w:rsid w:val="00D33D09"/>
    <w:rsid w:val="00D33D7E"/>
    <w:rsid w:val="00D3519B"/>
    <w:rsid w:val="00D37E4E"/>
    <w:rsid w:val="00D400E9"/>
    <w:rsid w:val="00D418EB"/>
    <w:rsid w:val="00D5088D"/>
    <w:rsid w:val="00D51623"/>
    <w:rsid w:val="00D51799"/>
    <w:rsid w:val="00D52CBE"/>
    <w:rsid w:val="00D53668"/>
    <w:rsid w:val="00D55E37"/>
    <w:rsid w:val="00D613C6"/>
    <w:rsid w:val="00D6193C"/>
    <w:rsid w:val="00D61951"/>
    <w:rsid w:val="00D63C2D"/>
    <w:rsid w:val="00D66D20"/>
    <w:rsid w:val="00D66DC8"/>
    <w:rsid w:val="00D70D10"/>
    <w:rsid w:val="00D738B0"/>
    <w:rsid w:val="00D73B5A"/>
    <w:rsid w:val="00D745B2"/>
    <w:rsid w:val="00D74DFC"/>
    <w:rsid w:val="00D82734"/>
    <w:rsid w:val="00D83CBE"/>
    <w:rsid w:val="00D83E80"/>
    <w:rsid w:val="00D87B99"/>
    <w:rsid w:val="00D90981"/>
    <w:rsid w:val="00DA07E9"/>
    <w:rsid w:val="00DA1031"/>
    <w:rsid w:val="00DA6B5E"/>
    <w:rsid w:val="00DB0642"/>
    <w:rsid w:val="00DB55F3"/>
    <w:rsid w:val="00DB6AD1"/>
    <w:rsid w:val="00DB6B68"/>
    <w:rsid w:val="00DC532A"/>
    <w:rsid w:val="00DD19FE"/>
    <w:rsid w:val="00DE0AA5"/>
    <w:rsid w:val="00DE0F32"/>
    <w:rsid w:val="00DE69DC"/>
    <w:rsid w:val="00DF0438"/>
    <w:rsid w:val="00DF2919"/>
    <w:rsid w:val="00DF37A1"/>
    <w:rsid w:val="00DF4012"/>
    <w:rsid w:val="00E02B85"/>
    <w:rsid w:val="00E10631"/>
    <w:rsid w:val="00E11E6C"/>
    <w:rsid w:val="00E17022"/>
    <w:rsid w:val="00E25516"/>
    <w:rsid w:val="00E34BAB"/>
    <w:rsid w:val="00E41A37"/>
    <w:rsid w:val="00E43347"/>
    <w:rsid w:val="00E457FF"/>
    <w:rsid w:val="00E50FFE"/>
    <w:rsid w:val="00E51A3C"/>
    <w:rsid w:val="00E5707B"/>
    <w:rsid w:val="00E6342E"/>
    <w:rsid w:val="00E64E9D"/>
    <w:rsid w:val="00E667C3"/>
    <w:rsid w:val="00E678C8"/>
    <w:rsid w:val="00E67EDB"/>
    <w:rsid w:val="00E73EBE"/>
    <w:rsid w:val="00E75B82"/>
    <w:rsid w:val="00E81273"/>
    <w:rsid w:val="00E85C74"/>
    <w:rsid w:val="00E92491"/>
    <w:rsid w:val="00E92F58"/>
    <w:rsid w:val="00E95A9C"/>
    <w:rsid w:val="00EA1071"/>
    <w:rsid w:val="00EA62EF"/>
    <w:rsid w:val="00EA68DD"/>
    <w:rsid w:val="00EB10B8"/>
    <w:rsid w:val="00EB2E66"/>
    <w:rsid w:val="00EB7036"/>
    <w:rsid w:val="00EC049F"/>
    <w:rsid w:val="00EC29C5"/>
    <w:rsid w:val="00EC717E"/>
    <w:rsid w:val="00EC7938"/>
    <w:rsid w:val="00ED0494"/>
    <w:rsid w:val="00ED2059"/>
    <w:rsid w:val="00ED378A"/>
    <w:rsid w:val="00EE0AFA"/>
    <w:rsid w:val="00EE0FD3"/>
    <w:rsid w:val="00EE5001"/>
    <w:rsid w:val="00EE641E"/>
    <w:rsid w:val="00EE7246"/>
    <w:rsid w:val="00EF0ADB"/>
    <w:rsid w:val="00EF162B"/>
    <w:rsid w:val="00EF2ACE"/>
    <w:rsid w:val="00EF46E5"/>
    <w:rsid w:val="00EF4898"/>
    <w:rsid w:val="00F001E2"/>
    <w:rsid w:val="00F0053F"/>
    <w:rsid w:val="00F03A70"/>
    <w:rsid w:val="00F07040"/>
    <w:rsid w:val="00F07AEB"/>
    <w:rsid w:val="00F16CBC"/>
    <w:rsid w:val="00F21997"/>
    <w:rsid w:val="00F226B1"/>
    <w:rsid w:val="00F23158"/>
    <w:rsid w:val="00F265A4"/>
    <w:rsid w:val="00F26BAF"/>
    <w:rsid w:val="00F26F7E"/>
    <w:rsid w:val="00F272DD"/>
    <w:rsid w:val="00F303A8"/>
    <w:rsid w:val="00F31032"/>
    <w:rsid w:val="00F324DE"/>
    <w:rsid w:val="00F36242"/>
    <w:rsid w:val="00F4131A"/>
    <w:rsid w:val="00F44A9C"/>
    <w:rsid w:val="00F47219"/>
    <w:rsid w:val="00F50C39"/>
    <w:rsid w:val="00F520D0"/>
    <w:rsid w:val="00F549D4"/>
    <w:rsid w:val="00F5511B"/>
    <w:rsid w:val="00F77B41"/>
    <w:rsid w:val="00F80AA2"/>
    <w:rsid w:val="00F81ECE"/>
    <w:rsid w:val="00F82C17"/>
    <w:rsid w:val="00F83654"/>
    <w:rsid w:val="00F83FD4"/>
    <w:rsid w:val="00F849B7"/>
    <w:rsid w:val="00F84EAD"/>
    <w:rsid w:val="00F92BE6"/>
    <w:rsid w:val="00F96667"/>
    <w:rsid w:val="00F967D9"/>
    <w:rsid w:val="00FA010B"/>
    <w:rsid w:val="00FA1273"/>
    <w:rsid w:val="00FA28AA"/>
    <w:rsid w:val="00FB0A30"/>
    <w:rsid w:val="00FB2DF6"/>
    <w:rsid w:val="00FB4E2D"/>
    <w:rsid w:val="00FB6225"/>
    <w:rsid w:val="00FB6291"/>
    <w:rsid w:val="00FB7B62"/>
    <w:rsid w:val="00FC26DA"/>
    <w:rsid w:val="00FC3BF5"/>
    <w:rsid w:val="00FC4938"/>
    <w:rsid w:val="00FC4D9F"/>
    <w:rsid w:val="00FD0411"/>
    <w:rsid w:val="00FD1006"/>
    <w:rsid w:val="00FD1AFC"/>
    <w:rsid w:val="00FD1E48"/>
    <w:rsid w:val="00FD2993"/>
    <w:rsid w:val="00FD3B6C"/>
    <w:rsid w:val="00FD3D9E"/>
    <w:rsid w:val="00FD417A"/>
    <w:rsid w:val="00FD639F"/>
    <w:rsid w:val="00FD666D"/>
    <w:rsid w:val="00FE4571"/>
    <w:rsid w:val="00FE67B2"/>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74761"/>
  <w15:docId w15:val="{030B3342-8AF4-4C2F-8BDE-89A3B7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lang w:val="lv-LV" w:eastAsia="lv-LV"/>
    </w:rPr>
  </w:style>
  <w:style w:type="paragraph" w:styleId="Virsraksts2">
    <w:name w:val="heading 2"/>
    <w:basedOn w:val="Parasts"/>
    <w:next w:val="Parasts"/>
    <w:qFormat/>
    <w:rsid w:val="002C0C98"/>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F740D"/>
    <w:rPr>
      <w:color w:val="0000FF"/>
      <w:u w:val="single"/>
    </w:rPr>
  </w:style>
  <w:style w:type="paragraph" w:customStyle="1" w:styleId="naisnod">
    <w:name w:val="naisnod"/>
    <w:basedOn w:val="Parasts"/>
    <w:rsid w:val="005F740D"/>
    <w:pPr>
      <w:spacing w:before="100" w:beforeAutospacing="1" w:after="100" w:afterAutospacing="1"/>
    </w:pPr>
  </w:style>
  <w:style w:type="paragraph" w:customStyle="1" w:styleId="naisf">
    <w:name w:val="naisf"/>
    <w:basedOn w:val="Parasts"/>
    <w:rsid w:val="005F740D"/>
    <w:pPr>
      <w:spacing w:before="100" w:beforeAutospacing="1" w:after="100" w:afterAutospacing="1"/>
    </w:pPr>
  </w:style>
  <w:style w:type="paragraph" w:customStyle="1" w:styleId="naisc">
    <w:name w:val="naisc"/>
    <w:basedOn w:val="Parasts"/>
    <w:rsid w:val="005F740D"/>
    <w:pPr>
      <w:spacing w:before="100" w:beforeAutospacing="1" w:after="100" w:afterAutospacing="1"/>
    </w:pPr>
  </w:style>
  <w:style w:type="paragraph" w:customStyle="1" w:styleId="naiskr">
    <w:name w:val="naiskr"/>
    <w:basedOn w:val="Parasts"/>
    <w:rsid w:val="005F740D"/>
    <w:pPr>
      <w:spacing w:before="100" w:beforeAutospacing="1" w:after="100" w:afterAutospacing="1"/>
    </w:pPr>
  </w:style>
  <w:style w:type="paragraph" w:customStyle="1" w:styleId="naislab">
    <w:name w:val="naislab"/>
    <w:basedOn w:val="Parasts"/>
    <w:rsid w:val="005F740D"/>
    <w:pPr>
      <w:spacing w:before="100" w:beforeAutospacing="1" w:after="100" w:afterAutospacing="1"/>
    </w:pPr>
  </w:style>
  <w:style w:type="paragraph" w:customStyle="1" w:styleId="CharChar">
    <w:name w:val="Char Char"/>
    <w:basedOn w:val="Parasts"/>
    <w:rsid w:val="005F740D"/>
    <w:rPr>
      <w:lang w:val="pl-PL" w:eastAsia="pl-PL"/>
    </w:rPr>
  </w:style>
  <w:style w:type="table" w:styleId="Reatabula">
    <w:name w:val="Table Grid"/>
    <w:basedOn w:val="Parastatabula"/>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0C98"/>
    <w:pPr>
      <w:ind w:left="720"/>
      <w:contextualSpacing/>
    </w:pPr>
    <w:rPr>
      <w:lang w:val="en-GB" w:eastAsia="en-US"/>
    </w:rPr>
  </w:style>
  <w:style w:type="paragraph" w:styleId="Kjene">
    <w:name w:val="footer"/>
    <w:basedOn w:val="Parasts"/>
    <w:rsid w:val="002C0C98"/>
    <w:pPr>
      <w:tabs>
        <w:tab w:val="center" w:pos="4153"/>
        <w:tab w:val="right" w:pos="8306"/>
      </w:tabs>
    </w:pPr>
    <w:rPr>
      <w:lang w:val="en-GB" w:eastAsia="en-US"/>
    </w:rPr>
  </w:style>
  <w:style w:type="paragraph" w:customStyle="1" w:styleId="Texts">
    <w:name w:val="Texts"/>
    <w:basedOn w:val="Parasts"/>
    <w:rsid w:val="002C0C98"/>
    <w:pPr>
      <w:numPr>
        <w:numId w:val="2"/>
      </w:numPr>
      <w:jc w:val="both"/>
    </w:pPr>
    <w:rPr>
      <w:sz w:val="28"/>
      <w:szCs w:val="28"/>
    </w:rPr>
  </w:style>
  <w:style w:type="paragraph" w:styleId="Pamatteksts2">
    <w:name w:val="Body Text 2"/>
    <w:basedOn w:val="Parasts"/>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Pamattekstsaratkpi">
    <w:name w:val="Body Text Indent"/>
    <w:basedOn w:val="Parasts"/>
    <w:rsid w:val="00FD3B6C"/>
    <w:pPr>
      <w:spacing w:after="120"/>
      <w:ind w:left="283"/>
    </w:pPr>
    <w:rPr>
      <w:lang w:val="en-GB" w:eastAsia="en-US"/>
    </w:rPr>
  </w:style>
  <w:style w:type="character" w:styleId="Komentraatsauce">
    <w:name w:val="annotation reference"/>
    <w:rsid w:val="004F6B5C"/>
    <w:rPr>
      <w:sz w:val="16"/>
      <w:szCs w:val="16"/>
    </w:rPr>
  </w:style>
  <w:style w:type="paragraph" w:styleId="Komentrateksts">
    <w:name w:val="annotation text"/>
    <w:basedOn w:val="Parasts"/>
    <w:link w:val="KomentratekstsRakstz"/>
    <w:rsid w:val="004F6B5C"/>
    <w:rPr>
      <w:sz w:val="20"/>
      <w:szCs w:val="20"/>
    </w:rPr>
  </w:style>
  <w:style w:type="paragraph" w:styleId="Komentratma">
    <w:name w:val="annotation subject"/>
    <w:basedOn w:val="Komentrateksts"/>
    <w:next w:val="Komentrateksts"/>
    <w:semiHidden/>
    <w:rsid w:val="004F6B5C"/>
    <w:rPr>
      <w:b/>
      <w:bCs/>
    </w:rPr>
  </w:style>
  <w:style w:type="paragraph" w:styleId="Balonteksts">
    <w:name w:val="Balloon Text"/>
    <w:basedOn w:val="Parasts"/>
    <w:link w:val="BalontekstsRakstz"/>
    <w:uiPriority w:val="99"/>
    <w:semiHidden/>
    <w:rsid w:val="004F6B5C"/>
    <w:rPr>
      <w:rFonts w:ascii="Tahoma" w:hAnsi="Tahoma" w:cs="Tahoma"/>
      <w:sz w:val="16"/>
      <w:szCs w:val="16"/>
    </w:rPr>
  </w:style>
  <w:style w:type="paragraph" w:styleId="Galvene">
    <w:name w:val="header"/>
    <w:basedOn w:val="Parasts"/>
    <w:link w:val="GalveneRakstz"/>
    <w:uiPriority w:val="99"/>
    <w:rsid w:val="003406DB"/>
    <w:pPr>
      <w:tabs>
        <w:tab w:val="center" w:pos="4153"/>
        <w:tab w:val="right" w:pos="8306"/>
      </w:tabs>
    </w:pPr>
    <w:rPr>
      <w:lang w:val="x-none" w:eastAsia="x-none"/>
    </w:rPr>
  </w:style>
  <w:style w:type="character" w:styleId="Lappusesnumurs">
    <w:name w:val="page number"/>
    <w:basedOn w:val="Noklusjumarindkopasfonts"/>
    <w:rsid w:val="00EC29C5"/>
  </w:style>
  <w:style w:type="paragraph" w:styleId="Pamatteksts">
    <w:name w:val="Body Text"/>
    <w:basedOn w:val="Parasts"/>
    <w:rsid w:val="00976112"/>
    <w:pPr>
      <w:spacing w:after="120"/>
    </w:pPr>
    <w:rPr>
      <w:sz w:val="28"/>
      <w:szCs w:val="20"/>
      <w:lang w:val="en-GB" w:eastAsia="en-US"/>
    </w:rPr>
  </w:style>
  <w:style w:type="character" w:customStyle="1" w:styleId="GalveneRakstz">
    <w:name w:val="Galvene Rakstz."/>
    <w:link w:val="Galvene"/>
    <w:uiPriority w:val="99"/>
    <w:rsid w:val="00747C9A"/>
    <w:rPr>
      <w:sz w:val="24"/>
      <w:szCs w:val="24"/>
    </w:rPr>
  </w:style>
  <w:style w:type="paragraph" w:customStyle="1" w:styleId="ListParagraph1">
    <w:name w:val="List Paragraph1"/>
    <w:basedOn w:val="Parasts"/>
    <w:rsid w:val="00FC4938"/>
    <w:pPr>
      <w:spacing w:after="200" w:line="276" w:lineRule="auto"/>
      <w:ind w:left="720"/>
    </w:pPr>
    <w:rPr>
      <w:rFonts w:ascii="Calibri" w:hAnsi="Calibri"/>
      <w:sz w:val="22"/>
      <w:szCs w:val="22"/>
      <w:lang w:eastAsia="en-US"/>
    </w:rPr>
  </w:style>
  <w:style w:type="character" w:customStyle="1" w:styleId="KomentratekstsRakstz">
    <w:name w:val="Komentāra teksts Rakstz."/>
    <w:link w:val="Komentrateksts"/>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Parasts"/>
    <w:rsid w:val="00D0132C"/>
    <w:pPr>
      <w:spacing w:before="100" w:beforeAutospacing="1" w:after="100" w:afterAutospacing="1"/>
    </w:pPr>
    <w:rPr>
      <w:lang w:val="en-US" w:eastAsia="en-US"/>
    </w:rPr>
  </w:style>
  <w:style w:type="paragraph" w:styleId="Bezatstarpm">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Parasts"/>
    <w:rsid w:val="006D5B4B"/>
    <w:pPr>
      <w:spacing w:before="100" w:beforeAutospacing="1" w:after="100" w:afterAutospacing="1"/>
    </w:pPr>
    <w:rPr>
      <w:lang w:val="en-US" w:eastAsia="en-US"/>
    </w:rPr>
  </w:style>
  <w:style w:type="paragraph" w:customStyle="1" w:styleId="tvhtml">
    <w:name w:val="tv_html"/>
    <w:basedOn w:val="Parasts"/>
    <w:rsid w:val="003532EF"/>
    <w:pPr>
      <w:spacing w:before="100" w:beforeAutospacing="1" w:after="100" w:afterAutospacing="1"/>
    </w:pPr>
  </w:style>
  <w:style w:type="paragraph" w:styleId="Vresteksts">
    <w:name w:val="footnote text"/>
    <w:basedOn w:val="Parasts"/>
    <w:link w:val="VrestekstsRakstz"/>
    <w:uiPriority w:val="99"/>
    <w:unhideWhenUsed/>
    <w:rsid w:val="001252ED"/>
    <w:rPr>
      <w:rFonts w:eastAsia="Calibri"/>
      <w:sz w:val="20"/>
      <w:szCs w:val="20"/>
      <w:lang w:eastAsia="en-US"/>
    </w:rPr>
  </w:style>
  <w:style w:type="character" w:customStyle="1" w:styleId="VrestekstsRakstz">
    <w:name w:val="Vēres teksts Rakstz."/>
    <w:link w:val="Vresteksts"/>
    <w:uiPriority w:val="99"/>
    <w:rsid w:val="001252ED"/>
    <w:rPr>
      <w:rFonts w:eastAsia="Calibri"/>
      <w:lang w:val="lv-LV"/>
    </w:rPr>
  </w:style>
  <w:style w:type="character" w:styleId="Vresatsauce">
    <w:name w:val="footnote reference"/>
    <w:uiPriority w:val="99"/>
    <w:unhideWhenUsed/>
    <w:rsid w:val="001252ED"/>
    <w:rPr>
      <w:vertAlign w:val="superscript"/>
    </w:rPr>
  </w:style>
  <w:style w:type="character" w:customStyle="1" w:styleId="BalontekstsRakstz">
    <w:name w:val="Balonteksts Rakstz."/>
    <w:link w:val="Balonteksts"/>
    <w:uiPriority w:val="99"/>
    <w:semiHidden/>
    <w:rsid w:val="00767C2F"/>
    <w:rPr>
      <w:rFonts w:ascii="Tahoma" w:hAnsi="Tahoma" w:cs="Tahoma"/>
      <w:sz w:val="16"/>
      <w:szCs w:val="16"/>
      <w:lang w:val="lv-LV" w:eastAsia="lv-LV"/>
    </w:rPr>
  </w:style>
  <w:style w:type="paragraph" w:customStyle="1" w:styleId="tv2132">
    <w:name w:val="tv2132"/>
    <w:basedOn w:val="Parasts"/>
    <w:rsid w:val="00C6285E"/>
    <w:pPr>
      <w:spacing w:line="360" w:lineRule="auto"/>
      <w:ind w:firstLine="300"/>
    </w:pPr>
    <w:rPr>
      <w:color w:val="414142"/>
      <w:sz w:val="20"/>
      <w:szCs w:val="20"/>
    </w:rPr>
  </w:style>
  <w:style w:type="character" w:styleId="Izteiksmgs">
    <w:name w:val="Strong"/>
    <w:qFormat/>
    <w:rsid w:val="00D0728B"/>
    <w:rPr>
      <w:b/>
      <w:bCs/>
    </w:rPr>
  </w:style>
  <w:style w:type="paragraph" w:styleId="Paraststmeklis">
    <w:name w:val="Normal (Web)"/>
    <w:basedOn w:val="Parasts"/>
    <w:uiPriority w:val="99"/>
    <w:rsid w:val="00D0728B"/>
    <w:pPr>
      <w:spacing w:before="75" w:after="75"/>
    </w:pPr>
  </w:style>
  <w:style w:type="character" w:customStyle="1" w:styleId="tvhtml1">
    <w:name w:val="tv_html1"/>
    <w:basedOn w:val="Noklusjumarindkopasfonts"/>
    <w:rsid w:val="0096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8/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7/891/oj/?locale=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ur-lex.europa.eu/eli/reg/2013/1308/oj/?locale=LV" TargetMode="External"/><Relationship Id="rId4" Type="http://schemas.openxmlformats.org/officeDocument/2006/relationships/settings" Target="settings.xml"/><Relationship Id="rId9" Type="http://schemas.openxmlformats.org/officeDocument/2006/relationships/hyperlink" Target="http://eur-lex.europa.eu/eli/reg_del/2017/89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FA94-4401-4145-B6F3-D2FAF7DE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1457</Words>
  <Characters>10111</Characters>
  <Application>Microsoft Office Word</Application>
  <DocSecurity>0</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augļu, dārzeņu, un piena piegādei izglītības iestādēm</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augļu, dārzeņu, un piena piegādei izglītības iestādēm</dc:title>
  <dc:subject>Izziņa par atzinumos sniegtajiem iebildumiem</dc:subject>
  <dc:creator>Inese Ozola</dc:creator>
  <dc:description>Ozola 67027019_x000d_
Inese.Ozola@zm.gov.lv</dc:description>
  <cp:lastModifiedBy>Kristiāna Sebre</cp:lastModifiedBy>
  <cp:revision>7</cp:revision>
  <cp:lastPrinted>2010-08-02T10:29:00Z</cp:lastPrinted>
  <dcterms:created xsi:type="dcterms:W3CDTF">2020-02-27T12:05:00Z</dcterms:created>
  <dcterms:modified xsi:type="dcterms:W3CDTF">2020-02-27T12:43:00Z</dcterms:modified>
</cp:coreProperties>
</file>