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FD98" w14:textId="54E49F01" w:rsidR="00B557FB" w:rsidRPr="00FE52EC" w:rsidRDefault="00B557FB" w:rsidP="00FE52EC">
      <w:pPr>
        <w:tabs>
          <w:tab w:val="left" w:pos="666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</w:t>
      </w:r>
      <w:r w:rsidR="002E76E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</w:t>
      </w:r>
    </w:p>
    <w:p w14:paraId="3E2E7467" w14:textId="77777777" w:rsidR="00B557FB" w:rsidRPr="0064244D" w:rsidRDefault="00B557FB" w:rsidP="00FE52EC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17347880" w14:textId="4FFA4044" w:rsidR="00B557FB" w:rsidRDefault="00B557FB" w:rsidP="00FE52EC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4B55CF" w:rsidRPr="00F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F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Mobilizācijas likumā</w:t>
      </w:r>
    </w:p>
    <w:p w14:paraId="4E8055A2" w14:textId="77777777" w:rsidR="00FE52EC" w:rsidRPr="00FE52EC" w:rsidRDefault="00FE52EC" w:rsidP="00FE52EC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666C28DC" w14:textId="3C2D55E5" w:rsidR="00A43BF5" w:rsidRPr="00FE52EC" w:rsidRDefault="00A43BF5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Mobilizācijas likumā </w:t>
      </w:r>
      <w:proofErr w:type="gramStart"/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2002, 14.</w:t>
      </w:r>
      <w:r w:rsidR="006424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B07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Vēstnesis, 2003, 168. nr.; 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2004, 90.</w:t>
      </w:r>
      <w:r w:rsidR="006424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83., 180. nr.; 2010, 157.</w:t>
      </w:r>
      <w:r w:rsidR="00E24FF2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E24FF2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259A. nr.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6B75E9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šādus grozījumus:</w:t>
      </w:r>
    </w:p>
    <w:p w14:paraId="53ABEC4E" w14:textId="77777777" w:rsidR="002E76E8" w:rsidRPr="00FE52EC" w:rsidRDefault="002E76E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1A56780" w14:textId="5C373D60" w:rsidR="00B62492" w:rsidRP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3.</w:t>
      </w:r>
      <w:r w:rsidR="00ED5F7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trešās daļas 1.</w:t>
      </w:r>
      <w:r w:rsidR="00ED5F7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</w:t>
      </w:r>
      <w:r w:rsidR="00E24FF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64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pēc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62EB6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vārda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62492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izsludināta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2492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2492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izņēmuma stāvokļa vai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2492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11B293" w14:textId="77777777" w:rsidR="002546D2" w:rsidRPr="00FE52EC" w:rsidRDefault="002546D2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554F426" w14:textId="6FD2E815" w:rsidR="002546D2" w:rsidRP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</w:t>
      </w:r>
      <w:r w:rsidR="007835C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Izslēgt 9.</w:t>
      </w:r>
      <w:r w:rsidR="002D7D2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7835C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1.</w:t>
      </w:r>
      <w:r w:rsidR="002D7D2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7835C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punktu.</w:t>
      </w:r>
    </w:p>
    <w:p w14:paraId="7EEFFB33" w14:textId="77777777" w:rsidR="002546D2" w:rsidRPr="00FE52EC" w:rsidRDefault="002546D2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841D710" w14:textId="208FE4D9" w:rsidR="00CA60AB" w:rsidRP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anta pirmās daļas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unktā vārdus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60AB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Krīzes vadības padome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A60AB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kabinets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60AB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A11C792" w14:textId="77777777" w:rsidR="002546D2" w:rsidRPr="00FE52EC" w:rsidRDefault="002546D2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655A6AF" w14:textId="4B1B6B57" w:rsidR="00956526" w:rsidRPr="00FE52EC" w:rsidRDefault="00FE52EC" w:rsidP="00FE52E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956526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Izteikt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="00956526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antu šādā redakcijā:</w:t>
      </w:r>
    </w:p>
    <w:p w14:paraId="24611161" w14:textId="5E36D36F" w:rsidR="00956526" w:rsidRPr="00FE52EC" w:rsidRDefault="00956526" w:rsidP="00FE52E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87F62" w14:textId="7433C086" w:rsidR="00956526" w:rsidRPr="00FE52EC" w:rsidRDefault="00FE52EC" w:rsidP="00FE52E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56526" w:rsidRPr="00FE52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p</w:t>
      </w:r>
      <w:r w:rsidR="00956526" w:rsidRPr="00FE52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ants. </w:t>
      </w:r>
      <w:r w:rsidR="00B044ED" w:rsidRPr="00FE52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Pilsoņu iesaukšana aktīvajā dienestā</w:t>
      </w:r>
    </w:p>
    <w:p w14:paraId="68529F3C" w14:textId="4C847522" w:rsidR="00956526" w:rsidRPr="00FE52EC" w:rsidRDefault="00956526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pilsoņu </w:t>
      </w:r>
      <w:r w:rsidR="00642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rezerves karavīru un rezervistu </w:t>
      </w:r>
      <w:r w:rsidR="00642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iesaukšana aktīvajā dienestā mobilizācijas gadījumā notiek saskaņā ar Militārā dienesta likumu Ministru kabineta noteiktajā kārtībā. Zemessargu mobilizācija notiek Latvijas Republikas Zemessardzes likumā noteiktajā kārtībā.</w:t>
      </w:r>
      <w:r w:rsidR="00FE5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5809957B" w14:textId="77777777" w:rsidR="007835C2" w:rsidRPr="00FE52EC" w:rsidRDefault="007835C2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64240A" w14:textId="44E00539" w:rsidR="00E24FF2" w:rsidRP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14.</w:t>
      </w:r>
      <w:r w:rsidR="0064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pirmo daļu ar </w:t>
      </w:r>
      <w:r w:rsidR="00E24FF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otro teikumu šādā redakcijā:</w:t>
      </w:r>
    </w:p>
    <w:p w14:paraId="7AC308F6" w14:textId="77777777" w:rsid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863D312" w14:textId="4F460532" w:rsidR="00B044ED" w:rsidRPr="00FE52EC" w:rsidRDefault="00E24FF2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"M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obilizācijai nav pakļautas š</w:t>
      </w: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likuma 14.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64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pirmajā un otrajā daļā </w:t>
      </w: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minētās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personas</w:t>
      </w:r>
      <w:r w:rsidR="00D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4806C034" w14:textId="77777777" w:rsidR="00E24FF2" w:rsidRPr="00FE52EC" w:rsidRDefault="00E24FF2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59540EF" w14:textId="4263F43E" w:rsidR="00ED795C" w:rsidRPr="00FE52EC" w:rsidRDefault="00FE52EC" w:rsidP="00FE52EC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6. </w:t>
      </w:r>
      <w:r w:rsidR="00ED795C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B871E6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likumu ar </w:t>
      </w:r>
      <w:r w:rsidR="00B871E6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</w:t>
      </w:r>
      <w:r w:rsidR="00B871E6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2D7D2D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 </w:t>
      </w:r>
      <w:r w:rsidR="00B871E6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pantu</w:t>
      </w:r>
      <w:r w:rsidR="00B871E6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ED795C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šādā redakcijā:</w:t>
      </w:r>
    </w:p>
    <w:p w14:paraId="37DE48D4" w14:textId="77777777" w:rsidR="00FE52EC" w:rsidRPr="00DB0740" w:rsidRDefault="00FE52EC" w:rsidP="00FE52EC">
      <w:pPr>
        <w:pStyle w:val="tv21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02FFB28" w14:textId="592540E4" w:rsidR="00B871E6" w:rsidRPr="00FE52EC" w:rsidRDefault="00FE52EC" w:rsidP="00FE52EC">
      <w:pPr>
        <w:pStyle w:val="tv21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E52EC">
        <w:rPr>
          <w:color w:val="000000" w:themeColor="text1"/>
          <w:sz w:val="28"/>
          <w:szCs w:val="28"/>
        </w:rPr>
        <w:t>"</w:t>
      </w:r>
      <w:r w:rsidR="00B871E6" w:rsidRPr="00FE52EC">
        <w:rPr>
          <w:b/>
          <w:bCs/>
          <w:color w:val="000000" w:themeColor="text1"/>
          <w:sz w:val="28"/>
          <w:szCs w:val="28"/>
        </w:rPr>
        <w:t>14.</w:t>
      </w:r>
      <w:r w:rsidR="00B871E6" w:rsidRPr="00FE52EC">
        <w:rPr>
          <w:b/>
          <w:bCs/>
          <w:color w:val="000000" w:themeColor="text1"/>
          <w:sz w:val="28"/>
          <w:szCs w:val="28"/>
          <w:vertAlign w:val="superscript"/>
        </w:rPr>
        <w:t>1</w:t>
      </w:r>
      <w:r w:rsidR="00DB0740">
        <w:rPr>
          <w:b/>
          <w:bCs/>
          <w:color w:val="000000" w:themeColor="text1"/>
          <w:sz w:val="28"/>
          <w:szCs w:val="28"/>
        </w:rPr>
        <w:t> </w:t>
      </w:r>
      <w:r w:rsidR="00B871E6" w:rsidRPr="00FE52EC">
        <w:rPr>
          <w:b/>
          <w:bCs/>
          <w:color w:val="000000" w:themeColor="text1"/>
          <w:sz w:val="28"/>
          <w:szCs w:val="28"/>
        </w:rPr>
        <w:t>pant</w:t>
      </w:r>
      <w:r w:rsidR="006B75E9" w:rsidRPr="00FE52EC">
        <w:rPr>
          <w:b/>
          <w:bCs/>
          <w:color w:val="000000" w:themeColor="text1"/>
          <w:sz w:val="28"/>
          <w:szCs w:val="28"/>
        </w:rPr>
        <w:t>s</w:t>
      </w:r>
      <w:r w:rsidR="00354BC6" w:rsidRPr="00FE52EC">
        <w:rPr>
          <w:b/>
          <w:bCs/>
          <w:color w:val="000000" w:themeColor="text1"/>
          <w:sz w:val="28"/>
          <w:szCs w:val="28"/>
        </w:rPr>
        <w:t>.</w:t>
      </w:r>
      <w:r w:rsidR="00B871E6" w:rsidRPr="00FE52EC">
        <w:rPr>
          <w:b/>
          <w:bCs/>
          <w:color w:val="000000" w:themeColor="text1"/>
          <w:sz w:val="28"/>
          <w:szCs w:val="28"/>
        </w:rPr>
        <w:t xml:space="preserve"> </w:t>
      </w:r>
      <w:r w:rsidR="003A5B78" w:rsidRPr="00FE52EC">
        <w:rPr>
          <w:b/>
          <w:bCs/>
          <w:color w:val="000000" w:themeColor="text1"/>
          <w:sz w:val="28"/>
          <w:szCs w:val="28"/>
        </w:rPr>
        <w:t>Izņēmumi p</w:t>
      </w:r>
      <w:r w:rsidR="00B871E6" w:rsidRPr="00FE52EC">
        <w:rPr>
          <w:b/>
          <w:bCs/>
          <w:color w:val="000000" w:themeColor="text1"/>
          <w:sz w:val="28"/>
          <w:szCs w:val="28"/>
        </w:rPr>
        <w:t>ilsoņu iesaukšan</w:t>
      </w:r>
      <w:r w:rsidR="00510FBF">
        <w:rPr>
          <w:b/>
          <w:bCs/>
          <w:color w:val="000000" w:themeColor="text1"/>
          <w:sz w:val="28"/>
          <w:szCs w:val="28"/>
        </w:rPr>
        <w:t>ai</w:t>
      </w:r>
      <w:r w:rsidR="00B871E6" w:rsidRPr="00FE52EC">
        <w:rPr>
          <w:b/>
          <w:bCs/>
          <w:color w:val="000000" w:themeColor="text1"/>
          <w:sz w:val="28"/>
          <w:szCs w:val="28"/>
        </w:rPr>
        <w:t xml:space="preserve"> aktīvajā dienestā un iedzīvotāju mobilizācij</w:t>
      </w:r>
      <w:r w:rsidR="00510FBF">
        <w:rPr>
          <w:b/>
          <w:bCs/>
          <w:color w:val="000000" w:themeColor="text1"/>
          <w:sz w:val="28"/>
          <w:szCs w:val="28"/>
        </w:rPr>
        <w:t>ai</w:t>
      </w:r>
      <w:r w:rsidR="00B871E6" w:rsidRPr="00FE52EC">
        <w:rPr>
          <w:b/>
          <w:bCs/>
          <w:color w:val="000000" w:themeColor="text1"/>
          <w:sz w:val="28"/>
          <w:szCs w:val="28"/>
        </w:rPr>
        <w:t xml:space="preserve"> civilās aizsardzības formējumos un civilās aizsardzības pasākumu veikšanai </w:t>
      </w:r>
    </w:p>
    <w:p w14:paraId="6F57E6B7" w14:textId="1EFF83BD" w:rsidR="003A5B78" w:rsidRPr="00FE52EC" w:rsidRDefault="003023D2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(1)</w:t>
      </w:r>
      <w:r w:rsidR="0064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A5B78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Šā likuma 13. un 14.</w:t>
      </w:r>
      <w:r w:rsidR="0064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A5B78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pant</w:t>
      </w:r>
      <w:r w:rsidR="00B044ED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ā</w:t>
      </w:r>
      <w:r w:rsidR="003A5B78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FF2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minētajai mobilizācijai nav pakļautas šādas personas</w:t>
      </w:r>
      <w:r w:rsidR="00B871E6" w:rsidRPr="00FE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E9B74B4" w14:textId="2737BCA7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1) </w:t>
      </w:r>
      <w:r w:rsidR="00B62EB6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prezidents un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prezident</w:t>
      </w:r>
      <w:r w:rsidR="00B05A7C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 kancelejas amatpersona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CD8FCEC" w14:textId="125C7E23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2)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Saeimas deputāts;</w:t>
      </w:r>
    </w:p>
    <w:p w14:paraId="5B6BDA46" w14:textId="79186B77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3)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Eiropas </w:t>
      </w:r>
      <w:r w:rsidR="00E63A66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arlamenta deputāts;</w:t>
      </w:r>
    </w:p>
    <w:p w14:paraId="53A1A90A" w14:textId="2A6966A5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4)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Eiropas Savienības komisārs;</w:t>
      </w:r>
    </w:p>
    <w:p w14:paraId="7BDEB6E7" w14:textId="6DF5A820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5)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kabineta loceklis;</w:t>
      </w:r>
    </w:p>
    <w:p w14:paraId="2A1BA6B1" w14:textId="2FABF920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6) </w:t>
      </w:r>
      <w:r w:rsidR="00B044ED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ministrijas </w:t>
      </w:r>
      <w:r w:rsidR="00ED5F7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alsts sekretārs;</w:t>
      </w:r>
    </w:p>
    <w:p w14:paraId="01D6A800" w14:textId="0BA61B45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7) 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kancelejas direktors;</w:t>
      </w:r>
    </w:p>
    <w:p w14:paraId="22F7B75B" w14:textId="41E78B88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8) 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</w:t>
      </w:r>
      <w:bookmarkStart w:id="0" w:name="_GoBack"/>
      <w:bookmarkEnd w:id="0"/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ieņēmumu dienesta ģenerāldirektors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1441F01C" w14:textId="477BB568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 xml:space="preserve">9) 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kases pārvaldnieks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0A528AE" w14:textId="0481BC24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10) 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tiesībsargs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1B167221" w14:textId="2416FB70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11) 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Bankas prezidents, prezidenta vietnieks un padomes loceklis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7252A70" w14:textId="7153A3B9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valsts kontrolieris un Valsts kontroles padomes loceklis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77D9EB58" w14:textId="49DF5F05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DB07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Finanšu un kapitāla tirgus komisijas priekšsēdētājs un padomes loceklis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7E2674F1" w14:textId="221D5A32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="00DB07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Nacionālās elektronisko plašsaziņas līdzekļu padomes priekšsēdētājs, priekšsēdētāja vietnieks un padomes loceklis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6149FF" w14:textId="68978A7C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15)</w:t>
      </w:r>
      <w:r w:rsidR="00D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Sabiedrisko pakalpojumu regulēšanas komisijas padomes priekšsēdētājs un padomes loceklis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3608CA2" w14:textId="1CFAE9C9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16) </w:t>
      </w:r>
      <w:r w:rsidR="00BC5CF3" w:rsidRPr="00FE52EC">
        <w:rPr>
          <w:rStyle w:val="Emphasis"/>
          <w:rFonts w:ascii="Times New Roman" w:hAnsi="Times New Roman" w:cs="Times New Roman"/>
          <w:i w:val="0"/>
          <w:color w:val="000000" w:themeColor="text1"/>
          <w:sz w:val="28"/>
          <w:szCs w:val="28"/>
        </w:rPr>
        <w:t>Satversmes tiesas tiesnesis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A000A40" w14:textId="5A790ECD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="00BC5CF3" w:rsidRPr="00FE52E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Augstākās tiesas tiesnesis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962C91" w14:textId="578E5C54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apgabaltiesas tiesnesis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387F10" w14:textId="64517BD0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r w:rsidR="00102675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rajona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(pilsētas) tiesas tiesnesis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C6F27C2" w14:textId="4AEF50C0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ģenerālprokurors un prokurors, kas norīkots darbam karatiesā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5517FE" w14:textId="1C29D5CE" w:rsidR="009813DF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21) 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advokāts, kas norīkots darbam karatiesā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051EB1C7" w14:textId="68C63600" w:rsidR="003A5B78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22)</w:t>
      </w:r>
      <w:r w:rsidR="00D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Iekšlietu ministrijas sistēmas iestāžu un Ieslodzījuma vietu pārvaldes amatpersona ar speciālajām dienesta pakāpēm un darbinieks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25B1919F" w14:textId="2A4D9200" w:rsidR="003A5B78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23)</w:t>
      </w:r>
      <w:r w:rsidR="00DB07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valsts drošības iestā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amatpersona un darbinieks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FEAF6EC" w14:textId="2286DA01" w:rsidR="003A5B78" w:rsidRPr="00FE52EC" w:rsidRDefault="00DB0740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24) </w:t>
      </w:r>
      <w:r w:rsidR="00BC5CF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Republikas diplomātisko un konsulāro pārstāvniecību ārvalstīs darbinieks</w:t>
      </w:r>
      <w:r w:rsidR="009813DF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7BCF0AC4" w14:textId="61ECA834" w:rsidR="003A5B78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pašvaldības deputāts</w:t>
      </w:r>
      <w:r w:rsidR="009813DF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9025CB" w14:textId="77BB125E" w:rsidR="003A5B78" w:rsidRPr="00FE52EC" w:rsidRDefault="003A5B7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pašvaldības izpilddirektors</w:t>
      </w:r>
      <w:r w:rsidR="004B11E1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B90095" w14:textId="365E30DE" w:rsidR="00C406E3" w:rsidRPr="00FE52EC" w:rsidRDefault="00914589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755BB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pašvaldības policijas darbinieks</w:t>
      </w:r>
      <w:r w:rsidR="00C406E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BDC07A" w14:textId="1BD56252" w:rsidR="00C406E3" w:rsidRPr="00FE52EC" w:rsidRDefault="00914589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C406E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ostas policijas darbinieks</w:t>
      </w:r>
      <w:r w:rsidR="00C406E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7D5E54" w14:textId="2FB3F330" w:rsidR="008B3E3B" w:rsidRPr="00FE52EC" w:rsidRDefault="009813DF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(2)</w:t>
      </w:r>
      <w:r w:rsidR="0064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Ministru kabinets atkarībā no valsts apdraudējuma veida, tā intensitātes un rakstura var lemt par mobilizācijas izņēmumu attiecināšanu uz citām valsts un pašvaldības institūcij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amatpersonām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darbiniekiem vai personām, kuras atrodas darba tiesiskajās attiecībās ar personām, kas nodrošina kritiskās infrastruktūras vai kritisko finanšu nozares pakalpojumu darbības nepārtrauktību.</w:t>
      </w:r>
    </w:p>
    <w:p w14:paraId="2C9D7650" w14:textId="65E98D72" w:rsidR="00BC5CF3" w:rsidRPr="00FE52EC" w:rsidRDefault="009813DF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(3)</w:t>
      </w:r>
      <w:r w:rsidR="00642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kabinets nosaka kārtību, kādā 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 panta otrajā daļā minētajām personām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piemēro izņēmumus pilsoņu iesaukšan</w:t>
      </w:r>
      <w:r w:rsidR="00AC628E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aktīvajā dienestā un iedzīvotāju mobilizācij</w:t>
      </w:r>
      <w:r w:rsidR="00AC628E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civilās aizsardzības formējumos un civilās aizsardzības pasākumu veikšanai, kā arī kārtību, kādā Nacionālo bruņoto spēku rezerves uzskaites struktūrvienību informē par š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pirmajā un otrajā daļā 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minētajām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personām.</w:t>
      </w:r>
      <w:r w:rsidR="00FE5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F07F354" w14:textId="1AC7EA2D" w:rsidR="00BC5CF3" w:rsidRPr="00FE52EC" w:rsidRDefault="00BC5CF3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21D35" w14:textId="7A28ECC5" w:rsidR="00D95641" w:rsidRPr="00FE52EC" w:rsidRDefault="00BC5CF3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703B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. Papildināt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likumu</w:t>
      </w:r>
      <w:r w:rsidR="0038703B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pārejas noteikumu šādā redakcijā:</w:t>
      </w:r>
    </w:p>
    <w:p w14:paraId="567C329B" w14:textId="5F576857" w:rsidR="00D95641" w:rsidRPr="00FE52EC" w:rsidRDefault="00D95641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2FDBB" w14:textId="77777777" w:rsidR="00FE52EC" w:rsidRDefault="00FE5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FFA68F6" w14:textId="4673DD70" w:rsidR="0038703B" w:rsidRPr="00FE52EC" w:rsidRDefault="00FE52EC" w:rsidP="00FE52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</w:t>
      </w:r>
      <w:r w:rsidR="0038703B" w:rsidRPr="00FE5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Pārejas noteikum</w:t>
      </w:r>
      <w:r w:rsidR="00BC5CF3" w:rsidRPr="00FE5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p w14:paraId="5D045367" w14:textId="672E55F2" w:rsidR="00D95641" w:rsidRPr="00FE52EC" w:rsidRDefault="00D95641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3BC7C" w14:textId="2FAE2448" w:rsidR="0038703B" w:rsidRPr="00FE52EC" w:rsidRDefault="0038703B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Grozījums šā likuma 13.</w:t>
      </w:r>
      <w:r w:rsidR="006424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pantā </w:t>
      </w:r>
      <w:r w:rsidR="00F109A8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tā izteikšanu jaunā redakcijā 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stājas spēkā vienlaikus ar grozījumiem Latvijas Republikas Zemessardzes likumā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5CF3" w:rsidRPr="00FE52EC">
        <w:rPr>
          <w:rFonts w:ascii="Times New Roman" w:hAnsi="Times New Roman" w:cs="Times New Roman"/>
          <w:sz w:val="28"/>
          <w:szCs w:val="28"/>
        </w:rPr>
        <w:t xml:space="preserve"> </w:t>
      </w:r>
      <w:r w:rsidR="00BC5CF3"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kas paredz zemessargu mobilizācijas kārtību</w:t>
      </w:r>
      <w:r w:rsidRPr="00FE52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5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45BE09AE" w14:textId="77777777"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441C" w14:textId="77777777"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FAF3B" w14:textId="77777777"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221BC" w14:textId="77777777"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E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32E260BE" w14:textId="77777777" w:rsidR="00FE52EC" w:rsidRPr="00FE52EC" w:rsidRDefault="00FE52EC" w:rsidP="00FE52E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EC">
        <w:rPr>
          <w:rFonts w:ascii="Times New Roman" w:hAnsi="Times New Roman" w:cs="Times New Roman"/>
          <w:sz w:val="28"/>
          <w:szCs w:val="28"/>
        </w:rPr>
        <w:t>aizsardzības ministrs</w:t>
      </w:r>
    </w:p>
    <w:p w14:paraId="6574DEB8" w14:textId="0E74D37F" w:rsidR="00FE52EC" w:rsidRPr="00FE52EC" w:rsidRDefault="00FE52EC" w:rsidP="00FE52E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EC">
        <w:rPr>
          <w:rFonts w:ascii="Times New Roman" w:hAnsi="Times New Roman" w:cs="Times New Roman"/>
          <w:sz w:val="28"/>
          <w:szCs w:val="28"/>
        </w:rPr>
        <w:t>A. Pabriks</w:t>
      </w:r>
    </w:p>
    <w:sectPr w:rsidR="00FE52EC" w:rsidRPr="00FE52EC" w:rsidSect="00FE52E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39E7" w14:textId="77777777" w:rsidR="00997090" w:rsidRDefault="00997090" w:rsidP="004B55CF">
      <w:pPr>
        <w:spacing w:after="0" w:line="240" w:lineRule="auto"/>
      </w:pPr>
      <w:r>
        <w:separator/>
      </w:r>
    </w:p>
  </w:endnote>
  <w:endnote w:type="continuationSeparator" w:id="0">
    <w:p w14:paraId="5C65E89D" w14:textId="77777777" w:rsidR="00997090" w:rsidRDefault="00997090" w:rsidP="004B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E025" w14:textId="77777777" w:rsidR="00FE52EC" w:rsidRPr="00FE52EC" w:rsidRDefault="00FE52EC" w:rsidP="00FE52E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L0538_0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088F" w14:textId="627A54D5" w:rsidR="00FE52EC" w:rsidRDefault="00FE52EC" w:rsidP="00FE52EC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L0538_0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510FBF">
      <w:rPr>
        <w:rFonts w:ascii="Times New Roman" w:hAnsi="Times New Roman" w:cs="Times New Roman"/>
        <w:noProof/>
        <w:sz w:val="16"/>
        <w:szCs w:val="16"/>
      </w:rPr>
      <w:t>484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DA0F" w14:textId="77777777" w:rsidR="00997090" w:rsidRDefault="00997090" w:rsidP="004B55CF">
      <w:pPr>
        <w:spacing w:after="0" w:line="240" w:lineRule="auto"/>
      </w:pPr>
      <w:r>
        <w:separator/>
      </w:r>
    </w:p>
  </w:footnote>
  <w:footnote w:type="continuationSeparator" w:id="0">
    <w:p w14:paraId="0A397F80" w14:textId="77777777" w:rsidR="00997090" w:rsidRDefault="00997090" w:rsidP="004B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70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51567" w14:textId="4657BDF8" w:rsidR="0096510F" w:rsidRDefault="0096510F">
        <w:pPr>
          <w:pStyle w:val="Header"/>
          <w:jc w:val="center"/>
        </w:pPr>
        <w:r w:rsidRPr="00965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5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7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5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A6E"/>
    <w:multiLevelType w:val="hybridMultilevel"/>
    <w:tmpl w:val="D2360522"/>
    <w:lvl w:ilvl="0" w:tplc="2A50A9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594"/>
    <w:multiLevelType w:val="hybridMultilevel"/>
    <w:tmpl w:val="2E8AD59C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C54CE"/>
    <w:multiLevelType w:val="hybridMultilevel"/>
    <w:tmpl w:val="519400E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A3460"/>
    <w:multiLevelType w:val="hybridMultilevel"/>
    <w:tmpl w:val="185A75BA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1E7424"/>
    <w:multiLevelType w:val="hybridMultilevel"/>
    <w:tmpl w:val="05363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6ADC"/>
    <w:multiLevelType w:val="hybridMultilevel"/>
    <w:tmpl w:val="185A75BA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10"/>
    <w:rsid w:val="00003121"/>
    <w:rsid w:val="00052088"/>
    <w:rsid w:val="00060A2E"/>
    <w:rsid w:val="00073525"/>
    <w:rsid w:val="000D3F48"/>
    <w:rsid w:val="000F75E9"/>
    <w:rsid w:val="00102675"/>
    <w:rsid w:val="00103885"/>
    <w:rsid w:val="0016248C"/>
    <w:rsid w:val="00191AC6"/>
    <w:rsid w:val="00195337"/>
    <w:rsid w:val="001C2BC0"/>
    <w:rsid w:val="001C5507"/>
    <w:rsid w:val="001C56D7"/>
    <w:rsid w:val="001D3C5A"/>
    <w:rsid w:val="00215089"/>
    <w:rsid w:val="002546D2"/>
    <w:rsid w:val="00273578"/>
    <w:rsid w:val="00287D4D"/>
    <w:rsid w:val="002B3F1B"/>
    <w:rsid w:val="002C6060"/>
    <w:rsid w:val="002D18FC"/>
    <w:rsid w:val="002D51BB"/>
    <w:rsid w:val="002D7D2D"/>
    <w:rsid w:val="002E76A6"/>
    <w:rsid w:val="002E76E8"/>
    <w:rsid w:val="003023D2"/>
    <w:rsid w:val="00314BD1"/>
    <w:rsid w:val="00354BC6"/>
    <w:rsid w:val="00377D06"/>
    <w:rsid w:val="00386F0B"/>
    <w:rsid w:val="0038703B"/>
    <w:rsid w:val="00393546"/>
    <w:rsid w:val="00395F9B"/>
    <w:rsid w:val="003A5B78"/>
    <w:rsid w:val="003A7880"/>
    <w:rsid w:val="003B1B2D"/>
    <w:rsid w:val="003C4568"/>
    <w:rsid w:val="003D17B8"/>
    <w:rsid w:val="003E2F7A"/>
    <w:rsid w:val="00407B67"/>
    <w:rsid w:val="00411842"/>
    <w:rsid w:val="00412700"/>
    <w:rsid w:val="00456B18"/>
    <w:rsid w:val="004B11E1"/>
    <w:rsid w:val="004B55CF"/>
    <w:rsid w:val="004B5AF7"/>
    <w:rsid w:val="004D0241"/>
    <w:rsid w:val="004E36CE"/>
    <w:rsid w:val="004E65F9"/>
    <w:rsid w:val="00510FBF"/>
    <w:rsid w:val="005354F2"/>
    <w:rsid w:val="0056579C"/>
    <w:rsid w:val="005843B4"/>
    <w:rsid w:val="00586FCA"/>
    <w:rsid w:val="005970DC"/>
    <w:rsid w:val="005C4458"/>
    <w:rsid w:val="005E3ADB"/>
    <w:rsid w:val="005E5E8D"/>
    <w:rsid w:val="00602048"/>
    <w:rsid w:val="0064244D"/>
    <w:rsid w:val="00666B76"/>
    <w:rsid w:val="006755BB"/>
    <w:rsid w:val="0069681B"/>
    <w:rsid w:val="006A375C"/>
    <w:rsid w:val="006B75E9"/>
    <w:rsid w:val="006C3127"/>
    <w:rsid w:val="006F50C3"/>
    <w:rsid w:val="00705F47"/>
    <w:rsid w:val="00723277"/>
    <w:rsid w:val="007417C7"/>
    <w:rsid w:val="007835C2"/>
    <w:rsid w:val="007B44D7"/>
    <w:rsid w:val="007D0C53"/>
    <w:rsid w:val="007D6B10"/>
    <w:rsid w:val="00810855"/>
    <w:rsid w:val="008157F7"/>
    <w:rsid w:val="00831B9C"/>
    <w:rsid w:val="00845784"/>
    <w:rsid w:val="00861950"/>
    <w:rsid w:val="0089035E"/>
    <w:rsid w:val="008B3E3B"/>
    <w:rsid w:val="008C58FD"/>
    <w:rsid w:val="008C5C82"/>
    <w:rsid w:val="00914589"/>
    <w:rsid w:val="009237D7"/>
    <w:rsid w:val="00925AF9"/>
    <w:rsid w:val="0094199E"/>
    <w:rsid w:val="00946823"/>
    <w:rsid w:val="00956526"/>
    <w:rsid w:val="0096510F"/>
    <w:rsid w:val="009813DF"/>
    <w:rsid w:val="009846C3"/>
    <w:rsid w:val="009911DF"/>
    <w:rsid w:val="00997090"/>
    <w:rsid w:val="009A4BBA"/>
    <w:rsid w:val="009D3057"/>
    <w:rsid w:val="009D58AC"/>
    <w:rsid w:val="009E2A10"/>
    <w:rsid w:val="00A02D54"/>
    <w:rsid w:val="00A11CB7"/>
    <w:rsid w:val="00A30D61"/>
    <w:rsid w:val="00A3367F"/>
    <w:rsid w:val="00A43BF5"/>
    <w:rsid w:val="00A5789C"/>
    <w:rsid w:val="00A663A5"/>
    <w:rsid w:val="00A823AF"/>
    <w:rsid w:val="00A9612A"/>
    <w:rsid w:val="00AC09D7"/>
    <w:rsid w:val="00AC628E"/>
    <w:rsid w:val="00AC6947"/>
    <w:rsid w:val="00AD51E5"/>
    <w:rsid w:val="00AE33E3"/>
    <w:rsid w:val="00AF47FD"/>
    <w:rsid w:val="00B03361"/>
    <w:rsid w:val="00B044ED"/>
    <w:rsid w:val="00B04949"/>
    <w:rsid w:val="00B05A7C"/>
    <w:rsid w:val="00B079D6"/>
    <w:rsid w:val="00B33C23"/>
    <w:rsid w:val="00B471BE"/>
    <w:rsid w:val="00B557FB"/>
    <w:rsid w:val="00B6041E"/>
    <w:rsid w:val="00B62492"/>
    <w:rsid w:val="00B62EB6"/>
    <w:rsid w:val="00B76183"/>
    <w:rsid w:val="00B849AB"/>
    <w:rsid w:val="00B84E2E"/>
    <w:rsid w:val="00B86B88"/>
    <w:rsid w:val="00B871E6"/>
    <w:rsid w:val="00B91676"/>
    <w:rsid w:val="00B91DB8"/>
    <w:rsid w:val="00B925F0"/>
    <w:rsid w:val="00BB09D6"/>
    <w:rsid w:val="00BC5CF3"/>
    <w:rsid w:val="00C13ED0"/>
    <w:rsid w:val="00C25DBD"/>
    <w:rsid w:val="00C263E3"/>
    <w:rsid w:val="00C26549"/>
    <w:rsid w:val="00C328CA"/>
    <w:rsid w:val="00C37FC4"/>
    <w:rsid w:val="00C406E3"/>
    <w:rsid w:val="00C457E8"/>
    <w:rsid w:val="00C54B45"/>
    <w:rsid w:val="00C64D14"/>
    <w:rsid w:val="00C73FE2"/>
    <w:rsid w:val="00C81960"/>
    <w:rsid w:val="00CA60AB"/>
    <w:rsid w:val="00CC3D24"/>
    <w:rsid w:val="00CD17A7"/>
    <w:rsid w:val="00CF1F57"/>
    <w:rsid w:val="00D13AC6"/>
    <w:rsid w:val="00D24F91"/>
    <w:rsid w:val="00D4345A"/>
    <w:rsid w:val="00D6647E"/>
    <w:rsid w:val="00D669DE"/>
    <w:rsid w:val="00D67708"/>
    <w:rsid w:val="00D8099E"/>
    <w:rsid w:val="00D91ACE"/>
    <w:rsid w:val="00D95641"/>
    <w:rsid w:val="00D97BE6"/>
    <w:rsid w:val="00DA474E"/>
    <w:rsid w:val="00DB0740"/>
    <w:rsid w:val="00DB472D"/>
    <w:rsid w:val="00DD72FF"/>
    <w:rsid w:val="00E24FF2"/>
    <w:rsid w:val="00E54FC6"/>
    <w:rsid w:val="00E62A27"/>
    <w:rsid w:val="00E63A66"/>
    <w:rsid w:val="00E76D74"/>
    <w:rsid w:val="00EA5A37"/>
    <w:rsid w:val="00EA7F5D"/>
    <w:rsid w:val="00EB0C57"/>
    <w:rsid w:val="00EC5922"/>
    <w:rsid w:val="00ED5F73"/>
    <w:rsid w:val="00ED795C"/>
    <w:rsid w:val="00F109A8"/>
    <w:rsid w:val="00F13406"/>
    <w:rsid w:val="00F23EC7"/>
    <w:rsid w:val="00F31CDE"/>
    <w:rsid w:val="00F458E4"/>
    <w:rsid w:val="00F92478"/>
    <w:rsid w:val="00FD4ADD"/>
    <w:rsid w:val="00FE140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701A"/>
  <w15:chartTrackingRefBased/>
  <w15:docId w15:val="{B27EC538-6DF1-49C3-8ACF-F249261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CF"/>
  </w:style>
  <w:style w:type="paragraph" w:styleId="Footer">
    <w:name w:val="footer"/>
    <w:basedOn w:val="Normal"/>
    <w:link w:val="FooterChar"/>
    <w:uiPriority w:val="99"/>
    <w:unhideWhenUsed/>
    <w:rsid w:val="004B5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CF"/>
  </w:style>
  <w:style w:type="character" w:styleId="Hyperlink">
    <w:name w:val="Hyperlink"/>
    <w:basedOn w:val="DefaultParagraphFont"/>
    <w:unhideWhenUsed/>
    <w:rsid w:val="004B55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5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B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813DF"/>
    <w:rPr>
      <w:i/>
      <w:iCs/>
    </w:rPr>
  </w:style>
  <w:style w:type="character" w:customStyle="1" w:styleId="st">
    <w:name w:val="st"/>
    <w:basedOn w:val="DefaultParagraphFont"/>
    <w:rsid w:val="009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ED91-190B-4B99-95FB-18BF4B7B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484</Words>
  <Characters>3375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Mobilizācijas likumā”</vt:lpstr>
    </vt:vector>
  </TitlesOfParts>
  <Company>Aizsardzības ministrija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Mobilizācijas likumā”</dc:title>
  <dc:subject/>
  <dc:creator>Olevs Nikers, Mārtiņš Mežulis</dc:creator>
  <cp:keywords/>
  <dc:description/>
  <cp:lastModifiedBy>Lilija Kampane</cp:lastModifiedBy>
  <cp:revision>23</cp:revision>
  <cp:lastPrinted>2020-04-15T11:07:00Z</cp:lastPrinted>
  <dcterms:created xsi:type="dcterms:W3CDTF">2020-02-17T15:50:00Z</dcterms:created>
  <dcterms:modified xsi:type="dcterms:W3CDTF">2020-04-15T11:12:00Z</dcterms:modified>
</cp:coreProperties>
</file>