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19A5" w14:textId="77777777" w:rsidR="00DB7FF4" w:rsidRPr="004B2EE3" w:rsidRDefault="00DB7FF4" w:rsidP="00DB7FF4">
      <w:pPr>
        <w:jc w:val="center"/>
        <w:rPr>
          <w:sz w:val="22"/>
        </w:rPr>
      </w:pPr>
      <w:r w:rsidRPr="004B2EE3">
        <w:rPr>
          <w:sz w:val="22"/>
        </w:rPr>
        <w:t>Izziņa par atzinumos sniegtajiem iebildumiem par</w:t>
      </w:r>
    </w:p>
    <w:tbl>
      <w:tblPr>
        <w:tblW w:w="0" w:type="auto"/>
        <w:jc w:val="center"/>
        <w:tblLook w:val="00A0" w:firstRow="1" w:lastRow="0" w:firstColumn="1" w:lastColumn="0" w:noHBand="0" w:noVBand="0"/>
      </w:tblPr>
      <w:tblGrid>
        <w:gridCol w:w="10188"/>
      </w:tblGrid>
      <w:tr w:rsidR="00DB7FF4" w:rsidRPr="004B2EE3" w14:paraId="50791499" w14:textId="77777777" w:rsidTr="00104F07">
        <w:trPr>
          <w:jc w:val="center"/>
        </w:trPr>
        <w:tc>
          <w:tcPr>
            <w:tcW w:w="10188" w:type="dxa"/>
            <w:tcBorders>
              <w:bottom w:val="single" w:sz="6" w:space="0" w:color="000000"/>
            </w:tcBorders>
          </w:tcPr>
          <w:p w14:paraId="32CB7B42" w14:textId="38499531" w:rsidR="006A1EA8" w:rsidRPr="004B2EE3" w:rsidRDefault="004F3927" w:rsidP="00104F07">
            <w:pPr>
              <w:pStyle w:val="Body1"/>
              <w:spacing w:after="0" w:line="240" w:lineRule="auto"/>
              <w:jc w:val="center"/>
              <w:rPr>
                <w:rFonts w:ascii="Times New Roman" w:hAnsi="Times New Roman"/>
                <w:b/>
                <w:color w:val="auto"/>
                <w:szCs w:val="22"/>
              </w:rPr>
            </w:pPr>
            <w:r w:rsidRPr="004B2EE3">
              <w:rPr>
                <w:rFonts w:ascii="Times New Roman" w:hAnsi="Times New Roman"/>
                <w:b/>
                <w:color w:val="auto"/>
                <w:szCs w:val="22"/>
              </w:rPr>
              <w:t xml:space="preserve">grozījumiem </w:t>
            </w:r>
            <w:r w:rsidR="00524967" w:rsidRPr="004B2EE3">
              <w:rPr>
                <w:rFonts w:ascii="Times New Roman" w:hAnsi="Times New Roman"/>
                <w:b/>
                <w:color w:val="auto"/>
                <w:szCs w:val="22"/>
              </w:rPr>
              <w:t>Ministru kabineta 2009. gada 17. februāra noteikumos Nr. 164 "Noteikumi par aizdevumiem saimnieciskās darbības uzsācējiem un komersantiem konkurētspējas uzlabošanai"</w:t>
            </w:r>
            <w:r w:rsidR="00F16BA0" w:rsidRPr="004B2EE3">
              <w:rPr>
                <w:rFonts w:ascii="Times New Roman" w:hAnsi="Times New Roman"/>
                <w:b/>
                <w:color w:val="auto"/>
                <w:szCs w:val="22"/>
              </w:rPr>
              <w:t xml:space="preserve"> </w:t>
            </w:r>
          </w:p>
          <w:p w14:paraId="13D794ED" w14:textId="27480862" w:rsidR="00DB7FF4" w:rsidRPr="004B2EE3" w:rsidRDefault="006A1EA8" w:rsidP="00104F07">
            <w:pPr>
              <w:pStyle w:val="Body1"/>
              <w:spacing w:after="0" w:line="240" w:lineRule="auto"/>
              <w:jc w:val="center"/>
              <w:rPr>
                <w:rFonts w:ascii="Times New Roman" w:hAnsi="Times New Roman"/>
                <w:b/>
                <w:color w:val="auto"/>
                <w:szCs w:val="22"/>
              </w:rPr>
            </w:pPr>
            <w:r w:rsidRPr="004B2EE3">
              <w:rPr>
                <w:rFonts w:ascii="Times New Roman" w:hAnsi="Times New Roman"/>
                <w:b/>
                <w:color w:val="auto"/>
                <w:szCs w:val="22"/>
              </w:rPr>
              <w:t>(turpmāk – MK noteikumi Nr.</w:t>
            </w:r>
            <w:r w:rsidR="00524967" w:rsidRPr="004B2EE3">
              <w:rPr>
                <w:rFonts w:ascii="Times New Roman" w:hAnsi="Times New Roman"/>
                <w:b/>
                <w:color w:val="auto"/>
                <w:szCs w:val="22"/>
              </w:rPr>
              <w:t>164</w:t>
            </w:r>
            <w:r w:rsidRPr="004B2EE3">
              <w:rPr>
                <w:rFonts w:ascii="Times New Roman" w:hAnsi="Times New Roman"/>
                <w:b/>
                <w:color w:val="auto"/>
                <w:szCs w:val="22"/>
              </w:rPr>
              <w:t>)</w:t>
            </w:r>
          </w:p>
        </w:tc>
      </w:tr>
    </w:tbl>
    <w:p w14:paraId="50181CE1" w14:textId="77777777" w:rsidR="00DB7FF4" w:rsidRPr="004B2EE3" w:rsidRDefault="00DB7FF4" w:rsidP="00DB7FF4">
      <w:pPr>
        <w:pStyle w:val="naisc"/>
        <w:spacing w:before="0" w:after="0"/>
        <w:ind w:firstLine="1080"/>
        <w:rPr>
          <w:sz w:val="22"/>
          <w:szCs w:val="22"/>
        </w:rPr>
      </w:pPr>
      <w:r w:rsidRPr="004B2EE3">
        <w:rPr>
          <w:sz w:val="22"/>
          <w:szCs w:val="22"/>
        </w:rPr>
        <w:t>(dokumenta veids un nosaukums)</w:t>
      </w:r>
    </w:p>
    <w:p w14:paraId="09FE04D8" w14:textId="77777777" w:rsidR="00DB7FF4" w:rsidRPr="004B2EE3" w:rsidRDefault="00DB7FF4" w:rsidP="00DB7FF4">
      <w:pPr>
        <w:pStyle w:val="naisf"/>
        <w:spacing w:before="0" w:after="0"/>
        <w:ind w:firstLine="0"/>
        <w:rPr>
          <w:sz w:val="22"/>
          <w:szCs w:val="22"/>
        </w:rPr>
      </w:pPr>
    </w:p>
    <w:p w14:paraId="710C82F2" w14:textId="77777777" w:rsidR="00DB7FF4" w:rsidRPr="004B2EE3" w:rsidRDefault="00DB7FF4" w:rsidP="00F84755">
      <w:pPr>
        <w:pStyle w:val="naisf"/>
        <w:spacing w:before="0" w:after="0"/>
        <w:ind w:left="142" w:firstLine="0"/>
        <w:rPr>
          <w:b/>
          <w:sz w:val="22"/>
          <w:szCs w:val="22"/>
        </w:rPr>
      </w:pPr>
      <w:r w:rsidRPr="004B2EE3">
        <w:rPr>
          <w:b/>
          <w:sz w:val="22"/>
          <w:szCs w:val="22"/>
        </w:rPr>
        <w:t xml:space="preserve">Informācija par </w:t>
      </w:r>
      <w:proofErr w:type="spellStart"/>
      <w:r w:rsidRPr="004B2EE3">
        <w:rPr>
          <w:b/>
          <w:sz w:val="22"/>
          <w:szCs w:val="22"/>
        </w:rPr>
        <w:t>starpministriju</w:t>
      </w:r>
      <w:proofErr w:type="spellEnd"/>
      <w:r w:rsidRPr="004B2EE3">
        <w:rPr>
          <w:b/>
          <w:sz w:val="22"/>
          <w:szCs w:val="22"/>
        </w:rPr>
        <w:t xml:space="preserve"> (starpinstitūciju) sanāksmi vai elektronisko saskaņošanu</w:t>
      </w:r>
    </w:p>
    <w:p w14:paraId="08086BC3" w14:textId="77777777" w:rsidR="00DB7FF4" w:rsidRPr="004B2EE3" w:rsidRDefault="00DB7FF4" w:rsidP="00F84755">
      <w:pPr>
        <w:pStyle w:val="naisf"/>
        <w:spacing w:before="0" w:after="0"/>
        <w:ind w:left="142" w:firstLine="0"/>
        <w:rPr>
          <w:b/>
          <w:sz w:val="22"/>
          <w:szCs w:val="22"/>
        </w:rPr>
      </w:pPr>
    </w:p>
    <w:tbl>
      <w:tblPr>
        <w:tblW w:w="4758" w:type="pct"/>
        <w:tblLook w:val="00A0" w:firstRow="1" w:lastRow="0" w:firstColumn="1" w:lastColumn="0" w:noHBand="0" w:noVBand="0"/>
      </w:tblPr>
      <w:tblGrid>
        <w:gridCol w:w="8080"/>
        <w:gridCol w:w="5245"/>
      </w:tblGrid>
      <w:tr w:rsidR="00DB7FF4" w:rsidRPr="004B2EE3" w14:paraId="301D344A" w14:textId="77777777" w:rsidTr="00F84755">
        <w:tc>
          <w:tcPr>
            <w:tcW w:w="3032" w:type="pct"/>
          </w:tcPr>
          <w:p w14:paraId="461AD668" w14:textId="77777777" w:rsidR="00DB7FF4" w:rsidRPr="004B2EE3" w:rsidRDefault="00DB7FF4" w:rsidP="00F84755">
            <w:pPr>
              <w:pStyle w:val="naisf"/>
              <w:spacing w:before="0" w:after="0"/>
              <w:ind w:left="142" w:firstLine="0"/>
              <w:rPr>
                <w:sz w:val="22"/>
                <w:szCs w:val="22"/>
              </w:rPr>
            </w:pPr>
            <w:r w:rsidRPr="004B2EE3">
              <w:rPr>
                <w:sz w:val="22"/>
                <w:szCs w:val="22"/>
              </w:rPr>
              <w:t>Datums</w:t>
            </w:r>
          </w:p>
        </w:tc>
        <w:tc>
          <w:tcPr>
            <w:tcW w:w="1968" w:type="pct"/>
            <w:tcBorders>
              <w:bottom w:val="single" w:sz="4" w:space="0" w:color="auto"/>
            </w:tcBorders>
          </w:tcPr>
          <w:p w14:paraId="0EA020F6" w14:textId="2ED62726" w:rsidR="00DB7FF4" w:rsidRPr="004B2EE3" w:rsidRDefault="00524967" w:rsidP="00F84755">
            <w:pPr>
              <w:pStyle w:val="NormalWeb"/>
              <w:spacing w:before="0" w:beforeAutospacing="0" w:after="0" w:afterAutospacing="0"/>
              <w:ind w:left="142"/>
              <w:jc w:val="both"/>
              <w:rPr>
                <w:sz w:val="22"/>
                <w:szCs w:val="22"/>
              </w:rPr>
            </w:pPr>
            <w:r w:rsidRPr="004B2EE3">
              <w:rPr>
                <w:sz w:val="22"/>
                <w:szCs w:val="22"/>
              </w:rPr>
              <w:t>1</w:t>
            </w:r>
            <w:r w:rsidR="00BF34FD" w:rsidRPr="004B2EE3">
              <w:rPr>
                <w:sz w:val="22"/>
                <w:szCs w:val="22"/>
              </w:rPr>
              <w:t>5</w:t>
            </w:r>
            <w:r w:rsidRPr="004B2EE3">
              <w:rPr>
                <w:sz w:val="22"/>
                <w:szCs w:val="22"/>
              </w:rPr>
              <w:t>.04.2020.</w:t>
            </w:r>
            <w:r w:rsidR="0083421B">
              <w:rPr>
                <w:sz w:val="22"/>
                <w:szCs w:val="22"/>
              </w:rPr>
              <w:t>, 20.04.2020.atkārtota saskaņošana</w:t>
            </w:r>
          </w:p>
        </w:tc>
      </w:tr>
      <w:tr w:rsidR="00DB7FF4" w:rsidRPr="004B2EE3" w14:paraId="1EB9A9E3" w14:textId="77777777" w:rsidTr="00F84755">
        <w:tc>
          <w:tcPr>
            <w:tcW w:w="3032" w:type="pct"/>
          </w:tcPr>
          <w:p w14:paraId="6B6BDA30" w14:textId="77777777" w:rsidR="00DB7FF4" w:rsidRPr="004B2EE3" w:rsidRDefault="00DB7FF4" w:rsidP="00F84755">
            <w:pPr>
              <w:pStyle w:val="naisf"/>
              <w:spacing w:before="0" w:after="0"/>
              <w:ind w:left="142" w:firstLine="0"/>
              <w:rPr>
                <w:sz w:val="22"/>
                <w:szCs w:val="22"/>
              </w:rPr>
            </w:pPr>
          </w:p>
        </w:tc>
        <w:tc>
          <w:tcPr>
            <w:tcW w:w="1968" w:type="pct"/>
            <w:tcBorders>
              <w:top w:val="single" w:sz="4" w:space="0" w:color="auto"/>
            </w:tcBorders>
          </w:tcPr>
          <w:p w14:paraId="239E6571" w14:textId="77777777" w:rsidR="00DB7FF4" w:rsidRPr="004B2EE3" w:rsidRDefault="00DB7FF4" w:rsidP="00F84755">
            <w:pPr>
              <w:pStyle w:val="NormalWeb"/>
              <w:spacing w:before="0" w:beforeAutospacing="0" w:after="0" w:afterAutospacing="0"/>
              <w:ind w:left="142"/>
              <w:jc w:val="both"/>
              <w:rPr>
                <w:sz w:val="22"/>
                <w:szCs w:val="22"/>
              </w:rPr>
            </w:pPr>
          </w:p>
          <w:p w14:paraId="0EA65939" w14:textId="77777777" w:rsidR="00DB7FF4" w:rsidRPr="004B2EE3" w:rsidRDefault="00DB7FF4" w:rsidP="00F84755">
            <w:pPr>
              <w:pStyle w:val="NormalWeb"/>
              <w:spacing w:before="0" w:beforeAutospacing="0" w:after="0" w:afterAutospacing="0"/>
              <w:ind w:left="142"/>
              <w:jc w:val="both"/>
              <w:rPr>
                <w:sz w:val="22"/>
                <w:szCs w:val="22"/>
              </w:rPr>
            </w:pPr>
          </w:p>
        </w:tc>
      </w:tr>
      <w:tr w:rsidR="00DB7FF4" w:rsidRPr="004B2EE3" w14:paraId="0C8306A4" w14:textId="77777777" w:rsidTr="00F84755">
        <w:trPr>
          <w:trHeight w:val="584"/>
        </w:trPr>
        <w:tc>
          <w:tcPr>
            <w:tcW w:w="3032" w:type="pct"/>
          </w:tcPr>
          <w:p w14:paraId="53B73C8F" w14:textId="77777777" w:rsidR="004D2F03" w:rsidRPr="004B2EE3" w:rsidRDefault="00DB7FF4" w:rsidP="00F84755">
            <w:pPr>
              <w:pStyle w:val="naiskr"/>
              <w:spacing w:before="0" w:after="0"/>
              <w:ind w:left="142"/>
              <w:jc w:val="both"/>
              <w:rPr>
                <w:sz w:val="22"/>
                <w:szCs w:val="22"/>
              </w:rPr>
            </w:pPr>
            <w:r w:rsidRPr="004B2EE3">
              <w:rPr>
                <w:sz w:val="22"/>
                <w:szCs w:val="22"/>
              </w:rPr>
              <w:t>Saskaņošanas dalībnieki</w:t>
            </w:r>
          </w:p>
          <w:p w14:paraId="379B24A6" w14:textId="77777777" w:rsidR="004D2F03" w:rsidRPr="004B2EE3" w:rsidRDefault="004D2F03" w:rsidP="00F84755">
            <w:pPr>
              <w:ind w:left="142"/>
              <w:rPr>
                <w:sz w:val="22"/>
                <w:lang w:eastAsia="lv-LV"/>
              </w:rPr>
            </w:pPr>
          </w:p>
          <w:p w14:paraId="55D9C0F5" w14:textId="77777777" w:rsidR="00DB7FF4" w:rsidRPr="004B2EE3" w:rsidRDefault="004D2F03" w:rsidP="00F84755">
            <w:pPr>
              <w:tabs>
                <w:tab w:val="left" w:pos="1980"/>
              </w:tabs>
              <w:ind w:left="142"/>
              <w:rPr>
                <w:sz w:val="22"/>
                <w:lang w:eastAsia="lv-LV"/>
              </w:rPr>
            </w:pPr>
            <w:r w:rsidRPr="004B2EE3">
              <w:rPr>
                <w:sz w:val="22"/>
                <w:lang w:eastAsia="lv-LV"/>
              </w:rPr>
              <w:tab/>
            </w:r>
          </w:p>
        </w:tc>
        <w:tc>
          <w:tcPr>
            <w:tcW w:w="1968" w:type="pct"/>
          </w:tcPr>
          <w:p w14:paraId="1DCC49E1" w14:textId="349D4E45" w:rsidR="0069584F" w:rsidRPr="004B2EE3" w:rsidRDefault="0069584F" w:rsidP="00F84755">
            <w:pPr>
              <w:pStyle w:val="naiskr"/>
              <w:spacing w:before="0" w:after="0"/>
              <w:ind w:left="142"/>
              <w:jc w:val="both"/>
              <w:rPr>
                <w:sz w:val="22"/>
                <w:szCs w:val="22"/>
              </w:rPr>
            </w:pPr>
            <w:r w:rsidRPr="004B2EE3">
              <w:rPr>
                <w:sz w:val="22"/>
                <w:szCs w:val="22"/>
              </w:rPr>
              <w:t>Finanšu ministrija</w:t>
            </w:r>
          </w:p>
          <w:p w14:paraId="413AEC2B" w14:textId="11D07DC4" w:rsidR="00C414C6" w:rsidRPr="004B2EE3" w:rsidRDefault="00C46344" w:rsidP="00F84755">
            <w:pPr>
              <w:pStyle w:val="naiskr"/>
              <w:spacing w:before="0" w:after="0"/>
              <w:ind w:left="142"/>
              <w:jc w:val="both"/>
              <w:rPr>
                <w:sz w:val="22"/>
                <w:szCs w:val="22"/>
              </w:rPr>
            </w:pPr>
            <w:r w:rsidRPr="004B2EE3">
              <w:rPr>
                <w:sz w:val="22"/>
                <w:szCs w:val="22"/>
              </w:rPr>
              <w:t>Tieslietu ministrija</w:t>
            </w:r>
          </w:p>
        </w:tc>
      </w:tr>
      <w:tr w:rsidR="0069584F" w:rsidRPr="004B2EE3" w14:paraId="00249EFB" w14:textId="77777777" w:rsidTr="00F84755">
        <w:trPr>
          <w:trHeight w:val="213"/>
        </w:trPr>
        <w:tc>
          <w:tcPr>
            <w:tcW w:w="3032" w:type="pct"/>
          </w:tcPr>
          <w:p w14:paraId="073AF9BB" w14:textId="77777777" w:rsidR="00242600" w:rsidRPr="004B2EE3" w:rsidRDefault="00242600" w:rsidP="00F84755">
            <w:pPr>
              <w:pStyle w:val="naiskr"/>
              <w:spacing w:before="0" w:after="0"/>
              <w:ind w:left="142"/>
              <w:jc w:val="both"/>
              <w:rPr>
                <w:sz w:val="22"/>
                <w:szCs w:val="22"/>
              </w:rPr>
            </w:pPr>
          </w:p>
        </w:tc>
        <w:tc>
          <w:tcPr>
            <w:tcW w:w="1968" w:type="pct"/>
            <w:tcBorders>
              <w:top w:val="single" w:sz="4" w:space="0" w:color="auto"/>
            </w:tcBorders>
          </w:tcPr>
          <w:p w14:paraId="7C8B1EAC" w14:textId="77777777" w:rsidR="0069584F" w:rsidRPr="004B2EE3" w:rsidRDefault="0069584F" w:rsidP="00F84755">
            <w:pPr>
              <w:pStyle w:val="naiskr"/>
              <w:spacing w:before="0" w:after="0"/>
              <w:ind w:left="142"/>
              <w:jc w:val="both"/>
              <w:rPr>
                <w:sz w:val="22"/>
                <w:szCs w:val="22"/>
              </w:rPr>
            </w:pPr>
          </w:p>
        </w:tc>
      </w:tr>
      <w:tr w:rsidR="0069584F" w:rsidRPr="004B2EE3" w14:paraId="32ED5515" w14:textId="77777777" w:rsidTr="00F84755">
        <w:trPr>
          <w:trHeight w:val="872"/>
        </w:trPr>
        <w:tc>
          <w:tcPr>
            <w:tcW w:w="3032" w:type="pct"/>
          </w:tcPr>
          <w:p w14:paraId="17F3A547" w14:textId="77777777" w:rsidR="0069584F" w:rsidRPr="004B2EE3" w:rsidRDefault="0069584F" w:rsidP="00F84755">
            <w:pPr>
              <w:pStyle w:val="naiskr"/>
              <w:spacing w:before="0" w:after="0"/>
              <w:ind w:left="142"/>
              <w:jc w:val="both"/>
              <w:rPr>
                <w:sz w:val="22"/>
                <w:szCs w:val="22"/>
              </w:rPr>
            </w:pPr>
            <w:r w:rsidRPr="004B2EE3">
              <w:rPr>
                <w:sz w:val="22"/>
                <w:szCs w:val="22"/>
              </w:rPr>
              <w:t>Ministrijas (citas institūcijas), kuras nav ieradušās uz sanāksmi vai kuras nav atbildējušas uz uzaicinājumu piedalīties elektroniskajā saskaņošanā</w:t>
            </w:r>
          </w:p>
        </w:tc>
        <w:tc>
          <w:tcPr>
            <w:tcW w:w="1968" w:type="pct"/>
            <w:tcBorders>
              <w:bottom w:val="single" w:sz="4" w:space="0" w:color="auto"/>
            </w:tcBorders>
          </w:tcPr>
          <w:p w14:paraId="79186111" w14:textId="77777777" w:rsidR="0069584F" w:rsidRPr="004B2EE3" w:rsidRDefault="0069584F" w:rsidP="00F84755">
            <w:pPr>
              <w:ind w:left="142"/>
              <w:jc w:val="both"/>
              <w:rPr>
                <w:sz w:val="22"/>
              </w:rPr>
            </w:pPr>
          </w:p>
          <w:p w14:paraId="3750D44D" w14:textId="77777777" w:rsidR="00242600" w:rsidRPr="004B2EE3" w:rsidRDefault="00DF196F" w:rsidP="00F84755">
            <w:pPr>
              <w:ind w:left="142"/>
              <w:jc w:val="both"/>
              <w:rPr>
                <w:sz w:val="22"/>
              </w:rPr>
            </w:pPr>
            <w:r w:rsidRPr="004B2EE3">
              <w:rPr>
                <w:sz w:val="22"/>
              </w:rPr>
              <w:t>Nav attiecināms</w:t>
            </w:r>
          </w:p>
        </w:tc>
      </w:tr>
    </w:tbl>
    <w:p w14:paraId="6B4C3685" w14:textId="77777777" w:rsidR="00DB7FF4" w:rsidRPr="004B2EE3" w:rsidRDefault="00DB7FF4" w:rsidP="00242600">
      <w:pPr>
        <w:pStyle w:val="naisf"/>
        <w:spacing w:before="0" w:after="0"/>
        <w:ind w:firstLine="0"/>
        <w:rPr>
          <w:sz w:val="22"/>
          <w:szCs w:val="22"/>
        </w:rPr>
      </w:pPr>
    </w:p>
    <w:p w14:paraId="63A399BB" w14:textId="77777777" w:rsidR="0083421B" w:rsidRDefault="0083421B" w:rsidP="006D5705">
      <w:pPr>
        <w:pStyle w:val="naisf"/>
        <w:spacing w:before="0" w:after="0"/>
        <w:ind w:firstLine="0"/>
        <w:jc w:val="center"/>
        <w:rPr>
          <w:b/>
          <w:sz w:val="22"/>
          <w:szCs w:val="22"/>
        </w:rPr>
      </w:pPr>
    </w:p>
    <w:p w14:paraId="21D86D6A" w14:textId="164D7DB1" w:rsidR="00DB7FF4" w:rsidRPr="004B2EE3" w:rsidRDefault="00DB7FF4" w:rsidP="006D5705">
      <w:pPr>
        <w:pStyle w:val="naisf"/>
        <w:spacing w:before="0" w:after="0"/>
        <w:ind w:firstLine="0"/>
        <w:jc w:val="center"/>
        <w:rPr>
          <w:b/>
          <w:sz w:val="22"/>
          <w:szCs w:val="22"/>
        </w:rPr>
      </w:pPr>
      <w:r w:rsidRPr="004B2EE3">
        <w:rPr>
          <w:b/>
          <w:sz w:val="22"/>
          <w:szCs w:val="22"/>
        </w:rPr>
        <w:t>II. Jautājumi, par kuriem saskaņošanā vienošanās ir panākta</w:t>
      </w:r>
    </w:p>
    <w:tbl>
      <w:tblPr>
        <w:tblW w:w="15026" w:type="dxa"/>
        <w:tblInd w:w="-7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152"/>
        <w:gridCol w:w="281"/>
        <w:gridCol w:w="5106"/>
        <w:gridCol w:w="2552"/>
        <w:gridCol w:w="661"/>
        <w:gridCol w:w="3599"/>
      </w:tblGrid>
      <w:tr w:rsidR="00DB7FF4" w:rsidRPr="004B2EE3" w14:paraId="1B11E3ED" w14:textId="77777777" w:rsidTr="00F84755">
        <w:tc>
          <w:tcPr>
            <w:tcW w:w="675" w:type="dxa"/>
            <w:tcBorders>
              <w:top w:val="single" w:sz="6" w:space="0" w:color="000000"/>
              <w:left w:val="single" w:sz="6" w:space="0" w:color="000000"/>
              <w:bottom w:val="single" w:sz="6" w:space="0" w:color="000000"/>
              <w:right w:val="single" w:sz="6" w:space="0" w:color="000000"/>
            </w:tcBorders>
            <w:vAlign w:val="center"/>
          </w:tcPr>
          <w:p w14:paraId="06EA39B4" w14:textId="77777777" w:rsidR="00DB7FF4" w:rsidRPr="004B2EE3" w:rsidRDefault="00DB7FF4" w:rsidP="00104F07">
            <w:pPr>
              <w:pStyle w:val="naisc"/>
              <w:spacing w:before="0" w:after="0"/>
              <w:jc w:val="both"/>
              <w:rPr>
                <w:sz w:val="22"/>
                <w:szCs w:val="22"/>
              </w:rPr>
            </w:pPr>
            <w:r w:rsidRPr="004B2EE3">
              <w:rPr>
                <w:sz w:val="22"/>
                <w:szCs w:val="22"/>
              </w:rPr>
              <w:t>Nr. p. k.</w:t>
            </w:r>
          </w:p>
        </w:tc>
        <w:tc>
          <w:tcPr>
            <w:tcW w:w="2152" w:type="dxa"/>
            <w:tcBorders>
              <w:top w:val="single" w:sz="6" w:space="0" w:color="000000"/>
              <w:left w:val="single" w:sz="6" w:space="0" w:color="000000"/>
              <w:bottom w:val="single" w:sz="6" w:space="0" w:color="000000"/>
              <w:right w:val="single" w:sz="6" w:space="0" w:color="000000"/>
            </w:tcBorders>
            <w:vAlign w:val="center"/>
          </w:tcPr>
          <w:p w14:paraId="62B458B9" w14:textId="77777777" w:rsidR="00DB7FF4" w:rsidRPr="004B2EE3" w:rsidRDefault="00DB7FF4" w:rsidP="004B2EE3">
            <w:pPr>
              <w:pStyle w:val="naisc"/>
              <w:spacing w:before="0" w:after="0"/>
              <w:ind w:firstLine="12"/>
              <w:rPr>
                <w:sz w:val="22"/>
                <w:szCs w:val="22"/>
              </w:rPr>
            </w:pPr>
            <w:r w:rsidRPr="004B2EE3">
              <w:rPr>
                <w:sz w:val="22"/>
                <w:szCs w:val="22"/>
              </w:rPr>
              <w:t>Saskaņošanai nosūtītā projekta redakcija (konkrēta punkta (panta) redakcija)</w:t>
            </w:r>
          </w:p>
        </w:tc>
        <w:tc>
          <w:tcPr>
            <w:tcW w:w="5387" w:type="dxa"/>
            <w:gridSpan w:val="2"/>
            <w:tcBorders>
              <w:top w:val="single" w:sz="6" w:space="0" w:color="000000"/>
              <w:left w:val="single" w:sz="6" w:space="0" w:color="000000"/>
              <w:bottom w:val="single" w:sz="6" w:space="0" w:color="000000"/>
              <w:right w:val="single" w:sz="6" w:space="0" w:color="000000"/>
            </w:tcBorders>
            <w:vAlign w:val="center"/>
          </w:tcPr>
          <w:p w14:paraId="3BBCA319" w14:textId="77777777" w:rsidR="00DB7FF4" w:rsidRPr="004B2EE3" w:rsidRDefault="00DB7FF4" w:rsidP="004B2EE3">
            <w:pPr>
              <w:pStyle w:val="naisc"/>
              <w:spacing w:before="0" w:after="0"/>
              <w:ind w:right="3"/>
              <w:rPr>
                <w:sz w:val="22"/>
                <w:szCs w:val="22"/>
              </w:rPr>
            </w:pPr>
            <w:r w:rsidRPr="004B2EE3">
              <w:rPr>
                <w:sz w:val="22"/>
                <w:szCs w:val="22"/>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4EC9D384" w14:textId="77777777" w:rsidR="00DB7FF4" w:rsidRPr="004B2EE3" w:rsidRDefault="00DB7FF4" w:rsidP="004B2EE3">
            <w:pPr>
              <w:pStyle w:val="naisc"/>
              <w:spacing w:before="0" w:after="0"/>
              <w:ind w:firstLine="21"/>
              <w:rPr>
                <w:sz w:val="22"/>
                <w:szCs w:val="22"/>
              </w:rPr>
            </w:pPr>
            <w:r w:rsidRPr="004B2EE3">
              <w:rPr>
                <w:sz w:val="22"/>
                <w:szCs w:val="22"/>
              </w:rPr>
              <w:t>Atbildīgās ministrijas norāde par to, ka iebildums ir ņemts vērā, vai informācija par saskaņošanā panākto alternatīvo risinājumu</w:t>
            </w:r>
          </w:p>
        </w:tc>
        <w:tc>
          <w:tcPr>
            <w:tcW w:w="4260" w:type="dxa"/>
            <w:gridSpan w:val="2"/>
            <w:tcBorders>
              <w:top w:val="single" w:sz="4" w:space="0" w:color="auto"/>
              <w:left w:val="single" w:sz="4" w:space="0" w:color="auto"/>
              <w:bottom w:val="single" w:sz="4" w:space="0" w:color="auto"/>
            </w:tcBorders>
            <w:vAlign w:val="center"/>
          </w:tcPr>
          <w:p w14:paraId="2FC45C33" w14:textId="77777777" w:rsidR="00DB7FF4" w:rsidRPr="004B2EE3" w:rsidRDefault="00DB7FF4" w:rsidP="004B2EE3">
            <w:pPr>
              <w:jc w:val="center"/>
              <w:rPr>
                <w:sz w:val="22"/>
              </w:rPr>
            </w:pPr>
            <w:r w:rsidRPr="004B2EE3">
              <w:rPr>
                <w:sz w:val="22"/>
              </w:rPr>
              <w:t>Projekta attiecīgā punkta (panta) galīgā redakcija</w:t>
            </w:r>
          </w:p>
        </w:tc>
      </w:tr>
      <w:tr w:rsidR="00DB7FF4" w:rsidRPr="004B2EE3" w14:paraId="0D699214" w14:textId="77777777" w:rsidTr="00F84755">
        <w:tc>
          <w:tcPr>
            <w:tcW w:w="675" w:type="dxa"/>
            <w:tcBorders>
              <w:top w:val="single" w:sz="6" w:space="0" w:color="000000"/>
              <w:left w:val="single" w:sz="6" w:space="0" w:color="000000"/>
              <w:bottom w:val="single" w:sz="6" w:space="0" w:color="000000"/>
              <w:right w:val="single" w:sz="6" w:space="0" w:color="000000"/>
            </w:tcBorders>
          </w:tcPr>
          <w:p w14:paraId="1861B4F2" w14:textId="77777777" w:rsidR="00DB7FF4" w:rsidRPr="004B2EE3" w:rsidRDefault="00DB7FF4" w:rsidP="00104F07">
            <w:pPr>
              <w:pStyle w:val="naisc"/>
              <w:spacing w:before="0" w:after="0"/>
              <w:jc w:val="both"/>
              <w:rPr>
                <w:sz w:val="22"/>
                <w:szCs w:val="22"/>
              </w:rPr>
            </w:pPr>
            <w:r w:rsidRPr="004B2EE3">
              <w:rPr>
                <w:sz w:val="22"/>
                <w:szCs w:val="22"/>
              </w:rPr>
              <w:t>1</w:t>
            </w:r>
          </w:p>
        </w:tc>
        <w:tc>
          <w:tcPr>
            <w:tcW w:w="2152" w:type="dxa"/>
            <w:tcBorders>
              <w:top w:val="single" w:sz="6" w:space="0" w:color="000000"/>
              <w:left w:val="single" w:sz="6" w:space="0" w:color="000000"/>
              <w:bottom w:val="single" w:sz="6" w:space="0" w:color="000000"/>
              <w:right w:val="single" w:sz="6" w:space="0" w:color="000000"/>
            </w:tcBorders>
          </w:tcPr>
          <w:p w14:paraId="77676414" w14:textId="77777777" w:rsidR="00DB7FF4" w:rsidRPr="004B2EE3" w:rsidRDefault="00DB7FF4" w:rsidP="00104F07">
            <w:pPr>
              <w:pStyle w:val="naisc"/>
              <w:spacing w:before="0" w:after="0"/>
              <w:ind w:firstLine="720"/>
              <w:jc w:val="both"/>
              <w:rPr>
                <w:sz w:val="22"/>
                <w:szCs w:val="22"/>
              </w:rPr>
            </w:pPr>
            <w:r w:rsidRPr="004B2EE3">
              <w:rPr>
                <w:sz w:val="22"/>
                <w:szCs w:val="22"/>
              </w:rPr>
              <w:t>2</w:t>
            </w:r>
          </w:p>
        </w:tc>
        <w:tc>
          <w:tcPr>
            <w:tcW w:w="5387" w:type="dxa"/>
            <w:gridSpan w:val="2"/>
            <w:tcBorders>
              <w:top w:val="single" w:sz="6" w:space="0" w:color="000000"/>
              <w:left w:val="single" w:sz="6" w:space="0" w:color="000000"/>
              <w:bottom w:val="single" w:sz="6" w:space="0" w:color="000000"/>
              <w:right w:val="single" w:sz="6" w:space="0" w:color="000000"/>
            </w:tcBorders>
          </w:tcPr>
          <w:p w14:paraId="54774DFF" w14:textId="77777777" w:rsidR="00DB7FF4" w:rsidRPr="004B2EE3" w:rsidRDefault="00DB7FF4" w:rsidP="00104F07">
            <w:pPr>
              <w:pStyle w:val="naisc"/>
              <w:spacing w:before="0" w:after="0"/>
              <w:ind w:firstLine="720"/>
              <w:jc w:val="both"/>
              <w:rPr>
                <w:sz w:val="22"/>
                <w:szCs w:val="22"/>
              </w:rPr>
            </w:pPr>
            <w:r w:rsidRPr="004B2EE3">
              <w:rPr>
                <w:sz w:val="22"/>
                <w:szCs w:val="22"/>
              </w:rPr>
              <w:t>3</w:t>
            </w:r>
          </w:p>
        </w:tc>
        <w:tc>
          <w:tcPr>
            <w:tcW w:w="2552" w:type="dxa"/>
            <w:tcBorders>
              <w:top w:val="single" w:sz="6" w:space="0" w:color="000000"/>
              <w:left w:val="single" w:sz="6" w:space="0" w:color="000000"/>
              <w:bottom w:val="single" w:sz="6" w:space="0" w:color="000000"/>
              <w:right w:val="single" w:sz="6" w:space="0" w:color="000000"/>
            </w:tcBorders>
          </w:tcPr>
          <w:p w14:paraId="7FF81DDA" w14:textId="77777777" w:rsidR="00DB7FF4" w:rsidRPr="004B2EE3" w:rsidRDefault="00DB7FF4" w:rsidP="00104F07">
            <w:pPr>
              <w:pStyle w:val="naisc"/>
              <w:spacing w:before="0" w:after="0"/>
              <w:ind w:firstLine="720"/>
              <w:jc w:val="both"/>
              <w:rPr>
                <w:sz w:val="22"/>
                <w:szCs w:val="22"/>
              </w:rPr>
            </w:pPr>
            <w:r w:rsidRPr="004B2EE3">
              <w:rPr>
                <w:sz w:val="22"/>
                <w:szCs w:val="22"/>
              </w:rPr>
              <w:t>4</w:t>
            </w:r>
          </w:p>
        </w:tc>
        <w:tc>
          <w:tcPr>
            <w:tcW w:w="4260" w:type="dxa"/>
            <w:gridSpan w:val="2"/>
            <w:tcBorders>
              <w:top w:val="single" w:sz="4" w:space="0" w:color="auto"/>
              <w:left w:val="single" w:sz="4" w:space="0" w:color="auto"/>
              <w:bottom w:val="single" w:sz="4" w:space="0" w:color="auto"/>
            </w:tcBorders>
          </w:tcPr>
          <w:p w14:paraId="6C9E3BD0" w14:textId="77777777" w:rsidR="00DB7FF4" w:rsidRPr="004B2EE3" w:rsidRDefault="00DB7FF4" w:rsidP="00104F07">
            <w:pPr>
              <w:jc w:val="both"/>
              <w:rPr>
                <w:sz w:val="22"/>
              </w:rPr>
            </w:pPr>
            <w:r w:rsidRPr="004B2EE3">
              <w:rPr>
                <w:sz w:val="22"/>
              </w:rPr>
              <w:t>5</w:t>
            </w:r>
          </w:p>
        </w:tc>
      </w:tr>
      <w:tr w:rsidR="0069584F" w:rsidRPr="004B2EE3" w14:paraId="6831DD68" w14:textId="77777777" w:rsidTr="00F84755">
        <w:tc>
          <w:tcPr>
            <w:tcW w:w="675" w:type="dxa"/>
            <w:tcBorders>
              <w:top w:val="single" w:sz="6" w:space="0" w:color="000000"/>
              <w:left w:val="single" w:sz="6" w:space="0" w:color="000000"/>
              <w:bottom w:val="single" w:sz="6" w:space="0" w:color="000000"/>
              <w:right w:val="single" w:sz="6" w:space="0" w:color="000000"/>
            </w:tcBorders>
          </w:tcPr>
          <w:p w14:paraId="2615B1F4" w14:textId="77777777" w:rsidR="0069584F" w:rsidRPr="004B2EE3" w:rsidRDefault="0069584F" w:rsidP="0069584F">
            <w:pPr>
              <w:pStyle w:val="naisc"/>
              <w:numPr>
                <w:ilvl w:val="0"/>
                <w:numId w:val="2"/>
              </w:numPr>
              <w:spacing w:before="0" w:after="0"/>
              <w:jc w:val="both"/>
              <w:rPr>
                <w:sz w:val="22"/>
                <w:szCs w:val="22"/>
              </w:rPr>
            </w:pPr>
          </w:p>
        </w:tc>
        <w:tc>
          <w:tcPr>
            <w:tcW w:w="2152" w:type="dxa"/>
            <w:tcBorders>
              <w:top w:val="single" w:sz="6" w:space="0" w:color="000000"/>
              <w:left w:val="single" w:sz="6" w:space="0" w:color="000000"/>
              <w:bottom w:val="single" w:sz="6" w:space="0" w:color="000000"/>
              <w:right w:val="single" w:sz="6" w:space="0" w:color="000000"/>
            </w:tcBorders>
          </w:tcPr>
          <w:p w14:paraId="496473CC" w14:textId="4924A772" w:rsidR="000E7FE3" w:rsidRPr="004B2EE3" w:rsidRDefault="00B73054" w:rsidP="000E7FE3">
            <w:pPr>
              <w:rPr>
                <w:sz w:val="22"/>
                <w:lang w:eastAsia="lv-LV"/>
              </w:rPr>
            </w:pPr>
            <w:r w:rsidRPr="004B2EE3">
              <w:rPr>
                <w:b/>
                <w:sz w:val="22"/>
              </w:rPr>
              <w:t>Noteikumu projekts</w:t>
            </w:r>
          </w:p>
        </w:tc>
        <w:tc>
          <w:tcPr>
            <w:tcW w:w="5387" w:type="dxa"/>
            <w:gridSpan w:val="2"/>
            <w:tcBorders>
              <w:top w:val="single" w:sz="6" w:space="0" w:color="000000"/>
              <w:left w:val="single" w:sz="6" w:space="0" w:color="000000"/>
              <w:bottom w:val="single" w:sz="6" w:space="0" w:color="000000"/>
              <w:right w:val="single" w:sz="6" w:space="0" w:color="000000"/>
            </w:tcBorders>
          </w:tcPr>
          <w:p w14:paraId="37869005" w14:textId="14F7063D" w:rsidR="00BF34FD" w:rsidRPr="004B2EE3" w:rsidRDefault="00BF34FD" w:rsidP="00BF34FD">
            <w:pPr>
              <w:pStyle w:val="naisc"/>
              <w:spacing w:before="0" w:after="0"/>
              <w:jc w:val="both"/>
              <w:rPr>
                <w:b/>
                <w:sz w:val="22"/>
                <w:szCs w:val="22"/>
              </w:rPr>
            </w:pPr>
            <w:r w:rsidRPr="004B2EE3">
              <w:rPr>
                <w:b/>
                <w:sz w:val="22"/>
                <w:szCs w:val="22"/>
              </w:rPr>
              <w:t>Finanšu ministrijas 15.04.2020. atzinums</w:t>
            </w:r>
            <w:r w:rsidR="00693713" w:rsidRPr="004B2EE3">
              <w:rPr>
                <w:b/>
                <w:sz w:val="22"/>
                <w:szCs w:val="22"/>
              </w:rPr>
              <w:t xml:space="preserve"> Nr.</w:t>
            </w:r>
            <w:bookmarkStart w:id="0" w:name="lietas_nr"/>
            <w:r w:rsidR="00693713" w:rsidRPr="004B2EE3">
              <w:rPr>
                <w:b/>
                <w:sz w:val="22"/>
                <w:szCs w:val="22"/>
              </w:rPr>
              <w:t>12/A-7/1938</w:t>
            </w:r>
            <w:bookmarkEnd w:id="0"/>
          </w:p>
          <w:p w14:paraId="034AB2AF" w14:textId="007FA4CD" w:rsidR="001C6772" w:rsidRPr="004B2EE3" w:rsidRDefault="00BF34FD" w:rsidP="002027C6">
            <w:pPr>
              <w:pStyle w:val="naisc"/>
              <w:spacing w:before="0" w:after="0"/>
              <w:jc w:val="both"/>
              <w:rPr>
                <w:sz w:val="22"/>
                <w:szCs w:val="22"/>
              </w:rPr>
            </w:pPr>
            <w:r w:rsidRPr="004B2EE3">
              <w:rPr>
                <w:color w:val="000000"/>
                <w:sz w:val="22"/>
                <w:szCs w:val="22"/>
                <w:shd w:val="clear" w:color="auto" w:fill="FFFFFF"/>
              </w:rPr>
              <w:t>Vēršam uzmanību, ka gadījumos, ja tiek pagarināts sabiedrības “</w:t>
            </w:r>
            <w:proofErr w:type="spellStart"/>
            <w:r w:rsidRPr="004B2EE3">
              <w:rPr>
                <w:color w:val="000000"/>
                <w:sz w:val="22"/>
                <w:szCs w:val="22"/>
                <w:shd w:val="clear" w:color="auto" w:fill="FFFFFF"/>
              </w:rPr>
              <w:t>Altum</w:t>
            </w:r>
            <w:proofErr w:type="spellEnd"/>
            <w:r w:rsidRPr="004B2EE3">
              <w:rPr>
                <w:color w:val="000000"/>
                <w:sz w:val="22"/>
                <w:szCs w:val="22"/>
                <w:shd w:val="clear" w:color="auto" w:fill="FFFFFF"/>
              </w:rPr>
              <w:t xml:space="preserve">” iepriekš noteiktais aizdevuma atmaksas termiņš, tas ir kvalificējams kā jauns valsts atbalsts un tā sniegšanai ir nepieciešams veikt </w:t>
            </w:r>
            <w:proofErr w:type="spellStart"/>
            <w:r w:rsidRPr="004B2EE3">
              <w:rPr>
                <w:color w:val="000000"/>
                <w:sz w:val="22"/>
                <w:szCs w:val="22"/>
                <w:shd w:val="clear" w:color="auto" w:fill="FFFFFF"/>
              </w:rPr>
              <w:t>izvērtējumu</w:t>
            </w:r>
            <w:proofErr w:type="spellEnd"/>
            <w:r w:rsidRPr="004B2EE3">
              <w:rPr>
                <w:color w:val="000000"/>
                <w:sz w:val="22"/>
                <w:szCs w:val="22"/>
                <w:shd w:val="clear" w:color="auto" w:fill="FFFFFF"/>
              </w:rPr>
              <w:t xml:space="preserve"> atbilstoši visiem piemērojamā valsts atbalsta regulējuma </w:t>
            </w:r>
            <w:r w:rsidRPr="004B2EE3">
              <w:rPr>
                <w:color w:val="000000"/>
                <w:sz w:val="22"/>
                <w:szCs w:val="22"/>
                <w:shd w:val="clear" w:color="auto" w:fill="FFFFFF"/>
              </w:rPr>
              <w:lastRenderedPageBreak/>
              <w:t xml:space="preserve">nosacījumiem, kā arī ir jāveic bruto subsīdijas ekvivalenta pārrēķins. Līdz ar to, lai darījumā precīzi atspoguļotu papildus piešķirto valsts atbalsta elementu, Noteikumu projektu nepieciešams papildināt ar nosacījumu, ka, pagarinot iepriekš izsniegtā aizdevuma termiņu, atbalsta </w:t>
            </w:r>
            <w:proofErr w:type="spellStart"/>
            <w:r w:rsidRPr="004B2EE3">
              <w:rPr>
                <w:color w:val="000000"/>
                <w:sz w:val="22"/>
                <w:szCs w:val="22"/>
                <w:shd w:val="clear" w:color="auto" w:fill="FFFFFF"/>
              </w:rPr>
              <w:t>piešķīrējiestādei</w:t>
            </w:r>
            <w:proofErr w:type="spellEnd"/>
            <w:r w:rsidRPr="004B2EE3">
              <w:rPr>
                <w:color w:val="000000"/>
                <w:sz w:val="22"/>
                <w:szCs w:val="22"/>
                <w:shd w:val="clear" w:color="auto" w:fill="FFFFFF"/>
              </w:rPr>
              <w:t xml:space="preserve"> jāveic atkārtots </w:t>
            </w:r>
            <w:proofErr w:type="spellStart"/>
            <w:r w:rsidRPr="00F152EA">
              <w:rPr>
                <w:color w:val="000000"/>
                <w:sz w:val="22"/>
                <w:szCs w:val="22"/>
                <w:shd w:val="clear" w:color="auto" w:fill="FFFFFF"/>
              </w:rPr>
              <w:t>izvērtējums</w:t>
            </w:r>
            <w:proofErr w:type="spellEnd"/>
            <w:r w:rsidRPr="00F152EA">
              <w:rPr>
                <w:color w:val="000000"/>
                <w:sz w:val="22"/>
                <w:szCs w:val="22"/>
                <w:shd w:val="clear" w:color="auto" w:fill="FFFFFF"/>
              </w:rPr>
              <w:t xml:space="preserve"> atbilstoši visiem valsts atbalsta regulējuma nosacījumiem un jāveic pārrēķins subsīdijas ekvivalentam, ņemot vērā pagarināto aizdevuma atmaksas termiņu, t.sk., paredzot nosacījumu, </w:t>
            </w:r>
            <w:proofErr w:type="spellStart"/>
            <w:r w:rsidRPr="00F152EA">
              <w:rPr>
                <w:color w:val="000000"/>
                <w:sz w:val="22"/>
                <w:szCs w:val="22"/>
                <w:shd w:val="clear" w:color="auto" w:fill="FFFFFF"/>
              </w:rPr>
              <w:t>de</w:t>
            </w:r>
            <w:proofErr w:type="spellEnd"/>
            <w:r w:rsidRPr="00F152EA">
              <w:rPr>
                <w:color w:val="000000"/>
                <w:sz w:val="22"/>
                <w:szCs w:val="22"/>
                <w:shd w:val="clear" w:color="auto" w:fill="FFFFFF"/>
              </w:rPr>
              <w:t xml:space="preserve"> </w:t>
            </w:r>
            <w:proofErr w:type="spellStart"/>
            <w:r w:rsidRPr="00F152EA">
              <w:rPr>
                <w:color w:val="000000"/>
                <w:sz w:val="22"/>
                <w:szCs w:val="22"/>
                <w:shd w:val="clear" w:color="auto" w:fill="FFFFFF"/>
              </w:rPr>
              <w:t>minimis</w:t>
            </w:r>
            <w:proofErr w:type="spellEnd"/>
            <w:r w:rsidRPr="00F152EA">
              <w:rPr>
                <w:color w:val="000000"/>
                <w:sz w:val="22"/>
                <w:szCs w:val="22"/>
                <w:shd w:val="clear" w:color="auto" w:fill="FFFFFF"/>
              </w:rPr>
              <w:t xml:space="preserve"> atbalsta uzskaites sistēmā reģistrēt jaunu valsts atbalsta piešķīrumu, ievērojot</w:t>
            </w:r>
            <w:r w:rsidRPr="004B2EE3">
              <w:rPr>
                <w:color w:val="000000"/>
                <w:sz w:val="22"/>
                <w:szCs w:val="22"/>
                <w:shd w:val="clear" w:color="auto" w:fill="FFFFFF"/>
              </w:rPr>
              <w:t xml:space="preserve"> to, ka netiek pārsniegts </w:t>
            </w:r>
            <w:proofErr w:type="spellStart"/>
            <w:r w:rsidRPr="004B2EE3">
              <w:rPr>
                <w:color w:val="000000"/>
                <w:sz w:val="22"/>
                <w:szCs w:val="22"/>
                <w:shd w:val="clear" w:color="auto" w:fill="FFFFFF"/>
              </w:rPr>
              <w:t>de</w:t>
            </w:r>
            <w:proofErr w:type="spellEnd"/>
            <w:r w:rsidRPr="004B2EE3">
              <w:rPr>
                <w:color w:val="000000"/>
                <w:sz w:val="22"/>
                <w:szCs w:val="22"/>
                <w:shd w:val="clear" w:color="auto" w:fill="FFFFFF"/>
              </w:rPr>
              <w:t xml:space="preserve"> </w:t>
            </w:r>
            <w:proofErr w:type="spellStart"/>
            <w:r w:rsidRPr="004B2EE3">
              <w:rPr>
                <w:color w:val="000000"/>
                <w:sz w:val="22"/>
                <w:szCs w:val="22"/>
                <w:shd w:val="clear" w:color="auto" w:fill="FFFFFF"/>
              </w:rPr>
              <w:t>minimis</w:t>
            </w:r>
            <w:proofErr w:type="spellEnd"/>
            <w:r w:rsidRPr="004B2EE3">
              <w:rPr>
                <w:color w:val="000000"/>
                <w:sz w:val="22"/>
                <w:szCs w:val="22"/>
                <w:shd w:val="clear" w:color="auto" w:fill="FFFFFF"/>
              </w:rPr>
              <w:t xml:space="preserve"> atbalsta maksimāli pieļaujamais robežlielums viena vienota uzņēmuma līmenī.</w:t>
            </w:r>
          </w:p>
        </w:tc>
        <w:tc>
          <w:tcPr>
            <w:tcW w:w="2552" w:type="dxa"/>
            <w:tcBorders>
              <w:top w:val="single" w:sz="6" w:space="0" w:color="000000"/>
              <w:left w:val="single" w:sz="6" w:space="0" w:color="000000"/>
              <w:bottom w:val="single" w:sz="6" w:space="0" w:color="000000"/>
              <w:right w:val="single" w:sz="6" w:space="0" w:color="000000"/>
            </w:tcBorders>
          </w:tcPr>
          <w:p w14:paraId="0904F228" w14:textId="77777777" w:rsidR="0083421B" w:rsidRPr="004B2EE3" w:rsidRDefault="0083421B" w:rsidP="0083421B">
            <w:pPr>
              <w:pStyle w:val="naisc"/>
              <w:spacing w:before="0" w:after="0"/>
              <w:rPr>
                <w:b/>
                <w:sz w:val="22"/>
                <w:szCs w:val="22"/>
              </w:rPr>
            </w:pPr>
            <w:r w:rsidRPr="004B2EE3">
              <w:rPr>
                <w:b/>
                <w:sz w:val="22"/>
                <w:szCs w:val="22"/>
              </w:rPr>
              <w:lastRenderedPageBreak/>
              <w:t>Ņemts vērā</w:t>
            </w:r>
          </w:p>
          <w:p w14:paraId="5AC484A0" w14:textId="77777777" w:rsidR="00534216" w:rsidRPr="004B2EE3" w:rsidRDefault="00534216" w:rsidP="00BF34FD">
            <w:pPr>
              <w:pStyle w:val="naisc"/>
              <w:spacing w:before="0" w:after="0"/>
              <w:rPr>
                <w:b/>
                <w:sz w:val="22"/>
                <w:szCs w:val="22"/>
              </w:rPr>
            </w:pPr>
          </w:p>
          <w:p w14:paraId="3A44456D" w14:textId="6D75363C" w:rsidR="00534216" w:rsidRPr="004B2EE3" w:rsidRDefault="00534216" w:rsidP="00BF34FD">
            <w:pPr>
              <w:pStyle w:val="naisc"/>
              <w:spacing w:before="0" w:after="0"/>
              <w:rPr>
                <w:color w:val="FF0000"/>
                <w:sz w:val="22"/>
                <w:szCs w:val="22"/>
              </w:rPr>
            </w:pPr>
          </w:p>
        </w:tc>
        <w:tc>
          <w:tcPr>
            <w:tcW w:w="4260" w:type="dxa"/>
            <w:gridSpan w:val="2"/>
            <w:tcBorders>
              <w:top w:val="single" w:sz="4" w:space="0" w:color="auto"/>
              <w:left w:val="single" w:sz="4" w:space="0" w:color="auto"/>
              <w:bottom w:val="single" w:sz="4" w:space="0" w:color="auto"/>
            </w:tcBorders>
          </w:tcPr>
          <w:p w14:paraId="13DA7168" w14:textId="77777777" w:rsidR="00417A3A" w:rsidRPr="004B2EE3" w:rsidRDefault="00417A3A" w:rsidP="00417A3A">
            <w:pPr>
              <w:spacing w:line="259" w:lineRule="auto"/>
              <w:jc w:val="both"/>
              <w:rPr>
                <w:sz w:val="22"/>
              </w:rPr>
            </w:pPr>
            <w:r w:rsidRPr="004B2EE3">
              <w:rPr>
                <w:b/>
                <w:bCs/>
                <w:sz w:val="22"/>
              </w:rPr>
              <w:t>N</w:t>
            </w:r>
            <w:r w:rsidR="00534216" w:rsidRPr="004B2EE3">
              <w:rPr>
                <w:b/>
                <w:bCs/>
                <w:sz w:val="22"/>
              </w:rPr>
              <w:t>oteikumu projekts papildināts ar 1. punktu</w:t>
            </w:r>
            <w:r w:rsidRPr="004B2EE3">
              <w:rPr>
                <w:b/>
                <w:bCs/>
                <w:sz w:val="22"/>
              </w:rPr>
              <w:t xml:space="preserve"> šādā redakcijā</w:t>
            </w:r>
            <w:r w:rsidRPr="004B2EE3">
              <w:rPr>
                <w:sz w:val="22"/>
              </w:rPr>
              <w:t>:</w:t>
            </w:r>
          </w:p>
          <w:p w14:paraId="2132D1D9" w14:textId="72E2E6D8" w:rsidR="00417A3A" w:rsidRPr="004B2EE3" w:rsidRDefault="00417A3A" w:rsidP="00417A3A">
            <w:pPr>
              <w:spacing w:line="259" w:lineRule="auto"/>
              <w:jc w:val="both"/>
              <w:rPr>
                <w:sz w:val="22"/>
              </w:rPr>
            </w:pPr>
            <w:r w:rsidRPr="004B2EE3">
              <w:rPr>
                <w:sz w:val="22"/>
              </w:rPr>
              <w:t>“1.</w:t>
            </w:r>
            <w:r w:rsidRPr="004B2EE3">
              <w:rPr>
                <w:sz w:val="22"/>
              </w:rPr>
              <w:tab/>
              <w:t>Papildināt 35. punktu ar otro teikumu šādā redakcijā:</w:t>
            </w:r>
          </w:p>
          <w:p w14:paraId="40E3240D" w14:textId="68FDBFA5" w:rsidR="00534216" w:rsidRPr="00085CC8" w:rsidRDefault="00417A3A" w:rsidP="00417A3A">
            <w:pPr>
              <w:spacing w:line="259" w:lineRule="auto"/>
              <w:jc w:val="both"/>
              <w:rPr>
                <w:b/>
                <w:bCs/>
                <w:sz w:val="22"/>
              </w:rPr>
            </w:pPr>
            <w:r w:rsidRPr="004B2EE3">
              <w:rPr>
                <w:sz w:val="22"/>
              </w:rPr>
              <w:t xml:space="preserve">"Ja komersantam saskaņā ar šo noteikumu 43. punktu tiek pagarināts aizdevuma termiņš, </w:t>
            </w:r>
            <w:r w:rsidR="00085CC8" w:rsidRPr="00085CC8">
              <w:rPr>
                <w:b/>
                <w:bCs/>
                <w:sz w:val="22"/>
              </w:rPr>
              <w:t xml:space="preserve">tad </w:t>
            </w:r>
            <w:r w:rsidR="00085CC8" w:rsidRPr="00085CC8">
              <w:rPr>
                <w:b/>
                <w:bCs/>
                <w:sz w:val="22"/>
              </w:rPr>
              <w:lastRenderedPageBreak/>
              <w:t xml:space="preserve">no jauna tiek izvērtēta un pārbaudīta atbilstība </w:t>
            </w:r>
            <w:proofErr w:type="spellStart"/>
            <w:r w:rsidR="00085CC8" w:rsidRPr="00085CC8">
              <w:rPr>
                <w:b/>
                <w:bCs/>
                <w:i/>
                <w:iCs/>
                <w:sz w:val="22"/>
              </w:rPr>
              <w:t>de</w:t>
            </w:r>
            <w:proofErr w:type="spellEnd"/>
            <w:r w:rsidR="00085CC8" w:rsidRPr="00085CC8">
              <w:rPr>
                <w:b/>
                <w:bCs/>
                <w:i/>
                <w:iCs/>
                <w:sz w:val="22"/>
              </w:rPr>
              <w:t xml:space="preserve"> </w:t>
            </w:r>
            <w:proofErr w:type="spellStart"/>
            <w:r w:rsidR="00085CC8" w:rsidRPr="00085CC8">
              <w:rPr>
                <w:b/>
                <w:bCs/>
                <w:i/>
                <w:iCs/>
                <w:sz w:val="22"/>
              </w:rPr>
              <w:t>minimis</w:t>
            </w:r>
            <w:proofErr w:type="spellEnd"/>
            <w:r w:rsidR="00085CC8" w:rsidRPr="00085CC8">
              <w:rPr>
                <w:b/>
                <w:bCs/>
                <w:sz w:val="22"/>
              </w:rPr>
              <w:t xml:space="preserve"> atbalsta nosacījumiem un tiek veikts subsīdijas ekvivalenta aprēķins</w:t>
            </w:r>
            <w:r w:rsidRPr="00085CC8">
              <w:rPr>
                <w:b/>
                <w:bCs/>
                <w:sz w:val="22"/>
              </w:rPr>
              <w:t>."”</w:t>
            </w:r>
            <w:r w:rsidR="00534216" w:rsidRPr="00085CC8">
              <w:rPr>
                <w:b/>
                <w:bCs/>
                <w:sz w:val="22"/>
              </w:rPr>
              <w:t>.</w:t>
            </w:r>
          </w:p>
          <w:p w14:paraId="68282C21" w14:textId="79E81E86" w:rsidR="0069584F" w:rsidRPr="004B2EE3" w:rsidRDefault="0069584F" w:rsidP="00104F07">
            <w:pPr>
              <w:jc w:val="both"/>
              <w:rPr>
                <w:sz w:val="22"/>
              </w:rPr>
            </w:pPr>
          </w:p>
        </w:tc>
      </w:tr>
      <w:tr w:rsidR="0032636E" w:rsidRPr="004B2EE3" w14:paraId="7821D616" w14:textId="77777777" w:rsidTr="00F84755">
        <w:tc>
          <w:tcPr>
            <w:tcW w:w="675" w:type="dxa"/>
            <w:tcBorders>
              <w:top w:val="single" w:sz="6" w:space="0" w:color="000000"/>
              <w:left w:val="single" w:sz="6" w:space="0" w:color="000000"/>
              <w:bottom w:val="single" w:sz="6" w:space="0" w:color="000000"/>
              <w:right w:val="single" w:sz="6" w:space="0" w:color="000000"/>
            </w:tcBorders>
          </w:tcPr>
          <w:p w14:paraId="1EA3D67D" w14:textId="77777777" w:rsidR="0032636E" w:rsidRPr="004B2EE3" w:rsidRDefault="0032636E" w:rsidP="0032636E">
            <w:pPr>
              <w:pStyle w:val="naisc"/>
              <w:numPr>
                <w:ilvl w:val="0"/>
                <w:numId w:val="2"/>
              </w:numPr>
              <w:spacing w:before="0" w:after="0"/>
              <w:jc w:val="both"/>
              <w:rPr>
                <w:sz w:val="22"/>
                <w:szCs w:val="22"/>
              </w:rPr>
            </w:pPr>
          </w:p>
        </w:tc>
        <w:tc>
          <w:tcPr>
            <w:tcW w:w="2152" w:type="dxa"/>
            <w:tcBorders>
              <w:left w:val="single" w:sz="6" w:space="0" w:color="000000"/>
              <w:bottom w:val="single" w:sz="6" w:space="0" w:color="000000"/>
              <w:right w:val="single" w:sz="6" w:space="0" w:color="000000"/>
            </w:tcBorders>
          </w:tcPr>
          <w:p w14:paraId="0E682ACB" w14:textId="77777777" w:rsidR="0032636E" w:rsidRPr="004B2EE3" w:rsidRDefault="00807023" w:rsidP="0032636E">
            <w:pPr>
              <w:pStyle w:val="naisc"/>
              <w:jc w:val="both"/>
              <w:rPr>
                <w:sz w:val="22"/>
                <w:szCs w:val="22"/>
              </w:rPr>
            </w:pPr>
            <w:r w:rsidRPr="004B2EE3">
              <w:rPr>
                <w:b/>
                <w:sz w:val="22"/>
                <w:szCs w:val="22"/>
              </w:rPr>
              <w:t>Noteikumu projekts</w:t>
            </w:r>
          </w:p>
        </w:tc>
        <w:tc>
          <w:tcPr>
            <w:tcW w:w="5387" w:type="dxa"/>
            <w:gridSpan w:val="2"/>
            <w:tcBorders>
              <w:top w:val="single" w:sz="6" w:space="0" w:color="000000"/>
              <w:left w:val="single" w:sz="6" w:space="0" w:color="000000"/>
              <w:bottom w:val="single" w:sz="6" w:space="0" w:color="000000"/>
              <w:right w:val="single" w:sz="6" w:space="0" w:color="000000"/>
            </w:tcBorders>
          </w:tcPr>
          <w:p w14:paraId="7A2DB5F4" w14:textId="1D675FA9" w:rsidR="00BF34FD" w:rsidRPr="004B2EE3" w:rsidRDefault="00BF34FD" w:rsidP="00BF34FD">
            <w:pPr>
              <w:pStyle w:val="naisc"/>
              <w:spacing w:before="0" w:after="0"/>
              <w:jc w:val="both"/>
              <w:rPr>
                <w:b/>
                <w:sz w:val="22"/>
                <w:szCs w:val="22"/>
              </w:rPr>
            </w:pPr>
            <w:r w:rsidRPr="004B2EE3">
              <w:rPr>
                <w:b/>
                <w:sz w:val="22"/>
                <w:szCs w:val="22"/>
              </w:rPr>
              <w:t>Finanšu ministrijas 15.04.2020. atzinums</w:t>
            </w:r>
            <w:r w:rsidR="00693713" w:rsidRPr="004B2EE3">
              <w:rPr>
                <w:b/>
                <w:sz w:val="22"/>
                <w:szCs w:val="22"/>
              </w:rPr>
              <w:t xml:space="preserve"> Nr.12/A-7/1938</w:t>
            </w:r>
          </w:p>
          <w:p w14:paraId="2ABD2C57" w14:textId="63F14718" w:rsidR="00BF34FD" w:rsidRPr="004B2EE3" w:rsidRDefault="00BF34FD" w:rsidP="00C72357">
            <w:pPr>
              <w:pStyle w:val="NormalWeb"/>
              <w:shd w:val="clear" w:color="auto" w:fill="FFFFFF"/>
              <w:spacing w:before="0" w:beforeAutospacing="0" w:after="0" w:afterAutospacing="0"/>
              <w:jc w:val="both"/>
              <w:rPr>
                <w:color w:val="201F1E"/>
                <w:sz w:val="22"/>
                <w:szCs w:val="22"/>
              </w:rPr>
            </w:pPr>
            <w:r w:rsidRPr="004B2EE3">
              <w:rPr>
                <w:color w:val="000000"/>
                <w:sz w:val="22"/>
                <w:szCs w:val="22"/>
                <w:bdr w:val="none" w:sz="0" w:space="0" w:color="auto" w:frame="1"/>
              </w:rPr>
              <w:t xml:space="preserve">Ņemot vērā, ka MK noteikumu Nr.164 ietvaros atbalsts tiek sniegts saskaņā ar Eiropas Komisijas regulu Nr.1407/2013 (2013.gada 18.decembris) par Līguma par Eiropas Savienības darbību 107. un 108.panta piemērošanu </w:t>
            </w:r>
            <w:proofErr w:type="spellStart"/>
            <w:r w:rsidRPr="004B2EE3">
              <w:rPr>
                <w:color w:val="000000"/>
                <w:sz w:val="22"/>
                <w:szCs w:val="22"/>
                <w:bdr w:val="none" w:sz="0" w:space="0" w:color="auto" w:frame="1"/>
              </w:rPr>
              <w:t>de</w:t>
            </w:r>
            <w:proofErr w:type="spellEnd"/>
            <w:r w:rsidRPr="004B2EE3">
              <w:rPr>
                <w:color w:val="000000"/>
                <w:sz w:val="22"/>
                <w:szCs w:val="22"/>
                <w:bdr w:val="none" w:sz="0" w:space="0" w:color="auto" w:frame="1"/>
              </w:rPr>
              <w:t xml:space="preserve"> </w:t>
            </w:r>
            <w:proofErr w:type="spellStart"/>
            <w:r w:rsidRPr="004B2EE3">
              <w:rPr>
                <w:color w:val="000000"/>
                <w:sz w:val="22"/>
                <w:szCs w:val="22"/>
                <w:bdr w:val="none" w:sz="0" w:space="0" w:color="auto" w:frame="1"/>
              </w:rPr>
              <w:t>minimis</w:t>
            </w:r>
            <w:proofErr w:type="spellEnd"/>
            <w:r w:rsidRPr="004B2EE3">
              <w:rPr>
                <w:color w:val="000000"/>
                <w:sz w:val="22"/>
                <w:szCs w:val="22"/>
                <w:bdr w:val="none" w:sz="0" w:space="0" w:color="auto" w:frame="1"/>
              </w:rPr>
              <w:t xml:space="preserve"> atbalstam (turpmāk – Komisijas regula Nr.1407/2013), lai nodrošinātu korektas Komisijas regulas Nr.1407/2013 nosacījumu ievērošanu, lūdzam papildināt noteikumu projektu ar nosacījumiem:</w:t>
            </w:r>
          </w:p>
          <w:p w14:paraId="365AC42C" w14:textId="77777777" w:rsidR="00BF34FD" w:rsidRPr="004B2EE3" w:rsidRDefault="00BF34FD" w:rsidP="00BF34FD">
            <w:pPr>
              <w:pStyle w:val="NormalWeb"/>
              <w:shd w:val="clear" w:color="auto" w:fill="FFFFFF"/>
              <w:spacing w:before="0" w:beforeAutospacing="0" w:after="0" w:afterAutospacing="0"/>
              <w:ind w:hanging="360"/>
              <w:rPr>
                <w:color w:val="201F1E"/>
                <w:sz w:val="22"/>
                <w:szCs w:val="22"/>
              </w:rPr>
            </w:pPr>
            <w:r w:rsidRPr="004B2EE3">
              <w:rPr>
                <w:color w:val="000000"/>
                <w:sz w:val="22"/>
                <w:szCs w:val="22"/>
                <w:bdr w:val="none" w:sz="0" w:space="0" w:color="auto" w:frame="1"/>
              </w:rPr>
              <w:t>1. </w:t>
            </w:r>
          </w:p>
          <w:p w14:paraId="53249929" w14:textId="087CBA3F" w:rsidR="00BF34FD" w:rsidRPr="004B2EE3" w:rsidRDefault="00BF34FD" w:rsidP="00C72357">
            <w:pPr>
              <w:pStyle w:val="NormalWeb"/>
              <w:shd w:val="clear" w:color="auto" w:fill="FFFFFF"/>
              <w:spacing w:before="0" w:beforeAutospacing="0" w:after="0" w:afterAutospacing="0"/>
              <w:ind w:left="360" w:hanging="360"/>
              <w:jc w:val="both"/>
              <w:rPr>
                <w:color w:val="201F1E"/>
                <w:sz w:val="22"/>
                <w:szCs w:val="22"/>
              </w:rPr>
            </w:pPr>
            <w:r w:rsidRPr="004B2EE3">
              <w:rPr>
                <w:color w:val="000000"/>
                <w:sz w:val="22"/>
                <w:szCs w:val="22"/>
                <w:bdr w:val="none" w:sz="0" w:space="0" w:color="auto" w:frame="1"/>
              </w:rPr>
              <w:t>-     </w:t>
            </w:r>
            <w:r w:rsidR="00693713" w:rsidRPr="004B2EE3">
              <w:rPr>
                <w:color w:val="000000"/>
                <w:sz w:val="22"/>
                <w:szCs w:val="22"/>
              </w:rPr>
              <w:t>lūdzam papildināt noteikumu projektu ar nosacījumiem </w:t>
            </w:r>
            <w:r w:rsidR="00693713" w:rsidRPr="004B2EE3">
              <w:rPr>
                <w:color w:val="000000"/>
                <w:sz w:val="22"/>
                <w:szCs w:val="22"/>
                <w:bdr w:val="none" w:sz="0" w:space="0" w:color="auto" w:frame="1"/>
              </w:rPr>
              <w:t xml:space="preserve"> </w:t>
            </w:r>
            <w:r w:rsidRPr="004B2EE3">
              <w:rPr>
                <w:color w:val="000000"/>
                <w:sz w:val="22"/>
                <w:szCs w:val="22"/>
                <w:bdr w:val="none" w:sz="0" w:space="0" w:color="auto" w:frame="1"/>
              </w:rPr>
              <w:t>par izmaksu nodalīšanu atbilstoši Komisijas regulas Nr.1407/2013 1.panta 2.puntā noteiktajam;</w:t>
            </w:r>
          </w:p>
          <w:p w14:paraId="3E14972E" w14:textId="24AFC873" w:rsidR="00BF34FD" w:rsidRPr="004B2EE3" w:rsidRDefault="00BF34FD" w:rsidP="00C72357">
            <w:pPr>
              <w:pStyle w:val="NormalWeb"/>
              <w:shd w:val="clear" w:color="auto" w:fill="FFFFFF"/>
              <w:spacing w:before="0" w:beforeAutospacing="0" w:after="0" w:afterAutospacing="0"/>
              <w:ind w:left="360" w:hanging="360"/>
              <w:jc w:val="both"/>
              <w:rPr>
                <w:color w:val="201F1E"/>
                <w:sz w:val="22"/>
                <w:szCs w:val="22"/>
              </w:rPr>
            </w:pPr>
            <w:r w:rsidRPr="004B2EE3">
              <w:rPr>
                <w:color w:val="000000"/>
                <w:sz w:val="22"/>
                <w:szCs w:val="22"/>
                <w:bdr w:val="none" w:sz="0" w:space="0" w:color="auto" w:frame="1"/>
              </w:rPr>
              <w:t>-     </w:t>
            </w:r>
            <w:r w:rsidR="00693713" w:rsidRPr="004B2EE3">
              <w:rPr>
                <w:color w:val="000000"/>
                <w:sz w:val="22"/>
                <w:szCs w:val="22"/>
              </w:rPr>
              <w:t xml:space="preserve">Vēršam uzmanību, ka Regulas Nr.1407/2013 3.panta 4.punkts nosaka, ka </w:t>
            </w:r>
            <w:proofErr w:type="spellStart"/>
            <w:r w:rsidR="00693713" w:rsidRPr="004B2EE3">
              <w:rPr>
                <w:i/>
                <w:color w:val="000000"/>
                <w:sz w:val="22"/>
                <w:szCs w:val="22"/>
              </w:rPr>
              <w:t>de</w:t>
            </w:r>
            <w:proofErr w:type="spellEnd"/>
            <w:r w:rsidR="00693713" w:rsidRPr="004B2EE3">
              <w:rPr>
                <w:i/>
                <w:color w:val="000000"/>
                <w:sz w:val="22"/>
                <w:szCs w:val="22"/>
              </w:rPr>
              <w:t xml:space="preserve"> </w:t>
            </w:r>
            <w:proofErr w:type="spellStart"/>
            <w:r w:rsidR="00693713" w:rsidRPr="004B2EE3">
              <w:rPr>
                <w:i/>
                <w:color w:val="000000"/>
                <w:sz w:val="22"/>
                <w:szCs w:val="22"/>
              </w:rPr>
              <w:t>minimis</w:t>
            </w:r>
            <w:proofErr w:type="spellEnd"/>
            <w:r w:rsidR="00693713" w:rsidRPr="004B2EE3">
              <w:rPr>
                <w:color w:val="000000"/>
                <w:sz w:val="22"/>
                <w:szCs w:val="22"/>
              </w:rPr>
              <w:t xml:space="preserve"> atbalstu uzskata par piešķirtu brīdī, kad uzņēmumam saskaņā ar piemērojamo valsts tiesisko regulējumu ir piešķirtas likumīgās tiesības saņemt atbalstu, neatkarīgi no datuma, kurā </w:t>
            </w:r>
            <w:proofErr w:type="spellStart"/>
            <w:r w:rsidR="00693713" w:rsidRPr="004B2EE3">
              <w:rPr>
                <w:i/>
                <w:color w:val="000000"/>
                <w:sz w:val="22"/>
                <w:szCs w:val="22"/>
              </w:rPr>
              <w:t>de</w:t>
            </w:r>
            <w:proofErr w:type="spellEnd"/>
            <w:r w:rsidR="00693713" w:rsidRPr="004B2EE3">
              <w:rPr>
                <w:i/>
                <w:color w:val="000000"/>
                <w:sz w:val="22"/>
                <w:szCs w:val="22"/>
              </w:rPr>
              <w:t xml:space="preserve"> </w:t>
            </w:r>
            <w:proofErr w:type="spellStart"/>
            <w:r w:rsidR="00693713" w:rsidRPr="004B2EE3">
              <w:rPr>
                <w:i/>
                <w:color w:val="000000"/>
                <w:sz w:val="22"/>
                <w:szCs w:val="22"/>
              </w:rPr>
              <w:t>minimis</w:t>
            </w:r>
            <w:proofErr w:type="spellEnd"/>
            <w:r w:rsidR="00693713" w:rsidRPr="004B2EE3">
              <w:rPr>
                <w:color w:val="000000"/>
                <w:sz w:val="22"/>
                <w:szCs w:val="22"/>
              </w:rPr>
              <w:t xml:space="preserve"> atbalsts uzņēmumam izmaksāts. Atbalsta piešķiršanas brīža identificēšana ir būtisks priekšnosacījums korektai interpretācijai par </w:t>
            </w:r>
            <w:r w:rsidR="00693713" w:rsidRPr="004B2EE3">
              <w:rPr>
                <w:color w:val="000000"/>
                <w:sz w:val="22"/>
                <w:szCs w:val="22"/>
              </w:rPr>
              <w:lastRenderedPageBreak/>
              <w:t>datumu, kurā tiktu uzskatīts, ka atbalsts saskaņā ar Regulu Nr.1407/2013, ticis piešķirts tā saņēmējam. Lūdzam attiecīgi papildināt noteikumu projektu ar informāciju par atbalsta piešķiršanas brīdi (piemēram, lēmums par atbalsta piešķiršanu pieņemšanas diena vai līguma noslēgšanas diena)</w:t>
            </w:r>
            <w:r w:rsidRPr="004B2EE3">
              <w:rPr>
                <w:color w:val="000000"/>
                <w:sz w:val="22"/>
                <w:szCs w:val="22"/>
                <w:bdr w:val="none" w:sz="0" w:space="0" w:color="auto" w:frame="1"/>
              </w:rPr>
              <w:t>;</w:t>
            </w:r>
          </w:p>
          <w:p w14:paraId="36F89F05" w14:textId="46C95CDB" w:rsidR="00BF34FD" w:rsidRPr="004B2EE3" w:rsidRDefault="00BF34FD" w:rsidP="00661A3F">
            <w:pPr>
              <w:pStyle w:val="NormalWeb"/>
              <w:shd w:val="clear" w:color="auto" w:fill="FFFFFF"/>
              <w:spacing w:before="0" w:beforeAutospacing="0" w:after="0" w:afterAutospacing="0"/>
              <w:ind w:left="360" w:hanging="360"/>
              <w:jc w:val="both"/>
              <w:rPr>
                <w:color w:val="201F1E"/>
                <w:sz w:val="22"/>
                <w:szCs w:val="22"/>
              </w:rPr>
            </w:pPr>
            <w:r w:rsidRPr="004B2EE3">
              <w:rPr>
                <w:color w:val="000000"/>
                <w:sz w:val="22"/>
                <w:szCs w:val="22"/>
                <w:bdr w:val="none" w:sz="0" w:space="0" w:color="auto" w:frame="1"/>
              </w:rPr>
              <w:t>-     </w:t>
            </w:r>
            <w:r w:rsidR="00693713" w:rsidRPr="004B2EE3">
              <w:rPr>
                <w:color w:val="000000"/>
                <w:sz w:val="22"/>
                <w:szCs w:val="22"/>
              </w:rPr>
              <w:t xml:space="preserve">Lūdzam papildināt noteikumu projektu ar nosacījumiem  par nelikumīga atbalsta atgūšanu. No Eiropas Savienības Tiesu judikatūras izriet, ka, ja komercdarbības atbalsta saņēmējs ir pārkāpis Regulas Nr.1407/2013, prasības, atbalsta sniedzējs pats pēc savas iniciatīvas veic visa nelikumīgā komercdarbības atbalsta atgūšanu un tam ir jāpieprasa no šī atbalsta saņēmēja procenti par visu laikposmu, kurā tas ir guvis labumu no šī atbalsta, pēc likmes, kas vienāda ar likmi, kura būtu tikusi piemērota, ja šim atbalsta saņēmējam minētajā laikposmā attiecīgā atbalsta summa būtu bijusi jāaizņemas tirgū. Ņemot vērā iepriekš minēto, lūdzam papildināt noteikumu projektu ar jaunu punktu, kas paredz komercdarbības atbalsta atgūšanu kopā ar procentiem, norādot, ka, ja komercdarbības atbalsta saņēmējs ir pārkāpis Regulas Nr.1407/2013 prasības, komercdarbības atbalsta saņēmējam ir pienākums atmaksāt atbalsta sniedzējam visu projekta ietvaros saņemto komercdarbības atbalstu, kas piešķirts saskaņā ar Komisijas regulu Nr.1407/2013, kopā ar procentiem, ko publicē Eiropas Komisija saskaņā ar Komisijas 2004.gada 21.aprīļa regulas (EK) Nr.794/2004, ar ko īsteno Padomes Regulu (ES) 2015/1589, ar ko nosaka sīki izstrādātus noteikumus Līguma par Eiropas Savienības darbību 108.panta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w:t>
            </w:r>
            <w:r w:rsidR="00693713" w:rsidRPr="004B2EE3">
              <w:rPr>
                <w:color w:val="000000"/>
                <w:sz w:val="22"/>
                <w:szCs w:val="22"/>
              </w:rPr>
              <w:lastRenderedPageBreak/>
              <w:t>izstrādātus noteikumus Līguma par Eiropas Savienības darbību 108.panta piemērošanai, 11.pantā noteikto procentu likmes piemērošanas metodi</w:t>
            </w:r>
            <w:r w:rsidRPr="004B2EE3">
              <w:rPr>
                <w:color w:val="000000"/>
                <w:sz w:val="22"/>
                <w:szCs w:val="22"/>
                <w:bdr w:val="none" w:sz="0" w:space="0" w:color="auto" w:frame="1"/>
              </w:rPr>
              <w:t>.</w:t>
            </w:r>
          </w:p>
          <w:p w14:paraId="74EE0346" w14:textId="77777777" w:rsidR="00693713" w:rsidRPr="004B2EE3" w:rsidRDefault="00BF34FD" w:rsidP="00693713">
            <w:pPr>
              <w:ind w:firstLine="567"/>
              <w:jc w:val="both"/>
              <w:rPr>
                <w:color w:val="000000"/>
                <w:sz w:val="22"/>
              </w:rPr>
            </w:pPr>
            <w:r w:rsidRPr="004B2EE3">
              <w:rPr>
                <w:color w:val="000000"/>
                <w:sz w:val="22"/>
                <w:bdr w:val="none" w:sz="0" w:space="0" w:color="auto" w:frame="1"/>
              </w:rPr>
              <w:t>-    </w:t>
            </w:r>
            <w:r w:rsidR="00693713" w:rsidRPr="004B2EE3">
              <w:rPr>
                <w:color w:val="000000"/>
                <w:sz w:val="22"/>
              </w:rPr>
              <w:t xml:space="preserve">Lūdzam papildināt noteikumu projektu ar nosacījumiem par datumu, līdz kuram ir piešķirams </w:t>
            </w:r>
            <w:proofErr w:type="spellStart"/>
            <w:r w:rsidR="00693713" w:rsidRPr="004B2EE3">
              <w:rPr>
                <w:i/>
                <w:color w:val="000000"/>
                <w:sz w:val="22"/>
              </w:rPr>
              <w:t>de</w:t>
            </w:r>
            <w:proofErr w:type="spellEnd"/>
            <w:r w:rsidR="00693713" w:rsidRPr="004B2EE3">
              <w:rPr>
                <w:i/>
                <w:color w:val="000000"/>
                <w:sz w:val="22"/>
              </w:rPr>
              <w:t xml:space="preserve"> </w:t>
            </w:r>
            <w:proofErr w:type="spellStart"/>
            <w:r w:rsidR="00693713" w:rsidRPr="004B2EE3">
              <w:rPr>
                <w:i/>
                <w:color w:val="000000"/>
                <w:sz w:val="22"/>
              </w:rPr>
              <w:t>minimis</w:t>
            </w:r>
            <w:proofErr w:type="spellEnd"/>
            <w:r w:rsidR="00693713" w:rsidRPr="004B2EE3">
              <w:rPr>
                <w:color w:val="000000"/>
                <w:sz w:val="22"/>
              </w:rPr>
              <w:t xml:space="preserve"> atbalsts atbilstoši Komisijas regulas 1407/2013 7.panta 4.punktam un 8.pantam. Komisijas Regulu Nr.1407/2013  piemēro līdz 2020.gada 31.decembrim, taču pēc šīs regulas spēkā esības perioda beigām jebkurai </w:t>
            </w:r>
            <w:proofErr w:type="spellStart"/>
            <w:r w:rsidR="00693713" w:rsidRPr="004B2EE3">
              <w:rPr>
                <w:i/>
                <w:color w:val="000000"/>
                <w:sz w:val="22"/>
              </w:rPr>
              <w:t>de</w:t>
            </w:r>
            <w:proofErr w:type="spellEnd"/>
            <w:r w:rsidR="00693713" w:rsidRPr="004B2EE3">
              <w:rPr>
                <w:i/>
                <w:color w:val="000000"/>
                <w:sz w:val="22"/>
              </w:rPr>
              <w:t xml:space="preserve"> </w:t>
            </w:r>
            <w:proofErr w:type="spellStart"/>
            <w:r w:rsidR="00693713" w:rsidRPr="004B2EE3">
              <w:rPr>
                <w:i/>
                <w:color w:val="000000"/>
                <w:sz w:val="22"/>
              </w:rPr>
              <w:t>minimis</w:t>
            </w:r>
            <w:proofErr w:type="spellEnd"/>
            <w:r w:rsidR="00693713" w:rsidRPr="004B2EE3">
              <w:rPr>
                <w:color w:val="000000"/>
                <w:sz w:val="22"/>
              </w:rPr>
              <w:t xml:space="preserve"> atbalsta programmai, kas atbilst Komisijas regulas Nr.1470/2013  nosacījumiem, tā ir piemērojama vēl sešus turpmākos mēnešus, t.i. līdz 2021.gada 30.jūnijam. Ņemot vērā, ka tiek plānota regulas darbības termiņa pagarināšana, lai pēc pagarinājuma spēkā stāšanās nebūtu nepieciešams veikt grozījumus noteikumos, ierosinām tajā iekļaut punktu, piemēram, šādā redakcijā: </w:t>
            </w:r>
          </w:p>
          <w:p w14:paraId="6B6CCD2A" w14:textId="721F9689" w:rsidR="0032636E" w:rsidRPr="004B2EE3" w:rsidRDefault="00693713" w:rsidP="001E6B7A">
            <w:pPr>
              <w:pStyle w:val="NormalWeb"/>
              <w:shd w:val="clear" w:color="auto" w:fill="FFFFFF"/>
              <w:spacing w:before="0" w:beforeAutospacing="0" w:after="0" w:afterAutospacing="0"/>
              <w:ind w:left="360" w:hanging="360"/>
              <w:jc w:val="both"/>
              <w:rPr>
                <w:color w:val="201F1E"/>
                <w:sz w:val="22"/>
                <w:szCs w:val="22"/>
              </w:rPr>
            </w:pPr>
            <w:r w:rsidRPr="004B2EE3">
              <w:rPr>
                <w:color w:val="000000"/>
                <w:sz w:val="22"/>
                <w:szCs w:val="22"/>
              </w:rPr>
              <w:t xml:space="preserve">“Lēmumu par </w:t>
            </w:r>
            <w:proofErr w:type="spellStart"/>
            <w:r w:rsidRPr="004B2EE3">
              <w:rPr>
                <w:i/>
                <w:color w:val="000000"/>
                <w:sz w:val="22"/>
                <w:szCs w:val="22"/>
              </w:rPr>
              <w:t>de</w:t>
            </w:r>
            <w:proofErr w:type="spellEnd"/>
            <w:r w:rsidRPr="004B2EE3">
              <w:rPr>
                <w:i/>
                <w:color w:val="000000"/>
                <w:sz w:val="22"/>
                <w:szCs w:val="22"/>
              </w:rPr>
              <w:t xml:space="preserve"> </w:t>
            </w:r>
            <w:proofErr w:type="spellStart"/>
            <w:r w:rsidRPr="004B2EE3">
              <w:rPr>
                <w:i/>
                <w:color w:val="000000"/>
                <w:sz w:val="22"/>
                <w:szCs w:val="22"/>
              </w:rPr>
              <w:t>minimis</w:t>
            </w:r>
            <w:proofErr w:type="spellEnd"/>
            <w:r w:rsidRPr="004B2EE3">
              <w:rPr>
                <w:color w:val="000000"/>
                <w:sz w:val="22"/>
                <w:szCs w:val="22"/>
              </w:rPr>
              <w:t xml:space="preserve"> atbalsta piešķiršanu pieņem atbilstoši Komisijas regulas Nr.1407/2013 7. panta 4. punktam un 8. pantam.”</w:t>
            </w:r>
            <w:r w:rsidR="00BF34FD" w:rsidRPr="004B2EE3">
              <w:rPr>
                <w:color w:val="000000"/>
                <w:sz w:val="22"/>
                <w:szCs w:val="22"/>
                <w:bdr w:val="none" w:sz="0" w:space="0" w:color="auto" w:frame="1"/>
              </w:rPr>
              <w:t>.</w:t>
            </w:r>
          </w:p>
        </w:tc>
        <w:tc>
          <w:tcPr>
            <w:tcW w:w="2552" w:type="dxa"/>
            <w:tcBorders>
              <w:top w:val="single" w:sz="6" w:space="0" w:color="000000"/>
              <w:left w:val="single" w:sz="6" w:space="0" w:color="000000"/>
              <w:bottom w:val="single" w:sz="6" w:space="0" w:color="000000"/>
              <w:right w:val="single" w:sz="6" w:space="0" w:color="000000"/>
            </w:tcBorders>
          </w:tcPr>
          <w:p w14:paraId="69B8BAB0" w14:textId="3AFF7ACC" w:rsidR="0032636E" w:rsidRPr="004B2EE3" w:rsidRDefault="00EB21DE" w:rsidP="00EB21DE">
            <w:pPr>
              <w:pStyle w:val="naisc"/>
              <w:spacing w:before="0" w:after="0"/>
              <w:rPr>
                <w:sz w:val="22"/>
                <w:szCs w:val="22"/>
              </w:rPr>
            </w:pPr>
            <w:r w:rsidRPr="004B2EE3">
              <w:rPr>
                <w:b/>
                <w:sz w:val="22"/>
                <w:szCs w:val="22"/>
              </w:rPr>
              <w:lastRenderedPageBreak/>
              <w:t>Ņemts vērā</w:t>
            </w:r>
          </w:p>
        </w:tc>
        <w:tc>
          <w:tcPr>
            <w:tcW w:w="4260" w:type="dxa"/>
            <w:gridSpan w:val="2"/>
            <w:tcBorders>
              <w:left w:val="single" w:sz="4" w:space="0" w:color="auto"/>
              <w:bottom w:val="single" w:sz="4" w:space="0" w:color="auto"/>
            </w:tcBorders>
          </w:tcPr>
          <w:p w14:paraId="660DD716" w14:textId="062D112A" w:rsidR="008767A2" w:rsidRPr="004B2EE3" w:rsidRDefault="006D5705" w:rsidP="006D5705">
            <w:pPr>
              <w:spacing w:after="120" w:line="259" w:lineRule="auto"/>
              <w:jc w:val="both"/>
              <w:rPr>
                <w:sz w:val="22"/>
              </w:rPr>
            </w:pPr>
            <w:bookmarkStart w:id="1" w:name="_Hlk37834196"/>
            <w:r w:rsidRPr="004B2EE3">
              <w:rPr>
                <w:sz w:val="22"/>
              </w:rPr>
              <w:t>N</w:t>
            </w:r>
            <w:r w:rsidR="008767A2" w:rsidRPr="004B2EE3">
              <w:rPr>
                <w:sz w:val="22"/>
              </w:rPr>
              <w:t xml:space="preserve">oteikumu projekts papildināts ar </w:t>
            </w:r>
            <w:r w:rsidR="00534216" w:rsidRPr="004B2EE3">
              <w:rPr>
                <w:sz w:val="22"/>
              </w:rPr>
              <w:t>2</w:t>
            </w:r>
            <w:r w:rsidR="00B56204" w:rsidRPr="004B2EE3">
              <w:rPr>
                <w:sz w:val="22"/>
              </w:rPr>
              <w:t>.</w:t>
            </w:r>
            <w:r w:rsidR="00186440">
              <w:rPr>
                <w:sz w:val="22"/>
              </w:rPr>
              <w:t>,</w:t>
            </w:r>
            <w:r w:rsidR="00B56204" w:rsidRPr="004B2EE3">
              <w:rPr>
                <w:sz w:val="22"/>
              </w:rPr>
              <w:t xml:space="preserve"> un </w:t>
            </w:r>
            <w:r w:rsidR="00186440">
              <w:rPr>
                <w:sz w:val="22"/>
              </w:rPr>
              <w:t>3</w:t>
            </w:r>
            <w:r w:rsidR="00B56204" w:rsidRPr="004B2EE3">
              <w:rPr>
                <w:sz w:val="22"/>
              </w:rPr>
              <w:t>.punktu.</w:t>
            </w:r>
          </w:p>
          <w:bookmarkEnd w:id="1"/>
          <w:p w14:paraId="6EDEE5C6" w14:textId="6C40B0EC" w:rsidR="00BC20C1" w:rsidRPr="004B2EE3" w:rsidRDefault="00BC20C1" w:rsidP="00B56204">
            <w:pPr>
              <w:jc w:val="both"/>
              <w:rPr>
                <w:sz w:val="22"/>
              </w:rPr>
            </w:pPr>
          </w:p>
        </w:tc>
      </w:tr>
      <w:tr w:rsidR="00000607" w:rsidRPr="004B2EE3" w14:paraId="60C592E4" w14:textId="77777777" w:rsidTr="00F84755">
        <w:tc>
          <w:tcPr>
            <w:tcW w:w="675" w:type="dxa"/>
            <w:tcBorders>
              <w:top w:val="single" w:sz="6" w:space="0" w:color="000000"/>
              <w:left w:val="single" w:sz="6" w:space="0" w:color="000000"/>
              <w:bottom w:val="single" w:sz="6" w:space="0" w:color="000000"/>
              <w:right w:val="single" w:sz="6" w:space="0" w:color="000000"/>
            </w:tcBorders>
          </w:tcPr>
          <w:p w14:paraId="451EFF41" w14:textId="77777777" w:rsidR="00000607" w:rsidRPr="004B2EE3" w:rsidRDefault="00000607" w:rsidP="0069584F">
            <w:pPr>
              <w:pStyle w:val="naisc"/>
              <w:numPr>
                <w:ilvl w:val="0"/>
                <w:numId w:val="2"/>
              </w:numPr>
              <w:spacing w:before="0" w:after="0"/>
              <w:jc w:val="both"/>
              <w:rPr>
                <w:sz w:val="22"/>
                <w:szCs w:val="22"/>
              </w:rPr>
            </w:pPr>
          </w:p>
        </w:tc>
        <w:tc>
          <w:tcPr>
            <w:tcW w:w="2152" w:type="dxa"/>
            <w:tcBorders>
              <w:top w:val="single" w:sz="6" w:space="0" w:color="000000"/>
              <w:left w:val="single" w:sz="6" w:space="0" w:color="000000"/>
              <w:bottom w:val="single" w:sz="6" w:space="0" w:color="000000"/>
              <w:right w:val="single" w:sz="6" w:space="0" w:color="000000"/>
            </w:tcBorders>
          </w:tcPr>
          <w:p w14:paraId="513344CB" w14:textId="12F8A43B" w:rsidR="00000607" w:rsidRPr="004B2EE3" w:rsidRDefault="00C84A98" w:rsidP="002B345C">
            <w:pPr>
              <w:pStyle w:val="naisc"/>
              <w:spacing w:before="0" w:after="0"/>
              <w:jc w:val="both"/>
              <w:rPr>
                <w:sz w:val="22"/>
                <w:szCs w:val="22"/>
              </w:rPr>
            </w:pPr>
            <w:r w:rsidRPr="004B2EE3">
              <w:rPr>
                <w:b/>
                <w:sz w:val="22"/>
                <w:szCs w:val="22"/>
              </w:rPr>
              <w:t>Noteikumu projekts</w:t>
            </w:r>
          </w:p>
        </w:tc>
        <w:tc>
          <w:tcPr>
            <w:tcW w:w="5387" w:type="dxa"/>
            <w:gridSpan w:val="2"/>
            <w:tcBorders>
              <w:top w:val="single" w:sz="6" w:space="0" w:color="000000"/>
              <w:left w:val="single" w:sz="6" w:space="0" w:color="000000"/>
              <w:bottom w:val="single" w:sz="6" w:space="0" w:color="000000"/>
              <w:right w:val="single" w:sz="6" w:space="0" w:color="000000"/>
            </w:tcBorders>
          </w:tcPr>
          <w:p w14:paraId="46AA5BBC" w14:textId="6700ACBB" w:rsidR="00BF34FD" w:rsidRPr="004B2EE3" w:rsidRDefault="00BF34FD" w:rsidP="00BF34FD">
            <w:pPr>
              <w:pStyle w:val="naisc"/>
              <w:spacing w:before="0" w:after="0"/>
              <w:jc w:val="both"/>
              <w:rPr>
                <w:b/>
                <w:sz w:val="22"/>
                <w:szCs w:val="22"/>
              </w:rPr>
            </w:pPr>
            <w:r w:rsidRPr="004B2EE3">
              <w:rPr>
                <w:b/>
                <w:sz w:val="22"/>
                <w:szCs w:val="22"/>
              </w:rPr>
              <w:t>Finanšu ministrijas 15.04.2020. atzinums</w:t>
            </w:r>
            <w:r w:rsidR="00693713" w:rsidRPr="004B2EE3">
              <w:rPr>
                <w:b/>
                <w:sz w:val="22"/>
                <w:szCs w:val="22"/>
              </w:rPr>
              <w:t xml:space="preserve"> Nr.12/A-7/1938</w:t>
            </w:r>
          </w:p>
          <w:p w14:paraId="3BB62ADD" w14:textId="37307057" w:rsidR="00000607" w:rsidRPr="004B2EE3" w:rsidRDefault="007208A3" w:rsidP="00654A41">
            <w:pPr>
              <w:pStyle w:val="naisc"/>
              <w:spacing w:before="0" w:after="0"/>
              <w:jc w:val="both"/>
              <w:rPr>
                <w:sz w:val="22"/>
                <w:szCs w:val="22"/>
              </w:rPr>
            </w:pPr>
            <w:r w:rsidRPr="004B2EE3">
              <w:rPr>
                <w:color w:val="000000"/>
                <w:sz w:val="22"/>
                <w:szCs w:val="22"/>
                <w:shd w:val="clear" w:color="auto" w:fill="FFFFFF"/>
              </w:rPr>
              <w:t xml:space="preserve">Ievērojot to , ka MK noteikumu Nr.164 </w:t>
            </w:r>
            <w:proofErr w:type="spellStart"/>
            <w:r w:rsidRPr="004B2EE3">
              <w:rPr>
                <w:color w:val="000000"/>
                <w:sz w:val="22"/>
                <w:szCs w:val="22"/>
                <w:shd w:val="clear" w:color="auto" w:fill="FFFFFF"/>
              </w:rPr>
              <w:t>III.sadaļā</w:t>
            </w:r>
            <w:proofErr w:type="spellEnd"/>
            <w:r w:rsidRPr="004B2EE3">
              <w:rPr>
                <w:color w:val="000000"/>
                <w:sz w:val="22"/>
                <w:szCs w:val="22"/>
                <w:shd w:val="clear" w:color="auto" w:fill="FFFFFF"/>
              </w:rPr>
              <w:t xml:space="preserve"> atbalsts tiek sniegts investīciju aizdevumiem saskaņā ar Komisijas 2014. gada 17. jūnija Regulu (ES) Nr. 651/2014, ar ko noteiktas atbalsta kategorijas atzīst par saderīgām ar iekšējo tirgu, piemērojot Līguma 107. un 108. pantu (turpmāk – Komisijas regula Nr. 651/2014) 14.pantu un Noteikumu projektā ietverto ierosinājumu atļaut pagarināt maksimālo aizdevuma termiņu arī tādiem aizdevumiem, kas sniegti saskaņā ar Komisijas regulas Nr. 651/2014 14.pantu, vēršam uzmanību, ka aizdevuma termiņa pagarināšanas gadījumā šis būs jāvērtē kā jauns komercdarbības atbalsts un attiecībā uz to neizpildīsies stimulējošās ietekmes nosacījums, līdz ar to šādu pagarinājumu nav iespējams sniegt. Attiecīgi lūdzam Noteikumu projektā dzēst atsauci uz MK noteikumu Nr. 164 31.punktu.</w:t>
            </w:r>
          </w:p>
        </w:tc>
        <w:tc>
          <w:tcPr>
            <w:tcW w:w="2552" w:type="dxa"/>
            <w:tcBorders>
              <w:top w:val="single" w:sz="6" w:space="0" w:color="000000"/>
              <w:left w:val="single" w:sz="6" w:space="0" w:color="000000"/>
              <w:bottom w:val="single" w:sz="6" w:space="0" w:color="000000"/>
              <w:right w:val="single" w:sz="6" w:space="0" w:color="000000"/>
            </w:tcBorders>
          </w:tcPr>
          <w:p w14:paraId="2DA053A1" w14:textId="51A80572" w:rsidR="00EB21DE" w:rsidRPr="004B2EE3" w:rsidRDefault="00EB21DE" w:rsidP="00EB21DE">
            <w:pPr>
              <w:pStyle w:val="naisc"/>
              <w:spacing w:before="0" w:after="0"/>
              <w:rPr>
                <w:b/>
                <w:sz w:val="22"/>
                <w:szCs w:val="22"/>
              </w:rPr>
            </w:pPr>
            <w:r w:rsidRPr="004B2EE3">
              <w:rPr>
                <w:b/>
                <w:sz w:val="22"/>
                <w:szCs w:val="22"/>
              </w:rPr>
              <w:t>Ņemts vērā</w:t>
            </w:r>
          </w:p>
          <w:p w14:paraId="02DFCC54" w14:textId="7AB516AF" w:rsidR="0006192A" w:rsidRPr="004B2EE3" w:rsidRDefault="0006192A" w:rsidP="006C7AC7">
            <w:pPr>
              <w:pStyle w:val="naisc"/>
              <w:rPr>
                <w:sz w:val="22"/>
                <w:szCs w:val="22"/>
              </w:rPr>
            </w:pPr>
          </w:p>
        </w:tc>
        <w:tc>
          <w:tcPr>
            <w:tcW w:w="4260" w:type="dxa"/>
            <w:gridSpan w:val="2"/>
            <w:tcBorders>
              <w:top w:val="single" w:sz="4" w:space="0" w:color="auto"/>
              <w:left w:val="single" w:sz="4" w:space="0" w:color="auto"/>
              <w:bottom w:val="single" w:sz="4" w:space="0" w:color="auto"/>
            </w:tcBorders>
          </w:tcPr>
          <w:p w14:paraId="6C6890BF" w14:textId="77777777" w:rsidR="00247DFE" w:rsidRPr="004B2EE3" w:rsidRDefault="00247DFE" w:rsidP="00104F07">
            <w:pPr>
              <w:jc w:val="both"/>
              <w:rPr>
                <w:b/>
                <w:bCs/>
                <w:sz w:val="22"/>
              </w:rPr>
            </w:pPr>
            <w:r w:rsidRPr="004B2EE3">
              <w:rPr>
                <w:b/>
                <w:bCs/>
                <w:sz w:val="22"/>
              </w:rPr>
              <w:t>N</w:t>
            </w:r>
            <w:r w:rsidR="00EB21DE" w:rsidRPr="004B2EE3">
              <w:rPr>
                <w:b/>
                <w:bCs/>
                <w:sz w:val="22"/>
              </w:rPr>
              <w:t>oteikumu projekt</w:t>
            </w:r>
            <w:r w:rsidR="00B56204" w:rsidRPr="004B2EE3">
              <w:rPr>
                <w:b/>
                <w:bCs/>
                <w:sz w:val="22"/>
              </w:rPr>
              <w:t xml:space="preserve">a </w:t>
            </w:r>
            <w:r w:rsidRPr="004B2EE3">
              <w:rPr>
                <w:b/>
                <w:bCs/>
                <w:sz w:val="22"/>
              </w:rPr>
              <w:t>4</w:t>
            </w:r>
            <w:r w:rsidR="00B56204" w:rsidRPr="004B2EE3">
              <w:rPr>
                <w:b/>
                <w:bCs/>
                <w:sz w:val="22"/>
              </w:rPr>
              <w:t>. punkt</w:t>
            </w:r>
            <w:r w:rsidRPr="004B2EE3">
              <w:rPr>
                <w:b/>
                <w:bCs/>
                <w:sz w:val="22"/>
              </w:rPr>
              <w:t>s izteikts šādā redakcijā:</w:t>
            </w:r>
          </w:p>
          <w:p w14:paraId="7BDA9534" w14:textId="6DEAD298" w:rsidR="007D4F52" w:rsidRPr="004B2EE3" w:rsidRDefault="007D4F52" w:rsidP="007D4F52">
            <w:pPr>
              <w:jc w:val="both"/>
              <w:rPr>
                <w:sz w:val="22"/>
              </w:rPr>
            </w:pPr>
            <w:r w:rsidRPr="004B2EE3">
              <w:rPr>
                <w:sz w:val="22"/>
              </w:rPr>
              <w:t>“4.</w:t>
            </w:r>
            <w:r w:rsidRPr="004B2EE3">
              <w:rPr>
                <w:sz w:val="22"/>
              </w:rPr>
              <w:tab/>
              <w:t>Izteikt noteikumu 43. punktu šādā redakcijā:</w:t>
            </w:r>
          </w:p>
          <w:p w14:paraId="32DF21F0" w14:textId="4FCC87B0" w:rsidR="00000607" w:rsidRPr="004B2EE3" w:rsidRDefault="007D4F52" w:rsidP="00104F07">
            <w:pPr>
              <w:jc w:val="both"/>
              <w:rPr>
                <w:sz w:val="22"/>
              </w:rPr>
            </w:pPr>
            <w:r w:rsidRPr="004B2EE3">
              <w:rPr>
                <w:sz w:val="22"/>
              </w:rPr>
              <w:t>"43. Šo noteikumu 19., 34.7 un 34.21 punktā noteikto maksimālo aizdevuma termiņu var pagarināt līdz 12 mēnešiem."”</w:t>
            </w:r>
            <w:r w:rsidR="00EB21DE" w:rsidRPr="004B2EE3">
              <w:rPr>
                <w:sz w:val="22"/>
              </w:rPr>
              <w:t xml:space="preserve"> </w:t>
            </w:r>
          </w:p>
          <w:p w14:paraId="066EF371" w14:textId="77777777" w:rsidR="00EB21DE" w:rsidRPr="004B2EE3" w:rsidRDefault="00EB21DE" w:rsidP="00104F07">
            <w:pPr>
              <w:jc w:val="both"/>
              <w:rPr>
                <w:sz w:val="22"/>
              </w:rPr>
            </w:pPr>
          </w:p>
          <w:p w14:paraId="5EAE537C" w14:textId="550FB1D7" w:rsidR="00EB21DE" w:rsidRPr="004B2EE3" w:rsidRDefault="00EB21DE" w:rsidP="00104F07">
            <w:pPr>
              <w:jc w:val="both"/>
              <w:rPr>
                <w:sz w:val="22"/>
              </w:rPr>
            </w:pPr>
          </w:p>
        </w:tc>
      </w:tr>
      <w:tr w:rsidR="00392ACB" w:rsidRPr="004B2EE3" w14:paraId="5904205F" w14:textId="77777777" w:rsidTr="00F84755">
        <w:tc>
          <w:tcPr>
            <w:tcW w:w="675" w:type="dxa"/>
            <w:tcBorders>
              <w:top w:val="single" w:sz="6" w:space="0" w:color="000000"/>
              <w:left w:val="single" w:sz="6" w:space="0" w:color="000000"/>
              <w:bottom w:val="single" w:sz="6" w:space="0" w:color="000000"/>
              <w:right w:val="single" w:sz="6" w:space="0" w:color="000000"/>
            </w:tcBorders>
          </w:tcPr>
          <w:p w14:paraId="16A11351" w14:textId="77777777" w:rsidR="00392ACB" w:rsidRPr="004B2EE3" w:rsidRDefault="00392ACB" w:rsidP="00392ACB">
            <w:pPr>
              <w:pStyle w:val="naisc"/>
              <w:numPr>
                <w:ilvl w:val="0"/>
                <w:numId w:val="2"/>
              </w:numPr>
              <w:spacing w:before="0" w:after="0"/>
              <w:jc w:val="both"/>
              <w:rPr>
                <w:sz w:val="22"/>
                <w:szCs w:val="22"/>
              </w:rPr>
            </w:pPr>
          </w:p>
        </w:tc>
        <w:tc>
          <w:tcPr>
            <w:tcW w:w="2152" w:type="dxa"/>
            <w:tcBorders>
              <w:top w:val="single" w:sz="6" w:space="0" w:color="000000"/>
              <w:left w:val="single" w:sz="6" w:space="0" w:color="000000"/>
              <w:bottom w:val="single" w:sz="6" w:space="0" w:color="000000"/>
              <w:right w:val="single" w:sz="6" w:space="0" w:color="000000"/>
            </w:tcBorders>
          </w:tcPr>
          <w:p w14:paraId="3C6EBFC6" w14:textId="4ED45F9E" w:rsidR="00392ACB" w:rsidRPr="004B2EE3" w:rsidRDefault="00C84A98" w:rsidP="00392ACB">
            <w:pPr>
              <w:pStyle w:val="naisc"/>
              <w:jc w:val="both"/>
              <w:rPr>
                <w:sz w:val="22"/>
                <w:szCs w:val="22"/>
              </w:rPr>
            </w:pPr>
            <w:r w:rsidRPr="004B2EE3">
              <w:rPr>
                <w:b/>
                <w:sz w:val="22"/>
                <w:szCs w:val="22"/>
              </w:rPr>
              <w:t>Noteikumu projekts</w:t>
            </w:r>
          </w:p>
        </w:tc>
        <w:tc>
          <w:tcPr>
            <w:tcW w:w="5387" w:type="dxa"/>
            <w:gridSpan w:val="2"/>
            <w:tcBorders>
              <w:top w:val="single" w:sz="6" w:space="0" w:color="000000"/>
              <w:left w:val="single" w:sz="6" w:space="0" w:color="000000"/>
              <w:bottom w:val="single" w:sz="6" w:space="0" w:color="000000"/>
              <w:right w:val="single" w:sz="6" w:space="0" w:color="000000"/>
            </w:tcBorders>
          </w:tcPr>
          <w:p w14:paraId="108E0C26" w14:textId="3FFEE5CE" w:rsidR="00BF34FD" w:rsidRPr="004B2EE3" w:rsidRDefault="00BF34FD" w:rsidP="00BF34FD">
            <w:pPr>
              <w:pStyle w:val="naisc"/>
              <w:spacing w:before="0" w:after="0"/>
              <w:jc w:val="both"/>
              <w:rPr>
                <w:b/>
                <w:sz w:val="22"/>
                <w:szCs w:val="22"/>
              </w:rPr>
            </w:pPr>
            <w:r w:rsidRPr="004B2EE3">
              <w:rPr>
                <w:b/>
                <w:sz w:val="22"/>
                <w:szCs w:val="22"/>
              </w:rPr>
              <w:t>Finanšu ministrijas 15.04.2020. atzinums</w:t>
            </w:r>
            <w:r w:rsidR="00693713" w:rsidRPr="004B2EE3">
              <w:rPr>
                <w:b/>
                <w:sz w:val="22"/>
                <w:szCs w:val="22"/>
              </w:rPr>
              <w:t xml:space="preserve"> Nr.12/A-7/1938</w:t>
            </w:r>
          </w:p>
          <w:p w14:paraId="02348984" w14:textId="0A445F25" w:rsidR="00392ACB" w:rsidRPr="004B2EE3" w:rsidRDefault="007208A3" w:rsidP="002B103B">
            <w:pPr>
              <w:contextualSpacing/>
              <w:jc w:val="both"/>
              <w:rPr>
                <w:sz w:val="22"/>
              </w:rPr>
            </w:pPr>
            <w:r w:rsidRPr="004B2EE3">
              <w:rPr>
                <w:color w:val="000000"/>
                <w:sz w:val="22"/>
                <w:shd w:val="clear" w:color="auto" w:fill="FFFFFF"/>
              </w:rPr>
              <w:t xml:space="preserve">Ievērojot to, ka MK noteikumu Nr.164 </w:t>
            </w:r>
            <w:proofErr w:type="spellStart"/>
            <w:r w:rsidRPr="004B2EE3">
              <w:rPr>
                <w:color w:val="000000"/>
                <w:sz w:val="22"/>
                <w:shd w:val="clear" w:color="auto" w:fill="FFFFFF"/>
              </w:rPr>
              <w:t>III.sadaļā</w:t>
            </w:r>
            <w:proofErr w:type="spellEnd"/>
            <w:r w:rsidRPr="004B2EE3">
              <w:rPr>
                <w:color w:val="000000"/>
                <w:sz w:val="22"/>
                <w:shd w:val="clear" w:color="auto" w:fill="FFFFFF"/>
              </w:rPr>
              <w:t xml:space="preserve"> atbalsts tiek sniegts saskaņā ar Komisijas regulu Nr. 651/2014 un, ņemot vērā aktuālāko Eiropas Savienības tiesas judikatūru (sk. Eiropas Savienības Tiesas 2019.gada 5.marta spriedumu lietā Nr.C-349/17 (ECLI:EU:C:2019:172)), lūdzam papildināt MK noteikumu projektu ar punktu, kas paredz nelikumīga komercdarbības atbalsta atgūšanu kopā ar procentiem, ja komercdarbības atbalsta saņēmējs ir pārkāpis Komisijas regulas Nr. 651/2014 prasības, piemēram, šādā redakcijā: “</w:t>
            </w:r>
            <w:bookmarkStart w:id="2" w:name="_Hlk37834249"/>
            <w:r w:rsidRPr="004B2EE3">
              <w:rPr>
                <w:color w:val="000000"/>
                <w:sz w:val="22"/>
                <w:shd w:val="clear" w:color="auto" w:fill="FFFFFF"/>
              </w:rPr>
              <w:t>Ja tiek konstatēts, ka komercdarbības atbalsts investīciju aizdevumiem ir piešķirts, pārkāpjot  Regulas Nr. 651/2014 prasības, komercdarbības atbalsta saņēmējam ir pienākums atmaksāt atbalsta sniedzējam visu šo noteikumu ietvaros saņemto nelikumīgo komercdarbības atbalstu kopā ar procentiem, ko publicē Eiropas Komisija saskaņā ar Komisijas 2004.gada 21.aprīļa regulas (EK) Nr. 794/2004, ar ko īsteno Padomes Regulu (ES) 2015/1589, ar ko nosaka sīki izstrādātus noteikumus Līguma par Eiropas Savienības darbību 108.panta piemērošanai, 10.pantu, tiem pieskaitot 100 bāzes punktus, no dienas, kad komercdarbības atbalsts tika nodots galalietotāja rīcībā līdz tā atgūšanas dienai, ievērojot Komisijas 2004.gada 21.aprīļa regulas (EK) Nr. 794/2004, ar ko īsteno Padomes Regulu (ES) 2015/1589, ar ko nosaka sīki izstrādātus noteikumus Līguma par Eiropas Savienības darbību 108.panta piemērošanai, 11.pantā noteikto procentu likmes piemērošanas metodi.</w:t>
            </w:r>
            <w:bookmarkEnd w:id="2"/>
          </w:p>
        </w:tc>
        <w:tc>
          <w:tcPr>
            <w:tcW w:w="2552" w:type="dxa"/>
            <w:tcBorders>
              <w:top w:val="single" w:sz="6" w:space="0" w:color="000000"/>
              <w:left w:val="single" w:sz="6" w:space="0" w:color="000000"/>
              <w:bottom w:val="single" w:sz="6" w:space="0" w:color="000000"/>
              <w:right w:val="single" w:sz="6" w:space="0" w:color="000000"/>
            </w:tcBorders>
          </w:tcPr>
          <w:p w14:paraId="348C3E55" w14:textId="77777777" w:rsidR="00392ACB" w:rsidRPr="004B2EE3" w:rsidRDefault="00392ACB" w:rsidP="00392ACB">
            <w:pPr>
              <w:pStyle w:val="naisc"/>
              <w:spacing w:before="0" w:after="0"/>
              <w:rPr>
                <w:b/>
                <w:sz w:val="22"/>
                <w:szCs w:val="22"/>
              </w:rPr>
            </w:pPr>
            <w:r w:rsidRPr="004B2EE3">
              <w:rPr>
                <w:b/>
                <w:sz w:val="22"/>
                <w:szCs w:val="22"/>
              </w:rPr>
              <w:t>Ņemts vērā</w:t>
            </w:r>
          </w:p>
          <w:p w14:paraId="03401143" w14:textId="77777777" w:rsidR="00392ACB" w:rsidRPr="004B2EE3" w:rsidRDefault="00392ACB" w:rsidP="00392ACB">
            <w:pPr>
              <w:pStyle w:val="naisc"/>
              <w:spacing w:before="0" w:after="0"/>
              <w:ind w:firstLine="720"/>
              <w:jc w:val="left"/>
              <w:rPr>
                <w:sz w:val="22"/>
                <w:szCs w:val="22"/>
              </w:rPr>
            </w:pPr>
          </w:p>
        </w:tc>
        <w:tc>
          <w:tcPr>
            <w:tcW w:w="4260" w:type="dxa"/>
            <w:gridSpan w:val="2"/>
            <w:tcBorders>
              <w:top w:val="single" w:sz="4" w:space="0" w:color="auto"/>
              <w:left w:val="single" w:sz="4" w:space="0" w:color="auto"/>
              <w:bottom w:val="single" w:sz="4" w:space="0" w:color="auto"/>
            </w:tcBorders>
          </w:tcPr>
          <w:p w14:paraId="69447105" w14:textId="77777777" w:rsidR="006D5705" w:rsidRPr="004B2EE3" w:rsidRDefault="006D5705" w:rsidP="006D5705">
            <w:pPr>
              <w:spacing w:line="259" w:lineRule="auto"/>
              <w:jc w:val="both"/>
              <w:rPr>
                <w:b/>
                <w:bCs/>
                <w:sz w:val="22"/>
              </w:rPr>
            </w:pPr>
            <w:r w:rsidRPr="004B2EE3">
              <w:rPr>
                <w:b/>
                <w:bCs/>
                <w:sz w:val="22"/>
              </w:rPr>
              <w:t>N</w:t>
            </w:r>
            <w:r w:rsidR="004162AE" w:rsidRPr="004B2EE3">
              <w:rPr>
                <w:b/>
                <w:bCs/>
                <w:sz w:val="22"/>
              </w:rPr>
              <w:t xml:space="preserve">oteikumu projekts </w:t>
            </w:r>
            <w:r w:rsidRPr="004B2EE3">
              <w:rPr>
                <w:b/>
                <w:bCs/>
                <w:sz w:val="22"/>
              </w:rPr>
              <w:t>2.punktā ietvers 37.</w:t>
            </w:r>
            <w:r w:rsidRPr="004B2EE3">
              <w:rPr>
                <w:b/>
                <w:bCs/>
                <w:sz w:val="22"/>
                <w:vertAlign w:val="superscript"/>
              </w:rPr>
              <w:t>2</w:t>
            </w:r>
            <w:r w:rsidRPr="004B2EE3">
              <w:rPr>
                <w:b/>
                <w:bCs/>
                <w:sz w:val="22"/>
              </w:rPr>
              <w:t xml:space="preserve"> punkts šādā redakcijā:</w:t>
            </w:r>
          </w:p>
          <w:p w14:paraId="4BE2DB4E" w14:textId="5C97B68D" w:rsidR="008C6EE1" w:rsidRPr="004B2EE3" w:rsidRDefault="006D5705" w:rsidP="006D5705">
            <w:pPr>
              <w:spacing w:line="259" w:lineRule="auto"/>
              <w:jc w:val="both"/>
              <w:rPr>
                <w:sz w:val="22"/>
              </w:rPr>
            </w:pPr>
            <w:r w:rsidRPr="004B2EE3">
              <w:rPr>
                <w:sz w:val="22"/>
              </w:rPr>
              <w:t>“37.</w:t>
            </w:r>
            <w:r w:rsidRPr="004B2EE3">
              <w:rPr>
                <w:sz w:val="22"/>
                <w:vertAlign w:val="superscript"/>
              </w:rPr>
              <w:t>2</w:t>
            </w:r>
            <w:r w:rsidRPr="004B2EE3">
              <w:rPr>
                <w:sz w:val="22"/>
              </w:rPr>
              <w:t xml:space="preserve"> Ja tiek konstatēts, ka komercdarbības atbalsts investīciju aizdevumiem ir piešķirts, pārkāpjot  Regulas Nr. 651/2014 prasības, komercdarbības atbalsta saņēmējam ir pienākums atmaksāt sabiedrībai </w:t>
            </w:r>
            <w:proofErr w:type="spellStart"/>
            <w:r w:rsidRPr="004B2EE3">
              <w:rPr>
                <w:sz w:val="22"/>
              </w:rPr>
              <w:t>Altum</w:t>
            </w:r>
            <w:proofErr w:type="spellEnd"/>
            <w:r w:rsidRPr="004B2EE3">
              <w:rPr>
                <w:sz w:val="22"/>
              </w:rPr>
              <w:t xml:space="preserve"> visu šo noteikumu ietvaros saņemto nelikumīgo komercdarbības atbalstu kopā ar procentiem, kuru likmi publicē Eiropas Komisija saskaņā ar Komisijas 2004. gada 21. aprīļa regulas (EK) Nr. 794/2004, ar ko īsteno Padomes Regulu (ES) 2015/1589, ar ko nosaka sīki izstrādātus noteikumus Līguma par Eiropas Savienības darbību 108.panta piemērošanai, 10. pantu, tiem pieskaitot 100 bāzes punktus, no dienas, kad komercdarbības atbalsts tika nodots galalietotāja rīcībā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r w:rsidR="00C84A98" w:rsidRPr="004B2EE3">
              <w:rPr>
                <w:sz w:val="22"/>
              </w:rPr>
              <w:t>.</w:t>
            </w:r>
          </w:p>
        </w:tc>
      </w:tr>
      <w:tr w:rsidR="00297713" w:rsidRPr="004B2EE3" w14:paraId="0ADF0CFC" w14:textId="77777777" w:rsidTr="00F84755">
        <w:tc>
          <w:tcPr>
            <w:tcW w:w="675" w:type="dxa"/>
            <w:tcBorders>
              <w:top w:val="single" w:sz="6" w:space="0" w:color="000000"/>
              <w:left w:val="single" w:sz="6" w:space="0" w:color="000000"/>
              <w:bottom w:val="single" w:sz="6" w:space="0" w:color="000000"/>
              <w:right w:val="single" w:sz="6" w:space="0" w:color="000000"/>
            </w:tcBorders>
          </w:tcPr>
          <w:p w14:paraId="0E5AAF9C" w14:textId="77777777" w:rsidR="00297713" w:rsidRPr="004B2EE3" w:rsidRDefault="00297713" w:rsidP="0069584F">
            <w:pPr>
              <w:pStyle w:val="naisc"/>
              <w:numPr>
                <w:ilvl w:val="0"/>
                <w:numId w:val="2"/>
              </w:numPr>
              <w:spacing w:before="0" w:after="0"/>
              <w:jc w:val="both"/>
              <w:rPr>
                <w:sz w:val="22"/>
                <w:szCs w:val="22"/>
              </w:rPr>
            </w:pPr>
          </w:p>
        </w:tc>
        <w:tc>
          <w:tcPr>
            <w:tcW w:w="2152" w:type="dxa"/>
            <w:tcBorders>
              <w:top w:val="single" w:sz="6" w:space="0" w:color="000000"/>
              <w:left w:val="single" w:sz="6" w:space="0" w:color="000000"/>
              <w:bottom w:val="single" w:sz="6" w:space="0" w:color="000000"/>
              <w:right w:val="single" w:sz="6" w:space="0" w:color="000000"/>
            </w:tcBorders>
          </w:tcPr>
          <w:p w14:paraId="480FB802" w14:textId="79C0F693" w:rsidR="00297713" w:rsidRPr="004B2EE3" w:rsidRDefault="00297713" w:rsidP="002B345C">
            <w:pPr>
              <w:pStyle w:val="naisc"/>
              <w:spacing w:before="0" w:after="0"/>
              <w:jc w:val="both"/>
              <w:rPr>
                <w:sz w:val="22"/>
                <w:szCs w:val="22"/>
              </w:rPr>
            </w:pPr>
          </w:p>
        </w:tc>
        <w:tc>
          <w:tcPr>
            <w:tcW w:w="5387" w:type="dxa"/>
            <w:gridSpan w:val="2"/>
            <w:tcBorders>
              <w:top w:val="single" w:sz="6" w:space="0" w:color="000000"/>
              <w:left w:val="single" w:sz="6" w:space="0" w:color="000000"/>
              <w:bottom w:val="single" w:sz="6" w:space="0" w:color="000000"/>
              <w:right w:val="single" w:sz="6" w:space="0" w:color="000000"/>
            </w:tcBorders>
          </w:tcPr>
          <w:p w14:paraId="30401532" w14:textId="3F2CB34C" w:rsidR="007208A3" w:rsidRPr="004B2EE3" w:rsidRDefault="007208A3" w:rsidP="007208A3">
            <w:pPr>
              <w:pStyle w:val="naisc"/>
              <w:spacing w:before="0" w:after="0"/>
              <w:jc w:val="both"/>
              <w:rPr>
                <w:b/>
                <w:sz w:val="22"/>
                <w:szCs w:val="22"/>
              </w:rPr>
            </w:pPr>
            <w:r w:rsidRPr="004B2EE3">
              <w:rPr>
                <w:b/>
                <w:sz w:val="22"/>
                <w:szCs w:val="22"/>
              </w:rPr>
              <w:t>Finanšu ministrijas 15.04.2020. atzinums</w:t>
            </w:r>
            <w:r w:rsidR="00693713" w:rsidRPr="004B2EE3">
              <w:rPr>
                <w:b/>
                <w:sz w:val="22"/>
                <w:szCs w:val="22"/>
              </w:rPr>
              <w:t xml:space="preserve"> Nr.12/A-7/1938</w:t>
            </w:r>
          </w:p>
          <w:p w14:paraId="57C2E91C" w14:textId="44E0F154" w:rsidR="00297713" w:rsidRPr="004B2EE3" w:rsidRDefault="007208A3" w:rsidP="002C0E77">
            <w:pPr>
              <w:pStyle w:val="naisc"/>
              <w:spacing w:before="0" w:after="0"/>
              <w:jc w:val="both"/>
              <w:rPr>
                <w:sz w:val="22"/>
                <w:szCs w:val="22"/>
              </w:rPr>
            </w:pPr>
            <w:r w:rsidRPr="004B2EE3">
              <w:rPr>
                <w:color w:val="000000"/>
                <w:sz w:val="22"/>
                <w:szCs w:val="22"/>
                <w:shd w:val="clear" w:color="auto" w:fill="FFFFFF"/>
              </w:rPr>
              <w:t xml:space="preserve">Lai nodrošinātu MK noteikumu Nr.164 atbilstību Komisijas regula Nr. 651/2014 nosacījumiem, lūdzam papildināt noteikumu projektu ar prasību, kas izriet no Komisijas regulas Nr. 651/2014 9. panta 1. un 4. punkta par </w:t>
            </w:r>
            <w:proofErr w:type="spellStart"/>
            <w:r w:rsidRPr="004B2EE3">
              <w:rPr>
                <w:color w:val="000000"/>
                <w:sz w:val="22"/>
                <w:szCs w:val="22"/>
                <w:shd w:val="clear" w:color="auto" w:fill="FFFFFF"/>
              </w:rPr>
              <w:lastRenderedPageBreak/>
              <w:t>pārredzamības</w:t>
            </w:r>
            <w:proofErr w:type="spellEnd"/>
            <w:r w:rsidRPr="004B2EE3">
              <w:rPr>
                <w:color w:val="000000"/>
                <w:sz w:val="22"/>
                <w:szCs w:val="22"/>
                <w:shd w:val="clear" w:color="auto" w:fill="FFFFFF"/>
              </w:rPr>
              <w:t xml:space="preserve"> prasības izpildi, nosakot iestādi, kura minēto prasību nodrošinās.</w:t>
            </w:r>
          </w:p>
        </w:tc>
        <w:tc>
          <w:tcPr>
            <w:tcW w:w="2552" w:type="dxa"/>
            <w:tcBorders>
              <w:top w:val="single" w:sz="6" w:space="0" w:color="000000"/>
              <w:left w:val="single" w:sz="6" w:space="0" w:color="000000"/>
              <w:bottom w:val="single" w:sz="6" w:space="0" w:color="000000"/>
              <w:right w:val="single" w:sz="6" w:space="0" w:color="000000"/>
            </w:tcBorders>
          </w:tcPr>
          <w:p w14:paraId="3994995F" w14:textId="1DB76A38" w:rsidR="000F5A3C" w:rsidRPr="004B2EE3" w:rsidRDefault="00F727A5" w:rsidP="00F727A5">
            <w:pPr>
              <w:pStyle w:val="naisc"/>
              <w:spacing w:before="0" w:after="0"/>
              <w:rPr>
                <w:b/>
                <w:bCs/>
                <w:color w:val="FF0000"/>
                <w:sz w:val="22"/>
                <w:szCs w:val="22"/>
              </w:rPr>
            </w:pPr>
            <w:r w:rsidRPr="004B2EE3">
              <w:rPr>
                <w:b/>
                <w:bCs/>
                <w:sz w:val="22"/>
                <w:szCs w:val="22"/>
              </w:rPr>
              <w:lastRenderedPageBreak/>
              <w:t>Ņemts vērā</w:t>
            </w:r>
          </w:p>
        </w:tc>
        <w:tc>
          <w:tcPr>
            <w:tcW w:w="4260" w:type="dxa"/>
            <w:gridSpan w:val="2"/>
            <w:tcBorders>
              <w:top w:val="single" w:sz="4" w:space="0" w:color="auto"/>
              <w:left w:val="single" w:sz="4" w:space="0" w:color="auto"/>
              <w:bottom w:val="single" w:sz="4" w:space="0" w:color="auto"/>
            </w:tcBorders>
          </w:tcPr>
          <w:p w14:paraId="14CCAB94" w14:textId="499186CE" w:rsidR="00423956" w:rsidRPr="004B2EE3" w:rsidRDefault="00F727A5" w:rsidP="00104F07">
            <w:pPr>
              <w:jc w:val="both"/>
              <w:rPr>
                <w:sz w:val="22"/>
              </w:rPr>
            </w:pPr>
            <w:r w:rsidRPr="004B2EE3">
              <w:rPr>
                <w:b/>
                <w:bCs/>
                <w:sz w:val="22"/>
              </w:rPr>
              <w:t xml:space="preserve">Noteikumu projekta </w:t>
            </w:r>
            <w:r w:rsidR="00186440">
              <w:rPr>
                <w:b/>
                <w:bCs/>
                <w:sz w:val="22"/>
              </w:rPr>
              <w:t>3</w:t>
            </w:r>
            <w:r w:rsidRPr="004B2EE3">
              <w:rPr>
                <w:b/>
                <w:bCs/>
                <w:sz w:val="22"/>
              </w:rPr>
              <w:t>.punktā ietverts 38.</w:t>
            </w:r>
            <w:r w:rsidRPr="004B2EE3">
              <w:rPr>
                <w:b/>
                <w:bCs/>
                <w:sz w:val="22"/>
                <w:vertAlign w:val="superscript"/>
              </w:rPr>
              <w:t>7</w:t>
            </w:r>
            <w:r w:rsidRPr="004B2EE3">
              <w:rPr>
                <w:b/>
                <w:bCs/>
                <w:sz w:val="22"/>
              </w:rPr>
              <w:t xml:space="preserve"> punkts šādā redakcijā:</w:t>
            </w:r>
            <w:r w:rsidRPr="004B2EE3">
              <w:rPr>
                <w:sz w:val="22"/>
              </w:rPr>
              <w:br/>
              <w:t>"38.</w:t>
            </w:r>
            <w:r w:rsidRPr="004B2EE3">
              <w:rPr>
                <w:sz w:val="22"/>
                <w:vertAlign w:val="superscript"/>
              </w:rPr>
              <w:t>7</w:t>
            </w:r>
            <w:r w:rsidRPr="004B2EE3">
              <w:rPr>
                <w:sz w:val="22"/>
              </w:rPr>
              <w:t xml:space="preserve"> Sabiedrība </w:t>
            </w:r>
            <w:proofErr w:type="spellStart"/>
            <w:r w:rsidRPr="004B2EE3">
              <w:rPr>
                <w:sz w:val="22"/>
              </w:rPr>
              <w:t>Altum</w:t>
            </w:r>
            <w:proofErr w:type="spellEnd"/>
            <w:r w:rsidRPr="004B2EE3">
              <w:rPr>
                <w:sz w:val="22"/>
              </w:rPr>
              <w:t xml:space="preserve"> informāciju par šo noteikumu ietvaros izsniegto atbalstu publicē atbilstoši Komisijas regulas Nr. 651/2014 9. panta 1. un 4. punkt</w:t>
            </w:r>
            <w:r w:rsidR="00C35687">
              <w:rPr>
                <w:sz w:val="22"/>
              </w:rPr>
              <w:t xml:space="preserve">ā </w:t>
            </w:r>
            <w:r w:rsidR="00C35687" w:rsidRPr="00C35687">
              <w:rPr>
                <w:b/>
                <w:bCs/>
                <w:sz w:val="22"/>
              </w:rPr>
              <w:t xml:space="preserve">noteiktajām publicitātes pasākumu prasībām atbilstoši </w:t>
            </w:r>
            <w:r w:rsidR="00C35687" w:rsidRPr="00C35687">
              <w:rPr>
                <w:b/>
                <w:bCs/>
                <w:sz w:val="22"/>
              </w:rPr>
              <w:lastRenderedPageBreak/>
              <w:t>normatīvajiem aktiem par kārtību, kādā publicē informāciju par sniegto komercdarbības atbalstu un piešķir un anulē elektroniskās sistēmas lietošanas tiesības</w:t>
            </w:r>
            <w:r w:rsidR="008034C3">
              <w:rPr>
                <w:b/>
                <w:bCs/>
                <w:sz w:val="22"/>
              </w:rPr>
              <w:t>.</w:t>
            </w:r>
            <w:r w:rsidRPr="00C35687">
              <w:rPr>
                <w:b/>
                <w:bCs/>
                <w:sz w:val="22"/>
              </w:rPr>
              <w:t>"</w:t>
            </w:r>
          </w:p>
        </w:tc>
      </w:tr>
      <w:tr w:rsidR="00611538" w:rsidRPr="004B2EE3" w14:paraId="01C9FB05" w14:textId="77777777" w:rsidTr="00F84755">
        <w:tc>
          <w:tcPr>
            <w:tcW w:w="15026" w:type="dxa"/>
            <w:gridSpan w:val="7"/>
            <w:tcBorders>
              <w:top w:val="single" w:sz="6" w:space="0" w:color="000000"/>
              <w:left w:val="single" w:sz="6" w:space="0" w:color="000000"/>
              <w:bottom w:val="single" w:sz="6" w:space="0" w:color="000000"/>
            </w:tcBorders>
          </w:tcPr>
          <w:p w14:paraId="3EB35B7F" w14:textId="01A777D6" w:rsidR="007034A8" w:rsidRPr="004B2EE3" w:rsidRDefault="00611538" w:rsidP="000E7FE3">
            <w:pPr>
              <w:jc w:val="center"/>
              <w:rPr>
                <w:b/>
                <w:sz w:val="22"/>
              </w:rPr>
            </w:pPr>
            <w:r w:rsidRPr="004B2EE3">
              <w:rPr>
                <w:b/>
                <w:sz w:val="22"/>
              </w:rPr>
              <w:lastRenderedPageBreak/>
              <w:t>Priekšlikumi</w:t>
            </w:r>
          </w:p>
        </w:tc>
      </w:tr>
      <w:tr w:rsidR="00611538" w:rsidRPr="004B2EE3" w14:paraId="13FAE5DF" w14:textId="77777777" w:rsidTr="00F84755">
        <w:tc>
          <w:tcPr>
            <w:tcW w:w="675" w:type="dxa"/>
            <w:tcBorders>
              <w:top w:val="single" w:sz="6" w:space="0" w:color="000000"/>
              <w:left w:val="single" w:sz="6" w:space="0" w:color="000000"/>
              <w:bottom w:val="single" w:sz="6" w:space="0" w:color="000000"/>
              <w:right w:val="single" w:sz="6" w:space="0" w:color="000000"/>
            </w:tcBorders>
          </w:tcPr>
          <w:p w14:paraId="3CAFA72A" w14:textId="77777777" w:rsidR="00611538" w:rsidRPr="004B2EE3" w:rsidRDefault="00611538" w:rsidP="00611538">
            <w:pPr>
              <w:pStyle w:val="naisc"/>
              <w:numPr>
                <w:ilvl w:val="0"/>
                <w:numId w:val="2"/>
              </w:numPr>
              <w:spacing w:before="0" w:after="0"/>
              <w:jc w:val="both"/>
              <w:rPr>
                <w:sz w:val="22"/>
                <w:szCs w:val="22"/>
              </w:rPr>
            </w:pPr>
          </w:p>
        </w:tc>
        <w:tc>
          <w:tcPr>
            <w:tcW w:w="2152" w:type="dxa"/>
            <w:tcBorders>
              <w:top w:val="single" w:sz="6" w:space="0" w:color="000000"/>
              <w:left w:val="single" w:sz="6" w:space="0" w:color="000000"/>
              <w:bottom w:val="single" w:sz="6" w:space="0" w:color="000000"/>
              <w:right w:val="single" w:sz="6" w:space="0" w:color="000000"/>
            </w:tcBorders>
          </w:tcPr>
          <w:p w14:paraId="39ACC084" w14:textId="7AC05A5D" w:rsidR="00611538" w:rsidRPr="004B2EE3" w:rsidRDefault="00563A4E" w:rsidP="00611538">
            <w:pPr>
              <w:pStyle w:val="naisc"/>
              <w:jc w:val="both"/>
              <w:rPr>
                <w:sz w:val="22"/>
                <w:szCs w:val="22"/>
              </w:rPr>
            </w:pPr>
            <w:r w:rsidRPr="004B2EE3">
              <w:rPr>
                <w:b/>
                <w:sz w:val="22"/>
                <w:szCs w:val="22"/>
              </w:rPr>
              <w:t>Noteikumu projekts</w:t>
            </w:r>
          </w:p>
        </w:tc>
        <w:tc>
          <w:tcPr>
            <w:tcW w:w="5387" w:type="dxa"/>
            <w:gridSpan w:val="2"/>
            <w:tcBorders>
              <w:top w:val="single" w:sz="6" w:space="0" w:color="000000"/>
              <w:left w:val="single" w:sz="6" w:space="0" w:color="000000"/>
              <w:bottom w:val="single" w:sz="6" w:space="0" w:color="000000"/>
              <w:right w:val="single" w:sz="6" w:space="0" w:color="000000"/>
            </w:tcBorders>
          </w:tcPr>
          <w:p w14:paraId="741D84D2" w14:textId="77777777" w:rsidR="00186440" w:rsidRPr="004B2EE3" w:rsidRDefault="00186440" w:rsidP="00186440">
            <w:pPr>
              <w:pStyle w:val="naisc"/>
              <w:spacing w:before="0" w:after="0"/>
              <w:jc w:val="both"/>
              <w:rPr>
                <w:b/>
                <w:sz w:val="22"/>
                <w:szCs w:val="22"/>
              </w:rPr>
            </w:pPr>
            <w:r w:rsidRPr="004B2EE3">
              <w:rPr>
                <w:b/>
                <w:sz w:val="22"/>
                <w:szCs w:val="22"/>
              </w:rPr>
              <w:t>Finanšu ministrijas 15.04.2020. atzinums Nr.12/A-7/1938</w:t>
            </w:r>
          </w:p>
          <w:p w14:paraId="3A2BA659" w14:textId="7D49ECE2" w:rsidR="000F5A3C" w:rsidRPr="004B2EE3" w:rsidRDefault="00563A4E" w:rsidP="00611538">
            <w:pPr>
              <w:contextualSpacing/>
              <w:jc w:val="both"/>
              <w:rPr>
                <w:sz w:val="22"/>
              </w:rPr>
            </w:pPr>
            <w:r w:rsidRPr="004B2EE3">
              <w:rPr>
                <w:color w:val="000000"/>
                <w:sz w:val="22"/>
              </w:rPr>
              <w:t>Ņemot vērā, ka noteikumu projekts izstrādāts saistībā ar Covid-19 negatīvo ietekmi uz uzņēmumu saimniecisko darbību un maksātspēju, lūdzam precizēt noteikumu projektu, nosakot 43.punkta darbības termiņu</w:t>
            </w:r>
          </w:p>
        </w:tc>
        <w:tc>
          <w:tcPr>
            <w:tcW w:w="2552" w:type="dxa"/>
            <w:tcBorders>
              <w:top w:val="single" w:sz="6" w:space="0" w:color="000000"/>
              <w:left w:val="single" w:sz="6" w:space="0" w:color="000000"/>
              <w:bottom w:val="single" w:sz="6" w:space="0" w:color="000000"/>
              <w:right w:val="single" w:sz="6" w:space="0" w:color="000000"/>
            </w:tcBorders>
          </w:tcPr>
          <w:p w14:paraId="14F4E1E5" w14:textId="3F58B418" w:rsidR="00611538" w:rsidRPr="004B2EE3" w:rsidRDefault="00F727A5" w:rsidP="00F727A5">
            <w:pPr>
              <w:spacing w:after="120"/>
              <w:jc w:val="center"/>
              <w:rPr>
                <w:b/>
                <w:bCs/>
                <w:sz w:val="22"/>
              </w:rPr>
            </w:pPr>
            <w:r w:rsidRPr="004B2EE3">
              <w:rPr>
                <w:b/>
                <w:bCs/>
                <w:sz w:val="22"/>
              </w:rPr>
              <w:t>Ņemts vērā</w:t>
            </w:r>
          </w:p>
        </w:tc>
        <w:tc>
          <w:tcPr>
            <w:tcW w:w="4260" w:type="dxa"/>
            <w:gridSpan w:val="2"/>
            <w:tcBorders>
              <w:top w:val="single" w:sz="4" w:space="0" w:color="auto"/>
              <w:left w:val="single" w:sz="4" w:space="0" w:color="auto"/>
              <w:bottom w:val="single" w:sz="4" w:space="0" w:color="auto"/>
            </w:tcBorders>
          </w:tcPr>
          <w:p w14:paraId="4E41ED33" w14:textId="5DE962D4" w:rsidR="00611538" w:rsidRPr="004B2EE3" w:rsidRDefault="00F727A5" w:rsidP="00F727A5">
            <w:pPr>
              <w:jc w:val="both"/>
              <w:rPr>
                <w:b/>
                <w:bCs/>
                <w:sz w:val="22"/>
              </w:rPr>
            </w:pPr>
            <w:r w:rsidRPr="004B2EE3">
              <w:rPr>
                <w:b/>
                <w:bCs/>
                <w:sz w:val="22"/>
              </w:rPr>
              <w:t xml:space="preserve">Noteikumu projekts papildināts ar </w:t>
            </w:r>
            <w:r w:rsidR="00186440">
              <w:rPr>
                <w:b/>
                <w:bCs/>
                <w:sz w:val="22"/>
              </w:rPr>
              <w:t>5</w:t>
            </w:r>
            <w:r w:rsidRPr="004B2EE3">
              <w:rPr>
                <w:b/>
                <w:bCs/>
                <w:sz w:val="22"/>
              </w:rPr>
              <w:t>.punktu šādā redakcijā:</w:t>
            </w:r>
          </w:p>
          <w:p w14:paraId="1FD6F6F5" w14:textId="448B3768" w:rsidR="00F727A5" w:rsidRPr="004B2EE3" w:rsidRDefault="00F727A5" w:rsidP="00F727A5">
            <w:pPr>
              <w:jc w:val="both"/>
              <w:rPr>
                <w:sz w:val="22"/>
              </w:rPr>
            </w:pPr>
            <w:r w:rsidRPr="004B2EE3">
              <w:rPr>
                <w:sz w:val="22"/>
              </w:rPr>
              <w:t>“</w:t>
            </w:r>
            <w:r w:rsidR="00186440">
              <w:rPr>
                <w:sz w:val="22"/>
              </w:rPr>
              <w:t>5</w:t>
            </w:r>
            <w:r w:rsidRPr="004B2EE3">
              <w:rPr>
                <w:sz w:val="22"/>
              </w:rPr>
              <w:t>.</w:t>
            </w:r>
            <w:r w:rsidRPr="004B2EE3">
              <w:rPr>
                <w:sz w:val="22"/>
              </w:rPr>
              <w:tab/>
              <w:t>Papildināt noteikumus ar 44. punktu šādā redakcijā:</w:t>
            </w:r>
          </w:p>
          <w:p w14:paraId="118AC6D7" w14:textId="14CCE7F4" w:rsidR="00F727A5" w:rsidRPr="004B2EE3" w:rsidRDefault="00F727A5" w:rsidP="00F727A5">
            <w:pPr>
              <w:jc w:val="both"/>
              <w:rPr>
                <w:sz w:val="22"/>
              </w:rPr>
            </w:pPr>
            <w:r w:rsidRPr="004B2EE3">
              <w:rPr>
                <w:sz w:val="22"/>
              </w:rPr>
              <w:t>"44. Šo noteikumu 43. punkts ir piemērojams līdz 2020. gada 31. decembrim."</w:t>
            </w:r>
          </w:p>
        </w:tc>
      </w:tr>
      <w:tr w:rsidR="00C82EB0" w:rsidRPr="004B2EE3" w14:paraId="71D341EB" w14:textId="77777777" w:rsidTr="00F84755">
        <w:tc>
          <w:tcPr>
            <w:tcW w:w="675" w:type="dxa"/>
            <w:tcBorders>
              <w:top w:val="single" w:sz="6" w:space="0" w:color="000000"/>
              <w:left w:val="single" w:sz="6" w:space="0" w:color="000000"/>
              <w:bottom w:val="single" w:sz="6" w:space="0" w:color="000000"/>
              <w:right w:val="single" w:sz="6" w:space="0" w:color="000000"/>
            </w:tcBorders>
          </w:tcPr>
          <w:p w14:paraId="504A5F94" w14:textId="77777777" w:rsidR="00C82EB0" w:rsidRPr="004B2EE3" w:rsidRDefault="00C82EB0" w:rsidP="00611538">
            <w:pPr>
              <w:pStyle w:val="naisc"/>
              <w:numPr>
                <w:ilvl w:val="0"/>
                <w:numId w:val="2"/>
              </w:numPr>
              <w:spacing w:before="0" w:after="0"/>
              <w:jc w:val="both"/>
              <w:rPr>
                <w:sz w:val="22"/>
                <w:szCs w:val="22"/>
              </w:rPr>
            </w:pPr>
          </w:p>
        </w:tc>
        <w:tc>
          <w:tcPr>
            <w:tcW w:w="2152" w:type="dxa"/>
            <w:tcBorders>
              <w:top w:val="single" w:sz="6" w:space="0" w:color="000000"/>
              <w:left w:val="single" w:sz="6" w:space="0" w:color="000000"/>
              <w:bottom w:val="single" w:sz="6" w:space="0" w:color="000000"/>
              <w:right w:val="single" w:sz="6" w:space="0" w:color="000000"/>
            </w:tcBorders>
          </w:tcPr>
          <w:p w14:paraId="504189EE" w14:textId="02990078" w:rsidR="00C82EB0" w:rsidRPr="004B2EE3" w:rsidRDefault="00C82EB0" w:rsidP="00611538">
            <w:pPr>
              <w:pStyle w:val="naisc"/>
              <w:jc w:val="both"/>
              <w:rPr>
                <w:b/>
                <w:sz w:val="22"/>
                <w:szCs w:val="22"/>
              </w:rPr>
            </w:pPr>
            <w:r w:rsidRPr="004B2EE3">
              <w:rPr>
                <w:b/>
                <w:sz w:val="22"/>
                <w:szCs w:val="22"/>
              </w:rPr>
              <w:t>Noteikumu projekts</w:t>
            </w:r>
          </w:p>
        </w:tc>
        <w:tc>
          <w:tcPr>
            <w:tcW w:w="5387" w:type="dxa"/>
            <w:gridSpan w:val="2"/>
            <w:tcBorders>
              <w:top w:val="single" w:sz="6" w:space="0" w:color="000000"/>
              <w:left w:val="single" w:sz="6" w:space="0" w:color="000000"/>
              <w:bottom w:val="single" w:sz="6" w:space="0" w:color="000000"/>
              <w:right w:val="single" w:sz="6" w:space="0" w:color="000000"/>
            </w:tcBorders>
          </w:tcPr>
          <w:p w14:paraId="14BE2F54" w14:textId="77777777" w:rsidR="00C82EB0" w:rsidRDefault="00C82EB0" w:rsidP="00186440">
            <w:pPr>
              <w:pStyle w:val="naisc"/>
              <w:spacing w:before="0" w:after="0"/>
              <w:jc w:val="both"/>
              <w:rPr>
                <w:b/>
                <w:sz w:val="22"/>
                <w:szCs w:val="22"/>
              </w:rPr>
            </w:pPr>
            <w:r>
              <w:rPr>
                <w:b/>
                <w:sz w:val="22"/>
                <w:szCs w:val="22"/>
              </w:rPr>
              <w:t>Tieslietu ministrijas 17.04.2020. atzinums Nr.</w:t>
            </w:r>
            <w:r w:rsidRPr="00C82EB0">
              <w:rPr>
                <w:b/>
                <w:sz w:val="22"/>
                <w:szCs w:val="22"/>
              </w:rPr>
              <w:t>1-9.1/389</w:t>
            </w:r>
          </w:p>
          <w:p w14:paraId="7D554F24" w14:textId="624813B8" w:rsidR="00C82EB0" w:rsidRPr="004B2EE3" w:rsidRDefault="00C82EB0" w:rsidP="00186440">
            <w:pPr>
              <w:pStyle w:val="naisc"/>
              <w:spacing w:before="0" w:after="0"/>
              <w:jc w:val="both"/>
              <w:rPr>
                <w:b/>
                <w:sz w:val="22"/>
                <w:szCs w:val="22"/>
              </w:rPr>
            </w:pPr>
            <w:bookmarkStart w:id="3" w:name="_Hlk38023036"/>
            <w:r w:rsidRPr="0072484C">
              <w:t>Lūdzam visos četros minētajos projektos norādīt nosacījumu, kad iespējams pagarināt aizdevuma termiņu. Proti, lūdzam norādīt, ka termiņa pagarinājums saistīts ar 2020. gada Covid-19 pandēmiju, jo pēc situācijas stabilizēšanās minētās normas varētu izmantot nelabticīgi</w:t>
            </w:r>
            <w:bookmarkEnd w:id="3"/>
            <w:r>
              <w:t>.</w:t>
            </w:r>
          </w:p>
        </w:tc>
        <w:tc>
          <w:tcPr>
            <w:tcW w:w="2552" w:type="dxa"/>
            <w:tcBorders>
              <w:top w:val="single" w:sz="6" w:space="0" w:color="000000"/>
              <w:left w:val="single" w:sz="6" w:space="0" w:color="000000"/>
              <w:bottom w:val="single" w:sz="6" w:space="0" w:color="000000"/>
              <w:right w:val="single" w:sz="6" w:space="0" w:color="000000"/>
            </w:tcBorders>
          </w:tcPr>
          <w:p w14:paraId="4CCA168E" w14:textId="6994C462" w:rsidR="00C82EB0" w:rsidRPr="004B2EE3" w:rsidRDefault="00C82EB0" w:rsidP="00F727A5">
            <w:pPr>
              <w:spacing w:after="120"/>
              <w:jc w:val="center"/>
              <w:rPr>
                <w:b/>
                <w:bCs/>
                <w:sz w:val="22"/>
              </w:rPr>
            </w:pPr>
            <w:r w:rsidRPr="004B2EE3">
              <w:rPr>
                <w:b/>
                <w:bCs/>
                <w:sz w:val="22"/>
              </w:rPr>
              <w:t>Ņemts vērā</w:t>
            </w:r>
          </w:p>
        </w:tc>
        <w:tc>
          <w:tcPr>
            <w:tcW w:w="4260" w:type="dxa"/>
            <w:gridSpan w:val="2"/>
            <w:tcBorders>
              <w:top w:val="single" w:sz="4" w:space="0" w:color="auto"/>
              <w:left w:val="single" w:sz="4" w:space="0" w:color="auto"/>
              <w:bottom w:val="single" w:sz="4" w:space="0" w:color="auto"/>
            </w:tcBorders>
          </w:tcPr>
          <w:p w14:paraId="12858F6C" w14:textId="6B03D0EB" w:rsidR="00C82EB0" w:rsidRPr="00C82EB0" w:rsidRDefault="00C82EB0" w:rsidP="00C82EB0">
            <w:pPr>
              <w:jc w:val="both"/>
              <w:rPr>
                <w:sz w:val="22"/>
              </w:rPr>
            </w:pPr>
            <w:r w:rsidRPr="00C82EB0">
              <w:rPr>
                <w:sz w:val="22"/>
              </w:rPr>
              <w:t>Anotācijā ir norādīts, ka aizdevuma termiņa pagarinājums ir saistīts ar COVID19 ietekmi, tāpat Noteikumu projekts papildināts ar 5.punktu šādā redakcijā:</w:t>
            </w:r>
          </w:p>
          <w:p w14:paraId="28DBEC57" w14:textId="77777777" w:rsidR="00C82EB0" w:rsidRPr="004B2EE3" w:rsidRDefault="00C82EB0" w:rsidP="00C82EB0">
            <w:pPr>
              <w:jc w:val="both"/>
              <w:rPr>
                <w:sz w:val="22"/>
              </w:rPr>
            </w:pPr>
            <w:r w:rsidRPr="004B2EE3">
              <w:rPr>
                <w:sz w:val="22"/>
              </w:rPr>
              <w:t>“</w:t>
            </w:r>
            <w:r>
              <w:rPr>
                <w:sz w:val="22"/>
              </w:rPr>
              <w:t>5</w:t>
            </w:r>
            <w:r w:rsidRPr="004B2EE3">
              <w:rPr>
                <w:sz w:val="22"/>
              </w:rPr>
              <w:t>.</w:t>
            </w:r>
            <w:r w:rsidRPr="004B2EE3">
              <w:rPr>
                <w:sz w:val="22"/>
              </w:rPr>
              <w:tab/>
              <w:t>Papildināt noteikumus ar 44. punktu šādā redakcijā:</w:t>
            </w:r>
          </w:p>
          <w:p w14:paraId="7FD036CD" w14:textId="180691BC" w:rsidR="00C82EB0" w:rsidRPr="004B2EE3" w:rsidRDefault="00C82EB0" w:rsidP="00C82EB0">
            <w:pPr>
              <w:jc w:val="both"/>
              <w:rPr>
                <w:b/>
                <w:bCs/>
                <w:sz w:val="22"/>
              </w:rPr>
            </w:pPr>
            <w:r w:rsidRPr="004B2EE3">
              <w:rPr>
                <w:sz w:val="22"/>
              </w:rPr>
              <w:t>"44. Šo noteikumu 43. punkts ir piemērojams līdz 2020. gada 31. decembrim."</w:t>
            </w:r>
          </w:p>
        </w:tc>
      </w:tr>
      <w:tr w:rsidR="00D068DE" w:rsidRPr="004B2EE3" w14:paraId="3BB711FC" w14:textId="77777777" w:rsidTr="00F84755">
        <w:tblPrEx>
          <w:tblBorders>
            <w:top w:val="none" w:sz="0" w:space="0" w:color="auto"/>
            <w:left w:val="none" w:sz="0" w:space="0" w:color="auto"/>
            <w:bottom w:val="none" w:sz="0" w:space="0" w:color="auto"/>
            <w:right w:val="none" w:sz="0" w:space="0" w:color="auto"/>
          </w:tblBorders>
        </w:tblPrEx>
        <w:trPr>
          <w:gridAfter w:val="1"/>
          <w:wAfter w:w="3599" w:type="dxa"/>
        </w:trPr>
        <w:tc>
          <w:tcPr>
            <w:tcW w:w="3108" w:type="dxa"/>
            <w:gridSpan w:val="3"/>
          </w:tcPr>
          <w:p w14:paraId="7D34CF01" w14:textId="77777777" w:rsidR="00D068DE" w:rsidRPr="004B2EE3" w:rsidRDefault="00D068DE" w:rsidP="00D068DE">
            <w:pPr>
              <w:pStyle w:val="naiskr"/>
              <w:spacing w:before="0" w:after="0"/>
              <w:jc w:val="center"/>
              <w:rPr>
                <w:sz w:val="22"/>
                <w:szCs w:val="22"/>
              </w:rPr>
            </w:pPr>
          </w:p>
          <w:p w14:paraId="5B6584D8" w14:textId="77777777" w:rsidR="00356FC8" w:rsidRDefault="00356FC8" w:rsidP="00D068DE">
            <w:pPr>
              <w:pStyle w:val="naiskr"/>
              <w:spacing w:before="0" w:after="0"/>
              <w:rPr>
                <w:sz w:val="22"/>
                <w:szCs w:val="22"/>
              </w:rPr>
            </w:pPr>
          </w:p>
          <w:p w14:paraId="1B8F8730" w14:textId="5F8A6585" w:rsidR="00D068DE" w:rsidRPr="004B2EE3" w:rsidRDefault="00D068DE" w:rsidP="00D068DE">
            <w:pPr>
              <w:pStyle w:val="naiskr"/>
              <w:spacing w:before="0" w:after="0"/>
              <w:rPr>
                <w:sz w:val="22"/>
                <w:szCs w:val="22"/>
              </w:rPr>
            </w:pPr>
            <w:r w:rsidRPr="004B2EE3">
              <w:rPr>
                <w:sz w:val="22"/>
                <w:szCs w:val="22"/>
              </w:rPr>
              <w:t>Atbildīgā amatpersona</w:t>
            </w:r>
          </w:p>
        </w:tc>
        <w:tc>
          <w:tcPr>
            <w:tcW w:w="8319" w:type="dxa"/>
            <w:gridSpan w:val="3"/>
          </w:tcPr>
          <w:p w14:paraId="6C420497" w14:textId="77777777" w:rsidR="00D068DE" w:rsidRPr="004B2EE3" w:rsidRDefault="00D068DE" w:rsidP="00D068DE">
            <w:pPr>
              <w:pStyle w:val="naisf"/>
              <w:spacing w:before="0" w:after="0"/>
              <w:ind w:firstLine="0"/>
              <w:jc w:val="center"/>
              <w:rPr>
                <w:sz w:val="22"/>
                <w:szCs w:val="22"/>
              </w:rPr>
            </w:pPr>
          </w:p>
        </w:tc>
      </w:tr>
      <w:tr w:rsidR="00D068DE" w:rsidRPr="004B2EE3" w14:paraId="12816AF7" w14:textId="77777777" w:rsidTr="00F84755">
        <w:tblPrEx>
          <w:tblBorders>
            <w:top w:val="none" w:sz="0" w:space="0" w:color="auto"/>
            <w:left w:val="none" w:sz="0" w:space="0" w:color="auto"/>
            <w:bottom w:val="none" w:sz="0" w:space="0" w:color="auto"/>
            <w:right w:val="none" w:sz="0" w:space="0" w:color="auto"/>
          </w:tblBorders>
        </w:tblPrEx>
        <w:trPr>
          <w:gridAfter w:val="1"/>
          <w:wAfter w:w="3599" w:type="dxa"/>
        </w:trPr>
        <w:tc>
          <w:tcPr>
            <w:tcW w:w="3108" w:type="dxa"/>
            <w:gridSpan w:val="3"/>
          </w:tcPr>
          <w:p w14:paraId="7939D792" w14:textId="77777777" w:rsidR="00D068DE" w:rsidRPr="004B2EE3" w:rsidRDefault="00D068DE" w:rsidP="00D068DE">
            <w:pPr>
              <w:pStyle w:val="naiskr"/>
              <w:spacing w:before="0" w:after="0"/>
              <w:ind w:firstLine="720"/>
              <w:jc w:val="center"/>
              <w:rPr>
                <w:sz w:val="22"/>
                <w:szCs w:val="22"/>
              </w:rPr>
            </w:pPr>
          </w:p>
        </w:tc>
        <w:tc>
          <w:tcPr>
            <w:tcW w:w="8319" w:type="dxa"/>
            <w:gridSpan w:val="3"/>
            <w:tcBorders>
              <w:top w:val="single" w:sz="6" w:space="0" w:color="000000"/>
            </w:tcBorders>
          </w:tcPr>
          <w:p w14:paraId="3B0FF2E0" w14:textId="77777777" w:rsidR="00D068DE" w:rsidRPr="004B2EE3" w:rsidRDefault="00D068DE" w:rsidP="00D068DE">
            <w:pPr>
              <w:pStyle w:val="naisc"/>
              <w:spacing w:before="0" w:after="0"/>
              <w:ind w:firstLine="720"/>
              <w:rPr>
                <w:sz w:val="22"/>
                <w:szCs w:val="22"/>
              </w:rPr>
            </w:pPr>
            <w:r w:rsidRPr="004B2EE3">
              <w:rPr>
                <w:sz w:val="22"/>
                <w:szCs w:val="22"/>
              </w:rPr>
              <w:t>(paraksts)*</w:t>
            </w:r>
          </w:p>
          <w:p w14:paraId="6DE55882" w14:textId="77777777" w:rsidR="00D068DE" w:rsidRPr="004B2EE3" w:rsidRDefault="00D068DE" w:rsidP="00D068DE">
            <w:pPr>
              <w:pStyle w:val="naisc"/>
              <w:spacing w:before="0" w:after="0"/>
              <w:ind w:firstLine="720"/>
              <w:rPr>
                <w:sz w:val="22"/>
                <w:szCs w:val="22"/>
              </w:rPr>
            </w:pPr>
          </w:p>
        </w:tc>
      </w:tr>
    </w:tbl>
    <w:p w14:paraId="10ACD7F3" w14:textId="77777777" w:rsidR="00211A39" w:rsidRPr="004B2EE3" w:rsidRDefault="00211A39" w:rsidP="00211A39">
      <w:pPr>
        <w:ind w:left="2880"/>
        <w:rPr>
          <w:rFonts w:eastAsia="Times New Roman"/>
          <w:sz w:val="22"/>
          <w:lang w:eastAsia="lv-LV"/>
        </w:rPr>
      </w:pPr>
      <w:r w:rsidRPr="004B2EE3">
        <w:rPr>
          <w:rFonts w:eastAsia="Times New Roman"/>
          <w:sz w:val="22"/>
          <w:lang w:eastAsia="lv-LV"/>
        </w:rPr>
        <w:t>Kristaps Soms</w:t>
      </w:r>
    </w:p>
    <w:tbl>
      <w:tblPr>
        <w:tblW w:w="0" w:type="auto"/>
        <w:tblLook w:val="00A0" w:firstRow="1" w:lastRow="0" w:firstColumn="1" w:lastColumn="0" w:noHBand="0" w:noVBand="0"/>
      </w:tblPr>
      <w:tblGrid>
        <w:gridCol w:w="8268"/>
      </w:tblGrid>
      <w:tr w:rsidR="00211A39" w:rsidRPr="004B2EE3" w14:paraId="62AC3B1D" w14:textId="77777777" w:rsidTr="00495FDE">
        <w:tc>
          <w:tcPr>
            <w:tcW w:w="8268" w:type="dxa"/>
            <w:tcBorders>
              <w:top w:val="single" w:sz="4" w:space="0" w:color="000000"/>
            </w:tcBorders>
          </w:tcPr>
          <w:p w14:paraId="51E53EEF" w14:textId="77777777" w:rsidR="00211A39" w:rsidRPr="004B2EE3" w:rsidRDefault="00211A39" w:rsidP="00211A39">
            <w:pPr>
              <w:jc w:val="center"/>
              <w:rPr>
                <w:rFonts w:eastAsia="Times New Roman"/>
                <w:sz w:val="22"/>
                <w:lang w:eastAsia="lv-LV"/>
              </w:rPr>
            </w:pPr>
            <w:r w:rsidRPr="004B2EE3">
              <w:rPr>
                <w:rFonts w:eastAsia="Times New Roman"/>
                <w:sz w:val="22"/>
                <w:lang w:eastAsia="lv-LV"/>
              </w:rPr>
              <w:t>(par projektu atbildīgās amatpersonas vārds un uzvārds)</w:t>
            </w:r>
          </w:p>
        </w:tc>
      </w:tr>
      <w:tr w:rsidR="00211A39" w:rsidRPr="004B2EE3" w14:paraId="20E5E827" w14:textId="77777777" w:rsidTr="00495FDE">
        <w:tc>
          <w:tcPr>
            <w:tcW w:w="8268" w:type="dxa"/>
            <w:tcBorders>
              <w:bottom w:val="single" w:sz="4" w:space="0" w:color="000000"/>
            </w:tcBorders>
          </w:tcPr>
          <w:p w14:paraId="0464B96E" w14:textId="77777777" w:rsidR="00211A39" w:rsidRPr="004B2EE3" w:rsidRDefault="00211A39" w:rsidP="00211A39">
            <w:pPr>
              <w:jc w:val="center"/>
              <w:rPr>
                <w:rFonts w:eastAsia="Times New Roman"/>
                <w:sz w:val="22"/>
                <w:lang w:eastAsia="lv-LV"/>
              </w:rPr>
            </w:pPr>
          </w:p>
          <w:p w14:paraId="272A6809" w14:textId="77777777" w:rsidR="00211A39" w:rsidRPr="004B2EE3" w:rsidRDefault="00211A39" w:rsidP="00211A39">
            <w:pPr>
              <w:jc w:val="center"/>
              <w:rPr>
                <w:rFonts w:eastAsia="Times New Roman"/>
                <w:sz w:val="22"/>
                <w:lang w:eastAsia="lv-LV"/>
              </w:rPr>
            </w:pPr>
            <w:r w:rsidRPr="004B2EE3">
              <w:rPr>
                <w:rFonts w:eastAsia="Times New Roman"/>
                <w:sz w:val="22"/>
                <w:lang w:eastAsia="lv-LV"/>
              </w:rPr>
              <w:t xml:space="preserve">Ekonomikas ministrijas Uzņēmējdarbības konkurētspējas departamenta direktors </w:t>
            </w:r>
          </w:p>
        </w:tc>
      </w:tr>
      <w:tr w:rsidR="00211A39" w:rsidRPr="004B2EE3" w14:paraId="5F17BB85" w14:textId="77777777" w:rsidTr="00495FDE">
        <w:tc>
          <w:tcPr>
            <w:tcW w:w="8268" w:type="dxa"/>
            <w:tcBorders>
              <w:top w:val="single" w:sz="4" w:space="0" w:color="000000"/>
            </w:tcBorders>
          </w:tcPr>
          <w:p w14:paraId="2F07F391" w14:textId="77777777" w:rsidR="00211A39" w:rsidRPr="004B2EE3" w:rsidRDefault="00211A39" w:rsidP="00211A39">
            <w:pPr>
              <w:jc w:val="center"/>
              <w:rPr>
                <w:rFonts w:eastAsia="Times New Roman"/>
                <w:sz w:val="22"/>
                <w:lang w:eastAsia="lv-LV"/>
              </w:rPr>
            </w:pPr>
            <w:r w:rsidRPr="004B2EE3">
              <w:rPr>
                <w:rFonts w:eastAsia="Times New Roman"/>
                <w:sz w:val="22"/>
                <w:lang w:eastAsia="lv-LV"/>
              </w:rPr>
              <w:t>(amats)</w:t>
            </w:r>
          </w:p>
        </w:tc>
      </w:tr>
      <w:tr w:rsidR="00211A39" w:rsidRPr="004B2EE3" w14:paraId="08A9BC34" w14:textId="77777777" w:rsidTr="00495FDE">
        <w:tc>
          <w:tcPr>
            <w:tcW w:w="8268" w:type="dxa"/>
            <w:tcBorders>
              <w:bottom w:val="single" w:sz="4" w:space="0" w:color="000000"/>
            </w:tcBorders>
          </w:tcPr>
          <w:p w14:paraId="2C81BFD9" w14:textId="77777777" w:rsidR="00211A39" w:rsidRPr="004B2EE3" w:rsidRDefault="00211A39" w:rsidP="00211A39">
            <w:pPr>
              <w:jc w:val="center"/>
              <w:rPr>
                <w:rFonts w:eastAsia="Times New Roman"/>
                <w:sz w:val="22"/>
                <w:lang w:eastAsia="lv-LV"/>
              </w:rPr>
            </w:pPr>
            <w:r w:rsidRPr="004B2EE3">
              <w:rPr>
                <w:rFonts w:eastAsia="Times New Roman"/>
                <w:sz w:val="22"/>
                <w:lang w:eastAsia="lv-LV"/>
              </w:rPr>
              <w:t>Tālr. 67013299</w:t>
            </w:r>
          </w:p>
        </w:tc>
      </w:tr>
      <w:tr w:rsidR="00211A39" w:rsidRPr="004B2EE3" w14:paraId="605966E7" w14:textId="77777777" w:rsidTr="00495FDE">
        <w:tc>
          <w:tcPr>
            <w:tcW w:w="8268" w:type="dxa"/>
            <w:tcBorders>
              <w:top w:val="single" w:sz="4" w:space="0" w:color="000000"/>
            </w:tcBorders>
          </w:tcPr>
          <w:p w14:paraId="72A5DE98" w14:textId="77777777" w:rsidR="00211A39" w:rsidRPr="004B2EE3" w:rsidRDefault="00211A39" w:rsidP="00211A39">
            <w:pPr>
              <w:jc w:val="center"/>
              <w:rPr>
                <w:rFonts w:eastAsia="Times New Roman"/>
                <w:sz w:val="22"/>
                <w:lang w:eastAsia="lv-LV"/>
              </w:rPr>
            </w:pPr>
            <w:r w:rsidRPr="004B2EE3">
              <w:rPr>
                <w:rFonts w:eastAsia="Times New Roman"/>
                <w:sz w:val="22"/>
                <w:lang w:eastAsia="lv-LV"/>
              </w:rPr>
              <w:t>(tālruņa un faksa numurs)</w:t>
            </w:r>
          </w:p>
        </w:tc>
      </w:tr>
      <w:tr w:rsidR="00211A39" w:rsidRPr="004B2EE3" w14:paraId="477A362F" w14:textId="77777777" w:rsidTr="00495FDE">
        <w:tc>
          <w:tcPr>
            <w:tcW w:w="8268" w:type="dxa"/>
            <w:tcBorders>
              <w:bottom w:val="single" w:sz="4" w:space="0" w:color="000000"/>
            </w:tcBorders>
          </w:tcPr>
          <w:p w14:paraId="519B5CAD" w14:textId="77777777" w:rsidR="00211A39" w:rsidRPr="004B2EE3" w:rsidRDefault="00211A39" w:rsidP="00211A39">
            <w:pPr>
              <w:jc w:val="center"/>
              <w:rPr>
                <w:rFonts w:eastAsia="Times New Roman"/>
                <w:sz w:val="22"/>
                <w:lang w:eastAsia="lv-LV"/>
              </w:rPr>
            </w:pPr>
          </w:p>
          <w:p w14:paraId="60CD8528" w14:textId="59B6B71B" w:rsidR="00211A39" w:rsidRPr="004B2EE3" w:rsidRDefault="00211A39" w:rsidP="00211A39">
            <w:pPr>
              <w:jc w:val="center"/>
              <w:rPr>
                <w:rFonts w:eastAsia="Times New Roman"/>
                <w:sz w:val="22"/>
                <w:lang w:eastAsia="lv-LV"/>
              </w:rPr>
            </w:pPr>
            <w:r w:rsidRPr="004B2EE3">
              <w:rPr>
                <w:rFonts w:eastAsia="Times New Roman"/>
                <w:sz w:val="22"/>
                <w:lang w:eastAsia="lv-LV"/>
              </w:rPr>
              <w:t>Kristaps.Soms@em.gov.lv</w:t>
            </w:r>
          </w:p>
        </w:tc>
      </w:tr>
      <w:tr w:rsidR="00211A39" w:rsidRPr="004B2EE3" w14:paraId="0733E6C5" w14:textId="77777777" w:rsidTr="00495FDE">
        <w:tc>
          <w:tcPr>
            <w:tcW w:w="8268" w:type="dxa"/>
            <w:tcBorders>
              <w:top w:val="single" w:sz="4" w:space="0" w:color="000000"/>
            </w:tcBorders>
          </w:tcPr>
          <w:p w14:paraId="367D7D12" w14:textId="77777777" w:rsidR="00211A39" w:rsidRPr="004B2EE3" w:rsidRDefault="00211A39" w:rsidP="00211A39">
            <w:pPr>
              <w:jc w:val="center"/>
              <w:rPr>
                <w:rFonts w:eastAsia="Times New Roman"/>
                <w:sz w:val="22"/>
                <w:lang w:eastAsia="lv-LV"/>
              </w:rPr>
            </w:pPr>
            <w:r w:rsidRPr="004B2EE3">
              <w:rPr>
                <w:rFonts w:eastAsia="Times New Roman"/>
                <w:sz w:val="22"/>
                <w:lang w:eastAsia="lv-LV"/>
              </w:rPr>
              <w:t>(e-pasta adrese)</w:t>
            </w:r>
          </w:p>
        </w:tc>
      </w:tr>
    </w:tbl>
    <w:p w14:paraId="30C59833" w14:textId="098EB29B" w:rsidR="00E83698" w:rsidRDefault="00DB7FF4" w:rsidP="00DB7FF4">
      <w:pPr>
        <w:jc w:val="both"/>
        <w:rPr>
          <w:sz w:val="22"/>
        </w:rPr>
      </w:pPr>
      <w:r w:rsidRPr="004B2EE3">
        <w:rPr>
          <w:sz w:val="22"/>
        </w:rPr>
        <w:lastRenderedPageBreak/>
        <w:t xml:space="preserve"> </w:t>
      </w:r>
    </w:p>
    <w:p w14:paraId="4266A45F" w14:textId="76BCB5F6" w:rsidR="00626649" w:rsidRDefault="00626649" w:rsidP="00DB7FF4">
      <w:pPr>
        <w:jc w:val="both"/>
        <w:rPr>
          <w:sz w:val="22"/>
        </w:rPr>
      </w:pPr>
    </w:p>
    <w:p w14:paraId="7982DCAA" w14:textId="77777777" w:rsidR="00626649" w:rsidRPr="003B58EB" w:rsidRDefault="00626649" w:rsidP="00626649">
      <w:pPr>
        <w:widowControl w:val="0"/>
        <w:contextualSpacing/>
        <w:jc w:val="both"/>
        <w:rPr>
          <w:rFonts w:eastAsia="Times New Roman"/>
          <w:color w:val="000000" w:themeColor="text1"/>
          <w:sz w:val="20"/>
          <w:szCs w:val="20"/>
        </w:rPr>
      </w:pPr>
      <w:r>
        <w:rPr>
          <w:rFonts w:eastAsia="Times New Roman"/>
          <w:color w:val="000000" w:themeColor="text1"/>
          <w:sz w:val="20"/>
          <w:szCs w:val="20"/>
        </w:rPr>
        <w:t>Kristīne Priedīte</w:t>
      </w:r>
      <w:r w:rsidRPr="003B58EB">
        <w:rPr>
          <w:rFonts w:eastAsia="Times New Roman"/>
          <w:color w:val="000000" w:themeColor="text1"/>
          <w:sz w:val="20"/>
          <w:szCs w:val="20"/>
        </w:rPr>
        <w:t xml:space="preserve"> 67013</w:t>
      </w:r>
      <w:r>
        <w:rPr>
          <w:rFonts w:eastAsia="Times New Roman"/>
          <w:color w:val="000000" w:themeColor="text1"/>
          <w:sz w:val="20"/>
          <w:szCs w:val="20"/>
        </w:rPr>
        <w:t>241</w:t>
      </w:r>
    </w:p>
    <w:p w14:paraId="2C584EA9" w14:textId="77777777" w:rsidR="00626649" w:rsidRPr="00C93D5E" w:rsidRDefault="00A9303B" w:rsidP="00626649">
      <w:pPr>
        <w:widowControl w:val="0"/>
        <w:contextualSpacing/>
        <w:jc w:val="both"/>
        <w:rPr>
          <w:rFonts w:eastAsia="Times New Roman"/>
          <w:color w:val="000000" w:themeColor="text1"/>
          <w:sz w:val="20"/>
          <w:szCs w:val="20"/>
        </w:rPr>
      </w:pPr>
      <w:hyperlink r:id="rId8" w:history="1">
        <w:r w:rsidR="00626649" w:rsidRPr="00F550A6">
          <w:rPr>
            <w:rStyle w:val="Hyperlink"/>
            <w:rFonts w:eastAsia="Times New Roman"/>
            <w:sz w:val="20"/>
            <w:szCs w:val="20"/>
          </w:rPr>
          <w:t>Kristine.Priedite@em.gov.lv</w:t>
        </w:r>
      </w:hyperlink>
      <w:r w:rsidR="00626649">
        <w:rPr>
          <w:rFonts w:eastAsia="Times New Roman"/>
          <w:color w:val="000000" w:themeColor="text1"/>
          <w:sz w:val="20"/>
          <w:szCs w:val="20"/>
        </w:rPr>
        <w:t xml:space="preserve"> </w:t>
      </w:r>
    </w:p>
    <w:p w14:paraId="409D9C52" w14:textId="77777777" w:rsidR="00626649" w:rsidRPr="004B2EE3" w:rsidRDefault="00626649" w:rsidP="00DB7FF4">
      <w:pPr>
        <w:jc w:val="both"/>
        <w:rPr>
          <w:sz w:val="22"/>
        </w:rPr>
      </w:pPr>
    </w:p>
    <w:sectPr w:rsidR="00626649" w:rsidRPr="004B2EE3" w:rsidSect="00104F07">
      <w:headerReference w:type="even" r:id="rId9"/>
      <w:headerReference w:type="default" r:id="rId10"/>
      <w:footerReference w:type="default" r:id="rId11"/>
      <w:footerReference w:type="first" r:id="rId12"/>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5EC4C" w14:textId="77777777" w:rsidR="00A9303B" w:rsidRDefault="00A9303B" w:rsidP="004D2F03">
      <w:r>
        <w:separator/>
      </w:r>
    </w:p>
  </w:endnote>
  <w:endnote w:type="continuationSeparator" w:id="0">
    <w:p w14:paraId="7315AABD" w14:textId="77777777" w:rsidR="00A9303B" w:rsidRDefault="00A9303B" w:rsidP="004D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D5EA" w14:textId="081187D2" w:rsidR="00495FDE" w:rsidRPr="00E92EFB" w:rsidRDefault="000B6066" w:rsidP="00E92EFB">
    <w:pPr>
      <w:pStyle w:val="Footer"/>
    </w:pPr>
    <w:fldSimple w:instr=" FILENAME   \* MERGEFORMAT ">
      <w:r w:rsidR="00BC27E9">
        <w:rPr>
          <w:noProof/>
        </w:rPr>
        <w:t>EMIzz_</w:t>
      </w:r>
      <w:r w:rsidR="00D068DE">
        <w:rPr>
          <w:noProof/>
        </w:rPr>
        <w:t>20</w:t>
      </w:r>
      <w:r w:rsidR="00BC27E9">
        <w:rPr>
          <w:noProof/>
        </w:rPr>
        <w:t>042020_groz164.docx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7C90" w14:textId="509B1E93" w:rsidR="00495FDE" w:rsidRPr="00474161" w:rsidRDefault="000B6066" w:rsidP="00104F07">
    <w:pPr>
      <w:pStyle w:val="Footer"/>
    </w:pPr>
    <w:fldSimple w:instr=" FILENAME   \* MERGEFORMAT ">
      <w:r w:rsidR="00BC27E9">
        <w:rPr>
          <w:noProof/>
        </w:rPr>
        <w:t>EMIzz_</w:t>
      </w:r>
      <w:r w:rsidR="00626649">
        <w:rPr>
          <w:noProof/>
        </w:rPr>
        <w:t>20</w:t>
      </w:r>
      <w:r w:rsidR="00BC27E9">
        <w:rPr>
          <w:noProof/>
        </w:rPr>
        <w:t>042020_groz164.docx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6451B" w14:textId="77777777" w:rsidR="00A9303B" w:rsidRDefault="00A9303B" w:rsidP="004D2F03">
      <w:r>
        <w:separator/>
      </w:r>
    </w:p>
  </w:footnote>
  <w:footnote w:type="continuationSeparator" w:id="0">
    <w:p w14:paraId="1AAA6B75" w14:textId="77777777" w:rsidR="00A9303B" w:rsidRDefault="00A9303B" w:rsidP="004D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3F85" w14:textId="77777777" w:rsidR="00495FDE" w:rsidRDefault="00495FDE" w:rsidP="00104F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79726" w14:textId="77777777" w:rsidR="00495FDE" w:rsidRDefault="00495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995944"/>
      <w:docPartObj>
        <w:docPartGallery w:val="Page Numbers (Top of Page)"/>
        <w:docPartUnique/>
      </w:docPartObj>
    </w:sdtPr>
    <w:sdtEndPr>
      <w:rPr>
        <w:noProof/>
      </w:rPr>
    </w:sdtEndPr>
    <w:sdtContent>
      <w:p w14:paraId="31CE0679" w14:textId="77777777" w:rsidR="00495FDE" w:rsidRDefault="00495FD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DB2D3E" w14:textId="77777777" w:rsidR="00495FDE" w:rsidRDefault="00495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hybridMultilevel"/>
    <w:tmpl w:val="018A81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B0C6D3D"/>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3" w15:restartNumberingAfterBreak="1">
    <w:nsid w:val="2B853D5A"/>
    <w:multiLevelType w:val="hybridMultilevel"/>
    <w:tmpl w:val="DF08B12A"/>
    <w:lvl w:ilvl="0" w:tplc="F654B70C">
      <w:start w:val="1"/>
      <w:numFmt w:val="upperRoman"/>
      <w:lvlText w:val="%1."/>
      <w:lvlJc w:val="left"/>
      <w:pPr>
        <w:ind w:left="1080" w:hanging="720"/>
      </w:pPr>
      <w:rPr>
        <w:rFonts w:hint="default"/>
      </w:rPr>
    </w:lvl>
    <w:lvl w:ilvl="1" w:tplc="DE90E65E" w:tentative="1">
      <w:start w:val="1"/>
      <w:numFmt w:val="lowerLetter"/>
      <w:lvlText w:val="%2."/>
      <w:lvlJc w:val="left"/>
      <w:pPr>
        <w:ind w:left="1440" w:hanging="360"/>
      </w:pPr>
    </w:lvl>
    <w:lvl w:ilvl="2" w:tplc="5234EE7C" w:tentative="1">
      <w:start w:val="1"/>
      <w:numFmt w:val="lowerRoman"/>
      <w:lvlText w:val="%3."/>
      <w:lvlJc w:val="right"/>
      <w:pPr>
        <w:ind w:left="2160" w:hanging="180"/>
      </w:pPr>
    </w:lvl>
    <w:lvl w:ilvl="3" w:tplc="AB36BBBE" w:tentative="1">
      <w:start w:val="1"/>
      <w:numFmt w:val="decimal"/>
      <w:lvlText w:val="%4."/>
      <w:lvlJc w:val="left"/>
      <w:pPr>
        <w:ind w:left="2880" w:hanging="360"/>
      </w:pPr>
    </w:lvl>
    <w:lvl w:ilvl="4" w:tplc="0590B5C0" w:tentative="1">
      <w:start w:val="1"/>
      <w:numFmt w:val="lowerLetter"/>
      <w:lvlText w:val="%5."/>
      <w:lvlJc w:val="left"/>
      <w:pPr>
        <w:ind w:left="3600" w:hanging="360"/>
      </w:pPr>
    </w:lvl>
    <w:lvl w:ilvl="5" w:tplc="07106922" w:tentative="1">
      <w:start w:val="1"/>
      <w:numFmt w:val="lowerRoman"/>
      <w:lvlText w:val="%6."/>
      <w:lvlJc w:val="right"/>
      <w:pPr>
        <w:ind w:left="4320" w:hanging="180"/>
      </w:pPr>
    </w:lvl>
    <w:lvl w:ilvl="6" w:tplc="B55051C0" w:tentative="1">
      <w:start w:val="1"/>
      <w:numFmt w:val="decimal"/>
      <w:lvlText w:val="%7."/>
      <w:lvlJc w:val="left"/>
      <w:pPr>
        <w:ind w:left="5040" w:hanging="360"/>
      </w:pPr>
    </w:lvl>
    <w:lvl w:ilvl="7" w:tplc="BE8A52BE" w:tentative="1">
      <w:start w:val="1"/>
      <w:numFmt w:val="lowerLetter"/>
      <w:lvlText w:val="%8."/>
      <w:lvlJc w:val="left"/>
      <w:pPr>
        <w:ind w:left="5760" w:hanging="360"/>
      </w:pPr>
    </w:lvl>
    <w:lvl w:ilvl="8" w:tplc="C94E4EC4" w:tentative="1">
      <w:start w:val="1"/>
      <w:numFmt w:val="lowerRoman"/>
      <w:lvlText w:val="%9."/>
      <w:lvlJc w:val="right"/>
      <w:pPr>
        <w:ind w:left="6480" w:hanging="180"/>
      </w:pPr>
    </w:lvl>
  </w:abstractNum>
  <w:abstractNum w:abstractNumId="4" w15:restartNumberingAfterBreak="0">
    <w:nsid w:val="35CE6B78"/>
    <w:multiLevelType w:val="hybridMultilevel"/>
    <w:tmpl w:val="AD4E0C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3C55CF"/>
    <w:multiLevelType w:val="hybridMultilevel"/>
    <w:tmpl w:val="D2C8F4F6"/>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E6290B"/>
    <w:multiLevelType w:val="hybridMultilevel"/>
    <w:tmpl w:val="2BA47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F4"/>
    <w:rsid w:val="00000607"/>
    <w:rsid w:val="00000BA8"/>
    <w:rsid w:val="000011D3"/>
    <w:rsid w:val="00007A62"/>
    <w:rsid w:val="000122B2"/>
    <w:rsid w:val="00015388"/>
    <w:rsid w:val="000165C9"/>
    <w:rsid w:val="00016667"/>
    <w:rsid w:val="00020081"/>
    <w:rsid w:val="0002423B"/>
    <w:rsid w:val="00035905"/>
    <w:rsid w:val="00035FD2"/>
    <w:rsid w:val="000409AD"/>
    <w:rsid w:val="0004132F"/>
    <w:rsid w:val="000453E8"/>
    <w:rsid w:val="00045E9E"/>
    <w:rsid w:val="0004640F"/>
    <w:rsid w:val="0005042E"/>
    <w:rsid w:val="00052B71"/>
    <w:rsid w:val="00053DF0"/>
    <w:rsid w:val="00054EC9"/>
    <w:rsid w:val="0006192A"/>
    <w:rsid w:val="00063893"/>
    <w:rsid w:val="00064923"/>
    <w:rsid w:val="00070163"/>
    <w:rsid w:val="000715A3"/>
    <w:rsid w:val="0007171C"/>
    <w:rsid w:val="00072844"/>
    <w:rsid w:val="00073C44"/>
    <w:rsid w:val="00081D6A"/>
    <w:rsid w:val="00084575"/>
    <w:rsid w:val="00085CC8"/>
    <w:rsid w:val="00086B35"/>
    <w:rsid w:val="00091A75"/>
    <w:rsid w:val="000A223F"/>
    <w:rsid w:val="000A253C"/>
    <w:rsid w:val="000B5777"/>
    <w:rsid w:val="000B6066"/>
    <w:rsid w:val="000B6D0B"/>
    <w:rsid w:val="000B6FD4"/>
    <w:rsid w:val="000C2782"/>
    <w:rsid w:val="000D1048"/>
    <w:rsid w:val="000E041F"/>
    <w:rsid w:val="000E0582"/>
    <w:rsid w:val="000E67F1"/>
    <w:rsid w:val="000E730E"/>
    <w:rsid w:val="000E7FE3"/>
    <w:rsid w:val="000F5A3C"/>
    <w:rsid w:val="00103743"/>
    <w:rsid w:val="00103E6E"/>
    <w:rsid w:val="00104A22"/>
    <w:rsid w:val="00104F07"/>
    <w:rsid w:val="00105573"/>
    <w:rsid w:val="00105FC1"/>
    <w:rsid w:val="001064CC"/>
    <w:rsid w:val="0011027A"/>
    <w:rsid w:val="00111107"/>
    <w:rsid w:val="00113CE2"/>
    <w:rsid w:val="00114CD7"/>
    <w:rsid w:val="00121FFB"/>
    <w:rsid w:val="00126F6D"/>
    <w:rsid w:val="00130CF4"/>
    <w:rsid w:val="0013339E"/>
    <w:rsid w:val="00136E06"/>
    <w:rsid w:val="00140FF2"/>
    <w:rsid w:val="00141947"/>
    <w:rsid w:val="001457DA"/>
    <w:rsid w:val="00152D63"/>
    <w:rsid w:val="00162E5A"/>
    <w:rsid w:val="0016530F"/>
    <w:rsid w:val="00170507"/>
    <w:rsid w:val="0017297B"/>
    <w:rsid w:val="001734C9"/>
    <w:rsid w:val="00176834"/>
    <w:rsid w:val="00186440"/>
    <w:rsid w:val="001913A2"/>
    <w:rsid w:val="001925AA"/>
    <w:rsid w:val="001A011A"/>
    <w:rsid w:val="001A5038"/>
    <w:rsid w:val="001A5193"/>
    <w:rsid w:val="001B127C"/>
    <w:rsid w:val="001B4947"/>
    <w:rsid w:val="001C0F92"/>
    <w:rsid w:val="001C2112"/>
    <w:rsid w:val="001C6772"/>
    <w:rsid w:val="001D2E34"/>
    <w:rsid w:val="001D3786"/>
    <w:rsid w:val="001D46BC"/>
    <w:rsid w:val="001D66C5"/>
    <w:rsid w:val="001D6F09"/>
    <w:rsid w:val="001E50EF"/>
    <w:rsid w:val="001E6B7A"/>
    <w:rsid w:val="001F19D9"/>
    <w:rsid w:val="00202525"/>
    <w:rsid w:val="002027C6"/>
    <w:rsid w:val="00206F79"/>
    <w:rsid w:val="00207E7A"/>
    <w:rsid w:val="0021073C"/>
    <w:rsid w:val="00211A39"/>
    <w:rsid w:val="00216E80"/>
    <w:rsid w:val="002252BA"/>
    <w:rsid w:val="002268DE"/>
    <w:rsid w:val="002332A4"/>
    <w:rsid w:val="00240757"/>
    <w:rsid w:val="00242600"/>
    <w:rsid w:val="002471DB"/>
    <w:rsid w:val="00247714"/>
    <w:rsid w:val="00247DFE"/>
    <w:rsid w:val="0025456D"/>
    <w:rsid w:val="00254AA3"/>
    <w:rsid w:val="00257CE8"/>
    <w:rsid w:val="00262564"/>
    <w:rsid w:val="00263A58"/>
    <w:rsid w:val="00263D9F"/>
    <w:rsid w:val="002704E8"/>
    <w:rsid w:val="00280955"/>
    <w:rsid w:val="00280B04"/>
    <w:rsid w:val="0028387F"/>
    <w:rsid w:val="00294090"/>
    <w:rsid w:val="00295132"/>
    <w:rsid w:val="00296168"/>
    <w:rsid w:val="002975DC"/>
    <w:rsid w:val="00297713"/>
    <w:rsid w:val="00297EE8"/>
    <w:rsid w:val="002A04C2"/>
    <w:rsid w:val="002A0FF4"/>
    <w:rsid w:val="002A215D"/>
    <w:rsid w:val="002B0AC5"/>
    <w:rsid w:val="002B103B"/>
    <w:rsid w:val="002B2F95"/>
    <w:rsid w:val="002B345C"/>
    <w:rsid w:val="002B4B71"/>
    <w:rsid w:val="002C0E77"/>
    <w:rsid w:val="002C4ED9"/>
    <w:rsid w:val="002C77CF"/>
    <w:rsid w:val="002D3FCD"/>
    <w:rsid w:val="002D56F8"/>
    <w:rsid w:val="002D6EEE"/>
    <w:rsid w:val="002E0D13"/>
    <w:rsid w:val="002F6D74"/>
    <w:rsid w:val="00300871"/>
    <w:rsid w:val="00300941"/>
    <w:rsid w:val="003036BF"/>
    <w:rsid w:val="003047BD"/>
    <w:rsid w:val="003137B2"/>
    <w:rsid w:val="003169EB"/>
    <w:rsid w:val="0032636E"/>
    <w:rsid w:val="003276BC"/>
    <w:rsid w:val="00334386"/>
    <w:rsid w:val="00336833"/>
    <w:rsid w:val="003410F4"/>
    <w:rsid w:val="00344E03"/>
    <w:rsid w:val="00345DC0"/>
    <w:rsid w:val="003465A3"/>
    <w:rsid w:val="00347A39"/>
    <w:rsid w:val="00350AF2"/>
    <w:rsid w:val="00352312"/>
    <w:rsid w:val="0035244C"/>
    <w:rsid w:val="00352762"/>
    <w:rsid w:val="003530A4"/>
    <w:rsid w:val="0035483B"/>
    <w:rsid w:val="003549FA"/>
    <w:rsid w:val="003560AA"/>
    <w:rsid w:val="00356FC8"/>
    <w:rsid w:val="00365668"/>
    <w:rsid w:val="00366177"/>
    <w:rsid w:val="003716F4"/>
    <w:rsid w:val="00374366"/>
    <w:rsid w:val="003765A6"/>
    <w:rsid w:val="00377F00"/>
    <w:rsid w:val="00386193"/>
    <w:rsid w:val="00392ACB"/>
    <w:rsid w:val="00393598"/>
    <w:rsid w:val="00396DEA"/>
    <w:rsid w:val="003A3F30"/>
    <w:rsid w:val="003B05F1"/>
    <w:rsid w:val="003B1C78"/>
    <w:rsid w:val="003B2FF9"/>
    <w:rsid w:val="003B60EF"/>
    <w:rsid w:val="003C1632"/>
    <w:rsid w:val="003C3184"/>
    <w:rsid w:val="003C78A3"/>
    <w:rsid w:val="003D0454"/>
    <w:rsid w:val="003D5B5B"/>
    <w:rsid w:val="003D6578"/>
    <w:rsid w:val="003D67B3"/>
    <w:rsid w:val="003E20A0"/>
    <w:rsid w:val="003E362A"/>
    <w:rsid w:val="003E76BE"/>
    <w:rsid w:val="003F5022"/>
    <w:rsid w:val="004011EC"/>
    <w:rsid w:val="00401401"/>
    <w:rsid w:val="00405598"/>
    <w:rsid w:val="0040794E"/>
    <w:rsid w:val="00410635"/>
    <w:rsid w:val="00411ACB"/>
    <w:rsid w:val="00413D61"/>
    <w:rsid w:val="004162AE"/>
    <w:rsid w:val="00417A3A"/>
    <w:rsid w:val="00420D36"/>
    <w:rsid w:val="00421033"/>
    <w:rsid w:val="0042305F"/>
    <w:rsid w:val="00423892"/>
    <w:rsid w:val="00423956"/>
    <w:rsid w:val="0042603E"/>
    <w:rsid w:val="0043028C"/>
    <w:rsid w:val="00437121"/>
    <w:rsid w:val="00441A94"/>
    <w:rsid w:val="004507ED"/>
    <w:rsid w:val="00455110"/>
    <w:rsid w:val="004571E6"/>
    <w:rsid w:val="00461F36"/>
    <w:rsid w:val="00462EBE"/>
    <w:rsid w:val="00465CFE"/>
    <w:rsid w:val="0046799D"/>
    <w:rsid w:val="004729B1"/>
    <w:rsid w:val="004738B0"/>
    <w:rsid w:val="0047401E"/>
    <w:rsid w:val="0047469D"/>
    <w:rsid w:val="00484C9B"/>
    <w:rsid w:val="0048745B"/>
    <w:rsid w:val="0049063E"/>
    <w:rsid w:val="004930FB"/>
    <w:rsid w:val="0049347D"/>
    <w:rsid w:val="0049371E"/>
    <w:rsid w:val="00495FDE"/>
    <w:rsid w:val="004A01B7"/>
    <w:rsid w:val="004A0BF9"/>
    <w:rsid w:val="004B07B4"/>
    <w:rsid w:val="004B2EE3"/>
    <w:rsid w:val="004B36F9"/>
    <w:rsid w:val="004B3C83"/>
    <w:rsid w:val="004B4A7C"/>
    <w:rsid w:val="004B5B63"/>
    <w:rsid w:val="004C180F"/>
    <w:rsid w:val="004C29BA"/>
    <w:rsid w:val="004C2E2D"/>
    <w:rsid w:val="004C67B5"/>
    <w:rsid w:val="004D2837"/>
    <w:rsid w:val="004D2F03"/>
    <w:rsid w:val="004D52ED"/>
    <w:rsid w:val="004D66B7"/>
    <w:rsid w:val="004D691C"/>
    <w:rsid w:val="004E1BB1"/>
    <w:rsid w:val="004E2750"/>
    <w:rsid w:val="004E56A6"/>
    <w:rsid w:val="004F06C1"/>
    <w:rsid w:val="004F202B"/>
    <w:rsid w:val="004F3927"/>
    <w:rsid w:val="004F4366"/>
    <w:rsid w:val="00502962"/>
    <w:rsid w:val="005030AE"/>
    <w:rsid w:val="00507662"/>
    <w:rsid w:val="00507AF2"/>
    <w:rsid w:val="00524967"/>
    <w:rsid w:val="005259BF"/>
    <w:rsid w:val="0052746A"/>
    <w:rsid w:val="0053127B"/>
    <w:rsid w:val="0053271C"/>
    <w:rsid w:val="00533FED"/>
    <w:rsid w:val="00534216"/>
    <w:rsid w:val="0054015A"/>
    <w:rsid w:val="005419DB"/>
    <w:rsid w:val="00543529"/>
    <w:rsid w:val="005453EE"/>
    <w:rsid w:val="00545542"/>
    <w:rsid w:val="0055345A"/>
    <w:rsid w:val="00553DEB"/>
    <w:rsid w:val="00554A68"/>
    <w:rsid w:val="00557D19"/>
    <w:rsid w:val="005614A7"/>
    <w:rsid w:val="00563A4E"/>
    <w:rsid w:val="00564744"/>
    <w:rsid w:val="0056742E"/>
    <w:rsid w:val="00572667"/>
    <w:rsid w:val="00580445"/>
    <w:rsid w:val="00584154"/>
    <w:rsid w:val="00584436"/>
    <w:rsid w:val="005909E3"/>
    <w:rsid w:val="00592A45"/>
    <w:rsid w:val="005939AE"/>
    <w:rsid w:val="005A4695"/>
    <w:rsid w:val="005A4CB2"/>
    <w:rsid w:val="005B0EC0"/>
    <w:rsid w:val="005B5AAF"/>
    <w:rsid w:val="005C214F"/>
    <w:rsid w:val="005C27D6"/>
    <w:rsid w:val="005C33DB"/>
    <w:rsid w:val="005E1959"/>
    <w:rsid w:val="005E6294"/>
    <w:rsid w:val="005E7C10"/>
    <w:rsid w:val="005F1C13"/>
    <w:rsid w:val="005F34EB"/>
    <w:rsid w:val="005F7A53"/>
    <w:rsid w:val="00601740"/>
    <w:rsid w:val="00606CE9"/>
    <w:rsid w:val="00607C9F"/>
    <w:rsid w:val="00611538"/>
    <w:rsid w:val="00613279"/>
    <w:rsid w:val="006253E8"/>
    <w:rsid w:val="00626649"/>
    <w:rsid w:val="006361F8"/>
    <w:rsid w:val="00643E70"/>
    <w:rsid w:val="00644C02"/>
    <w:rsid w:val="00650034"/>
    <w:rsid w:val="00651599"/>
    <w:rsid w:val="006532DE"/>
    <w:rsid w:val="00654A41"/>
    <w:rsid w:val="0065559F"/>
    <w:rsid w:val="006577AC"/>
    <w:rsid w:val="00661A3F"/>
    <w:rsid w:val="0066292A"/>
    <w:rsid w:val="00663122"/>
    <w:rsid w:val="00663C64"/>
    <w:rsid w:val="00672941"/>
    <w:rsid w:val="00676C11"/>
    <w:rsid w:val="00681F22"/>
    <w:rsid w:val="006877AB"/>
    <w:rsid w:val="006928FD"/>
    <w:rsid w:val="00693713"/>
    <w:rsid w:val="0069584F"/>
    <w:rsid w:val="006A1EA8"/>
    <w:rsid w:val="006A226D"/>
    <w:rsid w:val="006A477B"/>
    <w:rsid w:val="006B0A6F"/>
    <w:rsid w:val="006B5B60"/>
    <w:rsid w:val="006C0350"/>
    <w:rsid w:val="006C2002"/>
    <w:rsid w:val="006C4069"/>
    <w:rsid w:val="006C7AC7"/>
    <w:rsid w:val="006C7B83"/>
    <w:rsid w:val="006D0CEA"/>
    <w:rsid w:val="006D5705"/>
    <w:rsid w:val="006D570D"/>
    <w:rsid w:val="006D7742"/>
    <w:rsid w:val="006D7A66"/>
    <w:rsid w:val="006E38FF"/>
    <w:rsid w:val="006E3A82"/>
    <w:rsid w:val="006F0D41"/>
    <w:rsid w:val="006F258D"/>
    <w:rsid w:val="006F4E99"/>
    <w:rsid w:val="006F6467"/>
    <w:rsid w:val="006F6490"/>
    <w:rsid w:val="006F70F5"/>
    <w:rsid w:val="007004A8"/>
    <w:rsid w:val="00701995"/>
    <w:rsid w:val="007034A8"/>
    <w:rsid w:val="00706042"/>
    <w:rsid w:val="00707799"/>
    <w:rsid w:val="00716F81"/>
    <w:rsid w:val="007200A7"/>
    <w:rsid w:val="007201B6"/>
    <w:rsid w:val="007208A3"/>
    <w:rsid w:val="00733A85"/>
    <w:rsid w:val="00744A54"/>
    <w:rsid w:val="00747624"/>
    <w:rsid w:val="00750695"/>
    <w:rsid w:val="0075417F"/>
    <w:rsid w:val="00757B51"/>
    <w:rsid w:val="00760EF0"/>
    <w:rsid w:val="00771B3C"/>
    <w:rsid w:val="00783AFF"/>
    <w:rsid w:val="00784037"/>
    <w:rsid w:val="00786DDD"/>
    <w:rsid w:val="007921A8"/>
    <w:rsid w:val="007A2987"/>
    <w:rsid w:val="007A7356"/>
    <w:rsid w:val="007A7B09"/>
    <w:rsid w:val="007B2863"/>
    <w:rsid w:val="007B313E"/>
    <w:rsid w:val="007B625E"/>
    <w:rsid w:val="007C4ADE"/>
    <w:rsid w:val="007D18A9"/>
    <w:rsid w:val="007D4F52"/>
    <w:rsid w:val="007E100B"/>
    <w:rsid w:val="007E319F"/>
    <w:rsid w:val="007E5A4E"/>
    <w:rsid w:val="007E65E1"/>
    <w:rsid w:val="007E6672"/>
    <w:rsid w:val="007F0CBE"/>
    <w:rsid w:val="007F28C4"/>
    <w:rsid w:val="008034C3"/>
    <w:rsid w:val="00805302"/>
    <w:rsid w:val="00807023"/>
    <w:rsid w:val="00814951"/>
    <w:rsid w:val="0083109B"/>
    <w:rsid w:val="00833EA8"/>
    <w:rsid w:val="00833F87"/>
    <w:rsid w:val="0083421B"/>
    <w:rsid w:val="00834355"/>
    <w:rsid w:val="0084010F"/>
    <w:rsid w:val="00844397"/>
    <w:rsid w:val="00850300"/>
    <w:rsid w:val="00851166"/>
    <w:rsid w:val="0085290C"/>
    <w:rsid w:val="008610D6"/>
    <w:rsid w:val="00862BDC"/>
    <w:rsid w:val="008715F0"/>
    <w:rsid w:val="00873720"/>
    <w:rsid w:val="00873C92"/>
    <w:rsid w:val="00874CBC"/>
    <w:rsid w:val="008767A2"/>
    <w:rsid w:val="0088152C"/>
    <w:rsid w:val="0088426B"/>
    <w:rsid w:val="00885661"/>
    <w:rsid w:val="00885D50"/>
    <w:rsid w:val="008A47A8"/>
    <w:rsid w:val="008A5B03"/>
    <w:rsid w:val="008B2C78"/>
    <w:rsid w:val="008B5A39"/>
    <w:rsid w:val="008C1B74"/>
    <w:rsid w:val="008C6EE1"/>
    <w:rsid w:val="008F3F56"/>
    <w:rsid w:val="00900E87"/>
    <w:rsid w:val="00902FD4"/>
    <w:rsid w:val="009040F1"/>
    <w:rsid w:val="00905E8E"/>
    <w:rsid w:val="0090626E"/>
    <w:rsid w:val="00906F88"/>
    <w:rsid w:val="00911174"/>
    <w:rsid w:val="00913189"/>
    <w:rsid w:val="00920A76"/>
    <w:rsid w:val="0092152D"/>
    <w:rsid w:val="0092185E"/>
    <w:rsid w:val="00930479"/>
    <w:rsid w:val="009314F2"/>
    <w:rsid w:val="00946289"/>
    <w:rsid w:val="0095303B"/>
    <w:rsid w:val="0095505C"/>
    <w:rsid w:val="00962BCE"/>
    <w:rsid w:val="00963514"/>
    <w:rsid w:val="00982DF2"/>
    <w:rsid w:val="0098389F"/>
    <w:rsid w:val="0098736E"/>
    <w:rsid w:val="009938A1"/>
    <w:rsid w:val="00994900"/>
    <w:rsid w:val="009A4BCF"/>
    <w:rsid w:val="009A6EA1"/>
    <w:rsid w:val="009A7DCD"/>
    <w:rsid w:val="009B6DB2"/>
    <w:rsid w:val="009C0BF9"/>
    <w:rsid w:val="009C5C56"/>
    <w:rsid w:val="009D2378"/>
    <w:rsid w:val="009D58D9"/>
    <w:rsid w:val="009D7AE0"/>
    <w:rsid w:val="009E2BC9"/>
    <w:rsid w:val="009E3DA8"/>
    <w:rsid w:val="009E4C07"/>
    <w:rsid w:val="009F1A70"/>
    <w:rsid w:val="009F49B8"/>
    <w:rsid w:val="009F5054"/>
    <w:rsid w:val="00A00039"/>
    <w:rsid w:val="00A009E5"/>
    <w:rsid w:val="00A03CEA"/>
    <w:rsid w:val="00A043FC"/>
    <w:rsid w:val="00A04C61"/>
    <w:rsid w:val="00A058C5"/>
    <w:rsid w:val="00A06F7E"/>
    <w:rsid w:val="00A107D2"/>
    <w:rsid w:val="00A135F7"/>
    <w:rsid w:val="00A14982"/>
    <w:rsid w:val="00A267AA"/>
    <w:rsid w:val="00A27E43"/>
    <w:rsid w:val="00A31A95"/>
    <w:rsid w:val="00A33C7A"/>
    <w:rsid w:val="00A37172"/>
    <w:rsid w:val="00A37DCC"/>
    <w:rsid w:val="00A408E4"/>
    <w:rsid w:val="00A418A3"/>
    <w:rsid w:val="00A45102"/>
    <w:rsid w:val="00A51A09"/>
    <w:rsid w:val="00A57D54"/>
    <w:rsid w:val="00A65475"/>
    <w:rsid w:val="00A66A73"/>
    <w:rsid w:val="00A67768"/>
    <w:rsid w:val="00A67D7E"/>
    <w:rsid w:val="00A704B7"/>
    <w:rsid w:val="00A72B36"/>
    <w:rsid w:val="00A75E89"/>
    <w:rsid w:val="00A76993"/>
    <w:rsid w:val="00A82678"/>
    <w:rsid w:val="00A86036"/>
    <w:rsid w:val="00A9303B"/>
    <w:rsid w:val="00A94547"/>
    <w:rsid w:val="00A94B68"/>
    <w:rsid w:val="00A954F9"/>
    <w:rsid w:val="00A97E5D"/>
    <w:rsid w:val="00AA1454"/>
    <w:rsid w:val="00AA65C4"/>
    <w:rsid w:val="00AA7E1E"/>
    <w:rsid w:val="00AB3C77"/>
    <w:rsid w:val="00AC37C4"/>
    <w:rsid w:val="00AC7675"/>
    <w:rsid w:val="00AD3B7A"/>
    <w:rsid w:val="00AE0622"/>
    <w:rsid w:val="00AF3EDE"/>
    <w:rsid w:val="00AF4ADB"/>
    <w:rsid w:val="00AF5D08"/>
    <w:rsid w:val="00B06812"/>
    <w:rsid w:val="00B07E83"/>
    <w:rsid w:val="00B1578E"/>
    <w:rsid w:val="00B15F59"/>
    <w:rsid w:val="00B27C62"/>
    <w:rsid w:val="00B31714"/>
    <w:rsid w:val="00B31FB1"/>
    <w:rsid w:val="00B36429"/>
    <w:rsid w:val="00B41AC0"/>
    <w:rsid w:val="00B45704"/>
    <w:rsid w:val="00B526A9"/>
    <w:rsid w:val="00B56204"/>
    <w:rsid w:val="00B572A1"/>
    <w:rsid w:val="00B57567"/>
    <w:rsid w:val="00B60EE6"/>
    <w:rsid w:val="00B61032"/>
    <w:rsid w:val="00B61B75"/>
    <w:rsid w:val="00B65B3A"/>
    <w:rsid w:val="00B665A4"/>
    <w:rsid w:val="00B72426"/>
    <w:rsid w:val="00B727A1"/>
    <w:rsid w:val="00B73054"/>
    <w:rsid w:val="00B75F46"/>
    <w:rsid w:val="00B813A0"/>
    <w:rsid w:val="00B84EFE"/>
    <w:rsid w:val="00B85652"/>
    <w:rsid w:val="00B90269"/>
    <w:rsid w:val="00B904DD"/>
    <w:rsid w:val="00B917F7"/>
    <w:rsid w:val="00B92EE4"/>
    <w:rsid w:val="00B962C1"/>
    <w:rsid w:val="00BA101F"/>
    <w:rsid w:val="00BA2BAF"/>
    <w:rsid w:val="00BA646A"/>
    <w:rsid w:val="00BA7E1E"/>
    <w:rsid w:val="00BB281E"/>
    <w:rsid w:val="00BB396F"/>
    <w:rsid w:val="00BB54B1"/>
    <w:rsid w:val="00BB5ECD"/>
    <w:rsid w:val="00BC1494"/>
    <w:rsid w:val="00BC1A79"/>
    <w:rsid w:val="00BC20C1"/>
    <w:rsid w:val="00BC27E9"/>
    <w:rsid w:val="00BC38A7"/>
    <w:rsid w:val="00BC5A2C"/>
    <w:rsid w:val="00BC61E3"/>
    <w:rsid w:val="00BD20A0"/>
    <w:rsid w:val="00BD4DE5"/>
    <w:rsid w:val="00BD6A10"/>
    <w:rsid w:val="00BD6BED"/>
    <w:rsid w:val="00BE38D4"/>
    <w:rsid w:val="00BE6B5A"/>
    <w:rsid w:val="00BE6E47"/>
    <w:rsid w:val="00BF34BE"/>
    <w:rsid w:val="00BF34FD"/>
    <w:rsid w:val="00BF505D"/>
    <w:rsid w:val="00C00318"/>
    <w:rsid w:val="00C05F61"/>
    <w:rsid w:val="00C1056C"/>
    <w:rsid w:val="00C20E59"/>
    <w:rsid w:val="00C2444B"/>
    <w:rsid w:val="00C27CA3"/>
    <w:rsid w:val="00C31F04"/>
    <w:rsid w:val="00C3309A"/>
    <w:rsid w:val="00C34768"/>
    <w:rsid w:val="00C35687"/>
    <w:rsid w:val="00C414C6"/>
    <w:rsid w:val="00C46344"/>
    <w:rsid w:val="00C4684F"/>
    <w:rsid w:val="00C52958"/>
    <w:rsid w:val="00C61705"/>
    <w:rsid w:val="00C72357"/>
    <w:rsid w:val="00C7365E"/>
    <w:rsid w:val="00C739E0"/>
    <w:rsid w:val="00C81039"/>
    <w:rsid w:val="00C82EB0"/>
    <w:rsid w:val="00C83655"/>
    <w:rsid w:val="00C84A98"/>
    <w:rsid w:val="00C85D0A"/>
    <w:rsid w:val="00C86B0F"/>
    <w:rsid w:val="00CA1BEC"/>
    <w:rsid w:val="00CA241C"/>
    <w:rsid w:val="00CA4551"/>
    <w:rsid w:val="00CA5AAE"/>
    <w:rsid w:val="00CA6C59"/>
    <w:rsid w:val="00CB16DC"/>
    <w:rsid w:val="00CC00BE"/>
    <w:rsid w:val="00CC2F95"/>
    <w:rsid w:val="00CC657A"/>
    <w:rsid w:val="00CD2C26"/>
    <w:rsid w:val="00CD3176"/>
    <w:rsid w:val="00CD3DDA"/>
    <w:rsid w:val="00CD7812"/>
    <w:rsid w:val="00CE5D2A"/>
    <w:rsid w:val="00CE6842"/>
    <w:rsid w:val="00CF320F"/>
    <w:rsid w:val="00CF4B4F"/>
    <w:rsid w:val="00D01E35"/>
    <w:rsid w:val="00D03EC5"/>
    <w:rsid w:val="00D0527F"/>
    <w:rsid w:val="00D05590"/>
    <w:rsid w:val="00D068DE"/>
    <w:rsid w:val="00D06FE4"/>
    <w:rsid w:val="00D15F42"/>
    <w:rsid w:val="00D20371"/>
    <w:rsid w:val="00D23EC3"/>
    <w:rsid w:val="00D25E01"/>
    <w:rsid w:val="00D27F83"/>
    <w:rsid w:val="00D31434"/>
    <w:rsid w:val="00D32BC1"/>
    <w:rsid w:val="00D35189"/>
    <w:rsid w:val="00D35B30"/>
    <w:rsid w:val="00D36D8C"/>
    <w:rsid w:val="00D430D0"/>
    <w:rsid w:val="00D439EE"/>
    <w:rsid w:val="00D46493"/>
    <w:rsid w:val="00D46F68"/>
    <w:rsid w:val="00D52776"/>
    <w:rsid w:val="00D52C71"/>
    <w:rsid w:val="00D53E21"/>
    <w:rsid w:val="00D54165"/>
    <w:rsid w:val="00D54433"/>
    <w:rsid w:val="00D6153D"/>
    <w:rsid w:val="00D62CB2"/>
    <w:rsid w:val="00D64A2C"/>
    <w:rsid w:val="00D65FE6"/>
    <w:rsid w:val="00D73130"/>
    <w:rsid w:val="00D73D51"/>
    <w:rsid w:val="00D85B16"/>
    <w:rsid w:val="00D90079"/>
    <w:rsid w:val="00DA5266"/>
    <w:rsid w:val="00DA6821"/>
    <w:rsid w:val="00DA71DC"/>
    <w:rsid w:val="00DB4AB8"/>
    <w:rsid w:val="00DB7FF4"/>
    <w:rsid w:val="00DC5D20"/>
    <w:rsid w:val="00DE0086"/>
    <w:rsid w:val="00DE1D6B"/>
    <w:rsid w:val="00DE1E8B"/>
    <w:rsid w:val="00DE3490"/>
    <w:rsid w:val="00DE59DC"/>
    <w:rsid w:val="00DE5D1B"/>
    <w:rsid w:val="00DE79D9"/>
    <w:rsid w:val="00DF196F"/>
    <w:rsid w:val="00E00323"/>
    <w:rsid w:val="00E02FFE"/>
    <w:rsid w:val="00E03286"/>
    <w:rsid w:val="00E05D72"/>
    <w:rsid w:val="00E2241B"/>
    <w:rsid w:val="00E232D7"/>
    <w:rsid w:val="00E246C8"/>
    <w:rsid w:val="00E249A7"/>
    <w:rsid w:val="00E30AB7"/>
    <w:rsid w:val="00E3136B"/>
    <w:rsid w:val="00E32DA5"/>
    <w:rsid w:val="00E33626"/>
    <w:rsid w:val="00E37273"/>
    <w:rsid w:val="00E379D9"/>
    <w:rsid w:val="00E45A37"/>
    <w:rsid w:val="00E60F33"/>
    <w:rsid w:val="00E61584"/>
    <w:rsid w:val="00E65B6D"/>
    <w:rsid w:val="00E672C5"/>
    <w:rsid w:val="00E72361"/>
    <w:rsid w:val="00E727DF"/>
    <w:rsid w:val="00E75C58"/>
    <w:rsid w:val="00E83698"/>
    <w:rsid w:val="00E83B6F"/>
    <w:rsid w:val="00E92EFB"/>
    <w:rsid w:val="00E97D25"/>
    <w:rsid w:val="00EA4C08"/>
    <w:rsid w:val="00EA600A"/>
    <w:rsid w:val="00EA72FD"/>
    <w:rsid w:val="00EB21DE"/>
    <w:rsid w:val="00EB58BD"/>
    <w:rsid w:val="00EB7AE7"/>
    <w:rsid w:val="00EC27AF"/>
    <w:rsid w:val="00EC4783"/>
    <w:rsid w:val="00ED48A1"/>
    <w:rsid w:val="00ED6AC2"/>
    <w:rsid w:val="00ED7498"/>
    <w:rsid w:val="00EE1A2C"/>
    <w:rsid w:val="00EE2D73"/>
    <w:rsid w:val="00EE3563"/>
    <w:rsid w:val="00EE52B6"/>
    <w:rsid w:val="00EE5E45"/>
    <w:rsid w:val="00EE6576"/>
    <w:rsid w:val="00EE781C"/>
    <w:rsid w:val="00EF1372"/>
    <w:rsid w:val="00EF5095"/>
    <w:rsid w:val="00EF58F6"/>
    <w:rsid w:val="00EF6430"/>
    <w:rsid w:val="00EF6FC0"/>
    <w:rsid w:val="00F05985"/>
    <w:rsid w:val="00F0634D"/>
    <w:rsid w:val="00F152EA"/>
    <w:rsid w:val="00F1637C"/>
    <w:rsid w:val="00F16BA0"/>
    <w:rsid w:val="00F16C34"/>
    <w:rsid w:val="00F21E06"/>
    <w:rsid w:val="00F22898"/>
    <w:rsid w:val="00F238D0"/>
    <w:rsid w:val="00F24602"/>
    <w:rsid w:val="00F24FF3"/>
    <w:rsid w:val="00F258E7"/>
    <w:rsid w:val="00F43A84"/>
    <w:rsid w:val="00F513D7"/>
    <w:rsid w:val="00F5589C"/>
    <w:rsid w:val="00F57B3E"/>
    <w:rsid w:val="00F60198"/>
    <w:rsid w:val="00F604FE"/>
    <w:rsid w:val="00F727A5"/>
    <w:rsid w:val="00F73C8A"/>
    <w:rsid w:val="00F742AF"/>
    <w:rsid w:val="00F7439A"/>
    <w:rsid w:val="00F80CCA"/>
    <w:rsid w:val="00F82A58"/>
    <w:rsid w:val="00F84755"/>
    <w:rsid w:val="00F86C0D"/>
    <w:rsid w:val="00FA5264"/>
    <w:rsid w:val="00FB079D"/>
    <w:rsid w:val="00FB2226"/>
    <w:rsid w:val="00FB35F7"/>
    <w:rsid w:val="00FC0481"/>
    <w:rsid w:val="00FD1EBB"/>
    <w:rsid w:val="00FD25F4"/>
    <w:rsid w:val="00FD3000"/>
    <w:rsid w:val="00FD526D"/>
    <w:rsid w:val="00FE6058"/>
    <w:rsid w:val="00FE7E18"/>
    <w:rsid w:val="00FF089D"/>
    <w:rsid w:val="00FF1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9B3A"/>
  <w15:chartTrackingRefBased/>
  <w15:docId w15:val="{C979C722-42E4-4B6D-9DAE-0D22E920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F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7FF4"/>
    <w:pPr>
      <w:spacing w:before="100" w:beforeAutospacing="1" w:after="100" w:afterAutospacing="1"/>
    </w:pPr>
    <w:rPr>
      <w:rFonts w:eastAsia="Times New Roman"/>
      <w:szCs w:val="24"/>
      <w:lang w:eastAsia="lv-LV"/>
    </w:rPr>
  </w:style>
  <w:style w:type="paragraph" w:customStyle="1" w:styleId="naisf">
    <w:name w:val="naisf"/>
    <w:basedOn w:val="Normal"/>
    <w:rsid w:val="00DB7FF4"/>
    <w:pPr>
      <w:spacing w:before="75" w:after="75"/>
      <w:ind w:firstLine="375"/>
      <w:jc w:val="both"/>
    </w:pPr>
    <w:rPr>
      <w:rFonts w:eastAsia="Times New Roman"/>
      <w:szCs w:val="24"/>
      <w:lang w:eastAsia="lv-LV"/>
    </w:rPr>
  </w:style>
  <w:style w:type="paragraph" w:customStyle="1" w:styleId="naiskr">
    <w:name w:val="naiskr"/>
    <w:basedOn w:val="Normal"/>
    <w:rsid w:val="00DB7FF4"/>
    <w:pPr>
      <w:spacing w:before="75" w:after="75"/>
    </w:pPr>
    <w:rPr>
      <w:rFonts w:eastAsia="Times New Roman"/>
      <w:szCs w:val="24"/>
      <w:lang w:eastAsia="lv-LV"/>
    </w:rPr>
  </w:style>
  <w:style w:type="paragraph" w:customStyle="1" w:styleId="naisc">
    <w:name w:val="naisc"/>
    <w:basedOn w:val="Normal"/>
    <w:rsid w:val="00DB7FF4"/>
    <w:pPr>
      <w:spacing w:before="75" w:after="75"/>
      <w:jc w:val="center"/>
    </w:pPr>
    <w:rPr>
      <w:rFonts w:eastAsia="Times New Roman"/>
      <w:szCs w:val="24"/>
      <w:lang w:eastAsia="lv-LV"/>
    </w:rPr>
  </w:style>
  <w:style w:type="paragraph" w:styleId="Header">
    <w:name w:val="header"/>
    <w:basedOn w:val="Normal"/>
    <w:link w:val="HeaderChar"/>
    <w:rsid w:val="00DB7FF4"/>
    <w:pPr>
      <w:tabs>
        <w:tab w:val="center" w:pos="4153"/>
        <w:tab w:val="right" w:pos="8306"/>
      </w:tabs>
    </w:pPr>
    <w:rPr>
      <w:rFonts w:eastAsia="Times New Roman"/>
      <w:szCs w:val="24"/>
      <w:lang w:eastAsia="lv-LV"/>
    </w:rPr>
  </w:style>
  <w:style w:type="character" w:customStyle="1" w:styleId="HeaderChar">
    <w:name w:val="Header Char"/>
    <w:basedOn w:val="DefaultParagraphFont"/>
    <w:link w:val="Header"/>
    <w:uiPriority w:val="99"/>
    <w:rsid w:val="00DB7FF4"/>
    <w:rPr>
      <w:rFonts w:ascii="Times New Roman" w:eastAsia="Times New Roman" w:hAnsi="Times New Roman" w:cs="Times New Roman"/>
      <w:sz w:val="24"/>
      <w:szCs w:val="24"/>
      <w:lang w:eastAsia="lv-LV"/>
    </w:rPr>
  </w:style>
  <w:style w:type="character" w:styleId="PageNumber">
    <w:name w:val="page number"/>
    <w:uiPriority w:val="99"/>
    <w:rsid w:val="00DB7FF4"/>
    <w:rPr>
      <w:rFonts w:cs="Times New Roman"/>
    </w:rPr>
  </w:style>
  <w:style w:type="paragraph" w:styleId="Footer">
    <w:name w:val="footer"/>
    <w:basedOn w:val="Normal"/>
    <w:link w:val="FooterChar"/>
    <w:rsid w:val="00DB7FF4"/>
    <w:pPr>
      <w:tabs>
        <w:tab w:val="center" w:pos="4153"/>
        <w:tab w:val="right" w:pos="8306"/>
      </w:tabs>
    </w:pPr>
    <w:rPr>
      <w:rFonts w:eastAsia="Times New Roman"/>
      <w:szCs w:val="24"/>
      <w:lang w:eastAsia="lv-LV"/>
    </w:rPr>
  </w:style>
  <w:style w:type="character" w:customStyle="1" w:styleId="FooterChar">
    <w:name w:val="Footer Char"/>
    <w:basedOn w:val="DefaultParagraphFont"/>
    <w:link w:val="Footer"/>
    <w:rsid w:val="00DB7FF4"/>
    <w:rPr>
      <w:rFonts w:ascii="Times New Roman" w:eastAsia="Times New Roman" w:hAnsi="Times New Roman" w:cs="Times New Roman"/>
      <w:sz w:val="24"/>
      <w:szCs w:val="24"/>
      <w:lang w:eastAsia="lv-LV"/>
    </w:rPr>
  </w:style>
  <w:style w:type="paragraph" w:customStyle="1" w:styleId="Body1">
    <w:name w:val="Body 1"/>
    <w:rsid w:val="00DB7FF4"/>
    <w:pPr>
      <w:spacing w:after="200" w:line="276" w:lineRule="auto"/>
      <w:outlineLvl w:val="0"/>
    </w:pPr>
    <w:rPr>
      <w:rFonts w:ascii="Helvetica" w:eastAsia="Arial Unicode MS" w:hAnsi="Helvetica" w:cs="Times New Roman"/>
      <w:color w:val="000000"/>
      <w:szCs w:val="20"/>
      <w:u w:color="000000"/>
      <w:lang w:eastAsia="lv-LV"/>
    </w:rPr>
  </w:style>
  <w:style w:type="paragraph" w:styleId="ListParagraph">
    <w:name w:val="List Paragraph"/>
    <w:basedOn w:val="Normal"/>
    <w:uiPriority w:val="34"/>
    <w:qFormat/>
    <w:rsid w:val="00CC00BE"/>
    <w:pPr>
      <w:spacing w:after="160" w:line="259" w:lineRule="auto"/>
      <w:ind w:left="720"/>
      <w:contextualSpacing/>
    </w:pPr>
    <w:rPr>
      <w:rFonts w:asciiTheme="minorHAnsi" w:eastAsiaTheme="minorHAnsi" w:hAnsiTheme="minorHAnsi" w:cstheme="minorBidi"/>
      <w:sz w:val="22"/>
    </w:rPr>
  </w:style>
  <w:style w:type="paragraph" w:customStyle="1" w:styleId="tv213">
    <w:name w:val="tv213"/>
    <w:basedOn w:val="Normal"/>
    <w:rsid w:val="00B962C1"/>
    <w:pPr>
      <w:spacing w:before="100" w:beforeAutospacing="1" w:after="100" w:afterAutospacing="1"/>
    </w:pPr>
    <w:rPr>
      <w:rFonts w:eastAsia="Times New Roman"/>
      <w:szCs w:val="24"/>
      <w:lang w:eastAsia="lv-LV"/>
    </w:rPr>
  </w:style>
  <w:style w:type="paragraph" w:styleId="BalloonText">
    <w:name w:val="Balloon Text"/>
    <w:basedOn w:val="Normal"/>
    <w:link w:val="BalloonTextChar"/>
    <w:uiPriority w:val="99"/>
    <w:semiHidden/>
    <w:unhideWhenUsed/>
    <w:rsid w:val="00423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5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A6EA1"/>
    <w:rPr>
      <w:sz w:val="16"/>
      <w:szCs w:val="16"/>
    </w:rPr>
  </w:style>
  <w:style w:type="paragraph" w:styleId="CommentText">
    <w:name w:val="annotation text"/>
    <w:basedOn w:val="Normal"/>
    <w:link w:val="CommentTextChar"/>
    <w:uiPriority w:val="99"/>
    <w:semiHidden/>
    <w:unhideWhenUsed/>
    <w:rsid w:val="009A6EA1"/>
    <w:rPr>
      <w:sz w:val="20"/>
      <w:szCs w:val="20"/>
    </w:rPr>
  </w:style>
  <w:style w:type="character" w:customStyle="1" w:styleId="CommentTextChar">
    <w:name w:val="Comment Text Char"/>
    <w:basedOn w:val="DefaultParagraphFont"/>
    <w:link w:val="CommentText"/>
    <w:uiPriority w:val="99"/>
    <w:semiHidden/>
    <w:rsid w:val="009A6EA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6EA1"/>
    <w:rPr>
      <w:b/>
      <w:bCs/>
    </w:rPr>
  </w:style>
  <w:style w:type="character" w:customStyle="1" w:styleId="CommentSubjectChar">
    <w:name w:val="Comment Subject Char"/>
    <w:basedOn w:val="CommentTextChar"/>
    <w:link w:val="CommentSubject"/>
    <w:uiPriority w:val="99"/>
    <w:semiHidden/>
    <w:rsid w:val="009A6EA1"/>
    <w:rPr>
      <w:rFonts w:ascii="Times New Roman" w:eastAsia="Calibri" w:hAnsi="Times New Roman" w:cs="Times New Roman"/>
      <w:b/>
      <w:bCs/>
      <w:sz w:val="20"/>
      <w:szCs w:val="20"/>
    </w:rPr>
  </w:style>
  <w:style w:type="character" w:styleId="Hyperlink">
    <w:name w:val="Hyperlink"/>
    <w:basedOn w:val="DefaultParagraphFont"/>
    <w:uiPriority w:val="99"/>
    <w:unhideWhenUsed/>
    <w:rsid w:val="00E00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3926">
      <w:bodyDiv w:val="1"/>
      <w:marLeft w:val="0"/>
      <w:marRight w:val="0"/>
      <w:marTop w:val="0"/>
      <w:marBottom w:val="0"/>
      <w:divBdr>
        <w:top w:val="none" w:sz="0" w:space="0" w:color="auto"/>
        <w:left w:val="none" w:sz="0" w:space="0" w:color="auto"/>
        <w:bottom w:val="none" w:sz="0" w:space="0" w:color="auto"/>
        <w:right w:val="none" w:sz="0" w:space="0" w:color="auto"/>
      </w:divBdr>
    </w:div>
    <w:div w:id="481847239">
      <w:bodyDiv w:val="1"/>
      <w:marLeft w:val="0"/>
      <w:marRight w:val="0"/>
      <w:marTop w:val="0"/>
      <w:marBottom w:val="0"/>
      <w:divBdr>
        <w:top w:val="none" w:sz="0" w:space="0" w:color="auto"/>
        <w:left w:val="none" w:sz="0" w:space="0" w:color="auto"/>
        <w:bottom w:val="none" w:sz="0" w:space="0" w:color="auto"/>
        <w:right w:val="none" w:sz="0" w:space="0" w:color="auto"/>
      </w:divBdr>
    </w:div>
    <w:div w:id="542641605">
      <w:bodyDiv w:val="1"/>
      <w:marLeft w:val="0"/>
      <w:marRight w:val="0"/>
      <w:marTop w:val="0"/>
      <w:marBottom w:val="0"/>
      <w:divBdr>
        <w:top w:val="none" w:sz="0" w:space="0" w:color="auto"/>
        <w:left w:val="none" w:sz="0" w:space="0" w:color="auto"/>
        <w:bottom w:val="none" w:sz="0" w:space="0" w:color="auto"/>
        <w:right w:val="none" w:sz="0" w:space="0" w:color="auto"/>
      </w:divBdr>
    </w:div>
    <w:div w:id="764031312">
      <w:bodyDiv w:val="1"/>
      <w:marLeft w:val="0"/>
      <w:marRight w:val="0"/>
      <w:marTop w:val="0"/>
      <w:marBottom w:val="0"/>
      <w:divBdr>
        <w:top w:val="none" w:sz="0" w:space="0" w:color="auto"/>
        <w:left w:val="none" w:sz="0" w:space="0" w:color="auto"/>
        <w:bottom w:val="none" w:sz="0" w:space="0" w:color="auto"/>
        <w:right w:val="none" w:sz="0" w:space="0" w:color="auto"/>
      </w:divBdr>
    </w:div>
    <w:div w:id="874271348">
      <w:bodyDiv w:val="1"/>
      <w:marLeft w:val="0"/>
      <w:marRight w:val="0"/>
      <w:marTop w:val="0"/>
      <w:marBottom w:val="0"/>
      <w:divBdr>
        <w:top w:val="none" w:sz="0" w:space="0" w:color="auto"/>
        <w:left w:val="none" w:sz="0" w:space="0" w:color="auto"/>
        <w:bottom w:val="none" w:sz="0" w:space="0" w:color="auto"/>
        <w:right w:val="none" w:sz="0" w:space="0" w:color="auto"/>
      </w:divBdr>
    </w:div>
    <w:div w:id="1154568425">
      <w:bodyDiv w:val="1"/>
      <w:marLeft w:val="0"/>
      <w:marRight w:val="0"/>
      <w:marTop w:val="0"/>
      <w:marBottom w:val="0"/>
      <w:divBdr>
        <w:top w:val="none" w:sz="0" w:space="0" w:color="auto"/>
        <w:left w:val="none" w:sz="0" w:space="0" w:color="auto"/>
        <w:bottom w:val="none" w:sz="0" w:space="0" w:color="auto"/>
        <w:right w:val="none" w:sz="0" w:space="0" w:color="auto"/>
      </w:divBdr>
    </w:div>
    <w:div w:id="1161313124">
      <w:bodyDiv w:val="1"/>
      <w:marLeft w:val="0"/>
      <w:marRight w:val="0"/>
      <w:marTop w:val="0"/>
      <w:marBottom w:val="0"/>
      <w:divBdr>
        <w:top w:val="none" w:sz="0" w:space="0" w:color="auto"/>
        <w:left w:val="none" w:sz="0" w:space="0" w:color="auto"/>
        <w:bottom w:val="none" w:sz="0" w:space="0" w:color="auto"/>
        <w:right w:val="none" w:sz="0" w:space="0" w:color="auto"/>
      </w:divBdr>
    </w:div>
    <w:div w:id="1338193122">
      <w:bodyDiv w:val="1"/>
      <w:marLeft w:val="0"/>
      <w:marRight w:val="0"/>
      <w:marTop w:val="0"/>
      <w:marBottom w:val="0"/>
      <w:divBdr>
        <w:top w:val="none" w:sz="0" w:space="0" w:color="auto"/>
        <w:left w:val="none" w:sz="0" w:space="0" w:color="auto"/>
        <w:bottom w:val="none" w:sz="0" w:space="0" w:color="auto"/>
        <w:right w:val="none" w:sz="0" w:space="0" w:color="auto"/>
      </w:divBdr>
    </w:div>
    <w:div w:id="1640070676">
      <w:bodyDiv w:val="1"/>
      <w:marLeft w:val="0"/>
      <w:marRight w:val="0"/>
      <w:marTop w:val="0"/>
      <w:marBottom w:val="0"/>
      <w:divBdr>
        <w:top w:val="none" w:sz="0" w:space="0" w:color="auto"/>
        <w:left w:val="none" w:sz="0" w:space="0" w:color="auto"/>
        <w:bottom w:val="none" w:sz="0" w:space="0" w:color="auto"/>
        <w:right w:val="none" w:sz="0" w:space="0" w:color="auto"/>
      </w:divBdr>
    </w:div>
    <w:div w:id="1829129156">
      <w:bodyDiv w:val="1"/>
      <w:marLeft w:val="0"/>
      <w:marRight w:val="0"/>
      <w:marTop w:val="0"/>
      <w:marBottom w:val="0"/>
      <w:divBdr>
        <w:top w:val="none" w:sz="0" w:space="0" w:color="auto"/>
        <w:left w:val="none" w:sz="0" w:space="0" w:color="auto"/>
        <w:bottom w:val="none" w:sz="0" w:space="0" w:color="auto"/>
        <w:right w:val="none" w:sz="0" w:space="0" w:color="auto"/>
      </w:divBdr>
    </w:div>
    <w:div w:id="1860581884">
      <w:bodyDiv w:val="1"/>
      <w:marLeft w:val="0"/>
      <w:marRight w:val="0"/>
      <w:marTop w:val="0"/>
      <w:marBottom w:val="0"/>
      <w:divBdr>
        <w:top w:val="none" w:sz="0" w:space="0" w:color="auto"/>
        <w:left w:val="none" w:sz="0" w:space="0" w:color="auto"/>
        <w:bottom w:val="none" w:sz="0" w:space="0" w:color="auto"/>
        <w:right w:val="none" w:sz="0" w:space="0" w:color="auto"/>
      </w:divBdr>
    </w:div>
    <w:div w:id="1870992814">
      <w:bodyDiv w:val="1"/>
      <w:marLeft w:val="0"/>
      <w:marRight w:val="0"/>
      <w:marTop w:val="0"/>
      <w:marBottom w:val="0"/>
      <w:divBdr>
        <w:top w:val="none" w:sz="0" w:space="0" w:color="auto"/>
        <w:left w:val="none" w:sz="0" w:space="0" w:color="auto"/>
        <w:bottom w:val="none" w:sz="0" w:space="0" w:color="auto"/>
        <w:right w:val="none" w:sz="0" w:space="0" w:color="auto"/>
      </w:divBdr>
    </w:div>
    <w:div w:id="2059426701">
      <w:bodyDiv w:val="1"/>
      <w:marLeft w:val="0"/>
      <w:marRight w:val="0"/>
      <w:marTop w:val="0"/>
      <w:marBottom w:val="0"/>
      <w:divBdr>
        <w:top w:val="none" w:sz="0" w:space="0" w:color="auto"/>
        <w:left w:val="none" w:sz="0" w:space="0" w:color="auto"/>
        <w:bottom w:val="none" w:sz="0" w:space="0" w:color="auto"/>
        <w:right w:val="none" w:sz="0" w:space="0" w:color="auto"/>
      </w:divBdr>
    </w:div>
    <w:div w:id="20635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Priedit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D948B-8BFE-431D-8671-696E71F2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7998</Words>
  <Characters>4559</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Eberharde</dc:creator>
  <cp:keywords/>
  <dc:description/>
  <cp:lastModifiedBy>Nauris Priedītis</cp:lastModifiedBy>
  <cp:revision>9</cp:revision>
  <cp:lastPrinted>2018-06-12T12:46:00Z</cp:lastPrinted>
  <dcterms:created xsi:type="dcterms:W3CDTF">2020-04-17T11:43:00Z</dcterms:created>
  <dcterms:modified xsi:type="dcterms:W3CDTF">2020-04-20T14:15:00Z</dcterms:modified>
</cp:coreProperties>
</file>