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D08" w14:textId="77777777" w:rsidR="00592113" w:rsidRDefault="00592113" w:rsidP="0091069F">
      <w:pPr>
        <w:jc w:val="center"/>
        <w:rPr>
          <w:sz w:val="28"/>
          <w:szCs w:val="28"/>
        </w:rPr>
      </w:pPr>
    </w:p>
    <w:p w14:paraId="62FAB1BA" w14:textId="4C9E03FD" w:rsidR="0091069F" w:rsidRPr="003D5429" w:rsidRDefault="0091069F" w:rsidP="0091069F">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91069F" w:rsidRPr="003D5429" w14:paraId="19049D0D" w14:textId="77777777" w:rsidTr="002B0E4B">
        <w:trPr>
          <w:jc w:val="center"/>
        </w:trPr>
        <w:tc>
          <w:tcPr>
            <w:tcW w:w="10188" w:type="dxa"/>
            <w:tcBorders>
              <w:bottom w:val="single" w:sz="6" w:space="0" w:color="000000"/>
            </w:tcBorders>
          </w:tcPr>
          <w:p w14:paraId="46810CA1" w14:textId="77777777" w:rsidR="0091069F" w:rsidRDefault="0091069F" w:rsidP="002B0E4B">
            <w:pPr>
              <w:pStyle w:val="Body1"/>
              <w:spacing w:after="0" w:line="240" w:lineRule="auto"/>
              <w:jc w:val="center"/>
              <w:rPr>
                <w:rFonts w:ascii="Times New Roman" w:hAnsi="Times New Roman"/>
                <w:b/>
                <w:color w:val="auto"/>
                <w:sz w:val="28"/>
                <w:szCs w:val="28"/>
              </w:rPr>
            </w:pPr>
          </w:p>
          <w:p w14:paraId="12D46059" w14:textId="77777777" w:rsidR="0095052F" w:rsidRPr="0095052F" w:rsidRDefault="0095052F" w:rsidP="0095052F">
            <w:pPr>
              <w:jc w:val="center"/>
              <w:rPr>
                <w:b/>
                <w:bCs/>
                <w:sz w:val="28"/>
                <w:szCs w:val="28"/>
              </w:rPr>
            </w:pPr>
            <w:r w:rsidRPr="0095052F">
              <w:rPr>
                <w:b/>
                <w:bCs/>
                <w:sz w:val="28"/>
                <w:szCs w:val="28"/>
              </w:rPr>
              <w:t>Grozījums Ministru kabineta 2001. gada 28. augusta noteikumos</w:t>
            </w:r>
          </w:p>
          <w:p w14:paraId="49FD647B" w14:textId="68AEEDF8" w:rsidR="0091069F" w:rsidRPr="0095052F" w:rsidRDefault="0095052F" w:rsidP="0095052F">
            <w:pPr>
              <w:jc w:val="center"/>
              <w:rPr>
                <w:b/>
                <w:bCs/>
              </w:rPr>
            </w:pPr>
            <w:r w:rsidRPr="0095052F">
              <w:rPr>
                <w:b/>
                <w:bCs/>
                <w:sz w:val="28"/>
                <w:szCs w:val="28"/>
              </w:rPr>
              <w:t>Nr. 384 “Bīstamo vielu uzglabāšanas rezervuāru tehniskās uzraudzības kārtība”</w:t>
            </w:r>
          </w:p>
        </w:tc>
      </w:tr>
    </w:tbl>
    <w:p w14:paraId="6109B172" w14:textId="77777777" w:rsidR="0091069F" w:rsidRPr="00974415" w:rsidRDefault="0091069F" w:rsidP="0091069F">
      <w:pPr>
        <w:pStyle w:val="naisc"/>
        <w:spacing w:before="0" w:after="0"/>
        <w:ind w:firstLine="1080"/>
        <w:rPr>
          <w:sz w:val="28"/>
          <w:szCs w:val="28"/>
        </w:rPr>
      </w:pPr>
      <w:r w:rsidRPr="003D5429">
        <w:rPr>
          <w:sz w:val="28"/>
          <w:szCs w:val="28"/>
        </w:rPr>
        <w:t>(dokumenta veids un nosaukums)</w:t>
      </w:r>
    </w:p>
    <w:p w14:paraId="4F152BA3" w14:textId="77777777" w:rsidR="0091069F" w:rsidRPr="007A1F1E" w:rsidRDefault="0091069F" w:rsidP="0091069F">
      <w:pPr>
        <w:pStyle w:val="naisf"/>
        <w:spacing w:before="0" w:after="0"/>
        <w:ind w:firstLine="0"/>
        <w:rPr>
          <w:sz w:val="28"/>
          <w:szCs w:val="28"/>
        </w:rPr>
      </w:pPr>
    </w:p>
    <w:p w14:paraId="7A37E5AD" w14:textId="77777777" w:rsidR="0091069F" w:rsidRPr="007A1F1E" w:rsidRDefault="0091069F" w:rsidP="0091069F">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91069F" w:rsidRPr="007A1F1E" w14:paraId="2EE0A80F"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4D731967" w14:textId="77777777" w:rsidR="0091069F" w:rsidRPr="00F16C44" w:rsidRDefault="0091069F" w:rsidP="00C048FB">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53A2727D" w14:textId="77777777" w:rsidR="0091069F" w:rsidRDefault="0091069F" w:rsidP="00C048FB">
            <w:pPr>
              <w:pStyle w:val="naisc"/>
              <w:spacing w:before="0" w:after="0"/>
              <w:ind w:firstLine="12"/>
            </w:pPr>
            <w:r w:rsidRPr="00F16C44">
              <w:t>Saskaņošanai nosūtītā projekta redakcija (konkrēta punkta (panta) redakcija)</w:t>
            </w:r>
          </w:p>
          <w:p w14:paraId="1A0EF8BC" w14:textId="77777777" w:rsidR="0091069F" w:rsidRDefault="0091069F" w:rsidP="00C048FB">
            <w:pPr>
              <w:jc w:val="center"/>
            </w:pPr>
          </w:p>
          <w:p w14:paraId="4B68F72C" w14:textId="77777777" w:rsidR="0091069F" w:rsidRPr="000669FD" w:rsidRDefault="0091069F" w:rsidP="00C048FB">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14DF39A4" w14:textId="77777777" w:rsidR="0091069F" w:rsidRPr="00F16C44" w:rsidRDefault="0091069F" w:rsidP="00C048FB">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2B2F635" w14:textId="77777777" w:rsidR="0091069F" w:rsidRPr="00F16C44" w:rsidRDefault="0091069F" w:rsidP="00C048FB">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369C40D9" w14:textId="77777777" w:rsidR="0091069F" w:rsidRPr="00F16C44" w:rsidRDefault="0091069F" w:rsidP="00C048FB">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23708665" w14:textId="77777777" w:rsidR="0091069F" w:rsidRPr="00F16C44" w:rsidRDefault="0091069F" w:rsidP="00C048FB">
            <w:pPr>
              <w:jc w:val="center"/>
            </w:pPr>
            <w:r w:rsidRPr="00F16C44">
              <w:t>Projekta attiecīgā punkta (panta) galīgā redakcija</w:t>
            </w:r>
          </w:p>
        </w:tc>
      </w:tr>
      <w:tr w:rsidR="0091069F" w:rsidRPr="007A1F1E" w14:paraId="65F8D819" w14:textId="77777777" w:rsidTr="002B0E4B">
        <w:tc>
          <w:tcPr>
            <w:tcW w:w="559" w:type="dxa"/>
            <w:tcBorders>
              <w:top w:val="single" w:sz="6" w:space="0" w:color="000000"/>
              <w:left w:val="single" w:sz="6" w:space="0" w:color="000000"/>
              <w:bottom w:val="single" w:sz="6" w:space="0" w:color="000000"/>
              <w:right w:val="single" w:sz="6" w:space="0" w:color="000000"/>
            </w:tcBorders>
          </w:tcPr>
          <w:p w14:paraId="7B9C1958" w14:textId="77777777" w:rsidR="0091069F" w:rsidRPr="00F16C44" w:rsidRDefault="0091069F" w:rsidP="00C048FB">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2E853344" w14:textId="77777777" w:rsidR="0091069F" w:rsidRPr="00F16C44" w:rsidRDefault="0091069F" w:rsidP="00C048FB">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470C7991" w14:textId="77777777" w:rsidR="0091069F" w:rsidRPr="00F16C44" w:rsidRDefault="0091069F" w:rsidP="00C048FB">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44A07C8D" w14:textId="77777777" w:rsidR="0091069F" w:rsidRPr="00F16C44" w:rsidRDefault="0091069F" w:rsidP="00C048FB">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5BD714FF" w14:textId="77777777" w:rsidR="0091069F" w:rsidRPr="00F16C44" w:rsidRDefault="0091069F" w:rsidP="00C048FB">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654D6A6E" w14:textId="77777777" w:rsidR="0091069F" w:rsidRPr="00F16C44" w:rsidRDefault="0091069F" w:rsidP="00C048FB">
            <w:pPr>
              <w:jc w:val="center"/>
            </w:pPr>
            <w:r w:rsidRPr="007A1F1E">
              <w:rPr>
                <w:sz w:val="28"/>
                <w:szCs w:val="28"/>
              </w:rPr>
              <w:t>6</w:t>
            </w:r>
          </w:p>
        </w:tc>
      </w:tr>
      <w:tr w:rsidR="0091069F" w:rsidRPr="007A1F1E" w14:paraId="69B0D7EA" w14:textId="77777777" w:rsidTr="002B0E4B">
        <w:tc>
          <w:tcPr>
            <w:tcW w:w="559" w:type="dxa"/>
            <w:tcBorders>
              <w:top w:val="single" w:sz="6" w:space="0" w:color="000000"/>
              <w:left w:val="single" w:sz="6" w:space="0" w:color="000000"/>
              <w:bottom w:val="single" w:sz="6" w:space="0" w:color="000000"/>
              <w:right w:val="single" w:sz="6" w:space="0" w:color="000000"/>
            </w:tcBorders>
            <w:vAlign w:val="center"/>
          </w:tcPr>
          <w:p w14:paraId="168724A1" w14:textId="77777777" w:rsidR="0091069F" w:rsidRDefault="0091069F" w:rsidP="002B0E4B">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vAlign w:val="center"/>
          </w:tcPr>
          <w:p w14:paraId="5994FD64" w14:textId="77777777" w:rsidR="0091069F" w:rsidRPr="00215C2F" w:rsidRDefault="0091069F" w:rsidP="002B0E4B">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43C9DB6A" w14:textId="77777777" w:rsidR="0091069F" w:rsidRPr="00215C2F" w:rsidRDefault="0091069F" w:rsidP="002B0E4B">
            <w:pPr>
              <w:pStyle w:val="naisc"/>
              <w:spacing w:before="0" w:after="0"/>
              <w:ind w:right="3"/>
              <w:jc w:val="both"/>
            </w:pPr>
          </w:p>
        </w:tc>
        <w:tc>
          <w:tcPr>
            <w:tcW w:w="3544" w:type="dxa"/>
            <w:tcBorders>
              <w:top w:val="single" w:sz="6" w:space="0" w:color="000000"/>
              <w:left w:val="single" w:sz="6" w:space="0" w:color="000000"/>
              <w:bottom w:val="single" w:sz="6" w:space="0" w:color="000000"/>
              <w:right w:val="single" w:sz="6" w:space="0" w:color="000000"/>
            </w:tcBorders>
            <w:vAlign w:val="center"/>
          </w:tcPr>
          <w:p w14:paraId="31F3558A" w14:textId="77777777" w:rsidR="0091069F" w:rsidRDefault="0091069F" w:rsidP="002B0E4B">
            <w:pPr>
              <w:pStyle w:val="naisc"/>
              <w:spacing w:before="0" w:after="0"/>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F25556A" w14:textId="77777777" w:rsidR="0091069F" w:rsidRPr="00F16C44" w:rsidRDefault="0091069F" w:rsidP="002B0E4B">
            <w:pPr>
              <w:jc w:val="both"/>
            </w:pPr>
          </w:p>
        </w:tc>
        <w:tc>
          <w:tcPr>
            <w:tcW w:w="1817" w:type="dxa"/>
            <w:tcBorders>
              <w:top w:val="single" w:sz="4" w:space="0" w:color="auto"/>
              <w:left w:val="single" w:sz="4" w:space="0" w:color="auto"/>
              <w:bottom w:val="single" w:sz="4" w:space="0" w:color="auto"/>
            </w:tcBorders>
            <w:vAlign w:val="center"/>
          </w:tcPr>
          <w:p w14:paraId="364AABE2" w14:textId="77777777" w:rsidR="0091069F" w:rsidRPr="00F16C44" w:rsidRDefault="0091069F" w:rsidP="002B0E4B">
            <w:pPr>
              <w:jc w:val="both"/>
            </w:pPr>
          </w:p>
        </w:tc>
      </w:tr>
    </w:tbl>
    <w:p w14:paraId="40580B8B" w14:textId="77777777" w:rsidR="0091069F" w:rsidRPr="007A1F1E" w:rsidRDefault="0091069F" w:rsidP="0091069F">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14:paraId="0CBF9DAE" w14:textId="77777777" w:rsidR="0091069F" w:rsidRPr="007A1F1E" w:rsidRDefault="0091069F" w:rsidP="0091069F">
      <w:pPr>
        <w:pStyle w:val="naisf"/>
        <w:spacing w:before="0" w:after="0"/>
        <w:ind w:firstLine="0"/>
        <w:rPr>
          <w:b/>
          <w:sz w:val="28"/>
          <w:szCs w:val="28"/>
        </w:rPr>
      </w:pPr>
    </w:p>
    <w:tbl>
      <w:tblPr>
        <w:tblW w:w="4408" w:type="pct"/>
        <w:tblLook w:val="00A0" w:firstRow="1" w:lastRow="0" w:firstColumn="1" w:lastColumn="0" w:noHBand="0" w:noVBand="0"/>
      </w:tblPr>
      <w:tblGrid>
        <w:gridCol w:w="2595"/>
        <w:gridCol w:w="9750"/>
      </w:tblGrid>
      <w:tr w:rsidR="0091069F" w:rsidRPr="007A1F1E" w14:paraId="09EB53E8" w14:textId="77777777" w:rsidTr="00D1331E">
        <w:trPr>
          <w:trHeight w:val="257"/>
        </w:trPr>
        <w:tc>
          <w:tcPr>
            <w:tcW w:w="1051" w:type="pct"/>
          </w:tcPr>
          <w:p w14:paraId="2E10C8F2" w14:textId="77777777" w:rsidR="0091069F" w:rsidRPr="00974415" w:rsidRDefault="0091069F" w:rsidP="002B0E4B">
            <w:pPr>
              <w:pStyle w:val="naisf"/>
              <w:spacing w:before="0" w:after="0"/>
              <w:ind w:firstLine="0"/>
            </w:pPr>
            <w:r w:rsidRPr="00974415">
              <w:t>Datums</w:t>
            </w:r>
          </w:p>
        </w:tc>
        <w:tc>
          <w:tcPr>
            <w:tcW w:w="3949" w:type="pct"/>
            <w:tcBorders>
              <w:bottom w:val="single" w:sz="4" w:space="0" w:color="auto"/>
            </w:tcBorders>
          </w:tcPr>
          <w:p w14:paraId="54F9B03F" w14:textId="77777777" w:rsidR="0091069F" w:rsidRPr="00F55AEF" w:rsidRDefault="0091069F" w:rsidP="002B0E4B">
            <w:pPr>
              <w:pStyle w:val="Paraststmeklis"/>
              <w:spacing w:before="0" w:beforeAutospacing="0" w:after="0" w:afterAutospacing="0"/>
              <w:jc w:val="both"/>
            </w:pPr>
          </w:p>
        </w:tc>
      </w:tr>
      <w:tr w:rsidR="0091069F" w:rsidRPr="007A1F1E" w14:paraId="355AC288" w14:textId="77777777" w:rsidTr="00D1331E">
        <w:trPr>
          <w:trHeight w:val="532"/>
        </w:trPr>
        <w:tc>
          <w:tcPr>
            <w:tcW w:w="1051" w:type="pct"/>
          </w:tcPr>
          <w:p w14:paraId="23FE97CA" w14:textId="77777777" w:rsidR="0091069F" w:rsidRPr="00974415" w:rsidRDefault="0091069F" w:rsidP="002B0E4B">
            <w:pPr>
              <w:pStyle w:val="naisf"/>
              <w:spacing w:before="0" w:after="0"/>
              <w:ind w:firstLine="0"/>
            </w:pPr>
          </w:p>
        </w:tc>
        <w:tc>
          <w:tcPr>
            <w:tcW w:w="3949" w:type="pct"/>
            <w:tcBorders>
              <w:top w:val="single" w:sz="4" w:space="0" w:color="auto"/>
            </w:tcBorders>
          </w:tcPr>
          <w:p w14:paraId="7911F62C" w14:textId="77777777" w:rsidR="0091069F" w:rsidRPr="00974415" w:rsidRDefault="0091069F" w:rsidP="002B0E4B">
            <w:pPr>
              <w:pStyle w:val="Paraststmeklis"/>
              <w:spacing w:before="0" w:beforeAutospacing="0" w:after="0" w:afterAutospacing="0"/>
              <w:jc w:val="both"/>
            </w:pPr>
          </w:p>
          <w:p w14:paraId="411DF55D" w14:textId="77777777" w:rsidR="0091069F" w:rsidRPr="00974415" w:rsidRDefault="0091069F" w:rsidP="002B0E4B">
            <w:pPr>
              <w:pStyle w:val="Paraststmeklis"/>
              <w:spacing w:before="0" w:beforeAutospacing="0" w:after="0" w:afterAutospacing="0"/>
              <w:jc w:val="both"/>
            </w:pPr>
          </w:p>
        </w:tc>
      </w:tr>
      <w:tr w:rsidR="0091069F" w:rsidRPr="007A1F1E" w14:paraId="3D5B8BCB" w14:textId="77777777" w:rsidTr="00D1331E">
        <w:trPr>
          <w:trHeight w:val="2133"/>
        </w:trPr>
        <w:tc>
          <w:tcPr>
            <w:tcW w:w="1051" w:type="pct"/>
          </w:tcPr>
          <w:p w14:paraId="75E5BBC3" w14:textId="426F4AC0" w:rsidR="00D1331E" w:rsidRPr="00D1331E" w:rsidRDefault="0091069F" w:rsidP="00D1331E">
            <w:pPr>
              <w:pStyle w:val="naiskr"/>
              <w:spacing w:before="0" w:after="0"/>
              <w:jc w:val="both"/>
            </w:pPr>
            <w:r w:rsidRPr="00974415">
              <w:lastRenderedPageBreak/>
              <w:t>Saskaņošanas dalībnieki</w:t>
            </w:r>
          </w:p>
        </w:tc>
        <w:tc>
          <w:tcPr>
            <w:tcW w:w="3949" w:type="pct"/>
          </w:tcPr>
          <w:p w14:paraId="11C85B05" w14:textId="75C05631" w:rsidR="0095052F" w:rsidRDefault="0091069F" w:rsidP="002B0E4B">
            <w:pPr>
              <w:pStyle w:val="Paraststmeklis"/>
              <w:tabs>
                <w:tab w:val="left" w:pos="6618"/>
              </w:tabs>
              <w:spacing w:before="0" w:beforeAutospacing="0" w:after="0" w:afterAutospacing="0"/>
              <w:jc w:val="both"/>
            </w:pPr>
            <w:r w:rsidRPr="00D1331E">
              <w:t>Tieslietu ministrija</w:t>
            </w:r>
            <w:r w:rsidR="0095052F">
              <w:t xml:space="preserve"> (</w:t>
            </w:r>
            <w:hyperlink r:id="rId7" w:history="1">
              <w:r w:rsidR="0095052F" w:rsidRPr="008527EA">
                <w:rPr>
                  <w:rStyle w:val="Hipersaite"/>
                </w:rPr>
                <w:t>Uldis.Rudziks@tm.gov.lv</w:t>
              </w:r>
            </w:hyperlink>
            <w:r w:rsidRPr="00D1331E">
              <w:t xml:space="preserve">); </w:t>
            </w:r>
          </w:p>
          <w:p w14:paraId="6CEE5AE6" w14:textId="762D1C76" w:rsidR="0091069F" w:rsidRDefault="0091069F" w:rsidP="002B0E4B">
            <w:pPr>
              <w:pStyle w:val="Paraststmeklis"/>
              <w:tabs>
                <w:tab w:val="left" w:pos="6618"/>
              </w:tabs>
              <w:spacing w:before="0" w:beforeAutospacing="0" w:after="0" w:afterAutospacing="0"/>
              <w:jc w:val="both"/>
            </w:pPr>
            <w:bookmarkStart w:id="0" w:name="_GoBack"/>
            <w:bookmarkEnd w:id="0"/>
            <w:r w:rsidRPr="00974415">
              <w:tab/>
            </w:r>
          </w:p>
          <w:p w14:paraId="0F221F58" w14:textId="77777777" w:rsidR="0091069F" w:rsidRPr="00610374" w:rsidRDefault="0091069F" w:rsidP="002B0E4B"/>
          <w:p w14:paraId="2B193B20" w14:textId="77777777" w:rsidR="0091069F" w:rsidRPr="00610374" w:rsidRDefault="0091069F" w:rsidP="002B0E4B"/>
          <w:p w14:paraId="01FE1165" w14:textId="77777777" w:rsidR="0091069F" w:rsidRPr="00610374" w:rsidRDefault="0091069F" w:rsidP="002B0E4B"/>
          <w:p w14:paraId="0AEE1035" w14:textId="77777777" w:rsidR="0091069F" w:rsidRDefault="0091069F" w:rsidP="002B0E4B"/>
          <w:p w14:paraId="25515CA2" w14:textId="77777777" w:rsidR="0091069F" w:rsidRPr="00610374" w:rsidRDefault="0091069F" w:rsidP="002B0E4B"/>
        </w:tc>
      </w:tr>
      <w:tr w:rsidR="0091069F" w:rsidRPr="007A1F1E" w14:paraId="013877E3" w14:textId="77777777" w:rsidTr="00D1331E">
        <w:trPr>
          <w:trHeight w:val="1248"/>
        </w:trPr>
        <w:tc>
          <w:tcPr>
            <w:tcW w:w="1051" w:type="pct"/>
          </w:tcPr>
          <w:p w14:paraId="7C0EB585" w14:textId="55510626" w:rsidR="0091069F" w:rsidRPr="00974415" w:rsidRDefault="00D1331E" w:rsidP="002B0E4B">
            <w:pPr>
              <w:pStyle w:val="naiskr"/>
              <w:spacing w:before="0" w:after="0"/>
              <w:jc w:val="both"/>
            </w:pPr>
            <w:r>
              <w:t>M</w:t>
            </w:r>
            <w:r w:rsidR="0091069F" w:rsidRPr="00974415">
              <w:t>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5B56BA28" w14:textId="77777777" w:rsidR="0091069F" w:rsidRPr="00974415" w:rsidRDefault="0091069F" w:rsidP="002B0E4B">
            <w:pPr>
              <w:pStyle w:val="naiskr"/>
              <w:spacing w:before="0" w:after="0"/>
              <w:jc w:val="both"/>
            </w:pPr>
          </w:p>
          <w:p w14:paraId="293080B3" w14:textId="77777777" w:rsidR="0091069F" w:rsidRPr="00974415" w:rsidRDefault="0091069F" w:rsidP="002B0E4B">
            <w:pPr>
              <w:jc w:val="both"/>
            </w:pPr>
          </w:p>
          <w:p w14:paraId="44C629A5" w14:textId="77777777" w:rsidR="0091069F" w:rsidRPr="00974415" w:rsidRDefault="0091069F" w:rsidP="002B0E4B">
            <w:pPr>
              <w:jc w:val="both"/>
            </w:pPr>
          </w:p>
        </w:tc>
      </w:tr>
    </w:tbl>
    <w:p w14:paraId="3FE820B0" w14:textId="77777777" w:rsidR="0091069F" w:rsidRPr="007A1F1E" w:rsidRDefault="0091069F" w:rsidP="0091069F">
      <w:pPr>
        <w:pStyle w:val="naisf"/>
        <w:spacing w:before="0" w:after="0"/>
        <w:ind w:firstLine="0"/>
        <w:rPr>
          <w:sz w:val="28"/>
          <w:szCs w:val="28"/>
        </w:rPr>
      </w:pPr>
    </w:p>
    <w:p w14:paraId="473AD581" w14:textId="77777777" w:rsidR="0091069F" w:rsidRPr="007A1F1E" w:rsidRDefault="0091069F" w:rsidP="0091069F">
      <w:pPr>
        <w:pStyle w:val="naisf"/>
        <w:spacing w:before="0" w:after="0"/>
        <w:ind w:firstLine="0"/>
        <w:rPr>
          <w:b/>
          <w:sz w:val="28"/>
          <w:szCs w:val="28"/>
        </w:rPr>
      </w:pPr>
      <w:r w:rsidRPr="007A1F1E">
        <w:rPr>
          <w:b/>
          <w:sz w:val="28"/>
          <w:szCs w:val="28"/>
        </w:rPr>
        <w:t>II. Jautājumi, par kuriem saskaņošanā vienošanās ir panākta</w:t>
      </w:r>
    </w:p>
    <w:p w14:paraId="371DA056" w14:textId="77777777" w:rsidR="0091069F" w:rsidRPr="007A1F1E" w:rsidRDefault="0091069F" w:rsidP="0091069F">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91069F" w:rsidRPr="007A1F1E" w14:paraId="66FAF31C" w14:textId="77777777" w:rsidTr="00D1331E">
        <w:tc>
          <w:tcPr>
            <w:tcW w:w="675" w:type="dxa"/>
            <w:tcBorders>
              <w:top w:val="single" w:sz="6" w:space="0" w:color="000000"/>
              <w:left w:val="single" w:sz="6" w:space="0" w:color="000000"/>
              <w:bottom w:val="single" w:sz="6" w:space="0" w:color="000000"/>
              <w:right w:val="single" w:sz="6" w:space="0" w:color="000000"/>
            </w:tcBorders>
            <w:vAlign w:val="center"/>
          </w:tcPr>
          <w:p w14:paraId="069CE15B" w14:textId="77777777" w:rsidR="0091069F" w:rsidRPr="00F16C44" w:rsidRDefault="0091069F" w:rsidP="00D1331E">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4B7E18EE" w14:textId="77777777" w:rsidR="0091069F" w:rsidRPr="00F16C44" w:rsidRDefault="0091069F" w:rsidP="00D1331E">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3F8F3721" w14:textId="77777777" w:rsidR="0091069F" w:rsidRPr="00F16C44" w:rsidRDefault="0091069F" w:rsidP="00D1331E">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442D091" w14:textId="77777777" w:rsidR="0091069F" w:rsidRPr="00F16C44" w:rsidRDefault="0091069F" w:rsidP="00D1331E">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424833E0" w14:textId="77777777" w:rsidR="0091069F" w:rsidRPr="00F16C44" w:rsidRDefault="0091069F" w:rsidP="00D1331E">
            <w:pPr>
              <w:jc w:val="center"/>
              <w:rPr>
                <w:highlight w:val="yellow"/>
              </w:rPr>
            </w:pPr>
            <w:r w:rsidRPr="00F16C44">
              <w:t>Projekta attiecīgā punkta (panta) galīgā redakcija</w:t>
            </w:r>
          </w:p>
        </w:tc>
      </w:tr>
      <w:tr w:rsidR="0091069F" w:rsidRPr="007A1F1E" w14:paraId="0EAD6179" w14:textId="77777777" w:rsidTr="002B0E4B">
        <w:tc>
          <w:tcPr>
            <w:tcW w:w="675" w:type="dxa"/>
            <w:tcBorders>
              <w:top w:val="single" w:sz="6" w:space="0" w:color="000000"/>
              <w:left w:val="single" w:sz="6" w:space="0" w:color="000000"/>
              <w:bottom w:val="single" w:sz="6" w:space="0" w:color="000000"/>
              <w:right w:val="single" w:sz="6" w:space="0" w:color="000000"/>
            </w:tcBorders>
          </w:tcPr>
          <w:p w14:paraId="444D781A" w14:textId="77777777" w:rsidR="0091069F" w:rsidRPr="007A1F1E" w:rsidRDefault="0091069F" w:rsidP="00D1331E">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6B054BBE" w14:textId="77777777" w:rsidR="0091069F" w:rsidRPr="007A1F1E" w:rsidRDefault="0091069F" w:rsidP="00D1331E">
            <w:pPr>
              <w:pStyle w:val="naisc"/>
              <w:spacing w:before="0" w:after="0"/>
              <w:ind w:firstLine="72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4537B11C" w14:textId="77777777" w:rsidR="0091069F" w:rsidRPr="007A1F1E" w:rsidRDefault="0091069F" w:rsidP="00D1331E">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04924708" w14:textId="77777777" w:rsidR="0091069F" w:rsidRPr="007A1F1E" w:rsidRDefault="0091069F" w:rsidP="00D1331E">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7ABBB8CC" w14:textId="77777777" w:rsidR="0091069F" w:rsidRPr="007A1F1E" w:rsidRDefault="0091069F" w:rsidP="00D1331E">
            <w:pPr>
              <w:jc w:val="center"/>
              <w:rPr>
                <w:sz w:val="28"/>
                <w:szCs w:val="28"/>
                <w:highlight w:val="yellow"/>
              </w:rPr>
            </w:pPr>
            <w:r w:rsidRPr="007A1F1E">
              <w:rPr>
                <w:sz w:val="28"/>
                <w:szCs w:val="28"/>
              </w:rPr>
              <w:t>5</w:t>
            </w:r>
          </w:p>
        </w:tc>
      </w:tr>
      <w:tr w:rsidR="0091069F" w:rsidRPr="007A1F1E" w14:paraId="762D2C26"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2C812012" w14:textId="77777777" w:rsidR="0091069F" w:rsidRDefault="0091069F" w:rsidP="00C048FB">
            <w:pPr>
              <w:pStyle w:val="naisc"/>
              <w:spacing w:before="0" w:after="0"/>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7340408A" w14:textId="09BBF72B" w:rsidR="0091069F" w:rsidRDefault="0095052F" w:rsidP="0095052F">
            <w:pPr>
              <w:jc w:val="both"/>
              <w:outlineLvl w:val="0"/>
              <w:rPr>
                <w:rFonts w:eastAsia="Arial Unicode MS"/>
              </w:rPr>
            </w:pPr>
            <w:r w:rsidRPr="0095052F">
              <w:rPr>
                <w:rFonts w:eastAsia="Arial Unicode MS"/>
              </w:rPr>
              <w:t>Grozījumi Ministru kabineta 2001. gada 28. augusta noteikumos</w:t>
            </w:r>
            <w:r>
              <w:rPr>
                <w:rFonts w:eastAsia="Arial Unicode MS"/>
              </w:rPr>
              <w:t xml:space="preserve"> </w:t>
            </w:r>
            <w:r w:rsidRPr="0095052F">
              <w:rPr>
                <w:rFonts w:eastAsia="Arial Unicode MS"/>
              </w:rPr>
              <w:t>Nr. 384 “Bīstamo vielu uzglabāšanas rezervuāru tehniskās uzraudzības kārtība”</w:t>
            </w:r>
            <w:r>
              <w:rPr>
                <w:rFonts w:eastAsia="Arial Unicode MS"/>
              </w:rPr>
              <w:t>.</w:t>
            </w:r>
          </w:p>
          <w:p w14:paraId="70B82675" w14:textId="04FDFC0C" w:rsidR="0095052F" w:rsidRPr="00D1331E" w:rsidRDefault="0095052F" w:rsidP="0095052F">
            <w:pPr>
              <w:jc w:val="both"/>
              <w:outlineLvl w:val="0"/>
              <w:rPr>
                <w:rFonts w:eastAsia="Arial Unicode MS"/>
              </w:rPr>
            </w:pPr>
            <w:r w:rsidRPr="0095052F">
              <w:rPr>
                <w:rFonts w:eastAsia="Arial Unicode MS"/>
              </w:rPr>
              <w:t xml:space="preserve">Izdarīt Ministru kabineta 2001. gada 28. augusta </w:t>
            </w:r>
            <w:r w:rsidRPr="0095052F">
              <w:rPr>
                <w:rFonts w:eastAsia="Arial Unicode MS"/>
              </w:rPr>
              <w:lastRenderedPageBreak/>
              <w:t>noteikumos Nr. 384 “Bīstamo vielu uzglabāšanas rezervuāru tehniskās uzraudzības kārtība” (Latvijas Vēstnesis, 2005, 68. nr.;  2008, 150. nr.; 2010, 33. nr.) šādus grozījumus:</w:t>
            </w:r>
          </w:p>
        </w:tc>
        <w:tc>
          <w:tcPr>
            <w:tcW w:w="4536" w:type="dxa"/>
            <w:tcBorders>
              <w:left w:val="single" w:sz="6" w:space="0" w:color="000000"/>
              <w:bottom w:val="single" w:sz="4" w:space="0" w:color="auto"/>
              <w:right w:val="single" w:sz="6" w:space="0" w:color="000000"/>
            </w:tcBorders>
          </w:tcPr>
          <w:p w14:paraId="63A84120" w14:textId="0A9D45EC" w:rsidR="0091069F" w:rsidRDefault="0091069F" w:rsidP="002B0E4B">
            <w:pPr>
              <w:jc w:val="center"/>
              <w:rPr>
                <w:b/>
                <w:bCs/>
                <w:szCs w:val="28"/>
              </w:rPr>
            </w:pPr>
            <w:r w:rsidRPr="00D1331E">
              <w:rPr>
                <w:b/>
                <w:bCs/>
                <w:szCs w:val="28"/>
              </w:rPr>
              <w:lastRenderedPageBreak/>
              <w:t>Tieslietu ministrija</w:t>
            </w:r>
          </w:p>
          <w:p w14:paraId="4E9037CA" w14:textId="77777777" w:rsidR="0095052F" w:rsidRDefault="0095052F" w:rsidP="002B0E4B">
            <w:pPr>
              <w:jc w:val="center"/>
              <w:rPr>
                <w:b/>
                <w:bCs/>
                <w:szCs w:val="28"/>
              </w:rPr>
            </w:pPr>
          </w:p>
          <w:p w14:paraId="46CDA66B" w14:textId="09D965CE" w:rsidR="0091069F" w:rsidRPr="00EF70A1" w:rsidRDefault="0095052F" w:rsidP="0095052F">
            <w:pPr>
              <w:jc w:val="both"/>
              <w:rPr>
                <w:szCs w:val="28"/>
                <w:highlight w:val="yellow"/>
              </w:rPr>
            </w:pPr>
            <w:r w:rsidRPr="0095052F">
              <w:rPr>
                <w:szCs w:val="28"/>
              </w:rPr>
              <w:t xml:space="preserve">1. Projektā ir viens grozījums, jo Ministru kabineta 2001. gada 28. augusta noteikumus Nr.384 „Bīstamo vielu uzglabāšanas rezervuāru tehniskās uzraudzības kārtība”” (turpmāk – noteikumi) paredzēts papildināt ar vienu punktu. Ievērojot minēto, </w:t>
            </w:r>
            <w:r w:rsidRPr="0095052F">
              <w:rPr>
                <w:szCs w:val="28"/>
              </w:rPr>
              <w:lastRenderedPageBreak/>
              <w:t>nepieciešams atbilstoši precizēt projekta nosaukumu un tekstu, proti, izteikt tos vienskaitlī.</w:t>
            </w:r>
          </w:p>
        </w:tc>
        <w:tc>
          <w:tcPr>
            <w:tcW w:w="3402" w:type="dxa"/>
            <w:tcBorders>
              <w:top w:val="single" w:sz="6" w:space="0" w:color="000000"/>
              <w:left w:val="single" w:sz="6" w:space="0" w:color="000000"/>
              <w:bottom w:val="single" w:sz="6" w:space="0" w:color="000000"/>
              <w:right w:val="single" w:sz="6" w:space="0" w:color="000000"/>
            </w:tcBorders>
          </w:tcPr>
          <w:p w14:paraId="5A763B6C" w14:textId="77777777" w:rsidR="0091069F" w:rsidRPr="00EF70A1" w:rsidRDefault="0091069F" w:rsidP="002B0E4B">
            <w:pPr>
              <w:spacing w:after="120"/>
              <w:jc w:val="center"/>
              <w:rPr>
                <w:b/>
                <w:sz w:val="28"/>
                <w:szCs w:val="28"/>
                <w:highlight w:val="yellow"/>
              </w:rPr>
            </w:pPr>
            <w:r w:rsidRPr="00D1331E">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532FDAC2" w14:textId="77777777" w:rsidR="0005343D" w:rsidRDefault="0005343D" w:rsidP="0005343D">
            <w:pPr>
              <w:jc w:val="both"/>
            </w:pPr>
            <w:r>
              <w:t>Grozījums Ministru kabineta 2001. gada 28. augusta noteikumos Nr. 384 “Bīstamo vielu uzglabāšanas rezervuāru tehniskās uzraudzības kārtība”.</w:t>
            </w:r>
          </w:p>
          <w:p w14:paraId="1DB65024" w14:textId="7EF962E9" w:rsidR="00230E38" w:rsidRPr="0086282C" w:rsidRDefault="0005343D" w:rsidP="0005343D">
            <w:pPr>
              <w:jc w:val="both"/>
            </w:pPr>
            <w:r>
              <w:lastRenderedPageBreak/>
              <w:t>Izdarīt Ministru kabineta 2001. gada 28. augusta noteikumos Nr. 384 “Bīstamo vielu uzglabāšanas rezervuāru tehniskās uzraudzības kārtība” (Latvijas Vēstnesis, 2005, 68. nr.;  2008, 150. nr.; 2010, 33. nr.) šādu grozījumu:</w:t>
            </w:r>
          </w:p>
        </w:tc>
      </w:tr>
      <w:tr w:rsidR="0005343D" w:rsidRPr="007A1F1E" w14:paraId="75142D01" w14:textId="77777777" w:rsidTr="00C048FB">
        <w:tc>
          <w:tcPr>
            <w:tcW w:w="675" w:type="dxa"/>
            <w:tcBorders>
              <w:top w:val="single" w:sz="6" w:space="0" w:color="000000"/>
              <w:left w:val="single" w:sz="6" w:space="0" w:color="000000"/>
              <w:bottom w:val="single" w:sz="6" w:space="0" w:color="000000"/>
              <w:right w:val="single" w:sz="6" w:space="0" w:color="000000"/>
            </w:tcBorders>
            <w:vAlign w:val="center"/>
          </w:tcPr>
          <w:p w14:paraId="445013F2" w14:textId="717AED08" w:rsidR="0005343D" w:rsidRDefault="0005343D" w:rsidP="00C048FB">
            <w:pPr>
              <w:pStyle w:val="naisc"/>
              <w:spacing w:before="0" w:after="0"/>
              <w:rPr>
                <w:sz w:val="28"/>
                <w:szCs w:val="28"/>
              </w:rPr>
            </w:pPr>
            <w:r>
              <w:rPr>
                <w:sz w:val="28"/>
                <w:szCs w:val="28"/>
              </w:rPr>
              <w:lastRenderedPageBreak/>
              <w:t xml:space="preserve">2. </w:t>
            </w:r>
          </w:p>
        </w:tc>
        <w:tc>
          <w:tcPr>
            <w:tcW w:w="3145" w:type="dxa"/>
            <w:tcBorders>
              <w:left w:val="single" w:sz="6" w:space="0" w:color="000000"/>
              <w:bottom w:val="single" w:sz="4" w:space="0" w:color="auto"/>
              <w:right w:val="single" w:sz="6" w:space="0" w:color="000000"/>
            </w:tcBorders>
          </w:tcPr>
          <w:p w14:paraId="152B9267" w14:textId="527BAFB4" w:rsidR="0005343D" w:rsidRPr="0005343D" w:rsidRDefault="0005343D" w:rsidP="0005343D">
            <w:pPr>
              <w:jc w:val="both"/>
              <w:outlineLvl w:val="0"/>
              <w:rPr>
                <w:rFonts w:eastAsia="Arial Unicode MS"/>
              </w:rPr>
            </w:pPr>
            <w:r w:rsidRPr="0005343D">
              <w:rPr>
                <w:rFonts w:eastAsia="Arial Unicode MS"/>
              </w:rPr>
              <w:t>1.</w:t>
            </w:r>
            <w:r w:rsidRPr="0005343D">
              <w:rPr>
                <w:rFonts w:eastAsia="Arial Unicode MS"/>
              </w:rPr>
              <w:tab/>
              <w:t>Papildināt noteikumus ar</w:t>
            </w:r>
            <w:r>
              <w:rPr>
                <w:rFonts w:eastAsia="Arial Unicode MS"/>
              </w:rPr>
              <w:t xml:space="preserve"> </w:t>
            </w:r>
            <w:r w:rsidRPr="0005343D">
              <w:rPr>
                <w:rFonts w:eastAsia="Arial Unicode MS"/>
              </w:rPr>
              <w:t>55. punktu šādā redakcijā:</w:t>
            </w:r>
          </w:p>
          <w:p w14:paraId="439C3A4E" w14:textId="77777777" w:rsidR="0005343D" w:rsidRPr="0005343D" w:rsidRDefault="0005343D" w:rsidP="0005343D">
            <w:pPr>
              <w:jc w:val="both"/>
              <w:outlineLvl w:val="0"/>
              <w:rPr>
                <w:rFonts w:eastAsia="Arial Unicode MS"/>
              </w:rPr>
            </w:pPr>
            <w:r w:rsidRPr="0005343D">
              <w:rPr>
                <w:rFonts w:eastAsia="Arial Unicode MS"/>
              </w:rPr>
              <w:t>“55. Ja rezervuāra pilnās tehniskās pārbaudes termiņš beidzas ārkārtējās situācijas laikā, kuru Ministru kabinets izsludinājis saistībā ar epidēmiju vai pandēmiju, tad rezervuāru valdītājs ir tiesīgs pilnās tehniskās pārbaudes veikšanu organizēt divos posmos:</w:t>
            </w:r>
          </w:p>
          <w:p w14:paraId="5B75A7B6" w14:textId="77777777" w:rsidR="0005343D" w:rsidRPr="0005343D" w:rsidRDefault="0005343D" w:rsidP="0005343D">
            <w:pPr>
              <w:jc w:val="both"/>
              <w:outlineLvl w:val="0"/>
              <w:rPr>
                <w:rFonts w:eastAsia="Arial Unicode MS"/>
              </w:rPr>
            </w:pPr>
            <w:r w:rsidRPr="0005343D">
              <w:rPr>
                <w:rFonts w:eastAsia="Arial Unicode MS"/>
              </w:rPr>
              <w:t xml:space="preserve">55.1. rezervuāru valdītājs nodrošina, ka tiek veikta rezervuāra pārbaude tādā apjomā, ko iespējams izdarīt bez rezervuāra atbrīvošanas no uzglabājamās vielas. Ja rezervuārs atbilst šo noteikumu prasībām, inspicēšanas institūcija ievada informāciju bīstamo iekārtu </w:t>
            </w:r>
            <w:r w:rsidRPr="0005343D">
              <w:rPr>
                <w:rFonts w:eastAsia="Arial Unicode MS"/>
              </w:rPr>
              <w:lastRenderedPageBreak/>
              <w:t>reģistrā par pilnās pārbaudes uzsākšanu, bet tehniskās pārbaudes protokolu un pārbaudes zīmi neizsniedz;</w:t>
            </w:r>
          </w:p>
          <w:p w14:paraId="4F1A0C9F" w14:textId="4BAFE81A" w:rsidR="0005343D" w:rsidRPr="0095052F" w:rsidRDefault="0005343D" w:rsidP="0005343D">
            <w:pPr>
              <w:jc w:val="both"/>
              <w:outlineLvl w:val="0"/>
              <w:rPr>
                <w:rFonts w:eastAsia="Arial Unicode MS"/>
              </w:rPr>
            </w:pPr>
            <w:r w:rsidRPr="0005343D">
              <w:rPr>
                <w:rFonts w:eastAsia="Arial Unicode MS"/>
              </w:rPr>
              <w:t>55.2. ne vēlāk kā trīs mēnešus pēc ārkārtējās situācijas beigām valdītājs nodrošina, ka tiek pabeigta rezervuāra pilnās tehniskās pārbaudes veikšana.</w:t>
            </w:r>
          </w:p>
        </w:tc>
        <w:tc>
          <w:tcPr>
            <w:tcW w:w="4536" w:type="dxa"/>
            <w:tcBorders>
              <w:left w:val="single" w:sz="6" w:space="0" w:color="000000"/>
              <w:bottom w:val="single" w:sz="4" w:space="0" w:color="auto"/>
              <w:right w:val="single" w:sz="6" w:space="0" w:color="000000"/>
            </w:tcBorders>
          </w:tcPr>
          <w:p w14:paraId="35630435" w14:textId="400E144C" w:rsidR="0005343D" w:rsidRPr="0005343D" w:rsidRDefault="0005343D" w:rsidP="0005343D">
            <w:pPr>
              <w:jc w:val="both"/>
              <w:rPr>
                <w:szCs w:val="28"/>
              </w:rPr>
            </w:pPr>
            <w:r w:rsidRPr="0005343D">
              <w:rPr>
                <w:szCs w:val="28"/>
              </w:rPr>
              <w:lastRenderedPageBreak/>
              <w:t xml:space="preserve">2. Noteikumos teksts ir sadalīts nodaļās, tai skaitā noteikumos ir nodaļa “Noslēguma jautājumi”. Saskaņā ar Ministru kabineta 2009. gada 3. februāra noteikumu Nr.108 “Normatīvo aktu projektu sagatavošanas noteikumi” (turpmāk – noteikumi Nr.108) 115. punktu noslēguma jautājumos nosaka pārejas kārtību no pastāvošā tiesiskā regulējuma uz jauno tiesisko regulējumu. Vēršam uzmanību, ka projektā piedāvātais grozījums, kas paredz papildināt noteikumus ar 55. punktu par uzraudzības pasākumu organizāciju ārkārtējās situācijas laikā, neatbilst noteikumu nodaļas “Noslēguma jautājumi” regulējuma mērķim. Ievērojot minēto, nepieciešams izvērtēt noteikumos esošo regulējumu un projektā paredzēto regulējumu iekļaut kopā ar citām normām par rezervuāru pilnām tehniskajām pārbaudēm, piemēram, kā noteikumu 36.1 punktu vai citu </w:t>
            </w:r>
            <w:proofErr w:type="spellStart"/>
            <w:r w:rsidRPr="0005343D">
              <w:rPr>
                <w:szCs w:val="28"/>
              </w:rPr>
              <w:t>prim</w:t>
            </w:r>
            <w:proofErr w:type="spellEnd"/>
            <w:r w:rsidRPr="0005343D">
              <w:rPr>
                <w:szCs w:val="28"/>
              </w:rPr>
              <w:t xml:space="preserve"> punktu noteikumu V nodaļā. Vienlaikus piedāvājam izvērtēt projektā paredzētās </w:t>
            </w:r>
            <w:r w:rsidRPr="0005343D">
              <w:rPr>
                <w:szCs w:val="28"/>
              </w:rPr>
              <w:lastRenderedPageBreak/>
              <w:t>normas ievaddaļu, proti, cik lietderīgi ir atšķirīgu pārbaužu kārtību paredzēt tikai “saistībā ar epidēmiju vai pandēmiju”, jo Civilās aizsardzības un katastrofas pārvaldīšanas likums paredz ievērojami plašākus katastrofu veidus, kuru gadījumā Ministru kabinets saskaņā ar likumu “Par ārkārtējo situāciju un izņēmuma stāvokli” var ieviest īpašu stāvokli, kas var ierobežot dažāda veida uzņēmējdarbību. Tieslietu ministrija piedāvā normu veidot ar pietiekamu vispārinājuma pakāpi, lai tā būtu piemērojama dažādos apstākļos, kad ir ierobežotas iespējas veikt uzņēmējdarbību.</w:t>
            </w:r>
          </w:p>
        </w:tc>
        <w:tc>
          <w:tcPr>
            <w:tcW w:w="3402" w:type="dxa"/>
            <w:tcBorders>
              <w:top w:val="single" w:sz="6" w:space="0" w:color="000000"/>
              <w:left w:val="single" w:sz="6" w:space="0" w:color="000000"/>
              <w:bottom w:val="single" w:sz="6" w:space="0" w:color="000000"/>
              <w:right w:val="single" w:sz="6" w:space="0" w:color="000000"/>
            </w:tcBorders>
          </w:tcPr>
          <w:p w14:paraId="32A533EE" w14:textId="33904603" w:rsidR="0005343D" w:rsidRPr="00D1331E" w:rsidRDefault="002603D2" w:rsidP="002B0E4B">
            <w:pPr>
              <w:spacing w:after="120"/>
              <w:jc w:val="center"/>
              <w:rPr>
                <w:rFonts w:eastAsia="SimSun"/>
                <w:b/>
                <w:lang w:eastAsia="zh-CN"/>
              </w:rPr>
            </w:pPr>
            <w:r w:rsidRPr="002603D2">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643F9225" w14:textId="0CBA2DA2" w:rsidR="002603D2" w:rsidRDefault="002603D2" w:rsidP="002603D2">
            <w:pPr>
              <w:jc w:val="both"/>
            </w:pPr>
            <w:r>
              <w:t>1.</w:t>
            </w:r>
            <w:r>
              <w:tab/>
              <w:t xml:space="preserve">Papildināt noteikumus ar </w:t>
            </w:r>
            <w:r w:rsidR="00533A0D">
              <w:t>42</w:t>
            </w:r>
            <w:r>
              <w:t>.</w:t>
            </w:r>
            <w:r>
              <w:rPr>
                <w:vertAlign w:val="superscript"/>
              </w:rPr>
              <w:t>1</w:t>
            </w:r>
            <w:r>
              <w:t xml:space="preserve"> punktu šādā redakcijā:</w:t>
            </w:r>
          </w:p>
          <w:p w14:paraId="75D68229" w14:textId="702A9F0F" w:rsidR="002603D2" w:rsidRDefault="002603D2" w:rsidP="002603D2">
            <w:pPr>
              <w:jc w:val="both"/>
            </w:pPr>
            <w:r>
              <w:t>“</w:t>
            </w:r>
            <w:r w:rsidR="00533A0D">
              <w:t>42</w:t>
            </w:r>
            <w:r>
              <w:t>.</w:t>
            </w:r>
            <w:r>
              <w:rPr>
                <w:vertAlign w:val="superscript"/>
              </w:rPr>
              <w:t>1</w:t>
            </w:r>
            <w:r>
              <w:t xml:space="preserve"> Ja rezervuāra pilnās tehniskās pārbaudes termiņš beidzas ārkārtējās situācijas</w:t>
            </w:r>
            <w:r w:rsidR="00533A0D">
              <w:t xml:space="preserve"> vai izņēmuma stāvokļa</w:t>
            </w:r>
            <w:r>
              <w:t xml:space="preserve"> laikā, tad rezervuāru valdītājs ir tiesīgs pilnās tehniskās pārbaudes veikšanu organizēt divos posmos:</w:t>
            </w:r>
          </w:p>
          <w:p w14:paraId="414C4E3D" w14:textId="67029F3B" w:rsidR="002603D2" w:rsidRDefault="00533A0D" w:rsidP="002603D2">
            <w:pPr>
              <w:jc w:val="both"/>
            </w:pPr>
            <w:r>
              <w:t>42</w:t>
            </w:r>
            <w:r w:rsidR="002603D2" w:rsidRPr="002603D2">
              <w:t>.</w:t>
            </w:r>
            <w:r w:rsidR="002603D2">
              <w:rPr>
                <w:vertAlign w:val="superscript"/>
              </w:rPr>
              <w:t>1</w:t>
            </w:r>
            <w:r>
              <w:rPr>
                <w:vertAlign w:val="superscript"/>
              </w:rPr>
              <w:t xml:space="preserve"> </w:t>
            </w:r>
            <w:r w:rsidR="002603D2">
              <w:t xml:space="preserve">1. rezervuāru valdītājs nodrošina, ka tiek veikta rezervuāra pārbaude tādā apjomā, ko iespējams izdarīt bez rezervuāra atbrīvošanas no uzglabājamās vielas. Ja rezervuārs atbilst šo noteikumu prasībām, inspicēšanas institūcija ievada informāciju bīstamo </w:t>
            </w:r>
            <w:r w:rsidR="002603D2">
              <w:lastRenderedPageBreak/>
              <w:t>iekārtu reģistrā par pilnās pārbaudes uzsākšanu, bet tehniskās pārbaudes protokolu un pārbaudes zīmi neizsniedz;</w:t>
            </w:r>
          </w:p>
          <w:p w14:paraId="06C600AA" w14:textId="7697AD5E" w:rsidR="0005343D" w:rsidRDefault="00533A0D" w:rsidP="002603D2">
            <w:pPr>
              <w:jc w:val="both"/>
            </w:pPr>
            <w:r>
              <w:t>42</w:t>
            </w:r>
            <w:r w:rsidR="00224A1D">
              <w:t>.</w:t>
            </w:r>
            <w:r w:rsidR="00224A1D">
              <w:rPr>
                <w:vertAlign w:val="superscript"/>
              </w:rPr>
              <w:t>1</w:t>
            </w:r>
            <w:r w:rsidR="00224A1D">
              <w:t xml:space="preserve"> </w:t>
            </w:r>
            <w:r w:rsidR="002603D2">
              <w:t>2. ne vēlāk kā trīs mēnešus pēc ārkārtējās situācijas beigām valdītājs nodrošina, ka tiek pabeigta rezervuāra pilnās tehniskās pārbaudes veikšana.</w:t>
            </w:r>
          </w:p>
        </w:tc>
      </w:tr>
    </w:tbl>
    <w:tbl>
      <w:tblPr>
        <w:tblW w:w="10847" w:type="dxa"/>
        <w:tblInd w:w="8" w:type="dxa"/>
        <w:tblLayout w:type="fixed"/>
        <w:tblLook w:val="00A0" w:firstRow="1" w:lastRow="0" w:firstColumn="1" w:lastColumn="0" w:noHBand="0" w:noVBand="0"/>
      </w:tblPr>
      <w:tblGrid>
        <w:gridCol w:w="3108"/>
        <w:gridCol w:w="7739"/>
      </w:tblGrid>
      <w:tr w:rsidR="0091069F" w:rsidRPr="00F96C8D" w14:paraId="421B1444" w14:textId="77777777" w:rsidTr="002B0E4B">
        <w:tc>
          <w:tcPr>
            <w:tcW w:w="3108" w:type="dxa"/>
          </w:tcPr>
          <w:p w14:paraId="3E039B0D" w14:textId="7E247465" w:rsidR="0091069F" w:rsidRDefault="0091069F" w:rsidP="002B0E4B">
            <w:pPr>
              <w:pStyle w:val="naiskr"/>
              <w:spacing w:before="0" w:after="0"/>
              <w:jc w:val="center"/>
              <w:rPr>
                <w:sz w:val="22"/>
                <w:szCs w:val="22"/>
              </w:rPr>
            </w:pPr>
          </w:p>
          <w:p w14:paraId="57923BA7" w14:textId="77777777" w:rsidR="00C048FB" w:rsidRPr="00F96C8D" w:rsidRDefault="00C048FB" w:rsidP="002B0E4B">
            <w:pPr>
              <w:pStyle w:val="naiskr"/>
              <w:spacing w:before="0" w:after="0"/>
              <w:jc w:val="center"/>
              <w:rPr>
                <w:sz w:val="22"/>
                <w:szCs w:val="22"/>
              </w:rPr>
            </w:pPr>
          </w:p>
          <w:p w14:paraId="201CBFDA" w14:textId="77777777" w:rsidR="0091069F" w:rsidRPr="00F96C8D" w:rsidRDefault="0091069F" w:rsidP="00EF70A1">
            <w:pPr>
              <w:pStyle w:val="naiskr"/>
              <w:spacing w:before="0" w:after="0"/>
              <w:rPr>
                <w:sz w:val="22"/>
                <w:szCs w:val="22"/>
              </w:rPr>
            </w:pPr>
          </w:p>
          <w:p w14:paraId="09F8C220" w14:textId="77777777" w:rsidR="0091069F" w:rsidRPr="00F96C8D" w:rsidRDefault="0091069F" w:rsidP="002B0E4B">
            <w:pPr>
              <w:pStyle w:val="naiskr"/>
              <w:spacing w:before="0" w:after="0"/>
              <w:rPr>
                <w:sz w:val="22"/>
                <w:szCs w:val="22"/>
              </w:rPr>
            </w:pPr>
            <w:r w:rsidRPr="00F96C8D">
              <w:rPr>
                <w:sz w:val="22"/>
                <w:szCs w:val="22"/>
              </w:rPr>
              <w:t>Atbildīgā amatpersona</w:t>
            </w:r>
          </w:p>
        </w:tc>
        <w:tc>
          <w:tcPr>
            <w:tcW w:w="7739" w:type="dxa"/>
          </w:tcPr>
          <w:p w14:paraId="273BF462" w14:textId="77777777" w:rsidR="0091069F" w:rsidRPr="00F96C8D" w:rsidRDefault="0091069F" w:rsidP="002B0E4B">
            <w:pPr>
              <w:pStyle w:val="naisf"/>
              <w:spacing w:before="0" w:after="0"/>
              <w:ind w:firstLine="0"/>
              <w:jc w:val="center"/>
              <w:rPr>
                <w:sz w:val="22"/>
                <w:szCs w:val="22"/>
              </w:rPr>
            </w:pPr>
          </w:p>
        </w:tc>
      </w:tr>
      <w:tr w:rsidR="0091069F" w:rsidRPr="00F96C8D" w14:paraId="535232F8" w14:textId="77777777" w:rsidTr="002B0E4B">
        <w:tc>
          <w:tcPr>
            <w:tcW w:w="3108" w:type="dxa"/>
          </w:tcPr>
          <w:p w14:paraId="23E5452E" w14:textId="77777777" w:rsidR="0091069F" w:rsidRPr="00F96C8D" w:rsidRDefault="0091069F" w:rsidP="002B0E4B">
            <w:pPr>
              <w:pStyle w:val="naiskr"/>
              <w:spacing w:before="0" w:after="0"/>
              <w:ind w:firstLine="720"/>
              <w:jc w:val="center"/>
              <w:rPr>
                <w:sz w:val="22"/>
                <w:szCs w:val="22"/>
              </w:rPr>
            </w:pPr>
          </w:p>
        </w:tc>
        <w:tc>
          <w:tcPr>
            <w:tcW w:w="7739" w:type="dxa"/>
            <w:tcBorders>
              <w:top w:val="single" w:sz="6" w:space="0" w:color="000000"/>
            </w:tcBorders>
          </w:tcPr>
          <w:p w14:paraId="2D9BAC56" w14:textId="77777777" w:rsidR="0091069F" w:rsidRPr="00F96C8D" w:rsidRDefault="0091069F" w:rsidP="002B0E4B">
            <w:pPr>
              <w:pStyle w:val="naisc"/>
              <w:spacing w:before="0" w:after="0"/>
              <w:ind w:firstLine="720"/>
              <w:rPr>
                <w:sz w:val="22"/>
                <w:szCs w:val="22"/>
              </w:rPr>
            </w:pPr>
            <w:r w:rsidRPr="00F96C8D">
              <w:rPr>
                <w:sz w:val="22"/>
                <w:szCs w:val="22"/>
              </w:rPr>
              <w:t>(paraksts)*</w:t>
            </w:r>
          </w:p>
          <w:p w14:paraId="482F22AD" w14:textId="77777777" w:rsidR="0091069F" w:rsidRPr="00F96C8D" w:rsidRDefault="0091069F" w:rsidP="002B0E4B">
            <w:pPr>
              <w:pStyle w:val="naisc"/>
              <w:spacing w:before="0" w:after="0"/>
              <w:ind w:firstLine="720"/>
              <w:rPr>
                <w:sz w:val="22"/>
                <w:szCs w:val="22"/>
              </w:rPr>
            </w:pPr>
          </w:p>
        </w:tc>
      </w:tr>
    </w:tbl>
    <w:p w14:paraId="137A320F" w14:textId="074E9F54" w:rsidR="0091069F" w:rsidRPr="00C048FB" w:rsidRDefault="00EF70A1" w:rsidP="0091069F">
      <w:pPr>
        <w:pStyle w:val="naisf"/>
        <w:spacing w:before="0" w:after="0"/>
        <w:ind w:left="2160" w:firstLine="720"/>
      </w:pPr>
      <w:r w:rsidRPr="00C048FB">
        <w:t>Inese Matēviča</w:t>
      </w:r>
    </w:p>
    <w:tbl>
      <w:tblPr>
        <w:tblW w:w="0" w:type="auto"/>
        <w:tblLook w:val="00A0" w:firstRow="1" w:lastRow="0" w:firstColumn="1" w:lastColumn="0" w:noHBand="0" w:noVBand="0"/>
      </w:tblPr>
      <w:tblGrid>
        <w:gridCol w:w="8268"/>
      </w:tblGrid>
      <w:tr w:rsidR="0091069F" w:rsidRPr="00F96C8D" w14:paraId="761DD082" w14:textId="77777777" w:rsidTr="002B0E4B">
        <w:tc>
          <w:tcPr>
            <w:tcW w:w="8268" w:type="dxa"/>
            <w:tcBorders>
              <w:top w:val="single" w:sz="4" w:space="0" w:color="000000"/>
            </w:tcBorders>
          </w:tcPr>
          <w:p w14:paraId="51DF1462" w14:textId="77777777" w:rsidR="0091069F" w:rsidRPr="00F96C8D" w:rsidRDefault="0091069F" w:rsidP="002B0E4B">
            <w:pPr>
              <w:jc w:val="center"/>
              <w:rPr>
                <w:sz w:val="22"/>
                <w:szCs w:val="22"/>
              </w:rPr>
            </w:pPr>
            <w:r w:rsidRPr="00F96C8D">
              <w:rPr>
                <w:sz w:val="22"/>
                <w:szCs w:val="22"/>
              </w:rPr>
              <w:t>(par projektu atbildīgās amatpersonas vārds un uzvārds)</w:t>
            </w:r>
          </w:p>
        </w:tc>
      </w:tr>
      <w:tr w:rsidR="0091069F" w:rsidRPr="00F96C8D" w14:paraId="14A13F12" w14:textId="77777777" w:rsidTr="002B0E4B">
        <w:tc>
          <w:tcPr>
            <w:tcW w:w="8268" w:type="dxa"/>
            <w:tcBorders>
              <w:bottom w:val="single" w:sz="4" w:space="0" w:color="000000"/>
            </w:tcBorders>
          </w:tcPr>
          <w:p w14:paraId="1DD4B842" w14:textId="77777777" w:rsidR="00EF70A1" w:rsidRDefault="00EF70A1" w:rsidP="00EF70A1">
            <w:pPr>
              <w:jc w:val="center"/>
              <w:rPr>
                <w:sz w:val="22"/>
                <w:szCs w:val="22"/>
              </w:rPr>
            </w:pPr>
          </w:p>
          <w:p w14:paraId="397D3D30" w14:textId="723A1770" w:rsidR="0091069F" w:rsidRPr="00C048FB" w:rsidRDefault="0091069F" w:rsidP="00EF70A1">
            <w:pPr>
              <w:jc w:val="center"/>
            </w:pPr>
            <w:r w:rsidRPr="00C048FB">
              <w:t xml:space="preserve">Ekonomikas ministrijas Iekšējā tirgus departamenta Atbilstības novērtēšanas nodaļas </w:t>
            </w:r>
            <w:r w:rsidR="00AA0CA7">
              <w:t>vadītāja vietniece</w:t>
            </w:r>
          </w:p>
        </w:tc>
      </w:tr>
      <w:tr w:rsidR="0091069F" w:rsidRPr="00F96C8D" w14:paraId="779393DF" w14:textId="77777777" w:rsidTr="002B0E4B">
        <w:tc>
          <w:tcPr>
            <w:tcW w:w="8268" w:type="dxa"/>
            <w:tcBorders>
              <w:top w:val="single" w:sz="4" w:space="0" w:color="000000"/>
            </w:tcBorders>
          </w:tcPr>
          <w:p w14:paraId="1D1EA93C" w14:textId="77777777" w:rsidR="0091069F" w:rsidRDefault="0091069F" w:rsidP="002B0E4B">
            <w:pPr>
              <w:jc w:val="center"/>
              <w:rPr>
                <w:sz w:val="22"/>
                <w:szCs w:val="22"/>
              </w:rPr>
            </w:pPr>
            <w:r w:rsidRPr="00F96C8D">
              <w:rPr>
                <w:sz w:val="22"/>
                <w:szCs w:val="22"/>
              </w:rPr>
              <w:t>(amats)</w:t>
            </w:r>
          </w:p>
          <w:p w14:paraId="08FD46D8" w14:textId="395C1858" w:rsidR="00EF70A1" w:rsidRPr="00F96C8D" w:rsidRDefault="00EF70A1" w:rsidP="002B0E4B">
            <w:pPr>
              <w:jc w:val="center"/>
              <w:rPr>
                <w:sz w:val="22"/>
                <w:szCs w:val="22"/>
              </w:rPr>
            </w:pPr>
          </w:p>
        </w:tc>
      </w:tr>
      <w:tr w:rsidR="0091069F" w:rsidRPr="00F96C8D" w14:paraId="62D1B2CC" w14:textId="77777777" w:rsidTr="002B0E4B">
        <w:tc>
          <w:tcPr>
            <w:tcW w:w="8268" w:type="dxa"/>
            <w:tcBorders>
              <w:bottom w:val="single" w:sz="4" w:space="0" w:color="000000"/>
            </w:tcBorders>
          </w:tcPr>
          <w:p w14:paraId="739CD62F" w14:textId="388D1A1B" w:rsidR="0091069F" w:rsidRPr="00C048FB" w:rsidRDefault="0091069F" w:rsidP="002B0E4B">
            <w:pPr>
              <w:jc w:val="center"/>
            </w:pPr>
            <w:r w:rsidRPr="00C048FB">
              <w:t>Tālr. 670130</w:t>
            </w:r>
            <w:r w:rsidR="00EF70A1" w:rsidRPr="00C048FB">
              <w:t>66</w:t>
            </w:r>
          </w:p>
        </w:tc>
      </w:tr>
      <w:tr w:rsidR="0091069F" w:rsidRPr="00F96C8D" w14:paraId="73E30F0B" w14:textId="77777777" w:rsidTr="002B0E4B">
        <w:tc>
          <w:tcPr>
            <w:tcW w:w="8268" w:type="dxa"/>
            <w:tcBorders>
              <w:top w:val="single" w:sz="4" w:space="0" w:color="000000"/>
            </w:tcBorders>
          </w:tcPr>
          <w:p w14:paraId="21C52157" w14:textId="77777777" w:rsidR="0091069F" w:rsidRPr="00F96C8D" w:rsidRDefault="0091069F" w:rsidP="002B0E4B">
            <w:pPr>
              <w:jc w:val="center"/>
              <w:rPr>
                <w:sz w:val="22"/>
                <w:szCs w:val="22"/>
              </w:rPr>
            </w:pPr>
            <w:r w:rsidRPr="00F96C8D">
              <w:rPr>
                <w:sz w:val="22"/>
                <w:szCs w:val="22"/>
              </w:rPr>
              <w:t>(tālruņa un faksa numurs)</w:t>
            </w:r>
          </w:p>
          <w:p w14:paraId="229CC94B" w14:textId="77777777" w:rsidR="0091069F" w:rsidRPr="00F96C8D" w:rsidRDefault="0091069F" w:rsidP="002B0E4B">
            <w:pPr>
              <w:jc w:val="center"/>
              <w:rPr>
                <w:sz w:val="22"/>
                <w:szCs w:val="22"/>
              </w:rPr>
            </w:pPr>
          </w:p>
        </w:tc>
      </w:tr>
      <w:tr w:rsidR="0091069F" w:rsidRPr="00F96C8D" w14:paraId="6D6FDF2B" w14:textId="77777777" w:rsidTr="002B0E4B">
        <w:tc>
          <w:tcPr>
            <w:tcW w:w="8268" w:type="dxa"/>
            <w:tcBorders>
              <w:bottom w:val="single" w:sz="4" w:space="0" w:color="000000"/>
            </w:tcBorders>
          </w:tcPr>
          <w:p w14:paraId="68C5202A" w14:textId="08B706D5" w:rsidR="0091069F" w:rsidRPr="00C048FB" w:rsidRDefault="00EF70A1" w:rsidP="002B0E4B">
            <w:pPr>
              <w:jc w:val="center"/>
            </w:pPr>
            <w:r w:rsidRPr="00C048FB">
              <w:t>Inese</w:t>
            </w:r>
            <w:r w:rsidR="0091069F" w:rsidRPr="00C048FB">
              <w:t>.</w:t>
            </w:r>
            <w:r w:rsidR="00071595" w:rsidRPr="00C048FB">
              <w:t>Matevica</w:t>
            </w:r>
            <w:r w:rsidR="0091069F" w:rsidRPr="00C048FB">
              <w:t xml:space="preserve">@em.gov.lv </w:t>
            </w:r>
          </w:p>
        </w:tc>
      </w:tr>
      <w:tr w:rsidR="0091069F" w:rsidRPr="00F96C8D" w14:paraId="3978B49B" w14:textId="77777777" w:rsidTr="002B0E4B">
        <w:tc>
          <w:tcPr>
            <w:tcW w:w="8268" w:type="dxa"/>
            <w:tcBorders>
              <w:top w:val="single" w:sz="4" w:space="0" w:color="000000"/>
            </w:tcBorders>
          </w:tcPr>
          <w:p w14:paraId="77D174BF" w14:textId="77777777" w:rsidR="0091069F" w:rsidRPr="00F96C8D" w:rsidRDefault="0091069F" w:rsidP="002B0E4B">
            <w:pPr>
              <w:jc w:val="center"/>
              <w:rPr>
                <w:sz w:val="22"/>
                <w:szCs w:val="22"/>
              </w:rPr>
            </w:pPr>
            <w:r w:rsidRPr="00F96C8D">
              <w:rPr>
                <w:sz w:val="22"/>
                <w:szCs w:val="22"/>
              </w:rPr>
              <w:t>(e-pasta adrese)</w:t>
            </w:r>
          </w:p>
        </w:tc>
      </w:tr>
    </w:tbl>
    <w:p w14:paraId="26D3DCD1" w14:textId="77777777" w:rsidR="005A242A" w:rsidRDefault="00533A0D"/>
    <w:sectPr w:rsidR="005A242A" w:rsidSect="00691545">
      <w:headerReference w:type="even" r:id="rId8"/>
      <w:headerReference w:type="default" r:id="rId9"/>
      <w:footerReference w:type="default" r:id="rId10"/>
      <w:footerReference w:type="first" r:id="rId11"/>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94A0" w14:textId="77777777" w:rsidR="00F85ABC" w:rsidRDefault="00F85ABC">
      <w:r>
        <w:separator/>
      </w:r>
    </w:p>
  </w:endnote>
  <w:endnote w:type="continuationSeparator" w:id="0">
    <w:p w14:paraId="63F31605" w14:textId="77777777" w:rsidR="00F85ABC" w:rsidRDefault="00F8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36D" w14:textId="7ECFD379" w:rsidR="000669FD" w:rsidRPr="000669FD" w:rsidRDefault="0091069F" w:rsidP="000669FD">
    <w:pPr>
      <w:pStyle w:val="naislab"/>
      <w:ind w:left="-567"/>
      <w:jc w:val="both"/>
      <w:rPr>
        <w:sz w:val="20"/>
        <w:szCs w:val="20"/>
      </w:rPr>
    </w:pPr>
    <w:r>
      <w:rPr>
        <w:sz w:val="20"/>
        <w:szCs w:val="20"/>
      </w:rPr>
      <w:t>EMIzz_</w:t>
    </w:r>
    <w:r w:rsidR="00533A0D">
      <w:rPr>
        <w:sz w:val="20"/>
        <w:szCs w:val="20"/>
      </w:rPr>
      <w:t>GrozMK384</w:t>
    </w:r>
  </w:p>
  <w:p w14:paraId="3B79BD90" w14:textId="77777777" w:rsidR="00F877D6" w:rsidRPr="000669FD" w:rsidRDefault="00533A0D" w:rsidP="000669F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471D" w14:textId="54AF0CF6" w:rsidR="00F877D6" w:rsidRPr="000669FD" w:rsidRDefault="0091069F" w:rsidP="000669FD">
    <w:pPr>
      <w:pStyle w:val="naislab"/>
      <w:ind w:left="-567"/>
      <w:jc w:val="both"/>
      <w:rPr>
        <w:sz w:val="20"/>
        <w:szCs w:val="20"/>
      </w:rPr>
    </w:pPr>
    <w:bookmarkStart w:id="1" w:name="_Hlk1484360"/>
    <w:bookmarkStart w:id="2" w:name="_Hlk1484361"/>
    <w:bookmarkStart w:id="3" w:name="_Hlk21010111"/>
    <w:bookmarkStart w:id="4" w:name="_Hlk21010112"/>
    <w:bookmarkStart w:id="5" w:name="_Hlk22909325"/>
    <w:bookmarkStart w:id="6" w:name="_Hlk22909326"/>
    <w:r w:rsidRPr="00D1331E">
      <w:rPr>
        <w:sz w:val="20"/>
        <w:szCs w:val="20"/>
      </w:rPr>
      <w:t>EMIzz_</w:t>
    </w:r>
    <w:bookmarkEnd w:id="1"/>
    <w:bookmarkEnd w:id="2"/>
    <w:bookmarkEnd w:id="3"/>
    <w:bookmarkEnd w:id="4"/>
    <w:bookmarkEnd w:id="5"/>
    <w:bookmarkEnd w:id="6"/>
    <w:r w:rsidR="00B034DF">
      <w:rPr>
        <w:sz w:val="20"/>
        <w:szCs w:val="20"/>
      </w:rPr>
      <w:t>GrozMK384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A120" w14:textId="77777777" w:rsidR="00F85ABC" w:rsidRDefault="00F85ABC">
      <w:r>
        <w:separator/>
      </w:r>
    </w:p>
  </w:footnote>
  <w:footnote w:type="continuationSeparator" w:id="0">
    <w:p w14:paraId="7BA49B3A" w14:textId="77777777" w:rsidR="00F85ABC" w:rsidRDefault="00F8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0EB" w14:textId="77777777" w:rsidR="00F877D6" w:rsidRDefault="0091069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DA3CDC" w14:textId="77777777" w:rsidR="00F877D6" w:rsidRDefault="00533A0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A09D" w14:textId="77777777" w:rsidR="00F877D6" w:rsidRDefault="0091069F"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A85E5" w14:textId="77777777" w:rsidR="00F877D6" w:rsidRDefault="00533A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F"/>
    <w:rsid w:val="0005343D"/>
    <w:rsid w:val="00071595"/>
    <w:rsid w:val="00224A1D"/>
    <w:rsid w:val="00230E38"/>
    <w:rsid w:val="002603D2"/>
    <w:rsid w:val="00397571"/>
    <w:rsid w:val="00425511"/>
    <w:rsid w:val="00533A0D"/>
    <w:rsid w:val="00592113"/>
    <w:rsid w:val="0062595A"/>
    <w:rsid w:val="0072464A"/>
    <w:rsid w:val="007F77FC"/>
    <w:rsid w:val="00812015"/>
    <w:rsid w:val="0091069F"/>
    <w:rsid w:val="0095052F"/>
    <w:rsid w:val="009B2D87"/>
    <w:rsid w:val="009E45FD"/>
    <w:rsid w:val="00A63FCA"/>
    <w:rsid w:val="00AA0CA7"/>
    <w:rsid w:val="00B034DF"/>
    <w:rsid w:val="00B770D4"/>
    <w:rsid w:val="00C048FB"/>
    <w:rsid w:val="00D1331E"/>
    <w:rsid w:val="00EF70A1"/>
    <w:rsid w:val="00F65802"/>
    <w:rsid w:val="00F85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6AA8"/>
  <w15:chartTrackingRefBased/>
  <w15:docId w15:val="{941F6D03-A45A-4344-8F28-4E34E69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1069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91069F"/>
    <w:rPr>
      <w:rFonts w:cs="Times New Roman"/>
      <w:color w:val="0000FF"/>
      <w:u w:val="single"/>
    </w:rPr>
  </w:style>
  <w:style w:type="paragraph" w:styleId="Paraststmeklis">
    <w:name w:val="Normal (Web)"/>
    <w:basedOn w:val="Parasts"/>
    <w:uiPriority w:val="99"/>
    <w:rsid w:val="0091069F"/>
    <w:pPr>
      <w:spacing w:before="100" w:beforeAutospacing="1" w:after="100" w:afterAutospacing="1"/>
    </w:pPr>
  </w:style>
  <w:style w:type="paragraph" w:customStyle="1" w:styleId="naisf">
    <w:name w:val="naisf"/>
    <w:basedOn w:val="Parasts"/>
    <w:rsid w:val="0091069F"/>
    <w:pPr>
      <w:spacing w:before="75" w:after="75"/>
      <w:ind w:firstLine="375"/>
      <w:jc w:val="both"/>
    </w:pPr>
  </w:style>
  <w:style w:type="paragraph" w:customStyle="1" w:styleId="naislab">
    <w:name w:val="naislab"/>
    <w:basedOn w:val="Parasts"/>
    <w:rsid w:val="0091069F"/>
    <w:pPr>
      <w:spacing w:before="75" w:after="75"/>
      <w:jc w:val="right"/>
    </w:pPr>
  </w:style>
  <w:style w:type="paragraph" w:customStyle="1" w:styleId="naiskr">
    <w:name w:val="naiskr"/>
    <w:basedOn w:val="Parasts"/>
    <w:rsid w:val="0091069F"/>
    <w:pPr>
      <w:spacing w:before="75" w:after="75"/>
    </w:pPr>
  </w:style>
  <w:style w:type="paragraph" w:customStyle="1" w:styleId="naisc">
    <w:name w:val="naisc"/>
    <w:basedOn w:val="Parasts"/>
    <w:rsid w:val="0091069F"/>
    <w:pPr>
      <w:spacing w:before="75" w:after="75"/>
      <w:jc w:val="center"/>
    </w:pPr>
  </w:style>
  <w:style w:type="paragraph" w:styleId="Galvene">
    <w:name w:val="header"/>
    <w:basedOn w:val="Parasts"/>
    <w:link w:val="GalveneRakstz"/>
    <w:rsid w:val="0091069F"/>
    <w:pPr>
      <w:tabs>
        <w:tab w:val="center" w:pos="4153"/>
        <w:tab w:val="right" w:pos="8306"/>
      </w:tabs>
    </w:pPr>
  </w:style>
  <w:style w:type="character" w:customStyle="1" w:styleId="GalveneRakstz">
    <w:name w:val="Galvene Rakstz."/>
    <w:basedOn w:val="Noklusjumarindkopasfonts"/>
    <w:link w:val="Galvene"/>
    <w:rsid w:val="0091069F"/>
    <w:rPr>
      <w:rFonts w:ascii="Times New Roman" w:eastAsia="Times New Roman" w:hAnsi="Times New Roman" w:cs="Times New Roman"/>
      <w:sz w:val="24"/>
      <w:szCs w:val="24"/>
      <w:lang w:eastAsia="lv-LV"/>
    </w:rPr>
  </w:style>
  <w:style w:type="character" w:styleId="Lappusesnumurs">
    <w:name w:val="page number"/>
    <w:uiPriority w:val="99"/>
    <w:rsid w:val="0091069F"/>
    <w:rPr>
      <w:rFonts w:cs="Times New Roman"/>
    </w:rPr>
  </w:style>
  <w:style w:type="paragraph" w:styleId="Kjene">
    <w:name w:val="footer"/>
    <w:basedOn w:val="Parasts"/>
    <w:link w:val="KjeneRakstz"/>
    <w:rsid w:val="0091069F"/>
    <w:pPr>
      <w:tabs>
        <w:tab w:val="center" w:pos="4153"/>
        <w:tab w:val="right" w:pos="8306"/>
      </w:tabs>
    </w:pPr>
  </w:style>
  <w:style w:type="character" w:customStyle="1" w:styleId="KjeneRakstz">
    <w:name w:val="Kājene Rakstz."/>
    <w:basedOn w:val="Noklusjumarindkopasfonts"/>
    <w:link w:val="Kjene"/>
    <w:rsid w:val="0091069F"/>
    <w:rPr>
      <w:rFonts w:ascii="Times New Roman" w:eastAsia="Times New Roman" w:hAnsi="Times New Roman" w:cs="Times New Roman"/>
      <w:sz w:val="24"/>
      <w:szCs w:val="24"/>
      <w:lang w:eastAsia="lv-LV"/>
    </w:rPr>
  </w:style>
  <w:style w:type="paragraph" w:customStyle="1" w:styleId="Body1">
    <w:name w:val="Body 1"/>
    <w:rsid w:val="0091069F"/>
    <w:pPr>
      <w:spacing w:after="200" w:line="276" w:lineRule="auto"/>
      <w:outlineLvl w:val="0"/>
    </w:pPr>
    <w:rPr>
      <w:rFonts w:ascii="Helvetica" w:eastAsia="Arial Unicode MS" w:hAnsi="Helvetica" w:cs="Times New Roman"/>
      <w:color w:val="000000"/>
      <w:szCs w:val="20"/>
      <w:u w:color="000000"/>
      <w:lang w:eastAsia="lv-LV"/>
    </w:rPr>
  </w:style>
  <w:style w:type="character" w:styleId="Neatrisintapieminana">
    <w:name w:val="Unresolved Mention"/>
    <w:basedOn w:val="Noklusjumarindkopasfonts"/>
    <w:uiPriority w:val="99"/>
    <w:semiHidden/>
    <w:unhideWhenUsed/>
    <w:rsid w:val="00D1331E"/>
    <w:rPr>
      <w:color w:val="605E5C"/>
      <w:shd w:val="clear" w:color="auto" w:fill="E1DFDD"/>
    </w:rPr>
  </w:style>
  <w:style w:type="paragraph" w:styleId="Balonteksts">
    <w:name w:val="Balloon Text"/>
    <w:basedOn w:val="Parasts"/>
    <w:link w:val="BalontekstsRakstz"/>
    <w:uiPriority w:val="99"/>
    <w:semiHidden/>
    <w:unhideWhenUsed/>
    <w:rsid w:val="00B770D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70D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Rudziks@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3934</Words>
  <Characters>2243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10</cp:revision>
  <dcterms:created xsi:type="dcterms:W3CDTF">2019-12-09T12:01:00Z</dcterms:created>
  <dcterms:modified xsi:type="dcterms:W3CDTF">2020-04-30T10:33:00Z</dcterms:modified>
</cp:coreProperties>
</file>