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49" w:rsidRDefault="00C10D49" w:rsidP="00C10D49">
      <w:pPr>
        <w:ind w:firstLine="720"/>
        <w:jc w:val="center"/>
        <w:rPr>
          <w:rFonts w:eastAsia="Times New Roman"/>
          <w:sz w:val="28"/>
          <w:szCs w:val="28"/>
          <w:lang w:eastAsia="lv-LV"/>
        </w:rPr>
      </w:pPr>
      <w:r w:rsidRPr="00A866B0">
        <w:rPr>
          <w:rFonts w:eastAsia="Times New Roman"/>
          <w:sz w:val="28"/>
          <w:szCs w:val="28"/>
          <w:lang w:eastAsia="lv-LV"/>
        </w:rPr>
        <w:t>Kritēriji Padziļinātās sadarbības programmas dalībnieka</w:t>
      </w:r>
    </w:p>
    <w:p w:rsidR="00C10D49" w:rsidRDefault="00C10D49" w:rsidP="00C10D49">
      <w:pPr>
        <w:ind w:firstLine="720"/>
        <w:jc w:val="center"/>
        <w:rPr>
          <w:rFonts w:eastAsia="Times New Roman"/>
          <w:sz w:val="28"/>
          <w:szCs w:val="28"/>
          <w:lang w:eastAsia="lv-LV"/>
        </w:rPr>
      </w:pPr>
      <w:r w:rsidRPr="00A866B0">
        <w:rPr>
          <w:rFonts w:eastAsia="Times New Roman"/>
          <w:sz w:val="28"/>
          <w:szCs w:val="28"/>
          <w:lang w:eastAsia="lv-LV"/>
        </w:rPr>
        <w:t>grupēšanai pa līmeņiem</w:t>
      </w:r>
    </w:p>
    <w:p w:rsidR="00C10D49" w:rsidRDefault="00C10D49" w:rsidP="00C10D49">
      <w:pPr>
        <w:ind w:firstLine="720"/>
        <w:jc w:val="center"/>
        <w:rPr>
          <w:rFonts w:eastAsia="Times New Roman"/>
          <w:sz w:val="28"/>
          <w:szCs w:val="28"/>
          <w:lang w:eastAsia="lv-LV"/>
        </w:rPr>
      </w:pPr>
    </w:p>
    <w:p w:rsidR="00C10D49" w:rsidRDefault="00C10D49" w:rsidP="00C10D49">
      <w:pPr>
        <w:ind w:firstLine="720"/>
        <w:rPr>
          <w:rFonts w:eastAsia="Times New Roman"/>
          <w:b/>
          <w:sz w:val="28"/>
          <w:szCs w:val="28"/>
          <w:lang w:eastAsia="lv-LV"/>
        </w:rPr>
      </w:pPr>
      <w:r w:rsidRPr="00E21073">
        <w:rPr>
          <w:rFonts w:eastAsia="Times New Roman"/>
          <w:b/>
          <w:i/>
          <w:sz w:val="28"/>
          <w:szCs w:val="28"/>
          <w:lang w:eastAsia="lv-LV"/>
        </w:rPr>
        <w:t>Zelts</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iepriekšējā gadā un izvērtēšanas brīdī nav kavēti pārskatu un deklarāciju iesniegšanas termiņi;</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 xml:space="preserve">pēdējo triju pārskata gadu laikā neto apgrozījums katrā pārskata gadā pārsniedz 4 000 000 </w:t>
      </w:r>
      <w:proofErr w:type="spellStart"/>
      <w:r w:rsidRPr="00A866B0">
        <w:rPr>
          <w:rFonts w:eastAsia="Times New Roman"/>
          <w:sz w:val="28"/>
          <w:szCs w:val="28"/>
          <w:lang w:eastAsia="lv-LV"/>
        </w:rPr>
        <w:t>euro</w:t>
      </w:r>
      <w:proofErr w:type="spellEnd"/>
      <w:r w:rsidRPr="00A866B0">
        <w:rPr>
          <w:rFonts w:eastAsia="Times New Roman"/>
          <w:sz w:val="28"/>
          <w:szCs w:val="28"/>
          <w:lang w:eastAsia="lv-LV"/>
        </w:rPr>
        <w:t>;</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 xml:space="preserve">pēdējo triju gadu laikā VID administrēto nodokļu ieņēmumu kopsumma gadā pārsniedz 700 000 </w:t>
      </w:r>
      <w:proofErr w:type="spellStart"/>
      <w:r w:rsidRPr="00A866B0">
        <w:rPr>
          <w:rFonts w:eastAsia="Times New Roman"/>
          <w:sz w:val="28"/>
          <w:szCs w:val="28"/>
          <w:lang w:eastAsia="lv-LV"/>
        </w:rPr>
        <w:t>euro</w:t>
      </w:r>
      <w:proofErr w:type="spellEnd"/>
      <w:r w:rsidRPr="00A866B0">
        <w:rPr>
          <w:rFonts w:eastAsia="Times New Roman"/>
          <w:sz w:val="28"/>
          <w:szCs w:val="28"/>
          <w:lang w:eastAsia="lv-LV"/>
        </w:rPr>
        <w:t xml:space="preserve"> (nodokļu maksātāju veiktajām iemaksām atņemot nodokļu administrācijas atmaksātās pārmaksas);</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iepriekšējā gadā un izvērtēšanas brīdī par pirmo pusgadu nodokļu maksātāja darba ņēmēju mēneša vidējie darba vietā gūtie ienākumi ir lielāki par Centrālās statistikas pārvaldes noteikto vidējo darba samaksu valstī atbilstoši jaunākajiem datiem, kas publicēti tās tīmekļa vietnē vērtēšanas brīdī;</w:t>
      </w:r>
    </w:p>
    <w:p w:rsidR="00C10D49"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nodokļu maksātājs ir ieviesis nodokļu risku vadību.</w:t>
      </w:r>
    </w:p>
    <w:p w:rsidR="00C10D49" w:rsidRDefault="00C10D49" w:rsidP="00C10D49">
      <w:pPr>
        <w:ind w:firstLine="720"/>
        <w:rPr>
          <w:rFonts w:eastAsia="Times New Roman"/>
          <w:sz w:val="28"/>
          <w:szCs w:val="28"/>
          <w:lang w:eastAsia="lv-LV"/>
        </w:rPr>
      </w:pPr>
    </w:p>
    <w:p w:rsidR="00C10D49" w:rsidRPr="00E21073" w:rsidRDefault="00C10D49" w:rsidP="00C10D49">
      <w:pPr>
        <w:ind w:firstLine="720"/>
        <w:rPr>
          <w:rFonts w:eastAsia="Times New Roman"/>
          <w:b/>
          <w:sz w:val="28"/>
          <w:szCs w:val="28"/>
          <w:lang w:eastAsia="lv-LV"/>
        </w:rPr>
      </w:pPr>
      <w:r w:rsidRPr="00E21073">
        <w:rPr>
          <w:rFonts w:eastAsia="Times New Roman"/>
          <w:b/>
          <w:i/>
          <w:sz w:val="28"/>
          <w:szCs w:val="28"/>
          <w:lang w:eastAsia="lv-LV"/>
        </w:rPr>
        <w:t>Sudrabs</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iepriekšējā gadā un izvērtēšanas brīdī pārskatu un deklarāciju iesniegšanas termiņu kavējuma skaits nepārsniedz 1 reizi;</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 xml:space="preserve">pēdējo triju pārskata gadu laikā neto apgrozījums katrā pārskata gadā pārsniedz 4 000 000 </w:t>
      </w:r>
      <w:proofErr w:type="spellStart"/>
      <w:r w:rsidRPr="00A866B0">
        <w:rPr>
          <w:rFonts w:eastAsia="Times New Roman"/>
          <w:sz w:val="28"/>
          <w:szCs w:val="28"/>
          <w:lang w:eastAsia="lv-LV"/>
        </w:rPr>
        <w:t>euro</w:t>
      </w:r>
      <w:proofErr w:type="spellEnd"/>
      <w:r w:rsidRPr="00A866B0">
        <w:rPr>
          <w:rFonts w:eastAsia="Times New Roman"/>
          <w:sz w:val="28"/>
          <w:szCs w:val="28"/>
          <w:lang w:eastAsia="lv-LV"/>
        </w:rPr>
        <w:t>;</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 xml:space="preserve">pēdējo triju gadu laikā VID administrēto nodokļu ieņēmumu kopsumma gadā pārsniedz 500 000 </w:t>
      </w:r>
      <w:proofErr w:type="spellStart"/>
      <w:r w:rsidRPr="00A866B0">
        <w:rPr>
          <w:rFonts w:eastAsia="Times New Roman"/>
          <w:sz w:val="28"/>
          <w:szCs w:val="28"/>
          <w:lang w:eastAsia="lv-LV"/>
        </w:rPr>
        <w:t>euro</w:t>
      </w:r>
      <w:proofErr w:type="spellEnd"/>
      <w:r w:rsidRPr="00A866B0">
        <w:rPr>
          <w:rFonts w:eastAsia="Times New Roman"/>
          <w:sz w:val="28"/>
          <w:szCs w:val="28"/>
          <w:lang w:eastAsia="lv-LV"/>
        </w:rPr>
        <w:t xml:space="preserve"> (nodokļu maksātāju veiktajām iemaksām atņemot nodokļu administrācijas atmaksātās pārmaksas);</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iepriekšējā gadā un izvērtēšanas brīdī par pirmo pusgadu nodokļu maksātāja darba ņēmēju mēneša vidējie darba vietā gūtie ienākumi ir lielāki par Centrālās statistikas pārvaldes noteiktās vidējo darba samaksu valstī atbilstoši jaunākajiem datiem, kas publicēti tās tīmekļa vietnē vērtēšanas brīdī.</w:t>
      </w:r>
    </w:p>
    <w:p w:rsidR="00C10D49" w:rsidRPr="00A866B0" w:rsidRDefault="00C10D49" w:rsidP="00F21A54">
      <w:pPr>
        <w:ind w:firstLine="720"/>
        <w:rPr>
          <w:rFonts w:eastAsia="Times New Roman"/>
          <w:sz w:val="28"/>
          <w:szCs w:val="28"/>
          <w:lang w:eastAsia="lv-LV"/>
        </w:rPr>
      </w:pPr>
    </w:p>
    <w:p w:rsidR="00C10D49" w:rsidRPr="00E21073" w:rsidRDefault="00C10D49" w:rsidP="00C10D49">
      <w:pPr>
        <w:ind w:firstLine="720"/>
        <w:rPr>
          <w:rFonts w:eastAsia="Times New Roman"/>
          <w:b/>
          <w:sz w:val="28"/>
          <w:szCs w:val="28"/>
          <w:lang w:eastAsia="lv-LV"/>
        </w:rPr>
      </w:pPr>
      <w:r w:rsidRPr="00E21073">
        <w:rPr>
          <w:rFonts w:eastAsia="Times New Roman"/>
          <w:b/>
          <w:i/>
          <w:sz w:val="28"/>
          <w:szCs w:val="28"/>
          <w:lang w:eastAsia="lv-LV"/>
        </w:rPr>
        <w:t>Bronza</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iepriekšējā gadā un izvērtēšanas brīdī pārskatu un deklarāciju iesniegšanas termiņu kavējuma skaits nepārsniedz 10 reizes;</w:t>
      </w:r>
    </w:p>
    <w:p w:rsidR="00C10D49" w:rsidRPr="00A866B0"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 xml:space="preserve">pēdējo triju gadu laikā VID administrēto nodokļu ieņēmumu kopsumma gadā pārsniedz 10 000 </w:t>
      </w:r>
      <w:proofErr w:type="spellStart"/>
      <w:r w:rsidRPr="00A866B0">
        <w:rPr>
          <w:rFonts w:eastAsia="Times New Roman"/>
          <w:sz w:val="28"/>
          <w:szCs w:val="28"/>
          <w:lang w:eastAsia="lv-LV"/>
        </w:rPr>
        <w:t>euro</w:t>
      </w:r>
      <w:proofErr w:type="spellEnd"/>
      <w:r w:rsidRPr="00A866B0">
        <w:rPr>
          <w:rFonts w:eastAsia="Times New Roman"/>
          <w:sz w:val="28"/>
          <w:szCs w:val="28"/>
          <w:lang w:eastAsia="lv-LV"/>
        </w:rPr>
        <w:t xml:space="preserve"> (nodokļu maksātāju veiktās iemaksas atņemot nodokļu administrācijas atmaksātās pārmaksas);</w:t>
      </w:r>
    </w:p>
    <w:p w:rsidR="00C10D49" w:rsidRDefault="00C10D49" w:rsidP="00C10D49">
      <w:pPr>
        <w:ind w:firstLine="437"/>
        <w:jc w:val="both"/>
        <w:rPr>
          <w:rFonts w:eastAsia="Times New Roman"/>
          <w:sz w:val="28"/>
          <w:szCs w:val="28"/>
          <w:lang w:eastAsia="lv-LV"/>
        </w:rPr>
      </w:pPr>
      <w:r w:rsidRPr="00A866B0">
        <w:rPr>
          <w:rFonts w:eastAsia="Times New Roman"/>
          <w:sz w:val="28"/>
          <w:szCs w:val="28"/>
          <w:lang w:eastAsia="lv-LV"/>
        </w:rPr>
        <w:t>•</w:t>
      </w:r>
      <w:r w:rsidRPr="00A866B0">
        <w:rPr>
          <w:rFonts w:eastAsia="Times New Roman"/>
          <w:sz w:val="28"/>
          <w:szCs w:val="28"/>
          <w:lang w:eastAsia="lv-LV"/>
        </w:rPr>
        <w:tab/>
        <w:t>iepriekšējā gadā un izvērtēšanas brīdī par pirmo pusgadu nodokļu maksātāja darba ņēmēju mēneša vidējie darba vietā gūtie ienākumi nav mazāki par 80 procentiem no Centrālās statistikas pārvaldes noteiktās vidējās darba samaksas valstī atbilstoši jaunākajiem datiem, kas publicēti tās tīmekļa vietnē vērtēšanas brīdī.</w:t>
      </w:r>
    </w:p>
    <w:p w:rsidR="00C10D49" w:rsidRDefault="00C10D49"/>
    <w:p w:rsidR="00596A57" w:rsidRDefault="00596A57"/>
    <w:p w:rsidR="00C10D49" w:rsidRPr="00C10D49" w:rsidRDefault="003B0FF7" w:rsidP="00596A57">
      <w:pPr>
        <w:tabs>
          <w:tab w:val="right" w:pos="9071"/>
        </w:tabs>
        <w:rPr>
          <w:sz w:val="28"/>
          <w:szCs w:val="28"/>
        </w:rPr>
      </w:pPr>
      <w:r>
        <w:rPr>
          <w:sz w:val="28"/>
          <w:szCs w:val="28"/>
        </w:rPr>
        <w:t>Finanšu m</w:t>
      </w:r>
      <w:bookmarkStart w:id="0" w:name="_GoBack"/>
      <w:bookmarkEnd w:id="0"/>
      <w:r w:rsidR="00C10D49">
        <w:rPr>
          <w:sz w:val="28"/>
          <w:szCs w:val="28"/>
        </w:rPr>
        <w:t>inistrs</w:t>
      </w:r>
      <w:r w:rsidR="00596A57">
        <w:rPr>
          <w:sz w:val="28"/>
          <w:szCs w:val="28"/>
        </w:rPr>
        <w:tab/>
      </w:r>
      <w:r w:rsidR="00C10D49">
        <w:rPr>
          <w:sz w:val="28"/>
          <w:szCs w:val="28"/>
        </w:rPr>
        <w:t>J.</w:t>
      </w:r>
      <w:r w:rsidR="00596A57">
        <w:rPr>
          <w:sz w:val="28"/>
          <w:szCs w:val="28"/>
        </w:rPr>
        <w:t> </w:t>
      </w:r>
      <w:r w:rsidR="00C10D49">
        <w:rPr>
          <w:sz w:val="28"/>
          <w:szCs w:val="28"/>
        </w:rPr>
        <w:t>Reirs</w:t>
      </w:r>
    </w:p>
    <w:sectPr w:rsidR="00C10D49" w:rsidRPr="00C10D49" w:rsidSect="00596A57">
      <w:headerReference w:type="default" r:id="rId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EE" w:rsidRDefault="00642BEE" w:rsidP="00C10D49">
      <w:r>
        <w:separator/>
      </w:r>
    </w:p>
  </w:endnote>
  <w:endnote w:type="continuationSeparator" w:id="0">
    <w:p w:rsidR="00642BEE" w:rsidRDefault="00642BEE" w:rsidP="00C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A5" w:rsidRPr="00BC3AA5" w:rsidRDefault="00596A5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FMP1_23042020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EE" w:rsidRDefault="00642BEE" w:rsidP="00C10D49">
      <w:r>
        <w:separator/>
      </w:r>
    </w:p>
  </w:footnote>
  <w:footnote w:type="continuationSeparator" w:id="0">
    <w:p w:rsidR="00642BEE" w:rsidRDefault="00642BEE" w:rsidP="00C1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57" w:rsidRPr="00C10D49" w:rsidRDefault="00596A57" w:rsidP="00596A57">
    <w:pPr>
      <w:ind w:firstLine="720"/>
      <w:jc w:val="right"/>
      <w:rPr>
        <w:rFonts w:eastAsia="Times New Roman"/>
        <w:sz w:val="20"/>
        <w:szCs w:val="20"/>
        <w:lang w:eastAsia="lv-LV"/>
      </w:rPr>
    </w:pPr>
    <w:r w:rsidRPr="00C10D49">
      <w:rPr>
        <w:rFonts w:eastAsia="Times New Roman"/>
        <w:sz w:val="20"/>
        <w:szCs w:val="20"/>
        <w:lang w:eastAsia="lv-LV"/>
      </w:rPr>
      <w:t xml:space="preserve">1.pielikums informatīvajam ziņojumam </w:t>
    </w:r>
  </w:p>
  <w:p w:rsidR="00596A57" w:rsidRPr="00C10D49" w:rsidRDefault="00596A57" w:rsidP="00596A57">
    <w:pPr>
      <w:ind w:firstLine="720"/>
      <w:jc w:val="right"/>
      <w:rPr>
        <w:rFonts w:eastAsia="Times New Roman"/>
        <w:sz w:val="20"/>
        <w:szCs w:val="20"/>
        <w:lang w:eastAsia="lv-LV"/>
      </w:rPr>
    </w:pPr>
    <w:r w:rsidRPr="00C10D49">
      <w:rPr>
        <w:rFonts w:eastAsia="Times New Roman"/>
        <w:sz w:val="20"/>
        <w:szCs w:val="20"/>
        <w:lang w:eastAsia="lv-LV"/>
      </w:rPr>
      <w:t xml:space="preserve">“Par dīkstāves pabalstiem Covid-19 </w:t>
    </w:r>
  </w:p>
  <w:p w:rsidR="00596A57" w:rsidRDefault="00596A57" w:rsidP="00596A57">
    <w:pPr>
      <w:ind w:firstLine="720"/>
      <w:jc w:val="right"/>
      <w:rPr>
        <w:rFonts w:eastAsia="Times New Roman"/>
        <w:sz w:val="20"/>
        <w:szCs w:val="20"/>
        <w:lang w:eastAsia="lv-LV"/>
      </w:rPr>
    </w:pPr>
    <w:r w:rsidRPr="00C10D49">
      <w:rPr>
        <w:rFonts w:eastAsia="Times New Roman"/>
        <w:sz w:val="20"/>
        <w:szCs w:val="20"/>
        <w:lang w:eastAsia="lv-LV"/>
      </w:rPr>
      <w:t>krīzes skartajiem uzņēmumiem”</w:t>
    </w:r>
  </w:p>
  <w:p w:rsidR="00C10D49" w:rsidRPr="00C10D49" w:rsidRDefault="00C10D49" w:rsidP="00C10D49">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49"/>
    <w:rsid w:val="000519AC"/>
    <w:rsid w:val="000A1D22"/>
    <w:rsid w:val="00275B82"/>
    <w:rsid w:val="002E24F7"/>
    <w:rsid w:val="003B0FF7"/>
    <w:rsid w:val="00596A57"/>
    <w:rsid w:val="00642BEE"/>
    <w:rsid w:val="00BC3AA5"/>
    <w:rsid w:val="00C10D49"/>
    <w:rsid w:val="00D43369"/>
    <w:rsid w:val="00EA3113"/>
    <w:rsid w:val="00F21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D575"/>
  <w15:chartTrackingRefBased/>
  <w15:docId w15:val="{6EFDAFA2-EFD9-4E14-9D20-490B45D1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49"/>
    <w:pPr>
      <w:spacing w:after="0"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49"/>
    <w:pPr>
      <w:tabs>
        <w:tab w:val="center" w:pos="4153"/>
        <w:tab w:val="right" w:pos="8306"/>
      </w:tabs>
    </w:pPr>
  </w:style>
  <w:style w:type="character" w:customStyle="1" w:styleId="HeaderChar">
    <w:name w:val="Header Char"/>
    <w:basedOn w:val="DefaultParagraphFont"/>
    <w:link w:val="Header"/>
    <w:uiPriority w:val="99"/>
    <w:rsid w:val="00C10D49"/>
    <w:rPr>
      <w:rFonts w:eastAsia="Calibri"/>
      <w:szCs w:val="22"/>
    </w:rPr>
  </w:style>
  <w:style w:type="paragraph" w:styleId="Footer">
    <w:name w:val="footer"/>
    <w:basedOn w:val="Normal"/>
    <w:link w:val="FooterChar"/>
    <w:uiPriority w:val="99"/>
    <w:unhideWhenUsed/>
    <w:rsid w:val="00C10D49"/>
    <w:pPr>
      <w:tabs>
        <w:tab w:val="center" w:pos="4153"/>
        <w:tab w:val="right" w:pos="8306"/>
      </w:tabs>
    </w:pPr>
  </w:style>
  <w:style w:type="character" w:customStyle="1" w:styleId="FooterChar">
    <w:name w:val="Footer Char"/>
    <w:basedOn w:val="DefaultParagraphFont"/>
    <w:link w:val="Footer"/>
    <w:uiPriority w:val="99"/>
    <w:rsid w:val="00C10D49"/>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1407</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Informatīvā ziņojuma 1.pielikums</vt:lpstr>
    </vt:vector>
  </TitlesOfParts>
  <Company>Finanšu ministrija</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1.pielikums</dc:title>
  <dc:subject/>
  <dc:creator>Ingūna Runča</dc:creator>
  <cp:keywords/>
  <dc:description>67122679, anzelika.lauska@vid.gov.lv</dc:description>
  <cp:lastModifiedBy>Ingūna Runča</cp:lastModifiedBy>
  <cp:revision>6</cp:revision>
  <dcterms:created xsi:type="dcterms:W3CDTF">2020-04-23T05:49:00Z</dcterms:created>
  <dcterms:modified xsi:type="dcterms:W3CDTF">2020-04-23T06:26:00Z</dcterms:modified>
  <cp:category>pielikums</cp:category>
</cp:coreProperties>
</file>