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441A" w14:textId="77777777" w:rsidR="00EB1EAD" w:rsidRPr="003350F2" w:rsidRDefault="00EB1EAD" w:rsidP="00EB1EAD">
      <w:pPr>
        <w:jc w:val="center"/>
        <w:rPr>
          <w:b/>
          <w:sz w:val="26"/>
          <w:szCs w:val="26"/>
        </w:rPr>
      </w:pPr>
      <w:bookmarkStart w:id="0" w:name="OLE_LINK3"/>
      <w:bookmarkStart w:id="1" w:name="OLE_LINK4"/>
      <w:bookmarkStart w:id="2" w:name="OLE_LINK1"/>
      <w:bookmarkStart w:id="3" w:name="_GoBack"/>
      <w:bookmarkEnd w:id="3"/>
      <w:r>
        <w:rPr>
          <w:b/>
          <w:sz w:val="26"/>
          <w:szCs w:val="26"/>
        </w:rPr>
        <w:t>Ministru</w:t>
      </w:r>
      <w:r w:rsidRPr="003350F2">
        <w:rPr>
          <w:b/>
          <w:sz w:val="26"/>
          <w:szCs w:val="26"/>
        </w:rPr>
        <w:t xml:space="preserve"> kabineta rīkojuma projekta</w:t>
      </w:r>
    </w:p>
    <w:p w14:paraId="25DE50F8" w14:textId="70858A11" w:rsidR="00EB1EAD" w:rsidRPr="003350F2" w:rsidRDefault="00302F7E" w:rsidP="00EB1EAD">
      <w:pPr>
        <w:jc w:val="center"/>
        <w:rPr>
          <w:b/>
          <w:sz w:val="26"/>
          <w:szCs w:val="26"/>
        </w:rPr>
      </w:pPr>
      <w:r>
        <w:rPr>
          <w:b/>
          <w:sz w:val="26"/>
          <w:szCs w:val="26"/>
        </w:rPr>
        <w:t>“</w:t>
      </w:r>
      <w:r w:rsidR="00EB1EAD" w:rsidRPr="003350F2">
        <w:rPr>
          <w:b/>
          <w:sz w:val="26"/>
          <w:szCs w:val="26"/>
        </w:rPr>
        <w:t>Par finanšu līdzekļu piešķiršan</w:t>
      </w:r>
      <w:r>
        <w:rPr>
          <w:b/>
          <w:sz w:val="26"/>
          <w:szCs w:val="26"/>
        </w:rPr>
        <w:t>u no valsts budžeta programmas “</w:t>
      </w:r>
      <w:r w:rsidR="00EB1EAD" w:rsidRPr="003350F2">
        <w:rPr>
          <w:b/>
          <w:sz w:val="26"/>
          <w:szCs w:val="26"/>
        </w:rPr>
        <w:t>Līdzekļi neparedzētiem gadījumiem”” sākotnējās ietekmes novērtējuma ziņojums (anotācija)</w:t>
      </w:r>
    </w:p>
    <w:p w14:paraId="5CD5046C" w14:textId="77777777"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14:paraId="683A0728" w14:textId="77777777" w:rsidTr="00AF3BA2">
        <w:tc>
          <w:tcPr>
            <w:tcW w:w="9918" w:type="dxa"/>
            <w:gridSpan w:val="2"/>
            <w:vAlign w:val="center"/>
          </w:tcPr>
          <w:p w14:paraId="73178444" w14:textId="77777777" w:rsidR="00717D4B" w:rsidRPr="003350F2" w:rsidRDefault="00717D4B" w:rsidP="00AF3BA2">
            <w:pPr>
              <w:pStyle w:val="naisnod"/>
              <w:spacing w:before="0" w:after="0"/>
            </w:pPr>
            <w:r w:rsidRPr="003350F2">
              <w:t>Tiesību akta projekta anotācijas kopsavilkums</w:t>
            </w:r>
          </w:p>
        </w:tc>
      </w:tr>
      <w:tr w:rsidR="00667437" w:rsidRPr="003350F2" w14:paraId="5691A76A" w14:textId="77777777" w:rsidTr="00AF3BA2">
        <w:trPr>
          <w:trHeight w:val="476"/>
        </w:trPr>
        <w:tc>
          <w:tcPr>
            <w:tcW w:w="3256" w:type="dxa"/>
            <w:tcBorders>
              <w:bottom w:val="single" w:sz="4" w:space="0" w:color="auto"/>
            </w:tcBorders>
          </w:tcPr>
          <w:p w14:paraId="15317D73" w14:textId="77777777"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14:paraId="26A6582E" w14:textId="46F8366C" w:rsidR="00EF2F13" w:rsidRPr="003350F2" w:rsidRDefault="00F00BB7" w:rsidP="00CE25BC">
            <w:pPr>
              <w:ind w:left="82" w:right="141"/>
              <w:jc w:val="both"/>
            </w:pPr>
            <w:r w:rsidRPr="00A52EF6">
              <w:t>Projekta mērķis ir piešķirt Izglītības un zinātnes ministrijai</w:t>
            </w:r>
            <w:r w:rsidR="00302F7E">
              <w:t xml:space="preserve"> (turpmāk – ministrija)</w:t>
            </w:r>
            <w:r w:rsidRPr="00A52EF6">
              <w:t xml:space="preserve"> valsts budžeta </w:t>
            </w:r>
            <w:r w:rsidRPr="00CF37F9">
              <w:t xml:space="preserve">līdzekļus </w:t>
            </w:r>
            <w:r w:rsidR="00612E8B">
              <w:t>5 000 000</w:t>
            </w:r>
            <w:r w:rsidRPr="00A52EF6">
              <w:t xml:space="preserve"> </w:t>
            </w:r>
            <w:r w:rsidRPr="00A52EF6">
              <w:rPr>
                <w:i/>
              </w:rPr>
              <w:t>euro</w:t>
            </w:r>
            <w:r w:rsidRPr="00A52EF6">
              <w:t xml:space="preserve"> </w:t>
            </w:r>
            <w:r w:rsidR="00060EB4">
              <w:t xml:space="preserve">apmērā </w:t>
            </w:r>
            <w:r w:rsidRPr="00A52EF6">
              <w:t>saistībā ar ārkārtējo situāciju, kas izsludināta visā valsts teritorijā koronavīrusa izraisītās slimības Covid-19 izplatības ierobežošanai (Ministru kabineta 2020. gada 12. marta rīkojums Nr. 103 “Par ārkārtējās situācijas izsludināšanu”)</w:t>
            </w:r>
            <w:r w:rsidR="00612E8B">
              <w:t>, lai izveidotu v</w:t>
            </w:r>
            <w:r w:rsidR="00612E8B" w:rsidRPr="00612E8B">
              <w:t>alsts pētījumu programm</w:t>
            </w:r>
            <w:r w:rsidR="00612E8B">
              <w:t>u</w:t>
            </w:r>
            <w:r w:rsidR="00612E8B" w:rsidRPr="00612E8B">
              <w:t xml:space="preserve"> pētniecības iesaist</w:t>
            </w:r>
            <w:r w:rsidR="00EC4F6F">
              <w:t>ei</w:t>
            </w:r>
            <w:r w:rsidR="00612E8B" w:rsidRPr="00612E8B">
              <w:t xml:space="preserve"> cīņā ar Covid-19 sekām</w:t>
            </w:r>
            <w:r w:rsidR="00EF2F13">
              <w:t>.</w:t>
            </w:r>
          </w:p>
        </w:tc>
      </w:tr>
    </w:tbl>
    <w:p w14:paraId="2CD06B05" w14:textId="53693B12"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159"/>
      </w:tblGrid>
      <w:tr w:rsidR="00585B7B" w:rsidRPr="003350F2" w14:paraId="55A3AB65" w14:textId="77777777" w:rsidTr="006B561A">
        <w:tc>
          <w:tcPr>
            <w:tcW w:w="9918" w:type="dxa"/>
            <w:gridSpan w:val="3"/>
            <w:vAlign w:val="center"/>
          </w:tcPr>
          <w:bookmarkEnd w:id="0"/>
          <w:bookmarkEnd w:id="1"/>
          <w:bookmarkEnd w:id="2"/>
          <w:p w14:paraId="52A66CAB" w14:textId="77777777" w:rsidR="00585B7B" w:rsidRPr="003350F2" w:rsidRDefault="00585B7B" w:rsidP="00194A0F">
            <w:pPr>
              <w:pStyle w:val="naisnod"/>
              <w:spacing w:before="0" w:after="0"/>
            </w:pPr>
            <w:r w:rsidRPr="003350F2">
              <w:t>I. Tiesību akta projekta izstrādes nepieciešamība</w:t>
            </w:r>
          </w:p>
        </w:tc>
      </w:tr>
      <w:tr w:rsidR="00585B7B" w:rsidRPr="003350F2" w14:paraId="6366F4AD" w14:textId="77777777" w:rsidTr="00283C73">
        <w:trPr>
          <w:trHeight w:val="630"/>
        </w:trPr>
        <w:tc>
          <w:tcPr>
            <w:tcW w:w="491" w:type="dxa"/>
          </w:tcPr>
          <w:p w14:paraId="02F32247" w14:textId="77777777" w:rsidR="00585B7B" w:rsidRPr="003350F2" w:rsidRDefault="00585B7B" w:rsidP="00BD696A">
            <w:pPr>
              <w:pStyle w:val="naiskr"/>
              <w:spacing w:before="0" w:after="0"/>
              <w:jc w:val="center"/>
            </w:pPr>
            <w:r w:rsidRPr="003350F2">
              <w:t>1.</w:t>
            </w:r>
          </w:p>
        </w:tc>
        <w:tc>
          <w:tcPr>
            <w:tcW w:w="2268" w:type="dxa"/>
          </w:tcPr>
          <w:p w14:paraId="4476B670" w14:textId="77777777"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7159" w:type="dxa"/>
          </w:tcPr>
          <w:p w14:paraId="1941CCD2" w14:textId="1B1899DD" w:rsidR="00376610" w:rsidRDefault="00302F7E" w:rsidP="0070407F">
            <w:pPr>
              <w:pStyle w:val="Sarakstarindkopa"/>
              <w:numPr>
                <w:ilvl w:val="0"/>
                <w:numId w:val="1"/>
              </w:numPr>
              <w:ind w:right="142"/>
              <w:jc w:val="both"/>
            </w:pPr>
            <w:r>
              <w:t>Ministrijas ierosinājums.</w:t>
            </w:r>
          </w:p>
          <w:p w14:paraId="0C5B4E83" w14:textId="2908D8F0" w:rsidR="0070407F" w:rsidRDefault="0070407F" w:rsidP="008B6393">
            <w:pPr>
              <w:pStyle w:val="Sarakstarindkopa"/>
              <w:numPr>
                <w:ilvl w:val="0"/>
                <w:numId w:val="1"/>
              </w:numPr>
              <w:ind w:right="142"/>
              <w:jc w:val="both"/>
            </w:pPr>
            <w:r w:rsidRPr="00577F4A">
              <w:t>Nepieciešamība</w:t>
            </w:r>
            <w:r w:rsidR="00B949CD">
              <w:t xml:space="preserve"> jaunā</w:t>
            </w:r>
            <w:r w:rsidRPr="00577F4A">
              <w:t xml:space="preserve"> </w:t>
            </w:r>
            <w:r>
              <w:t xml:space="preserve">koronavīrusa izraisītās slimības Covid-19 izplatības </w:t>
            </w:r>
            <w:r w:rsidRPr="0070407F">
              <w:t>ierobežošanai izsludinātās ārkārtējās situācijas laikā nodrošināt</w:t>
            </w:r>
            <w:r w:rsidR="008B6393">
              <w:t xml:space="preserve">  zinātnisko institūciju </w:t>
            </w:r>
            <w:r w:rsidR="008B6393" w:rsidRPr="008B6393">
              <w:t>iesaist</w:t>
            </w:r>
            <w:r w:rsidR="008B6393">
              <w:t>i</w:t>
            </w:r>
            <w:r w:rsidR="008B6393" w:rsidRPr="008B6393">
              <w:t xml:space="preserve"> cīņā ar Covid-19 sekām</w:t>
            </w:r>
            <w:r w:rsidR="00302F7E">
              <w:t>.</w:t>
            </w:r>
          </w:p>
          <w:p w14:paraId="25DFB03D" w14:textId="77777777" w:rsidR="000A6188" w:rsidRDefault="000A6188" w:rsidP="00DE0E3A">
            <w:pPr>
              <w:pStyle w:val="Sarakstarindkopa"/>
              <w:numPr>
                <w:ilvl w:val="0"/>
                <w:numId w:val="1"/>
              </w:numPr>
              <w:ind w:right="142"/>
              <w:jc w:val="both"/>
            </w:pPr>
            <w:r w:rsidRPr="00141676">
              <w:t>Ministru kabineta 2020.</w:t>
            </w:r>
            <w:r>
              <w:t xml:space="preserve"> </w:t>
            </w:r>
            <w:r w:rsidRPr="00141676">
              <w:t>gada 12.</w:t>
            </w:r>
            <w:r>
              <w:t xml:space="preserve"> marta rīkojums Nr. 103 „</w:t>
            </w:r>
            <w:r w:rsidRPr="00141676">
              <w:t>Par ārkārtas situācijas izsludināšanu”</w:t>
            </w:r>
            <w:r>
              <w:t>.</w:t>
            </w:r>
          </w:p>
          <w:p w14:paraId="1178D3ED" w14:textId="77777777" w:rsidR="006F2E8A" w:rsidRPr="003350F2" w:rsidRDefault="000A6188" w:rsidP="00DE0E3A">
            <w:pPr>
              <w:pStyle w:val="Sarakstarindkopa"/>
              <w:numPr>
                <w:ilvl w:val="0"/>
                <w:numId w:val="1"/>
              </w:numPr>
              <w:ind w:right="142"/>
              <w:jc w:val="both"/>
            </w:pPr>
            <w:r w:rsidRPr="003350F2">
              <w:t>Ministru kabineta 2018.</w:t>
            </w:r>
            <w:r>
              <w:t xml:space="preserve"> </w:t>
            </w:r>
            <w:r w:rsidRPr="003350F2">
              <w:t>gada 17.</w:t>
            </w:r>
            <w:r>
              <w:t xml:space="preserve"> </w:t>
            </w:r>
            <w:r w:rsidRPr="003350F2">
              <w:t>jūlija noteikumu Nr.</w:t>
            </w:r>
            <w:r>
              <w:t xml:space="preserve"> </w:t>
            </w:r>
            <w:r w:rsidRPr="003350F2">
              <w:t>421 „Kārtība, kādā veic gadskārtējā valsts budžeta likumā noteiktās apropriācijas izmaiņas” 41. un 43.</w:t>
            </w:r>
            <w:r w:rsidR="00376610">
              <w:t xml:space="preserve"> </w:t>
            </w:r>
            <w:r w:rsidRPr="003350F2">
              <w:t>punkts.</w:t>
            </w:r>
            <w:r w:rsidR="00376610" w:rsidRPr="00B24229">
              <w:t xml:space="preserve"> </w:t>
            </w:r>
          </w:p>
        </w:tc>
      </w:tr>
      <w:tr w:rsidR="00585B7B" w:rsidRPr="003350F2" w14:paraId="20A92C5A" w14:textId="77777777" w:rsidTr="00283C73">
        <w:trPr>
          <w:trHeight w:val="562"/>
        </w:trPr>
        <w:tc>
          <w:tcPr>
            <w:tcW w:w="491" w:type="dxa"/>
          </w:tcPr>
          <w:p w14:paraId="7FC578EB" w14:textId="77777777" w:rsidR="00585B7B" w:rsidRPr="003350F2" w:rsidRDefault="00585B7B" w:rsidP="00BD696A">
            <w:pPr>
              <w:pStyle w:val="naiskr"/>
              <w:spacing w:before="0" w:after="0"/>
              <w:jc w:val="center"/>
            </w:pPr>
            <w:r w:rsidRPr="003350F2">
              <w:t>2.</w:t>
            </w:r>
          </w:p>
        </w:tc>
        <w:tc>
          <w:tcPr>
            <w:tcW w:w="2268" w:type="dxa"/>
          </w:tcPr>
          <w:p w14:paraId="55BCDB09" w14:textId="77777777"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14:paraId="492BD849" w14:textId="77777777" w:rsidR="00955825" w:rsidRPr="003350F2" w:rsidRDefault="00955825" w:rsidP="00955825"/>
          <w:p w14:paraId="32155790" w14:textId="77777777" w:rsidR="00585B7B" w:rsidRPr="003350F2" w:rsidRDefault="00585B7B" w:rsidP="00955825">
            <w:pPr>
              <w:ind w:firstLine="720"/>
            </w:pPr>
          </w:p>
        </w:tc>
        <w:tc>
          <w:tcPr>
            <w:tcW w:w="7159" w:type="dxa"/>
          </w:tcPr>
          <w:p w14:paraId="77CD107E" w14:textId="2C75F1FB" w:rsidR="004D0A5B" w:rsidRDefault="005A30EC" w:rsidP="004D0A5B">
            <w:pPr>
              <w:ind w:left="106" w:right="142"/>
              <w:jc w:val="both"/>
            </w:pPr>
            <w:r>
              <w:t>Lai ierobežotu</w:t>
            </w:r>
            <w:r w:rsidR="00B949CD">
              <w:t xml:space="preserve"> jaunā</w:t>
            </w:r>
            <w:r>
              <w:t xml:space="preserve"> </w:t>
            </w:r>
            <w:r w:rsidR="004D0A5B">
              <w:t xml:space="preserve">koronavīrusa izraisītās slimības Covid-19 </w:t>
            </w:r>
            <w:r w:rsidR="00501F0F" w:rsidRPr="00501F0F">
              <w:t>izplatību</w:t>
            </w:r>
            <w:r w:rsidR="00501F0F">
              <w:t xml:space="preserve">, ar </w:t>
            </w:r>
            <w:r w:rsidR="00501F0F" w:rsidRPr="00141676">
              <w:t>Ministru kabineta 2020.</w:t>
            </w:r>
            <w:r w:rsidR="00501F0F">
              <w:t xml:space="preserve"> </w:t>
            </w:r>
            <w:r w:rsidR="00501F0F" w:rsidRPr="00141676">
              <w:t>gada 12.</w:t>
            </w:r>
            <w:r w:rsidR="00501F0F">
              <w:t xml:space="preserve"> marta rīkojum</w:t>
            </w:r>
            <w:r w:rsidR="007B0B06">
              <w:t>u</w:t>
            </w:r>
            <w:r w:rsidR="00501F0F">
              <w:t xml:space="preserve"> Nr. 103 </w:t>
            </w:r>
            <w:r w:rsidR="00302F7E">
              <w:t>“</w:t>
            </w:r>
            <w:r w:rsidR="00501F0F" w:rsidRPr="00141676">
              <w:t>Par ārkārtas situācijas izsludināšanu”</w:t>
            </w:r>
            <w:r w:rsidR="00501F0F">
              <w:t xml:space="preserve"> (turpmāk – Rīkojums) </w:t>
            </w:r>
            <w:r w:rsidR="00501F0F" w:rsidRPr="00501F0F">
              <w:t>līdz 2020. gada 1</w:t>
            </w:r>
            <w:r w:rsidR="00BB4599">
              <w:t>2</w:t>
            </w:r>
            <w:r w:rsidR="00501F0F" w:rsidRPr="00501F0F">
              <w:t xml:space="preserve">. </w:t>
            </w:r>
            <w:r w:rsidR="00BB4599">
              <w:t>maijam</w:t>
            </w:r>
            <w:r w:rsidR="00501F0F" w:rsidRPr="00501F0F">
              <w:t xml:space="preserve"> </w:t>
            </w:r>
            <w:r w:rsidR="00501F0F">
              <w:t xml:space="preserve">visā valsts teritorijā ir izsludināta ārkārtējā situācija. </w:t>
            </w:r>
          </w:p>
          <w:p w14:paraId="3D101217" w14:textId="77777777" w:rsidR="00B15540" w:rsidRDefault="00B15540" w:rsidP="004D0A5B">
            <w:pPr>
              <w:ind w:left="106" w:right="142"/>
              <w:jc w:val="both"/>
            </w:pPr>
          </w:p>
          <w:p w14:paraId="42E61104" w14:textId="00F29DA2" w:rsidR="009D3BC9" w:rsidRDefault="009D3BC9" w:rsidP="009D3BC9">
            <w:pPr>
              <w:ind w:left="106" w:right="142"/>
              <w:jc w:val="both"/>
            </w:pPr>
            <w:r>
              <w:t xml:space="preserve">Valsts pētījumu programmas izveide pētniecības iesaistei cīņā ar Covid-19 sekām dos konkrētus zinātniski pamatotus risinājumus Latvijai </w:t>
            </w:r>
            <w:r w:rsidRPr="005F2FAE">
              <w:t xml:space="preserve">veselības, inženiertehnisko risinājumu, sabiedrības un tautsaimniecības jomās. </w:t>
            </w:r>
            <w:r>
              <w:t>Jomas to darbībā ir</w:t>
            </w:r>
            <w:r w:rsidRPr="005F2FAE">
              <w:t xml:space="preserve"> definētas kā starpdisciplināras, </w:t>
            </w:r>
            <w:r>
              <w:t>atsevišķi īpaši izceļot informāciju un komunikāciju tehnoloģiju</w:t>
            </w:r>
            <w:r w:rsidRPr="005F2FAE">
              <w:t xml:space="preserve"> un ekonomikas komponentes, kuru devums ir plānots</w:t>
            </w:r>
            <w:r>
              <w:t xml:space="preserve"> horizontāls viscaur programmai, </w:t>
            </w:r>
            <w:r w:rsidRPr="00566996">
              <w:t>tajā skaitā kat</w:t>
            </w:r>
            <w:r>
              <w:t xml:space="preserve">ra individuāla projekta ietvaros </w:t>
            </w:r>
            <w:r w:rsidRPr="00566996">
              <w:t>sni</w:t>
            </w:r>
            <w:r>
              <w:t>edzot</w:t>
            </w:r>
            <w:r w:rsidRPr="00566996">
              <w:t xml:space="preserve"> pierādījumos balstītu ekonomiskās atdeves novērtējumu attiecībā uz potenciālo ieguvumu tautsaimni</w:t>
            </w:r>
            <w:r>
              <w:t xml:space="preserve">ecības un sabiedrības izaugsmei. Tas </w:t>
            </w:r>
            <w:r w:rsidR="00302F7E">
              <w:t>attiecas</w:t>
            </w:r>
            <w:r>
              <w:t>,</w:t>
            </w:r>
            <w:r w:rsidRPr="00566996">
              <w:t xml:space="preserve"> piemēram, </w:t>
            </w:r>
            <w:r>
              <w:t xml:space="preserve">uz potenciālo </w:t>
            </w:r>
            <w:r w:rsidRPr="00566996">
              <w:t xml:space="preserve">ieguvumu sabiedrības veselības uzlabošanā, uzņēmējdarbības atsākšanā, </w:t>
            </w:r>
            <w:r>
              <w:t xml:space="preserve">iespējamajos ietaupītajos resursos </w:t>
            </w:r>
            <w:r w:rsidRPr="00566996">
              <w:t>no procesu efektivizācijas</w:t>
            </w:r>
            <w:r>
              <w:t xml:space="preserve"> u</w:t>
            </w:r>
            <w:r w:rsidR="00302F7E">
              <w:t>.</w:t>
            </w:r>
            <w:r>
              <w:t>tml. Valsts pētījumu programmā tiktu nodrošināts, ka tās rezultā</w:t>
            </w:r>
            <w:r w:rsidR="00302F7E">
              <w:t>ti kalpotu kā konkrēti</w:t>
            </w:r>
            <w:r>
              <w:t xml:space="preserve"> un tālāk izmantojami iete</w:t>
            </w:r>
            <w:r w:rsidR="00160511">
              <w:t>i</w:t>
            </w:r>
            <w:r>
              <w:t xml:space="preserve">kumi tālākajai </w:t>
            </w:r>
            <w:r w:rsidRPr="004E287B">
              <w:t xml:space="preserve">rīcībpolitikai. </w:t>
            </w:r>
            <w:r w:rsidR="00805F3C" w:rsidRPr="004E287B">
              <w:t>Tā tiks īstenota ciešā sadarbībā ar Veselības ministriju un  Slimību profilakses un kontroles centru, kā arī citām saistītām institūcijām un organizācijām.</w:t>
            </w:r>
          </w:p>
          <w:p w14:paraId="0F27ACBC" w14:textId="77777777" w:rsidR="009D3BC9" w:rsidRDefault="009D3BC9" w:rsidP="009D3BC9">
            <w:pPr>
              <w:ind w:left="106" w:right="142"/>
              <w:jc w:val="both"/>
            </w:pPr>
          </w:p>
          <w:p w14:paraId="1158E8E9" w14:textId="062F2521" w:rsidR="009D3BC9" w:rsidRDefault="009D3BC9" w:rsidP="009D3BC9">
            <w:pPr>
              <w:ind w:left="106" w:right="142"/>
              <w:jc w:val="both"/>
            </w:pPr>
            <w:r w:rsidRPr="00863657">
              <w:t xml:space="preserve">Valsts pētījumu programma sniegs </w:t>
            </w:r>
            <w:r>
              <w:t xml:space="preserve">arī tiešu </w:t>
            </w:r>
            <w:r w:rsidRPr="00863657">
              <w:t xml:space="preserve">Latvijas ieguldījumu Horvātijas prezidentūras Eiropas Savienības Padomē izstrādātā rīcības plāna īstenošanā, kas ir koordinēta starptautiskās pētniecības un attīstības sadarbības iniciatīva. Šajā rīcības plānā “Eiropas pētniecības telpas aktivitātes cīņai pret koronavīrusa izraisīto  Covid-19 pandēmiju” </w:t>
            </w:r>
            <w:r w:rsidRPr="00863657">
              <w:lastRenderedPageBreak/>
              <w:t xml:space="preserve">(First ERAvsCorona Action Plan </w:t>
            </w:r>
            <w:hyperlink r:id="rId8" w:history="1">
              <w:r w:rsidRPr="00FC235E">
                <w:rPr>
                  <w:rStyle w:val="Hipersaite"/>
                </w:rPr>
                <w:t>https://ec.europa.eu/info/files/first-eravscorona-action-plan-short-term-coordinated-reseach-and-innovation-actions_en</w:t>
              </w:r>
            </w:hyperlink>
            <w:r w:rsidRPr="00863657">
              <w:t>) ir noteiktas 10 Eiropas prioritārās pētniecības un inovācijas aktivitātes, no kurām Pētījums tiešā veidā sniegs tiešu ieguldījumu 5.</w:t>
            </w:r>
            <w:r w:rsidR="00302F7E">
              <w:t xml:space="preserve"> </w:t>
            </w:r>
            <w:r w:rsidRPr="00863657">
              <w:t>aktivitātē – nodrošinot nacionālā finansējuma iesaisti P&amp;A cīņai ar Covid-19</w:t>
            </w:r>
            <w:r>
              <w:t xml:space="preserve"> sekām</w:t>
            </w:r>
            <w:r w:rsidRPr="00863657">
              <w:t>.</w:t>
            </w:r>
          </w:p>
          <w:p w14:paraId="1AEBF329" w14:textId="77777777" w:rsidR="009D3BC9" w:rsidRDefault="009D3BC9" w:rsidP="009D3BC9">
            <w:pPr>
              <w:ind w:right="142"/>
              <w:jc w:val="both"/>
            </w:pPr>
          </w:p>
          <w:p w14:paraId="051C3B3C" w14:textId="53774AAD" w:rsidR="00B120A4" w:rsidRDefault="009D3BC9" w:rsidP="009D3BC9">
            <w:pPr>
              <w:ind w:left="106" w:right="142"/>
              <w:jc w:val="both"/>
            </w:pPr>
            <w:r w:rsidRPr="00B1390A">
              <w:t>Ievērojot minēto, ministrija ir izstrādājusi Ministru kabineta rīkojuma projektu „</w:t>
            </w:r>
            <w:r>
              <w:t xml:space="preserve">Par finanšu līdzekļu piešķiršanu no valsts budžeta programmas „Līdzekļi neparedzētiem gadījumiem””, kas paredz uzdevumu Finanšu ministrijai no valsts budžeta programmas 02.00.00 </w:t>
            </w:r>
            <w:r>
              <w:br/>
              <w:t>„Līdzekļi neparedzētiem gadījumiem” piešķirt Izglītības un zinātnes ministrijai 5 000 000</w:t>
            </w:r>
            <w:r w:rsidRPr="00A52EF6">
              <w:t xml:space="preserve"> </w:t>
            </w:r>
            <w:r w:rsidRPr="00A47C64">
              <w:rPr>
                <w:i/>
              </w:rPr>
              <w:t>euro</w:t>
            </w:r>
            <w:r>
              <w:t>, lai izveidotu v</w:t>
            </w:r>
            <w:r w:rsidRPr="00612E8B">
              <w:t>alsts pētījumu programm</w:t>
            </w:r>
            <w:r>
              <w:t>u</w:t>
            </w:r>
            <w:r w:rsidRPr="00612E8B">
              <w:t xml:space="preserve"> pētniecības iesaistē cīņā ar Covid-19 sekām</w:t>
            </w:r>
            <w:r>
              <w:t xml:space="preserve">. </w:t>
            </w:r>
          </w:p>
          <w:p w14:paraId="288F6883" w14:textId="17431F80" w:rsidR="009D3BC9" w:rsidRPr="00204842" w:rsidRDefault="009D3BC9" w:rsidP="009D3BC9">
            <w:pPr>
              <w:ind w:left="106" w:right="142"/>
              <w:jc w:val="both"/>
            </w:pPr>
          </w:p>
        </w:tc>
      </w:tr>
      <w:tr w:rsidR="00585B7B" w:rsidRPr="003350F2" w14:paraId="5FE27FDA" w14:textId="77777777" w:rsidTr="00283C73">
        <w:trPr>
          <w:trHeight w:val="476"/>
        </w:trPr>
        <w:tc>
          <w:tcPr>
            <w:tcW w:w="491" w:type="dxa"/>
            <w:tcBorders>
              <w:bottom w:val="single" w:sz="4" w:space="0" w:color="auto"/>
            </w:tcBorders>
          </w:tcPr>
          <w:p w14:paraId="15174C78" w14:textId="0B2C0004" w:rsidR="00585B7B" w:rsidRPr="003350F2" w:rsidRDefault="00005A9D" w:rsidP="00BD696A">
            <w:pPr>
              <w:pStyle w:val="naiskr"/>
              <w:spacing w:before="0" w:after="0"/>
              <w:jc w:val="center"/>
            </w:pPr>
            <w:r w:rsidRPr="003350F2">
              <w:lastRenderedPageBreak/>
              <w:t>3.</w:t>
            </w:r>
          </w:p>
        </w:tc>
        <w:tc>
          <w:tcPr>
            <w:tcW w:w="2268" w:type="dxa"/>
            <w:tcBorders>
              <w:bottom w:val="single" w:sz="4" w:space="0" w:color="auto"/>
            </w:tcBorders>
          </w:tcPr>
          <w:p w14:paraId="39DD4DEB" w14:textId="77777777"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7159" w:type="dxa"/>
            <w:tcBorders>
              <w:bottom w:val="single" w:sz="4" w:space="0" w:color="auto"/>
            </w:tcBorders>
          </w:tcPr>
          <w:p w14:paraId="3D290B4E" w14:textId="77777777" w:rsidR="0070407F" w:rsidRPr="002361F1" w:rsidRDefault="00204842" w:rsidP="00B949CD">
            <w:pPr>
              <w:ind w:left="79" w:right="142"/>
              <w:jc w:val="both"/>
            </w:pPr>
            <w:r w:rsidRPr="002361F1">
              <w:t xml:space="preserve">Rīkojuma projektu izstrādāja </w:t>
            </w:r>
            <w:r w:rsidR="00B1390A" w:rsidRPr="002361F1">
              <w:t>m</w:t>
            </w:r>
            <w:r w:rsidRPr="002361F1">
              <w:t xml:space="preserve">inistrija. </w:t>
            </w:r>
          </w:p>
          <w:p w14:paraId="3BDAF971" w14:textId="77777777" w:rsidR="00B6128F" w:rsidRDefault="000A1C3B" w:rsidP="00B949CD">
            <w:pPr>
              <w:ind w:left="79" w:right="142"/>
              <w:jc w:val="both"/>
            </w:pPr>
            <w:r>
              <w:t xml:space="preserve">Ministrija ir </w:t>
            </w:r>
            <w:r w:rsidR="002361F1" w:rsidRPr="002361F1">
              <w:t>sa</w:t>
            </w:r>
            <w:r>
              <w:t>ņēmusi</w:t>
            </w:r>
            <w:r w:rsidR="00B6128F">
              <w:t>:</w:t>
            </w:r>
          </w:p>
          <w:p w14:paraId="2AFF5A01" w14:textId="29BDBC0C" w:rsidR="000C74F5" w:rsidRDefault="00B6128F" w:rsidP="00B949CD">
            <w:pPr>
              <w:ind w:left="79" w:right="142"/>
              <w:jc w:val="both"/>
            </w:pPr>
            <w:r>
              <w:t>1)</w:t>
            </w:r>
            <w:r w:rsidR="002361F1" w:rsidRPr="002361F1">
              <w:t xml:space="preserve"> Rektoru padomes</w:t>
            </w:r>
            <w:r w:rsidR="00B949CD">
              <w:t xml:space="preserve"> 22.04.2020.</w:t>
            </w:r>
            <w:r w:rsidR="002361F1" w:rsidRPr="002361F1">
              <w:t xml:space="preserve"> vēstul</w:t>
            </w:r>
            <w:r w:rsidR="000A1C3B">
              <w:t>i</w:t>
            </w:r>
            <w:r w:rsidR="002361F1" w:rsidRPr="002361F1">
              <w:t xml:space="preserve"> </w:t>
            </w:r>
            <w:r w:rsidR="00C82EC3" w:rsidRPr="00C82EC3">
              <w:t xml:space="preserve"> Nr.1-6</w:t>
            </w:r>
            <w:r w:rsidR="00C82EC3">
              <w:t xml:space="preserve">, kurā tiek pausts atbalsts </w:t>
            </w:r>
            <w:r w:rsidR="00C82EC3" w:rsidRPr="00C82EC3">
              <w:t xml:space="preserve"> </w:t>
            </w:r>
            <w:r w:rsidR="00C82EC3">
              <w:t xml:space="preserve">finanšu līdzekļu piešķiršanai </w:t>
            </w:r>
            <w:r w:rsidR="00C82EC3" w:rsidRPr="00C82EC3">
              <w:t>augstskolā</w:t>
            </w:r>
            <w:r w:rsidR="00B874B6">
              <w:t>m no valsts budžeta programmas “</w:t>
            </w:r>
            <w:r w:rsidR="00C82EC3" w:rsidRPr="00C82EC3">
              <w:t xml:space="preserve">Līdzekļi </w:t>
            </w:r>
            <w:r w:rsidR="00B874B6">
              <w:t>neparedzētiem gadījumiem”</w:t>
            </w:r>
            <w:r>
              <w:t>;</w:t>
            </w:r>
          </w:p>
          <w:p w14:paraId="3FDDFE71" w14:textId="771E6397" w:rsidR="00B6128F" w:rsidRDefault="00B6128F" w:rsidP="00B949CD">
            <w:pPr>
              <w:ind w:left="79" w:right="142"/>
              <w:jc w:val="both"/>
            </w:pPr>
            <w:r>
              <w:t xml:space="preserve"> 2)  </w:t>
            </w:r>
            <w:r w:rsidRPr="00B6128F">
              <w:t>Rektoru padomes</w:t>
            </w:r>
            <w:r w:rsidR="00B949CD">
              <w:t>, Latvijas Zinātnes padomes, Latvijas Jauno zinātnieku apvienības un Latvijas Izglītības un zinātnes darbinieku arodbiedrības</w:t>
            </w:r>
            <w:r w:rsidRPr="00B6128F">
              <w:t xml:space="preserve"> </w:t>
            </w:r>
            <w:r>
              <w:t xml:space="preserve">24.04.2020. </w:t>
            </w:r>
            <w:r w:rsidRPr="00B6128F">
              <w:t xml:space="preserve">vēstuli </w:t>
            </w:r>
            <w:r>
              <w:t>“Par Valsts pētījumu programmas izveidi COVID-19 radīto seku mazināšanai”;</w:t>
            </w:r>
          </w:p>
          <w:p w14:paraId="5A56E0FF" w14:textId="3A7C5A3D" w:rsidR="00B15540" w:rsidRDefault="00B6128F" w:rsidP="00B949CD">
            <w:pPr>
              <w:ind w:left="79" w:right="142"/>
              <w:jc w:val="both"/>
            </w:pPr>
            <w:r>
              <w:t>3)</w:t>
            </w:r>
            <w:r w:rsidR="000C74F5">
              <w:t xml:space="preserve"> Latvijas izglītības un zinātnes arodbiedrības vēstuli “</w:t>
            </w:r>
            <w:r w:rsidR="000C74F5" w:rsidRPr="000C74F5">
              <w:t>Par zinātnē nodarbināto problēmām COVID-19 krīzes situācijā (Nr. 4-10e/20/3085)</w:t>
            </w:r>
            <w:r w:rsidR="000C74F5">
              <w:t>”</w:t>
            </w:r>
            <w:r w:rsidR="00C82EC3" w:rsidRPr="00C82EC3">
              <w:t>.</w:t>
            </w:r>
          </w:p>
          <w:p w14:paraId="4564B8F4" w14:textId="77777777" w:rsidR="00B6128F" w:rsidRDefault="00B6128F" w:rsidP="00B6128F">
            <w:pPr>
              <w:ind w:left="82" w:right="141"/>
              <w:jc w:val="both"/>
            </w:pPr>
          </w:p>
          <w:p w14:paraId="79B29552" w14:textId="576D75E4" w:rsidR="00B6128F" w:rsidRDefault="00B6128F" w:rsidP="00B6128F">
            <w:pPr>
              <w:ind w:left="82" w:right="141"/>
              <w:jc w:val="both"/>
            </w:pPr>
            <w:r>
              <w:t xml:space="preserve">21.04.2020. </w:t>
            </w:r>
            <w:r w:rsidR="00B874B6">
              <w:t xml:space="preserve">ir notikusi </w:t>
            </w:r>
            <w:r>
              <w:t>Saeimas Izglītības, kultūras un zinātnes komisijas un Izglītības, kultūras un zinātnes komisijas Augstākās izglītības, zinātnes un inovāciju apakškomisijas kopsēde, kurā tika izteikti viedokļi par Latvijas zinātniskā potenciāla apvienošanu cīņai ar Covid-19 sekām. Latvijas Izglītības un zinātnes darbinieku arodbiedrība (LIZDA), sadarbībā ar Latvijas Zinātnes padomi (LZP), Latvijas Jauno zinātnieku apvienību (LJZA) un Latvijas Rektoru padomi (RP) atbal</w:t>
            </w:r>
            <w:r w:rsidR="00B874B6">
              <w:t>sta tūlītējas v</w:t>
            </w:r>
            <w:r>
              <w:t xml:space="preserve">alsts pētījumu programmas COVID – 19 apkarošanai un seku likvidācijai izveidi. </w:t>
            </w:r>
          </w:p>
          <w:p w14:paraId="57A9A187" w14:textId="77777777" w:rsidR="00740D39" w:rsidRDefault="00740D39" w:rsidP="00B6128F">
            <w:pPr>
              <w:ind w:left="82" w:right="141"/>
              <w:jc w:val="both"/>
            </w:pPr>
          </w:p>
          <w:p w14:paraId="65709BBD" w14:textId="768D0170" w:rsidR="00E60E71" w:rsidRPr="004E287B" w:rsidRDefault="00E60E71" w:rsidP="00B6128F">
            <w:pPr>
              <w:ind w:left="82" w:right="141"/>
              <w:jc w:val="both"/>
            </w:pPr>
            <w:r w:rsidRPr="004E287B">
              <w:t>Rīkojuma 1.1. punktā paredzētā  valsts pētījumu programma tiks īstenota saskaņā ar Ministru kabineta 2018. gada 4.septembra noteikumiem Nr. 560 “Valsts pētījumu programmu projektu īstenošanas kārtība”.  Noteikumi regulē ar saimniecisku darbību nesaistītu projektu, kuru īsteno zinātnisko institūciju reģistrā reģistrēta zinātniskā institūcija vai augstskola (turpmāk – zinātniskā institūcija), kas atbilst pētniecības organizācijas statusam atbilstoši Komisijas regulas Nr. 651/2014  2. panta 83. punktam. Noteikumu projekta ietvaros, zinātniskā institūcija veic darbības, kurām nav saimniecisks raksturs. Lai tiktu iekļautas visas prasības, kuram jāatbilst ar saimniecisku darbību nesaistītam projektam, noteikumi aptver arī Eiropas Komisijas paziņojumā “Nostādnes par valsts atbalstu pētniecībai, izstrādei un inovācijai” (Eiropas Savienības Oficiālais Vēstnesis, 2014. gada 27. jūnijs, Nr. C 198/1) noteikto par zināšanu un tehnoloģiju pārneses darbībām.</w:t>
            </w:r>
          </w:p>
          <w:p w14:paraId="7A02FE4B" w14:textId="31DF3090" w:rsidR="008B7F6A" w:rsidRPr="00B15540" w:rsidRDefault="008B7F6A" w:rsidP="00754BEC">
            <w:pPr>
              <w:ind w:right="141"/>
              <w:jc w:val="both"/>
              <w:rPr>
                <w:color w:val="FF0000"/>
              </w:rPr>
            </w:pPr>
          </w:p>
        </w:tc>
      </w:tr>
      <w:tr w:rsidR="00585B7B" w:rsidRPr="003350F2" w14:paraId="4028D327" w14:textId="77777777" w:rsidTr="00283C73">
        <w:tc>
          <w:tcPr>
            <w:tcW w:w="491" w:type="dxa"/>
            <w:tcBorders>
              <w:top w:val="single" w:sz="4" w:space="0" w:color="auto"/>
              <w:left w:val="single" w:sz="4" w:space="0" w:color="auto"/>
              <w:bottom w:val="single" w:sz="4" w:space="0" w:color="auto"/>
              <w:right w:val="single" w:sz="4" w:space="0" w:color="auto"/>
            </w:tcBorders>
          </w:tcPr>
          <w:p w14:paraId="0F4FAABC" w14:textId="6B77082E" w:rsidR="00585B7B" w:rsidRPr="003350F2" w:rsidRDefault="00005A9D" w:rsidP="00BD696A">
            <w:pPr>
              <w:pStyle w:val="naiskr"/>
              <w:spacing w:before="0" w:after="0"/>
              <w:jc w:val="center"/>
            </w:pPr>
            <w:r w:rsidRPr="003350F2">
              <w:lastRenderedPageBreak/>
              <w:t>4</w:t>
            </w:r>
            <w:r w:rsidR="00585B7B" w:rsidRPr="003350F2">
              <w:t>.</w:t>
            </w:r>
          </w:p>
        </w:tc>
        <w:tc>
          <w:tcPr>
            <w:tcW w:w="2268" w:type="dxa"/>
            <w:tcBorders>
              <w:top w:val="single" w:sz="4" w:space="0" w:color="auto"/>
              <w:left w:val="single" w:sz="4" w:space="0" w:color="auto"/>
              <w:bottom w:val="single" w:sz="4" w:space="0" w:color="auto"/>
              <w:right w:val="single" w:sz="4" w:space="0" w:color="auto"/>
            </w:tcBorders>
          </w:tcPr>
          <w:p w14:paraId="7E55AE48" w14:textId="77777777" w:rsidR="00585B7B" w:rsidRPr="003350F2" w:rsidRDefault="00585B7B" w:rsidP="00916055">
            <w:pPr>
              <w:pStyle w:val="naiskr"/>
              <w:spacing w:before="0" w:after="0"/>
              <w:ind w:left="141"/>
            </w:pPr>
            <w:r w:rsidRPr="003350F2">
              <w:t>Cita informācija</w:t>
            </w:r>
          </w:p>
        </w:tc>
        <w:tc>
          <w:tcPr>
            <w:tcW w:w="7159" w:type="dxa"/>
            <w:tcBorders>
              <w:top w:val="single" w:sz="4" w:space="0" w:color="auto"/>
              <w:left w:val="single" w:sz="4" w:space="0" w:color="auto"/>
              <w:bottom w:val="single" w:sz="4" w:space="0" w:color="auto"/>
              <w:right w:val="single" w:sz="4" w:space="0" w:color="auto"/>
            </w:tcBorders>
          </w:tcPr>
          <w:p w14:paraId="380C0501" w14:textId="1D509CF9" w:rsidR="002D5B95" w:rsidRPr="003350F2" w:rsidRDefault="00BB3C51" w:rsidP="00B15540">
            <w:pPr>
              <w:ind w:left="114" w:right="127"/>
              <w:jc w:val="both"/>
            </w:pPr>
            <w:r w:rsidRPr="00424739">
              <w:t xml:space="preserve">Rīkojuma </w:t>
            </w:r>
            <w:r w:rsidR="0052685D" w:rsidRPr="00424739">
              <w:t>projekts tiešā veidā attiecas uz</w:t>
            </w:r>
            <w:r w:rsidR="00EC5826" w:rsidRPr="00424739">
              <w:t xml:space="preserve"> budžeta un finanšu politiku</w:t>
            </w:r>
            <w:r w:rsidR="0052685D" w:rsidRPr="00424739">
              <w:t>. Pastarpināti</w:t>
            </w:r>
            <w:r w:rsidR="00790CFC" w:rsidRPr="00424739">
              <w:t xml:space="preserve"> </w:t>
            </w:r>
            <w:r w:rsidRPr="00424739">
              <w:t xml:space="preserve">Rīkojuma </w:t>
            </w:r>
            <w:r w:rsidR="0052685D" w:rsidRPr="00424739">
              <w:t xml:space="preserve">projekts attiecas uz </w:t>
            </w:r>
            <w:r w:rsidR="000F14D1" w:rsidRPr="00424739">
              <w:t xml:space="preserve"> izglītības un zinātnes politiku (</w:t>
            </w:r>
            <w:r w:rsidR="00B15540">
              <w:t>augstākās izglītības un zinātnes jomu</w:t>
            </w:r>
            <w:r w:rsidR="000F14D1" w:rsidRPr="00424739">
              <w:t>).</w:t>
            </w:r>
          </w:p>
        </w:tc>
      </w:tr>
    </w:tbl>
    <w:p w14:paraId="79394632" w14:textId="77777777" w:rsidR="00965F71" w:rsidRDefault="00965F71">
      <w:pPr>
        <w:rPr>
          <w:b/>
          <w:bCs/>
        </w:rPr>
      </w:pPr>
    </w:p>
    <w:p w14:paraId="38DB03AF" w14:textId="45291AC1" w:rsidR="00797F77" w:rsidRDefault="00797F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3044"/>
        <w:gridCol w:w="6310"/>
      </w:tblGrid>
      <w:tr w:rsidR="004E287B" w:rsidRPr="00875985" w14:paraId="352632F4" w14:textId="77777777" w:rsidTr="004E287B">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8AE954" w14:textId="77777777" w:rsidR="004E287B" w:rsidRPr="002B3E2A" w:rsidRDefault="004E287B" w:rsidP="00785953">
            <w:pPr>
              <w:spacing w:before="100" w:beforeAutospacing="1" w:after="100" w:afterAutospacing="1" w:line="293" w:lineRule="atLeast"/>
              <w:jc w:val="center"/>
              <w:rPr>
                <w:b/>
                <w:bCs/>
              </w:rPr>
            </w:pPr>
            <w:r w:rsidRPr="002B3E2A">
              <w:t> </w:t>
            </w:r>
            <w:r w:rsidRPr="002B3E2A">
              <w:rPr>
                <w:b/>
                <w:bCs/>
              </w:rPr>
              <w:t>II. Tiesību akta projekta ietekme uz sabiedrību, tautsaimniecības attīstību un administratīvo slogu</w:t>
            </w:r>
          </w:p>
        </w:tc>
      </w:tr>
      <w:tr w:rsidR="004E287B" w:rsidRPr="00875985" w14:paraId="720FA9BE" w14:textId="77777777" w:rsidTr="004E287B">
        <w:trPr>
          <w:trHeight w:val="465"/>
        </w:trPr>
        <w:tc>
          <w:tcPr>
            <w:tcW w:w="286" w:type="pct"/>
            <w:tcBorders>
              <w:top w:val="outset" w:sz="6" w:space="0" w:color="414142"/>
              <w:left w:val="outset" w:sz="6" w:space="0" w:color="414142"/>
              <w:bottom w:val="outset" w:sz="6" w:space="0" w:color="414142"/>
              <w:right w:val="outset" w:sz="6" w:space="0" w:color="414142"/>
            </w:tcBorders>
            <w:hideMark/>
          </w:tcPr>
          <w:p w14:paraId="157D82A6" w14:textId="77777777" w:rsidR="004E287B" w:rsidRPr="00875985" w:rsidRDefault="004E287B" w:rsidP="00785953">
            <w:pPr>
              <w:rPr>
                <w:sz w:val="28"/>
                <w:szCs w:val="28"/>
              </w:rPr>
            </w:pPr>
            <w:r w:rsidRPr="00875985">
              <w:rPr>
                <w:sz w:val="28"/>
                <w:szCs w:val="28"/>
              </w:rPr>
              <w:t>1.</w:t>
            </w:r>
          </w:p>
        </w:tc>
        <w:tc>
          <w:tcPr>
            <w:tcW w:w="1534" w:type="pct"/>
            <w:tcBorders>
              <w:top w:val="outset" w:sz="6" w:space="0" w:color="414142"/>
              <w:left w:val="outset" w:sz="6" w:space="0" w:color="414142"/>
              <w:bottom w:val="outset" w:sz="6" w:space="0" w:color="414142"/>
              <w:right w:val="outset" w:sz="6" w:space="0" w:color="414142"/>
            </w:tcBorders>
            <w:hideMark/>
          </w:tcPr>
          <w:p w14:paraId="0B09E323" w14:textId="77777777" w:rsidR="004E287B" w:rsidRPr="002B3E2A" w:rsidRDefault="004E287B" w:rsidP="00785953">
            <w:r w:rsidRPr="002B3E2A">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tcPr>
          <w:p w14:paraId="155B7E79" w14:textId="77777777" w:rsidR="004E287B" w:rsidRPr="002B3E2A" w:rsidRDefault="004E287B" w:rsidP="00785953">
            <w:pPr>
              <w:jc w:val="both"/>
            </w:pPr>
            <w:r w:rsidRPr="002B3E2A">
              <w:t>Valsts dibinātās augstskolas un valsts zinātniskie institūti.</w:t>
            </w:r>
          </w:p>
        </w:tc>
      </w:tr>
      <w:tr w:rsidR="004E287B" w:rsidRPr="00875985" w14:paraId="5489348E" w14:textId="77777777" w:rsidTr="004E287B">
        <w:trPr>
          <w:trHeight w:val="510"/>
        </w:trPr>
        <w:tc>
          <w:tcPr>
            <w:tcW w:w="286" w:type="pct"/>
            <w:tcBorders>
              <w:top w:val="outset" w:sz="6" w:space="0" w:color="414142"/>
              <w:left w:val="outset" w:sz="6" w:space="0" w:color="414142"/>
              <w:bottom w:val="outset" w:sz="6" w:space="0" w:color="414142"/>
              <w:right w:val="outset" w:sz="6" w:space="0" w:color="414142"/>
            </w:tcBorders>
            <w:hideMark/>
          </w:tcPr>
          <w:p w14:paraId="5DEFCA4B" w14:textId="77777777" w:rsidR="004E287B" w:rsidRPr="00875985" w:rsidRDefault="004E287B" w:rsidP="00785953">
            <w:pPr>
              <w:rPr>
                <w:sz w:val="28"/>
                <w:szCs w:val="28"/>
              </w:rPr>
            </w:pPr>
            <w:r w:rsidRPr="00875985">
              <w:rPr>
                <w:sz w:val="28"/>
                <w:szCs w:val="28"/>
              </w:rPr>
              <w:t>2.</w:t>
            </w:r>
          </w:p>
        </w:tc>
        <w:tc>
          <w:tcPr>
            <w:tcW w:w="1534" w:type="pct"/>
            <w:tcBorders>
              <w:top w:val="outset" w:sz="6" w:space="0" w:color="414142"/>
              <w:left w:val="outset" w:sz="6" w:space="0" w:color="414142"/>
              <w:bottom w:val="outset" w:sz="6" w:space="0" w:color="414142"/>
              <w:right w:val="outset" w:sz="6" w:space="0" w:color="414142"/>
            </w:tcBorders>
            <w:hideMark/>
          </w:tcPr>
          <w:p w14:paraId="53308B38" w14:textId="77777777" w:rsidR="004E287B" w:rsidRPr="002B3E2A" w:rsidRDefault="004E287B" w:rsidP="00785953">
            <w:r w:rsidRPr="002B3E2A">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tcPr>
          <w:p w14:paraId="0859B35F" w14:textId="77777777" w:rsidR="004E287B" w:rsidRPr="002B3E2A" w:rsidRDefault="004E287B" w:rsidP="00785953">
            <w:pPr>
              <w:jc w:val="both"/>
            </w:pPr>
            <w:r w:rsidRPr="002B3E2A">
              <w:t xml:space="preserve">Ekonomiskā ietekme kā horizontāls uzdevums būtu paredzēta visā VPP, tajā skaitā katra individuāla projekta ietvaros, tajā skaitā paredzot VPP ietvaros iegūto rezultātu integrāciju rīcībpolitikā, no kā . Katra VPP ietvaros iegūtajiem rezultātiem ir jāspēj sniegt pierādījumos balstītu ekonomiskās atdeves novērtējumu attiecībā uz tās ietveros iegūtu rezultātu potenciālo ieguldījumu tautsaimniecības un sabiedrības izaugsmei, piemēram, ieguvumu sabiedrības veselības uzlabošanā, uzņēmējdarbības atsākšanā pēc krīzes, ietaupītie resursi no procesu efektivizācijas. </w:t>
            </w:r>
          </w:p>
          <w:p w14:paraId="7442F6AF" w14:textId="77777777" w:rsidR="004E287B" w:rsidRPr="002B3E2A" w:rsidRDefault="004E287B" w:rsidP="00785953">
            <w:pPr>
              <w:jc w:val="both"/>
            </w:pPr>
            <w:r w:rsidRPr="002B3E2A">
              <w:t>VPP būs arī tiešs ieguldījums Latvijas publiskā sektora zinātnes kapacitātes nodrošināšanā, paredzot to, ka tajos mēnešos, kad notiks tā īstenošana, tā ietvaros tiks nodrošināta aptuveni 10 projektu īstenošana ar kopējo nodarbinātību visa VPP vairāk nekā 100 zinātnisko darbinieku slodžu apmērā. Programmas apmērs ir pietiekams, lai tam būtu nopietns iespaids uz Latvijas zinātnes kapacitātes nodrošināšanu, taču tas nepārsniedz to resursu, kuru īsā brīdī var mobilizēt īpaši svarīgu izdevumu risināšanai</w:t>
            </w:r>
          </w:p>
          <w:p w14:paraId="47FE9A19" w14:textId="77777777" w:rsidR="004E287B" w:rsidRDefault="004E287B" w:rsidP="00785953">
            <w:pPr>
              <w:jc w:val="both"/>
            </w:pPr>
            <w:r w:rsidRPr="002B3E2A">
              <w:t>VPP būs arī liels ieguldījums Latvijas zinātnes turpmākajā integrācijā Eiropas pētniecības telpā, ņemot vērā to, ka šobrīd lielā daļā ES valstu ir plānoti līdzīgi pētniecības ieguldījumi saistībā ar Covid-19. VPP īstenošana ļaus Latvijas zinātniekiem pētniecībā sadarboties (t.sk caur piekļuvi pie Covid-19 pētniecības datiem) ar citām Eiropas valstīm, kas nozīmē to, ka šai VPP ir potenciāls nodrošināt pievienoto vērtīgu ne tikai Latvijā, bet Eiropā kopumā, kā arī šādas Covid-19 VPP īstenošana Latvijā ir nepieciešama, lai mums būtu pietiekama zinātniskā kapacitāte spēt pilnvērtīgi izmantot un ieviest tos pētniecībā balstītos rezultātus, kuri ir tapuši citu Eiropā vai pasaulē.</w:t>
            </w:r>
          </w:p>
          <w:p w14:paraId="63702CCB" w14:textId="77777777" w:rsidR="00907766" w:rsidRPr="002B3E2A" w:rsidRDefault="00907766" w:rsidP="00785953">
            <w:pPr>
              <w:jc w:val="both"/>
            </w:pPr>
          </w:p>
          <w:p w14:paraId="4DCD3579" w14:textId="77777777" w:rsidR="004E287B" w:rsidRPr="002B3E2A" w:rsidRDefault="004E287B" w:rsidP="00785953">
            <w:pPr>
              <w:jc w:val="both"/>
            </w:pPr>
            <w:r w:rsidRPr="002B3E2A">
              <w:t>Papildus administratīvo slogu projekts nerada.</w:t>
            </w:r>
          </w:p>
        </w:tc>
      </w:tr>
      <w:tr w:rsidR="004E287B" w:rsidRPr="002F5527" w14:paraId="22387ACF" w14:textId="77777777" w:rsidTr="004E287B">
        <w:trPr>
          <w:trHeight w:val="510"/>
        </w:trPr>
        <w:tc>
          <w:tcPr>
            <w:tcW w:w="286" w:type="pct"/>
            <w:tcBorders>
              <w:top w:val="outset" w:sz="6" w:space="0" w:color="414142"/>
              <w:left w:val="outset" w:sz="6" w:space="0" w:color="414142"/>
              <w:bottom w:val="outset" w:sz="6" w:space="0" w:color="414142"/>
              <w:right w:val="outset" w:sz="6" w:space="0" w:color="414142"/>
            </w:tcBorders>
            <w:hideMark/>
          </w:tcPr>
          <w:p w14:paraId="2EB1FE02" w14:textId="77777777" w:rsidR="004E287B" w:rsidRPr="00875985" w:rsidRDefault="004E287B" w:rsidP="00785953">
            <w:pPr>
              <w:rPr>
                <w:sz w:val="28"/>
                <w:szCs w:val="28"/>
              </w:rPr>
            </w:pPr>
            <w:r w:rsidRPr="00875985">
              <w:rPr>
                <w:sz w:val="28"/>
                <w:szCs w:val="28"/>
              </w:rPr>
              <w:t>3.</w:t>
            </w:r>
          </w:p>
        </w:tc>
        <w:tc>
          <w:tcPr>
            <w:tcW w:w="1534" w:type="pct"/>
            <w:tcBorders>
              <w:top w:val="outset" w:sz="6" w:space="0" w:color="414142"/>
              <w:left w:val="outset" w:sz="6" w:space="0" w:color="414142"/>
              <w:bottom w:val="outset" w:sz="6" w:space="0" w:color="414142"/>
              <w:right w:val="outset" w:sz="6" w:space="0" w:color="414142"/>
            </w:tcBorders>
            <w:hideMark/>
          </w:tcPr>
          <w:p w14:paraId="7D6A6512" w14:textId="77777777" w:rsidR="004E287B" w:rsidRPr="002B3E2A" w:rsidRDefault="004E287B" w:rsidP="00785953">
            <w:r w:rsidRPr="002B3E2A">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14:paraId="75B45547" w14:textId="77777777" w:rsidR="004E287B" w:rsidRPr="002B3E2A" w:rsidRDefault="004E287B" w:rsidP="00785953">
            <w:pPr>
              <w:pStyle w:val="Default"/>
              <w:jc w:val="both"/>
            </w:pPr>
            <w:r w:rsidRPr="002B3E2A">
              <w:t>Projekts šo jomu neskar.</w:t>
            </w:r>
          </w:p>
        </w:tc>
      </w:tr>
      <w:tr w:rsidR="004E287B" w:rsidRPr="00875985" w14:paraId="533B21A4" w14:textId="77777777" w:rsidTr="004E287B">
        <w:trPr>
          <w:trHeight w:val="510"/>
        </w:trPr>
        <w:tc>
          <w:tcPr>
            <w:tcW w:w="286" w:type="pct"/>
            <w:tcBorders>
              <w:top w:val="outset" w:sz="6" w:space="0" w:color="414142"/>
              <w:left w:val="outset" w:sz="6" w:space="0" w:color="414142"/>
              <w:bottom w:val="outset" w:sz="6" w:space="0" w:color="414142"/>
              <w:right w:val="outset" w:sz="6" w:space="0" w:color="414142"/>
            </w:tcBorders>
          </w:tcPr>
          <w:p w14:paraId="6BCC0DF8" w14:textId="77777777" w:rsidR="004E287B" w:rsidRPr="00875985" w:rsidRDefault="004E287B" w:rsidP="00785953">
            <w:pPr>
              <w:rPr>
                <w:sz w:val="28"/>
                <w:szCs w:val="28"/>
              </w:rPr>
            </w:pPr>
            <w:r w:rsidRPr="00875985">
              <w:rPr>
                <w:sz w:val="28"/>
                <w:szCs w:val="28"/>
              </w:rPr>
              <w:t>4.</w:t>
            </w:r>
          </w:p>
        </w:tc>
        <w:tc>
          <w:tcPr>
            <w:tcW w:w="1534" w:type="pct"/>
            <w:tcBorders>
              <w:top w:val="outset" w:sz="6" w:space="0" w:color="414142"/>
              <w:left w:val="outset" w:sz="6" w:space="0" w:color="414142"/>
              <w:bottom w:val="outset" w:sz="6" w:space="0" w:color="414142"/>
              <w:right w:val="outset" w:sz="6" w:space="0" w:color="414142"/>
            </w:tcBorders>
          </w:tcPr>
          <w:p w14:paraId="0E40DAD5" w14:textId="77777777" w:rsidR="004E287B" w:rsidRPr="002B3E2A" w:rsidRDefault="004E287B" w:rsidP="00785953">
            <w:r w:rsidRPr="002B3E2A">
              <w:t>Atbilstības izmaksu monetārs novērtējums</w:t>
            </w:r>
          </w:p>
        </w:tc>
        <w:tc>
          <w:tcPr>
            <w:tcW w:w="3180" w:type="pct"/>
            <w:tcBorders>
              <w:top w:val="outset" w:sz="6" w:space="0" w:color="414142"/>
              <w:left w:val="outset" w:sz="6" w:space="0" w:color="414142"/>
              <w:bottom w:val="outset" w:sz="6" w:space="0" w:color="414142"/>
              <w:right w:val="outset" w:sz="6" w:space="0" w:color="414142"/>
            </w:tcBorders>
          </w:tcPr>
          <w:p w14:paraId="6917DB0B" w14:textId="77777777" w:rsidR="004E287B" w:rsidRPr="002B3E2A" w:rsidRDefault="004E287B" w:rsidP="00785953">
            <w:pPr>
              <w:jc w:val="both"/>
            </w:pPr>
            <w:r w:rsidRPr="002B3E2A">
              <w:t>Projekts šo jomu neskar.</w:t>
            </w:r>
          </w:p>
        </w:tc>
      </w:tr>
      <w:tr w:rsidR="004E287B" w:rsidRPr="00875985" w14:paraId="2BF6AF07" w14:textId="77777777" w:rsidTr="004E287B">
        <w:trPr>
          <w:trHeight w:val="345"/>
        </w:trPr>
        <w:tc>
          <w:tcPr>
            <w:tcW w:w="286" w:type="pct"/>
            <w:tcBorders>
              <w:top w:val="outset" w:sz="6" w:space="0" w:color="414142"/>
              <w:left w:val="outset" w:sz="6" w:space="0" w:color="414142"/>
              <w:bottom w:val="outset" w:sz="6" w:space="0" w:color="414142"/>
              <w:right w:val="outset" w:sz="6" w:space="0" w:color="414142"/>
            </w:tcBorders>
            <w:hideMark/>
          </w:tcPr>
          <w:p w14:paraId="1E8678F5" w14:textId="77777777" w:rsidR="004E287B" w:rsidRPr="00875985" w:rsidRDefault="004E287B" w:rsidP="00785953">
            <w:pPr>
              <w:rPr>
                <w:sz w:val="28"/>
                <w:szCs w:val="28"/>
              </w:rPr>
            </w:pPr>
            <w:r w:rsidRPr="00875985">
              <w:rPr>
                <w:sz w:val="28"/>
                <w:szCs w:val="28"/>
              </w:rPr>
              <w:t>5.</w:t>
            </w:r>
          </w:p>
        </w:tc>
        <w:tc>
          <w:tcPr>
            <w:tcW w:w="1534" w:type="pct"/>
            <w:tcBorders>
              <w:top w:val="outset" w:sz="6" w:space="0" w:color="414142"/>
              <w:left w:val="outset" w:sz="6" w:space="0" w:color="414142"/>
              <w:bottom w:val="outset" w:sz="6" w:space="0" w:color="414142"/>
              <w:right w:val="outset" w:sz="6" w:space="0" w:color="414142"/>
            </w:tcBorders>
            <w:hideMark/>
          </w:tcPr>
          <w:p w14:paraId="27DB0375" w14:textId="77777777" w:rsidR="004E287B" w:rsidRPr="002B3E2A" w:rsidRDefault="004E287B" w:rsidP="00785953">
            <w:r w:rsidRPr="002B3E2A">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14:paraId="182058AD" w14:textId="77777777" w:rsidR="004E287B" w:rsidRPr="002B3E2A" w:rsidRDefault="004E287B" w:rsidP="00785953">
            <w:pPr>
              <w:spacing w:before="100" w:beforeAutospacing="1" w:after="100" w:afterAutospacing="1" w:line="293" w:lineRule="atLeast"/>
            </w:pPr>
            <w:r w:rsidRPr="002B3E2A">
              <w:t>Nav.</w:t>
            </w:r>
          </w:p>
        </w:tc>
      </w:tr>
    </w:tbl>
    <w:p w14:paraId="31A572A4" w14:textId="77777777" w:rsidR="004E287B" w:rsidRDefault="004E287B" w:rsidP="004E287B"/>
    <w:p w14:paraId="0123CFC8" w14:textId="77777777" w:rsidR="00E52881" w:rsidRDefault="00E52881"/>
    <w:p w14:paraId="55E6DF95" w14:textId="77777777" w:rsidR="00E52881" w:rsidRDefault="00E52881"/>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180"/>
        <w:gridCol w:w="1248"/>
        <w:gridCol w:w="1138"/>
        <w:gridCol w:w="1185"/>
        <w:gridCol w:w="1139"/>
        <w:gridCol w:w="1150"/>
        <w:gridCol w:w="1150"/>
      </w:tblGrid>
      <w:tr w:rsidR="00183338" w:rsidRPr="003350F2" w14:paraId="74DA5F60" w14:textId="77777777" w:rsidTr="004E287B">
        <w:trPr>
          <w:trHeight w:val="361"/>
          <w:jc w:val="center"/>
        </w:trPr>
        <w:tc>
          <w:tcPr>
            <w:tcW w:w="9987" w:type="dxa"/>
            <w:gridSpan w:val="8"/>
            <w:vAlign w:val="center"/>
          </w:tcPr>
          <w:p w14:paraId="151C2C40" w14:textId="102EF845" w:rsidR="00183338" w:rsidRPr="003350F2" w:rsidRDefault="00183338" w:rsidP="00AF3BA2">
            <w:pPr>
              <w:jc w:val="center"/>
            </w:pPr>
            <w:r w:rsidRPr="003350F2">
              <w:lastRenderedPageBreak/>
              <w:br w:type="page"/>
            </w:r>
            <w:r w:rsidRPr="003350F2">
              <w:br w:type="page"/>
            </w:r>
            <w:r w:rsidRPr="003350F2">
              <w:rPr>
                <w:b/>
              </w:rPr>
              <w:t>III. Tiesību akta projekta ietekme uz valsts budžetu un pašvaldību budžetiem</w:t>
            </w:r>
          </w:p>
        </w:tc>
      </w:tr>
      <w:tr w:rsidR="00183338" w:rsidRPr="003350F2" w14:paraId="703AF4B5" w14:textId="77777777" w:rsidTr="004E287B">
        <w:trPr>
          <w:jc w:val="center"/>
        </w:trPr>
        <w:tc>
          <w:tcPr>
            <w:tcW w:w="1797" w:type="dxa"/>
            <w:vMerge w:val="restart"/>
            <w:vAlign w:val="center"/>
          </w:tcPr>
          <w:p w14:paraId="7889D4B1" w14:textId="77777777" w:rsidR="00183338" w:rsidRPr="003350F2" w:rsidRDefault="00183338" w:rsidP="00AF3BA2">
            <w:pPr>
              <w:jc w:val="center"/>
              <w:rPr>
                <w:b/>
              </w:rPr>
            </w:pPr>
            <w:r w:rsidRPr="003350F2">
              <w:rPr>
                <w:b/>
              </w:rPr>
              <w:t>Rādītāji</w:t>
            </w:r>
          </w:p>
        </w:tc>
        <w:tc>
          <w:tcPr>
            <w:tcW w:w="2428" w:type="dxa"/>
            <w:gridSpan w:val="2"/>
            <w:vMerge w:val="restart"/>
            <w:vAlign w:val="center"/>
          </w:tcPr>
          <w:p w14:paraId="5AB17D04" w14:textId="77777777" w:rsidR="00183338" w:rsidRPr="003350F2" w:rsidRDefault="006F3202" w:rsidP="00AF3BA2">
            <w:pPr>
              <w:jc w:val="center"/>
              <w:rPr>
                <w:b/>
              </w:rPr>
            </w:pPr>
            <w:r>
              <w:rPr>
                <w:b/>
              </w:rPr>
              <w:t>2020</w:t>
            </w:r>
          </w:p>
        </w:tc>
        <w:tc>
          <w:tcPr>
            <w:tcW w:w="5762" w:type="dxa"/>
            <w:gridSpan w:val="5"/>
            <w:vAlign w:val="center"/>
          </w:tcPr>
          <w:p w14:paraId="6615DFE3" w14:textId="77777777" w:rsidR="00183338" w:rsidRPr="003350F2" w:rsidRDefault="00183338" w:rsidP="00AF3BA2">
            <w:pPr>
              <w:jc w:val="center"/>
            </w:pPr>
            <w:r w:rsidRPr="003350F2">
              <w:t>Turpmākie trīs gadi (</w:t>
            </w:r>
            <w:r w:rsidRPr="003350F2">
              <w:rPr>
                <w:i/>
              </w:rPr>
              <w:t>euro</w:t>
            </w:r>
            <w:r w:rsidRPr="003350F2">
              <w:t>)</w:t>
            </w:r>
          </w:p>
        </w:tc>
      </w:tr>
      <w:tr w:rsidR="00183338" w:rsidRPr="003350F2" w14:paraId="3AC7A83D" w14:textId="77777777" w:rsidTr="004E287B">
        <w:trPr>
          <w:jc w:val="center"/>
        </w:trPr>
        <w:tc>
          <w:tcPr>
            <w:tcW w:w="1797" w:type="dxa"/>
            <w:vMerge/>
            <w:vAlign w:val="center"/>
          </w:tcPr>
          <w:p w14:paraId="20CABD84" w14:textId="77777777" w:rsidR="00183338" w:rsidRPr="003350F2" w:rsidRDefault="00183338" w:rsidP="00AF3BA2">
            <w:pPr>
              <w:jc w:val="center"/>
              <w:rPr>
                <w:b/>
                <w:i/>
              </w:rPr>
            </w:pPr>
          </w:p>
        </w:tc>
        <w:tc>
          <w:tcPr>
            <w:tcW w:w="2428" w:type="dxa"/>
            <w:gridSpan w:val="2"/>
            <w:vMerge/>
            <w:vAlign w:val="center"/>
          </w:tcPr>
          <w:p w14:paraId="1CD52AE0" w14:textId="77777777" w:rsidR="00183338" w:rsidRPr="003350F2" w:rsidRDefault="00183338" w:rsidP="00AF3BA2">
            <w:pPr>
              <w:jc w:val="center"/>
              <w:rPr>
                <w:b/>
                <w:i/>
              </w:rPr>
            </w:pPr>
          </w:p>
        </w:tc>
        <w:tc>
          <w:tcPr>
            <w:tcW w:w="2323" w:type="dxa"/>
            <w:gridSpan w:val="2"/>
            <w:vAlign w:val="center"/>
          </w:tcPr>
          <w:p w14:paraId="38DA9683" w14:textId="77777777" w:rsidR="00183338" w:rsidRPr="003350F2" w:rsidRDefault="006F3202" w:rsidP="00183338">
            <w:pPr>
              <w:jc w:val="center"/>
              <w:rPr>
                <w:b/>
                <w:i/>
              </w:rPr>
            </w:pPr>
            <w:r>
              <w:rPr>
                <w:b/>
                <w:bCs/>
              </w:rPr>
              <w:t>2021</w:t>
            </w:r>
          </w:p>
        </w:tc>
        <w:tc>
          <w:tcPr>
            <w:tcW w:w="2289" w:type="dxa"/>
            <w:gridSpan w:val="2"/>
            <w:vAlign w:val="center"/>
          </w:tcPr>
          <w:p w14:paraId="34CCEFD7" w14:textId="77777777" w:rsidR="00183338" w:rsidRPr="003350F2" w:rsidRDefault="006F3202" w:rsidP="00183338">
            <w:pPr>
              <w:jc w:val="center"/>
              <w:rPr>
                <w:b/>
                <w:bCs/>
              </w:rPr>
            </w:pPr>
            <w:r>
              <w:rPr>
                <w:b/>
                <w:bCs/>
              </w:rPr>
              <w:t>2022</w:t>
            </w:r>
          </w:p>
        </w:tc>
        <w:tc>
          <w:tcPr>
            <w:tcW w:w="1150" w:type="dxa"/>
            <w:vAlign w:val="center"/>
          </w:tcPr>
          <w:p w14:paraId="3519D330" w14:textId="77777777" w:rsidR="00183338" w:rsidRPr="003350F2" w:rsidRDefault="006F3202" w:rsidP="00183338">
            <w:pPr>
              <w:jc w:val="center"/>
              <w:rPr>
                <w:b/>
                <w:bCs/>
              </w:rPr>
            </w:pPr>
            <w:r>
              <w:rPr>
                <w:b/>
                <w:bCs/>
              </w:rPr>
              <w:t>2023</w:t>
            </w:r>
          </w:p>
        </w:tc>
      </w:tr>
      <w:tr w:rsidR="00183338" w:rsidRPr="003350F2" w14:paraId="4665BB4D" w14:textId="77777777" w:rsidTr="004E287B">
        <w:trPr>
          <w:jc w:val="center"/>
        </w:trPr>
        <w:tc>
          <w:tcPr>
            <w:tcW w:w="1797" w:type="dxa"/>
            <w:vMerge/>
            <w:vAlign w:val="center"/>
          </w:tcPr>
          <w:p w14:paraId="188DF0CC" w14:textId="77777777" w:rsidR="00183338" w:rsidRPr="003350F2" w:rsidRDefault="00183338" w:rsidP="00183338">
            <w:pPr>
              <w:jc w:val="center"/>
              <w:rPr>
                <w:b/>
                <w:i/>
              </w:rPr>
            </w:pPr>
          </w:p>
        </w:tc>
        <w:tc>
          <w:tcPr>
            <w:tcW w:w="1180" w:type="dxa"/>
            <w:vAlign w:val="center"/>
          </w:tcPr>
          <w:p w14:paraId="185B8446" w14:textId="77777777" w:rsidR="00183338" w:rsidRPr="003350F2" w:rsidRDefault="00183338" w:rsidP="00183338">
            <w:pPr>
              <w:jc w:val="center"/>
              <w:rPr>
                <w:b/>
                <w:i/>
              </w:rPr>
            </w:pPr>
            <w:r w:rsidRPr="003350F2">
              <w:t>saskaņā ar valsts budžetu kārtējam gadam</w:t>
            </w:r>
          </w:p>
        </w:tc>
        <w:tc>
          <w:tcPr>
            <w:tcW w:w="1248" w:type="dxa"/>
            <w:vAlign w:val="center"/>
          </w:tcPr>
          <w:p w14:paraId="09EE33D2" w14:textId="77777777" w:rsidR="00183338" w:rsidRPr="003350F2" w:rsidRDefault="00183338" w:rsidP="00183338">
            <w:pPr>
              <w:jc w:val="center"/>
              <w:rPr>
                <w:b/>
                <w:i/>
              </w:rPr>
            </w:pPr>
            <w:r w:rsidRPr="003350F2">
              <w:t>izmaiņas kārtējā gadā, salīdzinot ar budžetu kārtējam gadam</w:t>
            </w:r>
          </w:p>
        </w:tc>
        <w:tc>
          <w:tcPr>
            <w:tcW w:w="1138" w:type="dxa"/>
            <w:vAlign w:val="center"/>
          </w:tcPr>
          <w:p w14:paraId="1246B038" w14:textId="77777777" w:rsidR="00183338" w:rsidRPr="003350F2" w:rsidRDefault="00183338" w:rsidP="00183338">
            <w:pPr>
              <w:jc w:val="center"/>
            </w:pPr>
            <w:r w:rsidRPr="003350F2">
              <w:t>saskaņā ar vidēja termiņa budžeta ietvaru</w:t>
            </w:r>
          </w:p>
        </w:tc>
        <w:tc>
          <w:tcPr>
            <w:tcW w:w="1185" w:type="dxa"/>
            <w:vAlign w:val="center"/>
          </w:tcPr>
          <w:p w14:paraId="3CE31F46" w14:textId="77777777" w:rsidR="00183338" w:rsidRPr="003350F2" w:rsidRDefault="00183338" w:rsidP="00183338">
            <w:pPr>
              <w:jc w:val="center"/>
            </w:pPr>
            <w:r w:rsidRPr="003350F2">
              <w:t>izmaiņas, salīdzinot ar vid</w:t>
            </w:r>
            <w:r w:rsidR="00896B42" w:rsidRPr="003350F2">
              <w:t>ēja termiņa budžeta ietvaru 202</w:t>
            </w:r>
            <w:r w:rsidR="006F3202">
              <w:t>1</w:t>
            </w:r>
            <w:r w:rsidRPr="003350F2">
              <w:t>.</w:t>
            </w:r>
          </w:p>
          <w:p w14:paraId="70338C7B" w14:textId="77777777" w:rsidR="00183338" w:rsidRPr="003350F2" w:rsidRDefault="00183338" w:rsidP="00183338">
            <w:pPr>
              <w:jc w:val="center"/>
            </w:pPr>
            <w:r w:rsidRPr="003350F2">
              <w:t>gadam</w:t>
            </w:r>
          </w:p>
        </w:tc>
        <w:tc>
          <w:tcPr>
            <w:tcW w:w="1139" w:type="dxa"/>
            <w:vAlign w:val="center"/>
          </w:tcPr>
          <w:p w14:paraId="04A1328A" w14:textId="77777777" w:rsidR="00183338" w:rsidRPr="003350F2" w:rsidRDefault="00183338" w:rsidP="00183338">
            <w:pPr>
              <w:jc w:val="center"/>
            </w:pPr>
            <w:r w:rsidRPr="003350F2">
              <w:t>saskaņā ar vidēja termiņa budžeta ietvaru</w:t>
            </w:r>
          </w:p>
        </w:tc>
        <w:tc>
          <w:tcPr>
            <w:tcW w:w="1150" w:type="dxa"/>
            <w:vAlign w:val="center"/>
          </w:tcPr>
          <w:p w14:paraId="371C8251" w14:textId="77777777" w:rsidR="00183338" w:rsidRPr="003350F2" w:rsidRDefault="00183338" w:rsidP="00183338">
            <w:pPr>
              <w:jc w:val="center"/>
            </w:pPr>
            <w:r w:rsidRPr="003350F2">
              <w:t>izmaiņas, salīdzinot ar vid</w:t>
            </w:r>
            <w:r w:rsidR="00896B42" w:rsidRPr="003350F2">
              <w:t xml:space="preserve">ēja termiņa budžeta ietvaru </w:t>
            </w:r>
            <w:r w:rsidR="006F3202">
              <w:t>2022</w:t>
            </w:r>
            <w:r w:rsidRPr="003350F2">
              <w:t>.</w:t>
            </w:r>
          </w:p>
          <w:p w14:paraId="5BC04161" w14:textId="77777777" w:rsidR="00183338" w:rsidRPr="003350F2" w:rsidRDefault="00183338" w:rsidP="00183338">
            <w:pPr>
              <w:jc w:val="center"/>
            </w:pPr>
            <w:r w:rsidRPr="003350F2">
              <w:t>gadam</w:t>
            </w:r>
          </w:p>
        </w:tc>
        <w:tc>
          <w:tcPr>
            <w:tcW w:w="1150" w:type="dxa"/>
            <w:vAlign w:val="center"/>
          </w:tcPr>
          <w:p w14:paraId="79990BEA" w14:textId="77777777" w:rsidR="00183338" w:rsidRPr="003350F2" w:rsidRDefault="00183338" w:rsidP="00183338">
            <w:pPr>
              <w:jc w:val="center"/>
            </w:pPr>
            <w:r w:rsidRPr="003350F2">
              <w:t xml:space="preserve">izmaiņas, salīdzinot ar vidēja termiņa budžeta ietvaru </w:t>
            </w:r>
            <w:r w:rsidR="006F3202">
              <w:t>2022</w:t>
            </w:r>
            <w:r w:rsidRPr="003350F2">
              <w:t>.</w:t>
            </w:r>
          </w:p>
          <w:p w14:paraId="7F6AFC80" w14:textId="77777777" w:rsidR="00183338" w:rsidRPr="003350F2" w:rsidRDefault="00183338" w:rsidP="00183338">
            <w:pPr>
              <w:jc w:val="center"/>
            </w:pPr>
            <w:r w:rsidRPr="003350F2">
              <w:t>gadam</w:t>
            </w:r>
          </w:p>
        </w:tc>
      </w:tr>
      <w:tr w:rsidR="00183338" w:rsidRPr="003350F2" w14:paraId="1502EB14" w14:textId="77777777" w:rsidTr="004E287B">
        <w:trPr>
          <w:jc w:val="center"/>
        </w:trPr>
        <w:tc>
          <w:tcPr>
            <w:tcW w:w="1797" w:type="dxa"/>
            <w:vAlign w:val="center"/>
          </w:tcPr>
          <w:p w14:paraId="47CF5C1A" w14:textId="77777777" w:rsidR="00183338" w:rsidRPr="003350F2" w:rsidRDefault="00183338" w:rsidP="00AF3BA2">
            <w:pPr>
              <w:jc w:val="center"/>
              <w:rPr>
                <w:bCs/>
              </w:rPr>
            </w:pPr>
            <w:r w:rsidRPr="003350F2">
              <w:rPr>
                <w:bCs/>
              </w:rPr>
              <w:t>1</w:t>
            </w:r>
          </w:p>
        </w:tc>
        <w:tc>
          <w:tcPr>
            <w:tcW w:w="1180" w:type="dxa"/>
            <w:vAlign w:val="center"/>
          </w:tcPr>
          <w:p w14:paraId="790D3732" w14:textId="77777777" w:rsidR="00183338" w:rsidRPr="003350F2" w:rsidRDefault="00183338" w:rsidP="00AF3BA2">
            <w:pPr>
              <w:jc w:val="center"/>
              <w:rPr>
                <w:bCs/>
              </w:rPr>
            </w:pPr>
            <w:r w:rsidRPr="003350F2">
              <w:rPr>
                <w:bCs/>
              </w:rPr>
              <w:t>2</w:t>
            </w:r>
          </w:p>
        </w:tc>
        <w:tc>
          <w:tcPr>
            <w:tcW w:w="1248" w:type="dxa"/>
            <w:vAlign w:val="center"/>
          </w:tcPr>
          <w:p w14:paraId="0B0B6CA2" w14:textId="77777777" w:rsidR="00183338" w:rsidRPr="003350F2" w:rsidRDefault="00183338" w:rsidP="00AF3BA2">
            <w:pPr>
              <w:jc w:val="center"/>
              <w:rPr>
                <w:bCs/>
              </w:rPr>
            </w:pPr>
            <w:r w:rsidRPr="003350F2">
              <w:rPr>
                <w:bCs/>
              </w:rPr>
              <w:t>3</w:t>
            </w:r>
          </w:p>
        </w:tc>
        <w:tc>
          <w:tcPr>
            <w:tcW w:w="1138" w:type="dxa"/>
            <w:vAlign w:val="center"/>
          </w:tcPr>
          <w:p w14:paraId="505332E1" w14:textId="77777777" w:rsidR="00183338" w:rsidRPr="003350F2" w:rsidRDefault="00183338" w:rsidP="00AF3BA2">
            <w:pPr>
              <w:jc w:val="center"/>
              <w:rPr>
                <w:bCs/>
              </w:rPr>
            </w:pPr>
            <w:r w:rsidRPr="003350F2">
              <w:rPr>
                <w:bCs/>
              </w:rPr>
              <w:t>4</w:t>
            </w:r>
          </w:p>
        </w:tc>
        <w:tc>
          <w:tcPr>
            <w:tcW w:w="1185" w:type="dxa"/>
            <w:vAlign w:val="center"/>
          </w:tcPr>
          <w:p w14:paraId="22D3CC23" w14:textId="77777777" w:rsidR="00183338" w:rsidRPr="003350F2" w:rsidRDefault="00183338" w:rsidP="00AF3BA2">
            <w:pPr>
              <w:jc w:val="center"/>
              <w:rPr>
                <w:bCs/>
              </w:rPr>
            </w:pPr>
            <w:r w:rsidRPr="003350F2">
              <w:rPr>
                <w:bCs/>
              </w:rPr>
              <w:t>5</w:t>
            </w:r>
          </w:p>
        </w:tc>
        <w:tc>
          <w:tcPr>
            <w:tcW w:w="1139" w:type="dxa"/>
            <w:vAlign w:val="center"/>
          </w:tcPr>
          <w:p w14:paraId="324B31DC" w14:textId="77777777" w:rsidR="00183338" w:rsidRPr="003350F2" w:rsidRDefault="00183338" w:rsidP="00AF3BA2">
            <w:pPr>
              <w:jc w:val="center"/>
              <w:rPr>
                <w:bCs/>
              </w:rPr>
            </w:pPr>
            <w:r w:rsidRPr="003350F2">
              <w:rPr>
                <w:bCs/>
              </w:rPr>
              <w:t>6</w:t>
            </w:r>
          </w:p>
        </w:tc>
        <w:tc>
          <w:tcPr>
            <w:tcW w:w="1150" w:type="dxa"/>
          </w:tcPr>
          <w:p w14:paraId="09C481EB" w14:textId="77777777" w:rsidR="00183338" w:rsidRPr="003350F2" w:rsidRDefault="00183338" w:rsidP="00AF3BA2">
            <w:pPr>
              <w:jc w:val="center"/>
              <w:rPr>
                <w:bCs/>
              </w:rPr>
            </w:pPr>
            <w:r w:rsidRPr="003350F2">
              <w:rPr>
                <w:bCs/>
              </w:rPr>
              <w:t>7</w:t>
            </w:r>
          </w:p>
        </w:tc>
        <w:tc>
          <w:tcPr>
            <w:tcW w:w="1150" w:type="dxa"/>
          </w:tcPr>
          <w:p w14:paraId="52B8C24D" w14:textId="77777777" w:rsidR="00183338" w:rsidRPr="003350F2" w:rsidRDefault="00183338" w:rsidP="00AF3BA2">
            <w:pPr>
              <w:jc w:val="center"/>
              <w:rPr>
                <w:bCs/>
              </w:rPr>
            </w:pPr>
            <w:r w:rsidRPr="003350F2">
              <w:rPr>
                <w:bCs/>
              </w:rPr>
              <w:t>8</w:t>
            </w:r>
          </w:p>
        </w:tc>
      </w:tr>
      <w:tr w:rsidR="00183338" w:rsidRPr="003350F2" w14:paraId="23208363" w14:textId="77777777" w:rsidTr="004E287B">
        <w:trPr>
          <w:jc w:val="center"/>
        </w:trPr>
        <w:tc>
          <w:tcPr>
            <w:tcW w:w="1797" w:type="dxa"/>
          </w:tcPr>
          <w:p w14:paraId="2C010F58" w14:textId="77777777" w:rsidR="00183338" w:rsidRPr="003350F2" w:rsidRDefault="00183338" w:rsidP="00AF3BA2">
            <w:pPr>
              <w:rPr>
                <w:i/>
              </w:rPr>
            </w:pPr>
            <w:r w:rsidRPr="003350F2">
              <w:t>1. Budžeta ieņēmumi:</w:t>
            </w:r>
          </w:p>
        </w:tc>
        <w:tc>
          <w:tcPr>
            <w:tcW w:w="1180" w:type="dxa"/>
          </w:tcPr>
          <w:p w14:paraId="3FB67BD6" w14:textId="77777777" w:rsidR="00183338" w:rsidRPr="003350F2" w:rsidRDefault="00183338" w:rsidP="00AF3BA2">
            <w:pPr>
              <w:jc w:val="center"/>
              <w:rPr>
                <w:b/>
              </w:rPr>
            </w:pPr>
            <w:r w:rsidRPr="003350F2">
              <w:rPr>
                <w:b/>
              </w:rPr>
              <w:t>0</w:t>
            </w:r>
          </w:p>
        </w:tc>
        <w:tc>
          <w:tcPr>
            <w:tcW w:w="1248" w:type="dxa"/>
          </w:tcPr>
          <w:p w14:paraId="56B9848D" w14:textId="77777777" w:rsidR="00183338" w:rsidRPr="003350F2" w:rsidRDefault="00183338" w:rsidP="00AF3BA2">
            <w:pPr>
              <w:jc w:val="center"/>
              <w:rPr>
                <w:b/>
              </w:rPr>
            </w:pPr>
            <w:r w:rsidRPr="003350F2">
              <w:rPr>
                <w:b/>
              </w:rPr>
              <w:t>0</w:t>
            </w:r>
          </w:p>
        </w:tc>
        <w:tc>
          <w:tcPr>
            <w:tcW w:w="1138" w:type="dxa"/>
          </w:tcPr>
          <w:p w14:paraId="261EFDD3" w14:textId="77777777" w:rsidR="00183338" w:rsidRPr="003350F2" w:rsidRDefault="00183338" w:rsidP="00AF3BA2">
            <w:pPr>
              <w:jc w:val="center"/>
              <w:rPr>
                <w:b/>
              </w:rPr>
            </w:pPr>
            <w:r w:rsidRPr="003350F2">
              <w:rPr>
                <w:b/>
              </w:rPr>
              <w:t>0</w:t>
            </w:r>
          </w:p>
        </w:tc>
        <w:tc>
          <w:tcPr>
            <w:tcW w:w="1185" w:type="dxa"/>
          </w:tcPr>
          <w:p w14:paraId="0DFC5103" w14:textId="77777777" w:rsidR="00183338" w:rsidRPr="003350F2" w:rsidRDefault="00183338" w:rsidP="00AF3BA2">
            <w:pPr>
              <w:jc w:val="center"/>
              <w:rPr>
                <w:b/>
              </w:rPr>
            </w:pPr>
            <w:r w:rsidRPr="003350F2">
              <w:rPr>
                <w:b/>
              </w:rPr>
              <w:t>0</w:t>
            </w:r>
          </w:p>
        </w:tc>
        <w:tc>
          <w:tcPr>
            <w:tcW w:w="1139" w:type="dxa"/>
          </w:tcPr>
          <w:p w14:paraId="23BC8CE6" w14:textId="77777777" w:rsidR="00183338" w:rsidRPr="003350F2" w:rsidRDefault="00183338" w:rsidP="00AF3BA2">
            <w:pPr>
              <w:jc w:val="center"/>
              <w:rPr>
                <w:b/>
              </w:rPr>
            </w:pPr>
            <w:r w:rsidRPr="003350F2">
              <w:rPr>
                <w:b/>
              </w:rPr>
              <w:t>0</w:t>
            </w:r>
          </w:p>
        </w:tc>
        <w:tc>
          <w:tcPr>
            <w:tcW w:w="1150" w:type="dxa"/>
          </w:tcPr>
          <w:p w14:paraId="13761EDC" w14:textId="77777777" w:rsidR="00183338" w:rsidRPr="003350F2" w:rsidRDefault="00183338" w:rsidP="00AF3BA2">
            <w:pPr>
              <w:jc w:val="center"/>
              <w:rPr>
                <w:b/>
              </w:rPr>
            </w:pPr>
            <w:r w:rsidRPr="003350F2">
              <w:rPr>
                <w:b/>
              </w:rPr>
              <w:t>0</w:t>
            </w:r>
          </w:p>
        </w:tc>
        <w:tc>
          <w:tcPr>
            <w:tcW w:w="1150" w:type="dxa"/>
          </w:tcPr>
          <w:p w14:paraId="358AA674" w14:textId="77777777" w:rsidR="00183338" w:rsidRPr="003350F2" w:rsidRDefault="00183338" w:rsidP="00AF3BA2">
            <w:pPr>
              <w:jc w:val="center"/>
              <w:rPr>
                <w:b/>
              </w:rPr>
            </w:pPr>
            <w:r w:rsidRPr="003350F2">
              <w:rPr>
                <w:b/>
              </w:rPr>
              <w:t>0</w:t>
            </w:r>
          </w:p>
        </w:tc>
      </w:tr>
      <w:tr w:rsidR="00183338" w:rsidRPr="003350F2" w14:paraId="20697267" w14:textId="77777777" w:rsidTr="004E287B">
        <w:trPr>
          <w:jc w:val="center"/>
        </w:trPr>
        <w:tc>
          <w:tcPr>
            <w:tcW w:w="1797" w:type="dxa"/>
          </w:tcPr>
          <w:p w14:paraId="315D3F3D" w14:textId="77777777" w:rsidR="00183338" w:rsidRPr="003350F2" w:rsidRDefault="00183338" w:rsidP="00AF3BA2">
            <w:pPr>
              <w:rPr>
                <w:i/>
              </w:rPr>
            </w:pPr>
            <w:r w:rsidRPr="003350F2">
              <w:t>1.1. valsts pamatbudžets, tai skaitā ieņēmumi no maksas pakalpojumiem un citi pašu ieņēmumi</w:t>
            </w:r>
          </w:p>
        </w:tc>
        <w:tc>
          <w:tcPr>
            <w:tcW w:w="1180" w:type="dxa"/>
          </w:tcPr>
          <w:p w14:paraId="614FCB91" w14:textId="77777777" w:rsidR="00183338" w:rsidRPr="003350F2" w:rsidRDefault="00183338" w:rsidP="00AF3BA2">
            <w:pPr>
              <w:jc w:val="center"/>
              <w:rPr>
                <w:i/>
              </w:rPr>
            </w:pPr>
          </w:p>
        </w:tc>
        <w:tc>
          <w:tcPr>
            <w:tcW w:w="1248" w:type="dxa"/>
          </w:tcPr>
          <w:p w14:paraId="4D4173A9" w14:textId="77777777" w:rsidR="00183338" w:rsidRPr="003350F2" w:rsidRDefault="00183338" w:rsidP="00AF3BA2">
            <w:pPr>
              <w:jc w:val="center"/>
              <w:rPr>
                <w:i/>
              </w:rPr>
            </w:pPr>
          </w:p>
        </w:tc>
        <w:tc>
          <w:tcPr>
            <w:tcW w:w="1138" w:type="dxa"/>
          </w:tcPr>
          <w:p w14:paraId="62FEE924" w14:textId="77777777" w:rsidR="00183338" w:rsidRPr="003350F2" w:rsidRDefault="00183338" w:rsidP="00AF3BA2">
            <w:pPr>
              <w:jc w:val="center"/>
              <w:rPr>
                <w:i/>
              </w:rPr>
            </w:pPr>
          </w:p>
        </w:tc>
        <w:tc>
          <w:tcPr>
            <w:tcW w:w="1185" w:type="dxa"/>
          </w:tcPr>
          <w:p w14:paraId="6843069B" w14:textId="77777777" w:rsidR="00183338" w:rsidRPr="003350F2" w:rsidRDefault="00183338" w:rsidP="00AF3BA2">
            <w:pPr>
              <w:jc w:val="center"/>
              <w:rPr>
                <w:i/>
              </w:rPr>
            </w:pPr>
          </w:p>
        </w:tc>
        <w:tc>
          <w:tcPr>
            <w:tcW w:w="1139" w:type="dxa"/>
          </w:tcPr>
          <w:p w14:paraId="6E61642A" w14:textId="77777777" w:rsidR="00183338" w:rsidRPr="003350F2" w:rsidRDefault="00183338" w:rsidP="00AF3BA2">
            <w:pPr>
              <w:jc w:val="center"/>
              <w:rPr>
                <w:i/>
              </w:rPr>
            </w:pPr>
          </w:p>
        </w:tc>
        <w:tc>
          <w:tcPr>
            <w:tcW w:w="1150" w:type="dxa"/>
          </w:tcPr>
          <w:p w14:paraId="294C82C4" w14:textId="77777777" w:rsidR="00183338" w:rsidRPr="003350F2" w:rsidRDefault="00183338" w:rsidP="00AF3BA2">
            <w:pPr>
              <w:jc w:val="center"/>
              <w:rPr>
                <w:i/>
              </w:rPr>
            </w:pPr>
          </w:p>
        </w:tc>
        <w:tc>
          <w:tcPr>
            <w:tcW w:w="1150" w:type="dxa"/>
          </w:tcPr>
          <w:p w14:paraId="77415511" w14:textId="77777777" w:rsidR="00183338" w:rsidRPr="003350F2" w:rsidRDefault="00183338" w:rsidP="00AF3BA2">
            <w:pPr>
              <w:jc w:val="center"/>
              <w:rPr>
                <w:i/>
              </w:rPr>
            </w:pPr>
          </w:p>
        </w:tc>
      </w:tr>
      <w:tr w:rsidR="00183338" w:rsidRPr="003350F2" w14:paraId="4B1BE765" w14:textId="77777777" w:rsidTr="004E287B">
        <w:trPr>
          <w:jc w:val="center"/>
        </w:trPr>
        <w:tc>
          <w:tcPr>
            <w:tcW w:w="1797" w:type="dxa"/>
          </w:tcPr>
          <w:p w14:paraId="08568B66" w14:textId="77777777" w:rsidR="00183338" w:rsidRPr="003350F2" w:rsidRDefault="00183338" w:rsidP="00AF3BA2">
            <w:pPr>
              <w:rPr>
                <w:i/>
              </w:rPr>
            </w:pPr>
            <w:r w:rsidRPr="003350F2">
              <w:t>1.2. valsts speciālais budžets</w:t>
            </w:r>
          </w:p>
        </w:tc>
        <w:tc>
          <w:tcPr>
            <w:tcW w:w="1180" w:type="dxa"/>
          </w:tcPr>
          <w:p w14:paraId="7B2E8172" w14:textId="77777777" w:rsidR="00183338" w:rsidRPr="003350F2" w:rsidRDefault="00183338" w:rsidP="00AF3BA2">
            <w:pPr>
              <w:jc w:val="center"/>
            </w:pPr>
          </w:p>
        </w:tc>
        <w:tc>
          <w:tcPr>
            <w:tcW w:w="1248" w:type="dxa"/>
          </w:tcPr>
          <w:p w14:paraId="4228F7DD" w14:textId="77777777" w:rsidR="00183338" w:rsidRPr="003350F2" w:rsidRDefault="00183338" w:rsidP="00AF3BA2">
            <w:pPr>
              <w:jc w:val="center"/>
            </w:pPr>
          </w:p>
        </w:tc>
        <w:tc>
          <w:tcPr>
            <w:tcW w:w="1138" w:type="dxa"/>
          </w:tcPr>
          <w:p w14:paraId="38B9A018" w14:textId="77777777" w:rsidR="00183338" w:rsidRPr="003350F2" w:rsidRDefault="00183338" w:rsidP="00AF3BA2">
            <w:pPr>
              <w:jc w:val="center"/>
            </w:pPr>
          </w:p>
        </w:tc>
        <w:tc>
          <w:tcPr>
            <w:tcW w:w="1185" w:type="dxa"/>
          </w:tcPr>
          <w:p w14:paraId="443F8525" w14:textId="77777777" w:rsidR="00183338" w:rsidRPr="003350F2" w:rsidRDefault="00183338" w:rsidP="00AF3BA2">
            <w:pPr>
              <w:jc w:val="center"/>
            </w:pPr>
          </w:p>
        </w:tc>
        <w:tc>
          <w:tcPr>
            <w:tcW w:w="1139" w:type="dxa"/>
          </w:tcPr>
          <w:p w14:paraId="53E3C0C5" w14:textId="77777777" w:rsidR="00183338" w:rsidRPr="003350F2" w:rsidRDefault="00183338" w:rsidP="00AF3BA2">
            <w:pPr>
              <w:jc w:val="center"/>
            </w:pPr>
          </w:p>
        </w:tc>
        <w:tc>
          <w:tcPr>
            <w:tcW w:w="1150" w:type="dxa"/>
          </w:tcPr>
          <w:p w14:paraId="636727B8" w14:textId="77777777" w:rsidR="00183338" w:rsidRPr="003350F2" w:rsidRDefault="00183338" w:rsidP="00AF3BA2">
            <w:pPr>
              <w:jc w:val="center"/>
            </w:pPr>
          </w:p>
        </w:tc>
        <w:tc>
          <w:tcPr>
            <w:tcW w:w="1150" w:type="dxa"/>
          </w:tcPr>
          <w:p w14:paraId="076BBC1A" w14:textId="77777777" w:rsidR="00183338" w:rsidRPr="003350F2" w:rsidRDefault="00183338" w:rsidP="00AF3BA2">
            <w:pPr>
              <w:jc w:val="center"/>
            </w:pPr>
          </w:p>
        </w:tc>
      </w:tr>
      <w:tr w:rsidR="00183338" w:rsidRPr="003350F2" w14:paraId="1D22979A" w14:textId="77777777" w:rsidTr="004E287B">
        <w:trPr>
          <w:jc w:val="center"/>
        </w:trPr>
        <w:tc>
          <w:tcPr>
            <w:tcW w:w="1797" w:type="dxa"/>
          </w:tcPr>
          <w:p w14:paraId="0888DF24" w14:textId="77777777" w:rsidR="00183338" w:rsidRPr="003350F2" w:rsidRDefault="00183338" w:rsidP="00AF3BA2">
            <w:pPr>
              <w:rPr>
                <w:i/>
              </w:rPr>
            </w:pPr>
            <w:r w:rsidRPr="003350F2">
              <w:t>1.3. pašvaldību budžets</w:t>
            </w:r>
          </w:p>
        </w:tc>
        <w:tc>
          <w:tcPr>
            <w:tcW w:w="1180" w:type="dxa"/>
          </w:tcPr>
          <w:p w14:paraId="05E52C91" w14:textId="77777777" w:rsidR="00183338" w:rsidRPr="003350F2" w:rsidRDefault="00183338" w:rsidP="00AF3BA2">
            <w:pPr>
              <w:jc w:val="center"/>
            </w:pPr>
          </w:p>
        </w:tc>
        <w:tc>
          <w:tcPr>
            <w:tcW w:w="1248" w:type="dxa"/>
          </w:tcPr>
          <w:p w14:paraId="43EB6AE7" w14:textId="77777777" w:rsidR="00183338" w:rsidRPr="003350F2" w:rsidRDefault="00183338" w:rsidP="00AF3BA2">
            <w:pPr>
              <w:jc w:val="center"/>
            </w:pPr>
          </w:p>
        </w:tc>
        <w:tc>
          <w:tcPr>
            <w:tcW w:w="1138" w:type="dxa"/>
          </w:tcPr>
          <w:p w14:paraId="3970EA8C" w14:textId="77777777" w:rsidR="00183338" w:rsidRPr="003350F2" w:rsidRDefault="00183338" w:rsidP="00AF3BA2">
            <w:pPr>
              <w:jc w:val="center"/>
            </w:pPr>
          </w:p>
        </w:tc>
        <w:tc>
          <w:tcPr>
            <w:tcW w:w="1185" w:type="dxa"/>
          </w:tcPr>
          <w:p w14:paraId="3BE2D367" w14:textId="77777777" w:rsidR="00183338" w:rsidRPr="003350F2" w:rsidRDefault="00183338" w:rsidP="00AF3BA2">
            <w:pPr>
              <w:jc w:val="center"/>
            </w:pPr>
          </w:p>
        </w:tc>
        <w:tc>
          <w:tcPr>
            <w:tcW w:w="1139" w:type="dxa"/>
          </w:tcPr>
          <w:p w14:paraId="07D4E865" w14:textId="77777777" w:rsidR="00183338" w:rsidRPr="003350F2" w:rsidRDefault="00183338" w:rsidP="00AF3BA2">
            <w:pPr>
              <w:jc w:val="center"/>
            </w:pPr>
          </w:p>
        </w:tc>
        <w:tc>
          <w:tcPr>
            <w:tcW w:w="1150" w:type="dxa"/>
          </w:tcPr>
          <w:p w14:paraId="0DE4133B" w14:textId="77777777" w:rsidR="00183338" w:rsidRPr="003350F2" w:rsidRDefault="00183338" w:rsidP="00AF3BA2">
            <w:pPr>
              <w:jc w:val="center"/>
            </w:pPr>
          </w:p>
        </w:tc>
        <w:tc>
          <w:tcPr>
            <w:tcW w:w="1150" w:type="dxa"/>
          </w:tcPr>
          <w:p w14:paraId="01C27C2E" w14:textId="77777777" w:rsidR="00183338" w:rsidRPr="003350F2" w:rsidRDefault="00183338" w:rsidP="00AF3BA2">
            <w:pPr>
              <w:jc w:val="center"/>
            </w:pPr>
          </w:p>
        </w:tc>
      </w:tr>
      <w:tr w:rsidR="00183338" w:rsidRPr="003350F2" w14:paraId="58DAFBD9" w14:textId="77777777" w:rsidTr="004E287B">
        <w:trPr>
          <w:jc w:val="center"/>
        </w:trPr>
        <w:tc>
          <w:tcPr>
            <w:tcW w:w="1797" w:type="dxa"/>
          </w:tcPr>
          <w:p w14:paraId="531EACD6" w14:textId="77777777" w:rsidR="00183338" w:rsidRPr="003350F2" w:rsidRDefault="00183338" w:rsidP="00582BD7">
            <w:r w:rsidRPr="003350F2">
              <w:t>2. Budžeta izdevumi:</w:t>
            </w:r>
          </w:p>
        </w:tc>
        <w:tc>
          <w:tcPr>
            <w:tcW w:w="1180" w:type="dxa"/>
          </w:tcPr>
          <w:p w14:paraId="5AD97FEE" w14:textId="77777777" w:rsidR="00183338" w:rsidRPr="003350F2" w:rsidRDefault="00183338" w:rsidP="00582BD7">
            <w:pPr>
              <w:jc w:val="center"/>
              <w:rPr>
                <w:b/>
              </w:rPr>
            </w:pPr>
            <w:r w:rsidRPr="003350F2">
              <w:rPr>
                <w:b/>
              </w:rPr>
              <w:t>0</w:t>
            </w:r>
          </w:p>
        </w:tc>
        <w:tc>
          <w:tcPr>
            <w:tcW w:w="1248" w:type="dxa"/>
          </w:tcPr>
          <w:p w14:paraId="650DC6C5" w14:textId="49895192" w:rsidR="00183338" w:rsidRPr="00CF37F9" w:rsidRDefault="00FA4C12" w:rsidP="000255C8">
            <w:pPr>
              <w:jc w:val="center"/>
              <w:rPr>
                <w:b/>
              </w:rPr>
            </w:pPr>
            <w:r>
              <w:rPr>
                <w:b/>
              </w:rPr>
              <w:t>5 000 000</w:t>
            </w:r>
          </w:p>
        </w:tc>
        <w:tc>
          <w:tcPr>
            <w:tcW w:w="1138" w:type="dxa"/>
          </w:tcPr>
          <w:p w14:paraId="5C8F5054" w14:textId="77777777" w:rsidR="00183338" w:rsidRPr="003350F2" w:rsidRDefault="00183338" w:rsidP="00582BD7">
            <w:pPr>
              <w:jc w:val="center"/>
              <w:rPr>
                <w:b/>
              </w:rPr>
            </w:pPr>
            <w:r w:rsidRPr="003350F2">
              <w:rPr>
                <w:b/>
              </w:rPr>
              <w:t>0</w:t>
            </w:r>
          </w:p>
        </w:tc>
        <w:tc>
          <w:tcPr>
            <w:tcW w:w="1185" w:type="dxa"/>
          </w:tcPr>
          <w:p w14:paraId="01097B6A" w14:textId="77777777" w:rsidR="00183338" w:rsidRPr="003350F2" w:rsidRDefault="00183338" w:rsidP="00582BD7">
            <w:pPr>
              <w:jc w:val="center"/>
              <w:rPr>
                <w:b/>
              </w:rPr>
            </w:pPr>
            <w:r w:rsidRPr="003350F2">
              <w:rPr>
                <w:b/>
              </w:rPr>
              <w:t>0</w:t>
            </w:r>
          </w:p>
        </w:tc>
        <w:tc>
          <w:tcPr>
            <w:tcW w:w="1139" w:type="dxa"/>
          </w:tcPr>
          <w:p w14:paraId="63D03D44" w14:textId="77777777" w:rsidR="00183338" w:rsidRPr="003350F2" w:rsidRDefault="00183338" w:rsidP="00582BD7">
            <w:pPr>
              <w:jc w:val="center"/>
              <w:rPr>
                <w:b/>
              </w:rPr>
            </w:pPr>
            <w:r w:rsidRPr="003350F2">
              <w:rPr>
                <w:b/>
              </w:rPr>
              <w:t>0</w:t>
            </w:r>
          </w:p>
        </w:tc>
        <w:tc>
          <w:tcPr>
            <w:tcW w:w="1150" w:type="dxa"/>
          </w:tcPr>
          <w:p w14:paraId="46CB368A" w14:textId="77777777" w:rsidR="00183338" w:rsidRPr="003350F2" w:rsidRDefault="00183338" w:rsidP="00582BD7">
            <w:pPr>
              <w:jc w:val="center"/>
              <w:rPr>
                <w:b/>
              </w:rPr>
            </w:pPr>
            <w:r w:rsidRPr="003350F2">
              <w:rPr>
                <w:b/>
              </w:rPr>
              <w:t>0</w:t>
            </w:r>
          </w:p>
        </w:tc>
        <w:tc>
          <w:tcPr>
            <w:tcW w:w="1150" w:type="dxa"/>
          </w:tcPr>
          <w:p w14:paraId="7CF83375" w14:textId="77777777" w:rsidR="00183338" w:rsidRPr="003350F2" w:rsidRDefault="00183338" w:rsidP="00582BD7">
            <w:pPr>
              <w:jc w:val="center"/>
              <w:rPr>
                <w:b/>
              </w:rPr>
            </w:pPr>
            <w:r w:rsidRPr="003350F2">
              <w:rPr>
                <w:b/>
              </w:rPr>
              <w:t>0</w:t>
            </w:r>
          </w:p>
        </w:tc>
      </w:tr>
      <w:tr w:rsidR="00183338" w:rsidRPr="003350F2" w14:paraId="3E88DC93" w14:textId="77777777" w:rsidTr="004E287B">
        <w:trPr>
          <w:jc w:val="center"/>
        </w:trPr>
        <w:tc>
          <w:tcPr>
            <w:tcW w:w="1797" w:type="dxa"/>
          </w:tcPr>
          <w:p w14:paraId="63FCA6D8" w14:textId="77777777" w:rsidR="00183338" w:rsidRPr="003350F2" w:rsidRDefault="00183338" w:rsidP="00582BD7">
            <w:r w:rsidRPr="003350F2">
              <w:t>2.1. valsts pamatbudžets</w:t>
            </w:r>
          </w:p>
        </w:tc>
        <w:tc>
          <w:tcPr>
            <w:tcW w:w="1180" w:type="dxa"/>
          </w:tcPr>
          <w:p w14:paraId="6E99A5B3" w14:textId="77777777" w:rsidR="00183338" w:rsidRPr="003350F2" w:rsidRDefault="00183338" w:rsidP="00582BD7">
            <w:pPr>
              <w:jc w:val="center"/>
              <w:rPr>
                <w:i/>
              </w:rPr>
            </w:pPr>
            <w:r w:rsidRPr="003350F2">
              <w:rPr>
                <w:i/>
              </w:rPr>
              <w:t>0</w:t>
            </w:r>
          </w:p>
        </w:tc>
        <w:tc>
          <w:tcPr>
            <w:tcW w:w="1248" w:type="dxa"/>
          </w:tcPr>
          <w:p w14:paraId="1776C030" w14:textId="4A9AA22D" w:rsidR="00183338" w:rsidRPr="00CF37F9" w:rsidRDefault="00FA4C12" w:rsidP="00204842">
            <w:pPr>
              <w:jc w:val="center"/>
              <w:rPr>
                <w:i/>
              </w:rPr>
            </w:pPr>
            <w:r>
              <w:rPr>
                <w:i/>
              </w:rPr>
              <w:t>5 000 000</w:t>
            </w:r>
          </w:p>
        </w:tc>
        <w:tc>
          <w:tcPr>
            <w:tcW w:w="1138" w:type="dxa"/>
          </w:tcPr>
          <w:p w14:paraId="41B7A42A" w14:textId="77777777" w:rsidR="00183338" w:rsidRPr="003350F2" w:rsidRDefault="00183338" w:rsidP="00582BD7">
            <w:pPr>
              <w:jc w:val="center"/>
              <w:rPr>
                <w:i/>
              </w:rPr>
            </w:pPr>
            <w:r w:rsidRPr="003350F2">
              <w:rPr>
                <w:i/>
              </w:rPr>
              <w:t>0</w:t>
            </w:r>
          </w:p>
        </w:tc>
        <w:tc>
          <w:tcPr>
            <w:tcW w:w="1185" w:type="dxa"/>
          </w:tcPr>
          <w:p w14:paraId="3D21B7F9" w14:textId="77777777" w:rsidR="00183338" w:rsidRPr="003350F2" w:rsidRDefault="00183338" w:rsidP="00582BD7">
            <w:pPr>
              <w:jc w:val="center"/>
              <w:rPr>
                <w:i/>
              </w:rPr>
            </w:pPr>
            <w:r w:rsidRPr="003350F2">
              <w:rPr>
                <w:i/>
              </w:rPr>
              <w:t>0</w:t>
            </w:r>
          </w:p>
        </w:tc>
        <w:tc>
          <w:tcPr>
            <w:tcW w:w="1139" w:type="dxa"/>
          </w:tcPr>
          <w:p w14:paraId="519BA7B1" w14:textId="77777777" w:rsidR="00183338" w:rsidRPr="003350F2" w:rsidRDefault="00183338" w:rsidP="00582BD7">
            <w:pPr>
              <w:jc w:val="center"/>
              <w:rPr>
                <w:i/>
              </w:rPr>
            </w:pPr>
            <w:r w:rsidRPr="003350F2">
              <w:rPr>
                <w:i/>
              </w:rPr>
              <w:t>0</w:t>
            </w:r>
          </w:p>
        </w:tc>
        <w:tc>
          <w:tcPr>
            <w:tcW w:w="1150" w:type="dxa"/>
          </w:tcPr>
          <w:p w14:paraId="5B7D2224" w14:textId="77777777" w:rsidR="00183338" w:rsidRPr="003350F2" w:rsidRDefault="00183338" w:rsidP="00582BD7">
            <w:pPr>
              <w:jc w:val="center"/>
              <w:rPr>
                <w:i/>
              </w:rPr>
            </w:pPr>
            <w:r w:rsidRPr="003350F2">
              <w:rPr>
                <w:i/>
              </w:rPr>
              <w:t>0</w:t>
            </w:r>
          </w:p>
        </w:tc>
        <w:tc>
          <w:tcPr>
            <w:tcW w:w="1150" w:type="dxa"/>
          </w:tcPr>
          <w:p w14:paraId="6A93AE0B" w14:textId="77777777" w:rsidR="00183338" w:rsidRPr="003350F2" w:rsidRDefault="00183338" w:rsidP="00582BD7">
            <w:pPr>
              <w:jc w:val="center"/>
              <w:rPr>
                <w:i/>
              </w:rPr>
            </w:pPr>
            <w:r w:rsidRPr="003350F2">
              <w:rPr>
                <w:i/>
              </w:rPr>
              <w:t>0</w:t>
            </w:r>
          </w:p>
        </w:tc>
      </w:tr>
      <w:tr w:rsidR="000F14D1" w:rsidRPr="003350F2" w14:paraId="246EFFE7" w14:textId="77777777" w:rsidTr="004E287B">
        <w:trPr>
          <w:jc w:val="center"/>
        </w:trPr>
        <w:tc>
          <w:tcPr>
            <w:tcW w:w="1797" w:type="dxa"/>
          </w:tcPr>
          <w:p w14:paraId="2382C18E" w14:textId="77777777" w:rsidR="000F14D1" w:rsidRPr="003350F2" w:rsidRDefault="000F14D1" w:rsidP="000F14D1">
            <w:r w:rsidRPr="003350F2">
              <w:t>2.2. valsts speciālais budžets</w:t>
            </w:r>
          </w:p>
        </w:tc>
        <w:tc>
          <w:tcPr>
            <w:tcW w:w="1180" w:type="dxa"/>
          </w:tcPr>
          <w:p w14:paraId="6A48295E" w14:textId="77777777" w:rsidR="000F14D1" w:rsidRPr="003350F2" w:rsidRDefault="000F14D1" w:rsidP="000F14D1">
            <w:pPr>
              <w:jc w:val="center"/>
            </w:pPr>
          </w:p>
        </w:tc>
        <w:tc>
          <w:tcPr>
            <w:tcW w:w="1248" w:type="dxa"/>
          </w:tcPr>
          <w:p w14:paraId="6D67F19C" w14:textId="77777777" w:rsidR="000F14D1" w:rsidRPr="00CF37F9" w:rsidRDefault="000F14D1" w:rsidP="000F14D1">
            <w:pPr>
              <w:jc w:val="center"/>
            </w:pPr>
          </w:p>
        </w:tc>
        <w:tc>
          <w:tcPr>
            <w:tcW w:w="1138" w:type="dxa"/>
          </w:tcPr>
          <w:p w14:paraId="47ACCE2E" w14:textId="77777777" w:rsidR="000F14D1" w:rsidRPr="003350F2" w:rsidRDefault="000F14D1" w:rsidP="000F14D1">
            <w:pPr>
              <w:jc w:val="center"/>
            </w:pPr>
          </w:p>
        </w:tc>
        <w:tc>
          <w:tcPr>
            <w:tcW w:w="1185" w:type="dxa"/>
          </w:tcPr>
          <w:p w14:paraId="4B6E92C0" w14:textId="77777777" w:rsidR="000F14D1" w:rsidRPr="003350F2" w:rsidRDefault="000F14D1" w:rsidP="000F14D1">
            <w:pPr>
              <w:jc w:val="center"/>
            </w:pPr>
          </w:p>
        </w:tc>
        <w:tc>
          <w:tcPr>
            <w:tcW w:w="1139" w:type="dxa"/>
          </w:tcPr>
          <w:p w14:paraId="6C00B9FF" w14:textId="77777777" w:rsidR="000F14D1" w:rsidRPr="003350F2" w:rsidRDefault="000F14D1" w:rsidP="000F14D1">
            <w:pPr>
              <w:jc w:val="center"/>
            </w:pPr>
          </w:p>
        </w:tc>
        <w:tc>
          <w:tcPr>
            <w:tcW w:w="1150" w:type="dxa"/>
          </w:tcPr>
          <w:p w14:paraId="72EC5B34" w14:textId="77777777" w:rsidR="000F14D1" w:rsidRPr="003350F2" w:rsidRDefault="000F14D1" w:rsidP="000F14D1">
            <w:pPr>
              <w:jc w:val="center"/>
            </w:pPr>
          </w:p>
        </w:tc>
        <w:tc>
          <w:tcPr>
            <w:tcW w:w="1150" w:type="dxa"/>
          </w:tcPr>
          <w:p w14:paraId="7073C58F" w14:textId="77777777" w:rsidR="000F14D1" w:rsidRPr="003350F2" w:rsidRDefault="000F14D1" w:rsidP="000F14D1">
            <w:pPr>
              <w:jc w:val="center"/>
            </w:pPr>
          </w:p>
        </w:tc>
      </w:tr>
      <w:tr w:rsidR="000F14D1" w:rsidRPr="003350F2" w14:paraId="723DF435" w14:textId="77777777" w:rsidTr="004E287B">
        <w:trPr>
          <w:jc w:val="center"/>
        </w:trPr>
        <w:tc>
          <w:tcPr>
            <w:tcW w:w="1797" w:type="dxa"/>
          </w:tcPr>
          <w:p w14:paraId="515C0B9F" w14:textId="77777777" w:rsidR="000F14D1" w:rsidRPr="003350F2" w:rsidRDefault="000F14D1" w:rsidP="000F14D1">
            <w:r w:rsidRPr="003350F2">
              <w:t xml:space="preserve">2.3. pašvaldību budžets </w:t>
            </w:r>
          </w:p>
        </w:tc>
        <w:tc>
          <w:tcPr>
            <w:tcW w:w="1180" w:type="dxa"/>
          </w:tcPr>
          <w:p w14:paraId="5336B045" w14:textId="77777777" w:rsidR="000F14D1" w:rsidRPr="003350F2" w:rsidRDefault="000F14D1" w:rsidP="000F14D1">
            <w:pPr>
              <w:jc w:val="center"/>
            </w:pPr>
          </w:p>
        </w:tc>
        <w:tc>
          <w:tcPr>
            <w:tcW w:w="1248" w:type="dxa"/>
          </w:tcPr>
          <w:p w14:paraId="74153B47" w14:textId="77777777" w:rsidR="000F14D1" w:rsidRPr="00CF37F9" w:rsidRDefault="000F14D1" w:rsidP="000F14D1">
            <w:pPr>
              <w:jc w:val="center"/>
            </w:pPr>
          </w:p>
        </w:tc>
        <w:tc>
          <w:tcPr>
            <w:tcW w:w="1138" w:type="dxa"/>
          </w:tcPr>
          <w:p w14:paraId="6D90086E" w14:textId="77777777" w:rsidR="000F14D1" w:rsidRPr="003350F2" w:rsidRDefault="000F14D1" w:rsidP="000F14D1">
            <w:pPr>
              <w:jc w:val="center"/>
            </w:pPr>
          </w:p>
        </w:tc>
        <w:tc>
          <w:tcPr>
            <w:tcW w:w="1185" w:type="dxa"/>
          </w:tcPr>
          <w:p w14:paraId="49A044B1" w14:textId="77777777" w:rsidR="000F14D1" w:rsidRPr="003350F2" w:rsidRDefault="000F14D1" w:rsidP="000F14D1">
            <w:pPr>
              <w:jc w:val="center"/>
            </w:pPr>
          </w:p>
        </w:tc>
        <w:tc>
          <w:tcPr>
            <w:tcW w:w="1139" w:type="dxa"/>
          </w:tcPr>
          <w:p w14:paraId="24782753" w14:textId="77777777" w:rsidR="000F14D1" w:rsidRPr="003350F2" w:rsidRDefault="000F14D1" w:rsidP="000F14D1">
            <w:pPr>
              <w:jc w:val="center"/>
            </w:pPr>
          </w:p>
        </w:tc>
        <w:tc>
          <w:tcPr>
            <w:tcW w:w="1150" w:type="dxa"/>
          </w:tcPr>
          <w:p w14:paraId="308959A5" w14:textId="77777777" w:rsidR="000F14D1" w:rsidRPr="003350F2" w:rsidRDefault="000F14D1" w:rsidP="000F14D1">
            <w:pPr>
              <w:jc w:val="center"/>
            </w:pPr>
          </w:p>
        </w:tc>
        <w:tc>
          <w:tcPr>
            <w:tcW w:w="1150" w:type="dxa"/>
          </w:tcPr>
          <w:p w14:paraId="2040D527" w14:textId="77777777" w:rsidR="000F14D1" w:rsidRPr="003350F2" w:rsidRDefault="000F14D1" w:rsidP="000F14D1">
            <w:pPr>
              <w:jc w:val="center"/>
            </w:pPr>
          </w:p>
        </w:tc>
      </w:tr>
      <w:tr w:rsidR="000255C8" w:rsidRPr="003350F2" w14:paraId="7DC19C38" w14:textId="77777777" w:rsidTr="004E287B">
        <w:trPr>
          <w:jc w:val="center"/>
        </w:trPr>
        <w:tc>
          <w:tcPr>
            <w:tcW w:w="1797" w:type="dxa"/>
          </w:tcPr>
          <w:p w14:paraId="4DCE9A8D" w14:textId="77777777" w:rsidR="000255C8" w:rsidRPr="003350F2" w:rsidRDefault="000255C8" w:rsidP="000255C8">
            <w:r w:rsidRPr="003350F2">
              <w:t>3. Finansiālā ietekme:</w:t>
            </w:r>
          </w:p>
        </w:tc>
        <w:tc>
          <w:tcPr>
            <w:tcW w:w="1180" w:type="dxa"/>
            <w:shd w:val="clear" w:color="auto" w:fill="auto"/>
          </w:tcPr>
          <w:p w14:paraId="0A0BF276" w14:textId="77777777" w:rsidR="000255C8" w:rsidRPr="003350F2" w:rsidRDefault="000255C8" w:rsidP="000255C8">
            <w:pPr>
              <w:jc w:val="center"/>
              <w:rPr>
                <w:b/>
              </w:rPr>
            </w:pPr>
            <w:r w:rsidRPr="003350F2">
              <w:rPr>
                <w:b/>
              </w:rPr>
              <w:t>0</w:t>
            </w:r>
          </w:p>
        </w:tc>
        <w:tc>
          <w:tcPr>
            <w:tcW w:w="1248" w:type="dxa"/>
          </w:tcPr>
          <w:p w14:paraId="0761472D" w14:textId="2960A640" w:rsidR="000255C8" w:rsidRPr="00CF37F9" w:rsidRDefault="000255C8" w:rsidP="00FA4C12">
            <w:pPr>
              <w:jc w:val="center"/>
              <w:rPr>
                <w:b/>
              </w:rPr>
            </w:pPr>
            <w:r w:rsidRPr="00CF37F9">
              <w:rPr>
                <w:b/>
              </w:rPr>
              <w:t xml:space="preserve">- </w:t>
            </w:r>
            <w:r w:rsidR="00FA4C12">
              <w:rPr>
                <w:b/>
              </w:rPr>
              <w:t>5 000 000</w:t>
            </w:r>
          </w:p>
        </w:tc>
        <w:tc>
          <w:tcPr>
            <w:tcW w:w="1138" w:type="dxa"/>
          </w:tcPr>
          <w:p w14:paraId="39F44691" w14:textId="77777777" w:rsidR="000255C8" w:rsidRPr="003350F2" w:rsidRDefault="000255C8" w:rsidP="000255C8">
            <w:pPr>
              <w:jc w:val="center"/>
              <w:rPr>
                <w:b/>
              </w:rPr>
            </w:pPr>
            <w:r w:rsidRPr="003350F2">
              <w:rPr>
                <w:b/>
              </w:rPr>
              <w:t>0</w:t>
            </w:r>
          </w:p>
        </w:tc>
        <w:tc>
          <w:tcPr>
            <w:tcW w:w="1185" w:type="dxa"/>
          </w:tcPr>
          <w:p w14:paraId="6B43EB82" w14:textId="77777777" w:rsidR="000255C8" w:rsidRPr="003350F2" w:rsidRDefault="000255C8" w:rsidP="000255C8">
            <w:pPr>
              <w:jc w:val="center"/>
              <w:rPr>
                <w:b/>
              </w:rPr>
            </w:pPr>
            <w:r w:rsidRPr="003350F2">
              <w:rPr>
                <w:b/>
              </w:rPr>
              <w:t>0</w:t>
            </w:r>
          </w:p>
        </w:tc>
        <w:tc>
          <w:tcPr>
            <w:tcW w:w="1139" w:type="dxa"/>
          </w:tcPr>
          <w:p w14:paraId="27AEDB54" w14:textId="77777777" w:rsidR="000255C8" w:rsidRPr="003350F2" w:rsidRDefault="000255C8" w:rsidP="000255C8">
            <w:pPr>
              <w:jc w:val="center"/>
              <w:rPr>
                <w:b/>
              </w:rPr>
            </w:pPr>
            <w:r w:rsidRPr="003350F2">
              <w:rPr>
                <w:b/>
              </w:rPr>
              <w:t>0</w:t>
            </w:r>
          </w:p>
        </w:tc>
        <w:tc>
          <w:tcPr>
            <w:tcW w:w="1150" w:type="dxa"/>
          </w:tcPr>
          <w:p w14:paraId="7A20FE27" w14:textId="77777777" w:rsidR="000255C8" w:rsidRPr="003350F2" w:rsidRDefault="000255C8" w:rsidP="000255C8">
            <w:pPr>
              <w:jc w:val="center"/>
              <w:rPr>
                <w:b/>
              </w:rPr>
            </w:pPr>
            <w:r w:rsidRPr="003350F2">
              <w:rPr>
                <w:b/>
              </w:rPr>
              <w:t>0</w:t>
            </w:r>
          </w:p>
        </w:tc>
        <w:tc>
          <w:tcPr>
            <w:tcW w:w="1150" w:type="dxa"/>
          </w:tcPr>
          <w:p w14:paraId="5EC319CC" w14:textId="77777777" w:rsidR="000255C8" w:rsidRPr="003350F2" w:rsidRDefault="000255C8" w:rsidP="000255C8">
            <w:pPr>
              <w:jc w:val="center"/>
              <w:rPr>
                <w:b/>
              </w:rPr>
            </w:pPr>
            <w:r w:rsidRPr="003350F2">
              <w:rPr>
                <w:b/>
              </w:rPr>
              <w:t>0</w:t>
            </w:r>
          </w:p>
        </w:tc>
      </w:tr>
      <w:tr w:rsidR="000255C8" w:rsidRPr="003350F2" w14:paraId="6881AA39" w14:textId="77777777" w:rsidTr="004E287B">
        <w:trPr>
          <w:jc w:val="center"/>
        </w:trPr>
        <w:tc>
          <w:tcPr>
            <w:tcW w:w="1797" w:type="dxa"/>
          </w:tcPr>
          <w:p w14:paraId="07930CE1" w14:textId="77777777" w:rsidR="000255C8" w:rsidRPr="003350F2" w:rsidRDefault="000255C8" w:rsidP="000255C8">
            <w:r w:rsidRPr="003350F2">
              <w:t>3.1. valsts pamatbudžets</w:t>
            </w:r>
          </w:p>
        </w:tc>
        <w:tc>
          <w:tcPr>
            <w:tcW w:w="1180" w:type="dxa"/>
            <w:shd w:val="clear" w:color="auto" w:fill="auto"/>
          </w:tcPr>
          <w:p w14:paraId="2F61C305" w14:textId="77777777" w:rsidR="000255C8" w:rsidRPr="003350F2" w:rsidRDefault="000255C8" w:rsidP="000255C8">
            <w:pPr>
              <w:jc w:val="center"/>
              <w:rPr>
                <w:i/>
              </w:rPr>
            </w:pPr>
            <w:r w:rsidRPr="003350F2">
              <w:rPr>
                <w:i/>
              </w:rPr>
              <w:t>0</w:t>
            </w:r>
          </w:p>
        </w:tc>
        <w:tc>
          <w:tcPr>
            <w:tcW w:w="1248" w:type="dxa"/>
          </w:tcPr>
          <w:p w14:paraId="548361E5" w14:textId="6CBD50E6" w:rsidR="000255C8" w:rsidRPr="00CF37F9" w:rsidRDefault="000255C8" w:rsidP="00FA4C12">
            <w:pPr>
              <w:jc w:val="center"/>
              <w:rPr>
                <w:i/>
              </w:rPr>
            </w:pPr>
            <w:r w:rsidRPr="00CF37F9">
              <w:rPr>
                <w:i/>
              </w:rPr>
              <w:t xml:space="preserve">- </w:t>
            </w:r>
            <w:r w:rsidR="00FA4C12">
              <w:rPr>
                <w:i/>
              </w:rPr>
              <w:t>5 000 000</w:t>
            </w:r>
          </w:p>
        </w:tc>
        <w:tc>
          <w:tcPr>
            <w:tcW w:w="1138" w:type="dxa"/>
          </w:tcPr>
          <w:p w14:paraId="4F4F682E" w14:textId="77777777" w:rsidR="000255C8" w:rsidRPr="003350F2" w:rsidRDefault="000255C8" w:rsidP="000255C8">
            <w:pPr>
              <w:jc w:val="center"/>
              <w:rPr>
                <w:i/>
              </w:rPr>
            </w:pPr>
            <w:r w:rsidRPr="003350F2">
              <w:rPr>
                <w:i/>
              </w:rPr>
              <w:t>0</w:t>
            </w:r>
          </w:p>
        </w:tc>
        <w:tc>
          <w:tcPr>
            <w:tcW w:w="1185" w:type="dxa"/>
          </w:tcPr>
          <w:p w14:paraId="345C8C52" w14:textId="77777777" w:rsidR="000255C8" w:rsidRPr="003350F2" w:rsidRDefault="000255C8" w:rsidP="000255C8">
            <w:pPr>
              <w:jc w:val="center"/>
              <w:rPr>
                <w:i/>
              </w:rPr>
            </w:pPr>
            <w:r w:rsidRPr="003350F2">
              <w:rPr>
                <w:i/>
              </w:rPr>
              <w:t>0</w:t>
            </w:r>
          </w:p>
        </w:tc>
        <w:tc>
          <w:tcPr>
            <w:tcW w:w="1139" w:type="dxa"/>
          </w:tcPr>
          <w:p w14:paraId="5D7FF6EF" w14:textId="77777777" w:rsidR="000255C8" w:rsidRPr="003350F2" w:rsidRDefault="000255C8" w:rsidP="000255C8">
            <w:pPr>
              <w:jc w:val="center"/>
              <w:rPr>
                <w:i/>
              </w:rPr>
            </w:pPr>
            <w:r w:rsidRPr="003350F2">
              <w:rPr>
                <w:i/>
              </w:rPr>
              <w:t>0</w:t>
            </w:r>
          </w:p>
        </w:tc>
        <w:tc>
          <w:tcPr>
            <w:tcW w:w="1150" w:type="dxa"/>
          </w:tcPr>
          <w:p w14:paraId="1131242A" w14:textId="77777777" w:rsidR="000255C8" w:rsidRPr="003350F2" w:rsidRDefault="000255C8" w:rsidP="000255C8">
            <w:pPr>
              <w:jc w:val="center"/>
              <w:rPr>
                <w:i/>
              </w:rPr>
            </w:pPr>
            <w:r w:rsidRPr="003350F2">
              <w:rPr>
                <w:i/>
              </w:rPr>
              <w:t>0</w:t>
            </w:r>
          </w:p>
        </w:tc>
        <w:tc>
          <w:tcPr>
            <w:tcW w:w="1150" w:type="dxa"/>
          </w:tcPr>
          <w:p w14:paraId="254523F8" w14:textId="77777777" w:rsidR="000255C8" w:rsidRPr="003350F2" w:rsidRDefault="000255C8" w:rsidP="000255C8">
            <w:pPr>
              <w:jc w:val="center"/>
              <w:rPr>
                <w:i/>
              </w:rPr>
            </w:pPr>
            <w:r w:rsidRPr="003350F2">
              <w:rPr>
                <w:i/>
              </w:rPr>
              <w:t>0</w:t>
            </w:r>
          </w:p>
        </w:tc>
      </w:tr>
      <w:tr w:rsidR="000255C8" w:rsidRPr="003350F2" w14:paraId="7282655B" w14:textId="77777777" w:rsidTr="004E287B">
        <w:trPr>
          <w:jc w:val="center"/>
        </w:trPr>
        <w:tc>
          <w:tcPr>
            <w:tcW w:w="1797" w:type="dxa"/>
          </w:tcPr>
          <w:p w14:paraId="516C3156" w14:textId="77777777" w:rsidR="000255C8" w:rsidRPr="003350F2" w:rsidRDefault="000255C8" w:rsidP="000255C8">
            <w:r w:rsidRPr="003350F2">
              <w:t>3.2. speciālais budžets</w:t>
            </w:r>
          </w:p>
        </w:tc>
        <w:tc>
          <w:tcPr>
            <w:tcW w:w="1180" w:type="dxa"/>
            <w:shd w:val="clear" w:color="auto" w:fill="auto"/>
          </w:tcPr>
          <w:p w14:paraId="3EAD87E9" w14:textId="77777777" w:rsidR="000255C8" w:rsidRPr="003350F2" w:rsidRDefault="000255C8" w:rsidP="000255C8">
            <w:pPr>
              <w:jc w:val="center"/>
            </w:pPr>
          </w:p>
        </w:tc>
        <w:tc>
          <w:tcPr>
            <w:tcW w:w="1248" w:type="dxa"/>
          </w:tcPr>
          <w:p w14:paraId="2243BD0E" w14:textId="77777777" w:rsidR="000255C8" w:rsidRPr="00CF37F9" w:rsidRDefault="000255C8" w:rsidP="000255C8">
            <w:pPr>
              <w:jc w:val="center"/>
            </w:pPr>
          </w:p>
        </w:tc>
        <w:tc>
          <w:tcPr>
            <w:tcW w:w="1138" w:type="dxa"/>
          </w:tcPr>
          <w:p w14:paraId="1BB87989" w14:textId="77777777" w:rsidR="000255C8" w:rsidRPr="003350F2" w:rsidRDefault="000255C8" w:rsidP="000255C8">
            <w:pPr>
              <w:jc w:val="center"/>
            </w:pPr>
          </w:p>
        </w:tc>
        <w:tc>
          <w:tcPr>
            <w:tcW w:w="1185" w:type="dxa"/>
          </w:tcPr>
          <w:p w14:paraId="0F1B4022" w14:textId="77777777" w:rsidR="000255C8" w:rsidRPr="003350F2" w:rsidRDefault="000255C8" w:rsidP="000255C8">
            <w:pPr>
              <w:jc w:val="center"/>
            </w:pPr>
          </w:p>
        </w:tc>
        <w:tc>
          <w:tcPr>
            <w:tcW w:w="1139" w:type="dxa"/>
          </w:tcPr>
          <w:p w14:paraId="23781725" w14:textId="77777777" w:rsidR="000255C8" w:rsidRPr="003350F2" w:rsidRDefault="000255C8" w:rsidP="000255C8">
            <w:pPr>
              <w:jc w:val="center"/>
            </w:pPr>
          </w:p>
        </w:tc>
        <w:tc>
          <w:tcPr>
            <w:tcW w:w="1150" w:type="dxa"/>
          </w:tcPr>
          <w:p w14:paraId="511CA229" w14:textId="77777777" w:rsidR="000255C8" w:rsidRPr="003350F2" w:rsidRDefault="000255C8" w:rsidP="000255C8">
            <w:pPr>
              <w:jc w:val="center"/>
            </w:pPr>
          </w:p>
        </w:tc>
        <w:tc>
          <w:tcPr>
            <w:tcW w:w="1150" w:type="dxa"/>
          </w:tcPr>
          <w:p w14:paraId="5285CFD1" w14:textId="77777777" w:rsidR="000255C8" w:rsidRPr="003350F2" w:rsidRDefault="000255C8" w:rsidP="000255C8">
            <w:pPr>
              <w:jc w:val="center"/>
            </w:pPr>
          </w:p>
        </w:tc>
      </w:tr>
      <w:tr w:rsidR="000255C8" w:rsidRPr="003350F2" w14:paraId="43F123E0" w14:textId="77777777" w:rsidTr="004E287B">
        <w:trPr>
          <w:jc w:val="center"/>
        </w:trPr>
        <w:tc>
          <w:tcPr>
            <w:tcW w:w="1797" w:type="dxa"/>
          </w:tcPr>
          <w:p w14:paraId="0F774B7F" w14:textId="77777777" w:rsidR="000255C8" w:rsidRPr="003350F2" w:rsidRDefault="000255C8" w:rsidP="000255C8">
            <w:r w:rsidRPr="003350F2">
              <w:t xml:space="preserve">3.3. pašvaldību budžets </w:t>
            </w:r>
          </w:p>
        </w:tc>
        <w:tc>
          <w:tcPr>
            <w:tcW w:w="1180" w:type="dxa"/>
            <w:shd w:val="clear" w:color="auto" w:fill="auto"/>
          </w:tcPr>
          <w:p w14:paraId="6E980F4A" w14:textId="77777777" w:rsidR="000255C8" w:rsidRPr="003350F2" w:rsidRDefault="000255C8" w:rsidP="000255C8">
            <w:pPr>
              <w:jc w:val="center"/>
            </w:pPr>
          </w:p>
        </w:tc>
        <w:tc>
          <w:tcPr>
            <w:tcW w:w="1248" w:type="dxa"/>
          </w:tcPr>
          <w:p w14:paraId="5A8F8703" w14:textId="77777777" w:rsidR="000255C8" w:rsidRPr="00CF37F9" w:rsidRDefault="000255C8" w:rsidP="000255C8">
            <w:pPr>
              <w:jc w:val="center"/>
            </w:pPr>
          </w:p>
        </w:tc>
        <w:tc>
          <w:tcPr>
            <w:tcW w:w="1138" w:type="dxa"/>
          </w:tcPr>
          <w:p w14:paraId="4F3B651E" w14:textId="77777777" w:rsidR="000255C8" w:rsidRPr="003350F2" w:rsidRDefault="000255C8" w:rsidP="000255C8">
            <w:pPr>
              <w:jc w:val="center"/>
            </w:pPr>
          </w:p>
        </w:tc>
        <w:tc>
          <w:tcPr>
            <w:tcW w:w="1185" w:type="dxa"/>
          </w:tcPr>
          <w:p w14:paraId="34A3005F" w14:textId="77777777" w:rsidR="000255C8" w:rsidRPr="003350F2" w:rsidRDefault="000255C8" w:rsidP="000255C8">
            <w:pPr>
              <w:jc w:val="center"/>
            </w:pPr>
          </w:p>
        </w:tc>
        <w:tc>
          <w:tcPr>
            <w:tcW w:w="1139" w:type="dxa"/>
          </w:tcPr>
          <w:p w14:paraId="6C52197F" w14:textId="77777777" w:rsidR="000255C8" w:rsidRPr="003350F2" w:rsidRDefault="000255C8" w:rsidP="000255C8">
            <w:pPr>
              <w:jc w:val="center"/>
            </w:pPr>
          </w:p>
        </w:tc>
        <w:tc>
          <w:tcPr>
            <w:tcW w:w="1150" w:type="dxa"/>
          </w:tcPr>
          <w:p w14:paraId="24A906F0" w14:textId="77777777" w:rsidR="000255C8" w:rsidRPr="003350F2" w:rsidRDefault="000255C8" w:rsidP="000255C8">
            <w:pPr>
              <w:jc w:val="center"/>
            </w:pPr>
          </w:p>
        </w:tc>
        <w:tc>
          <w:tcPr>
            <w:tcW w:w="1150" w:type="dxa"/>
          </w:tcPr>
          <w:p w14:paraId="037BEAF3" w14:textId="77777777" w:rsidR="000255C8" w:rsidRPr="003350F2" w:rsidRDefault="000255C8" w:rsidP="000255C8">
            <w:pPr>
              <w:jc w:val="center"/>
            </w:pPr>
          </w:p>
        </w:tc>
      </w:tr>
      <w:tr w:rsidR="000255C8" w:rsidRPr="003350F2" w14:paraId="5FD0A4C3" w14:textId="77777777" w:rsidTr="004E287B">
        <w:trPr>
          <w:jc w:val="center"/>
        </w:trPr>
        <w:tc>
          <w:tcPr>
            <w:tcW w:w="1797" w:type="dxa"/>
            <w:vMerge w:val="restart"/>
          </w:tcPr>
          <w:p w14:paraId="14FA19AD" w14:textId="77777777" w:rsidR="000255C8" w:rsidRPr="003350F2" w:rsidRDefault="000255C8" w:rsidP="000255C8">
            <w:r w:rsidRPr="003350F2">
              <w:t xml:space="preserve">4. Finanšu līdzekļi papildu izdevumu finansēšanai (kompensējošu izdevumu samazinājumu </w:t>
            </w:r>
            <w:r w:rsidRPr="003350F2">
              <w:lastRenderedPageBreak/>
              <w:t>norāda ar „+” zīmi)</w:t>
            </w:r>
          </w:p>
        </w:tc>
        <w:tc>
          <w:tcPr>
            <w:tcW w:w="1180" w:type="dxa"/>
            <w:vMerge w:val="restart"/>
          </w:tcPr>
          <w:p w14:paraId="59B7B865" w14:textId="77777777" w:rsidR="000255C8" w:rsidRPr="003350F2" w:rsidRDefault="000255C8" w:rsidP="000255C8">
            <w:pPr>
              <w:jc w:val="center"/>
              <w:rPr>
                <w:i/>
              </w:rPr>
            </w:pPr>
            <w:r w:rsidRPr="003350F2">
              <w:lastRenderedPageBreak/>
              <w:t>X</w:t>
            </w:r>
          </w:p>
        </w:tc>
        <w:tc>
          <w:tcPr>
            <w:tcW w:w="1248" w:type="dxa"/>
          </w:tcPr>
          <w:p w14:paraId="7829DD85" w14:textId="6A3CB8D8" w:rsidR="000255C8" w:rsidRPr="003350F2" w:rsidRDefault="00FA4C12" w:rsidP="000255C8">
            <w:pPr>
              <w:jc w:val="center"/>
            </w:pPr>
            <w:r>
              <w:t>5 000 000</w:t>
            </w:r>
          </w:p>
        </w:tc>
        <w:tc>
          <w:tcPr>
            <w:tcW w:w="1138" w:type="dxa"/>
          </w:tcPr>
          <w:p w14:paraId="7924278E" w14:textId="77777777" w:rsidR="000255C8" w:rsidRPr="003350F2" w:rsidRDefault="000255C8" w:rsidP="000255C8">
            <w:pPr>
              <w:jc w:val="center"/>
            </w:pPr>
            <w:r w:rsidRPr="003350F2">
              <w:t>0</w:t>
            </w:r>
          </w:p>
        </w:tc>
        <w:tc>
          <w:tcPr>
            <w:tcW w:w="1185" w:type="dxa"/>
          </w:tcPr>
          <w:p w14:paraId="7B0E76AE" w14:textId="77777777" w:rsidR="000255C8" w:rsidRPr="003350F2" w:rsidRDefault="000255C8" w:rsidP="000255C8">
            <w:pPr>
              <w:jc w:val="center"/>
            </w:pPr>
            <w:r w:rsidRPr="003350F2">
              <w:t>0</w:t>
            </w:r>
          </w:p>
        </w:tc>
        <w:tc>
          <w:tcPr>
            <w:tcW w:w="1139" w:type="dxa"/>
          </w:tcPr>
          <w:p w14:paraId="74EBFA67" w14:textId="77777777" w:rsidR="000255C8" w:rsidRPr="003350F2" w:rsidRDefault="000255C8" w:rsidP="000255C8">
            <w:pPr>
              <w:jc w:val="center"/>
            </w:pPr>
            <w:r w:rsidRPr="003350F2">
              <w:t>0</w:t>
            </w:r>
          </w:p>
        </w:tc>
        <w:tc>
          <w:tcPr>
            <w:tcW w:w="1150" w:type="dxa"/>
          </w:tcPr>
          <w:p w14:paraId="1BF231BD" w14:textId="77777777" w:rsidR="000255C8" w:rsidRPr="003350F2" w:rsidRDefault="000255C8" w:rsidP="000255C8">
            <w:pPr>
              <w:jc w:val="center"/>
            </w:pPr>
            <w:r w:rsidRPr="003350F2">
              <w:t>0</w:t>
            </w:r>
          </w:p>
        </w:tc>
        <w:tc>
          <w:tcPr>
            <w:tcW w:w="1150" w:type="dxa"/>
          </w:tcPr>
          <w:p w14:paraId="356ADDED" w14:textId="77777777" w:rsidR="000255C8" w:rsidRPr="003350F2" w:rsidRDefault="000255C8" w:rsidP="000255C8">
            <w:pPr>
              <w:jc w:val="center"/>
            </w:pPr>
            <w:r w:rsidRPr="003350F2">
              <w:t>0</w:t>
            </w:r>
          </w:p>
        </w:tc>
      </w:tr>
      <w:tr w:rsidR="000255C8" w:rsidRPr="003350F2" w14:paraId="1A882E15" w14:textId="77777777" w:rsidTr="004E287B">
        <w:trPr>
          <w:jc w:val="center"/>
        </w:trPr>
        <w:tc>
          <w:tcPr>
            <w:tcW w:w="1797" w:type="dxa"/>
            <w:vMerge/>
          </w:tcPr>
          <w:p w14:paraId="624DBA9C" w14:textId="77777777" w:rsidR="000255C8" w:rsidRPr="003350F2" w:rsidRDefault="000255C8" w:rsidP="000255C8"/>
        </w:tc>
        <w:tc>
          <w:tcPr>
            <w:tcW w:w="1180" w:type="dxa"/>
            <w:vMerge/>
          </w:tcPr>
          <w:p w14:paraId="5AFCD07B" w14:textId="77777777" w:rsidR="000255C8" w:rsidRPr="003350F2" w:rsidRDefault="000255C8" w:rsidP="000255C8">
            <w:pPr>
              <w:jc w:val="center"/>
              <w:rPr>
                <w:i/>
              </w:rPr>
            </w:pPr>
          </w:p>
        </w:tc>
        <w:tc>
          <w:tcPr>
            <w:tcW w:w="1248" w:type="dxa"/>
          </w:tcPr>
          <w:p w14:paraId="2FD6E869" w14:textId="77777777" w:rsidR="000255C8" w:rsidRPr="003350F2" w:rsidRDefault="000255C8" w:rsidP="000255C8">
            <w:pPr>
              <w:jc w:val="center"/>
            </w:pPr>
          </w:p>
        </w:tc>
        <w:tc>
          <w:tcPr>
            <w:tcW w:w="1138" w:type="dxa"/>
          </w:tcPr>
          <w:p w14:paraId="629EC2EF" w14:textId="77777777" w:rsidR="000255C8" w:rsidRPr="003350F2" w:rsidRDefault="000255C8" w:rsidP="000255C8">
            <w:pPr>
              <w:jc w:val="center"/>
            </w:pPr>
          </w:p>
        </w:tc>
        <w:tc>
          <w:tcPr>
            <w:tcW w:w="1185" w:type="dxa"/>
          </w:tcPr>
          <w:p w14:paraId="7FA92CE7" w14:textId="77777777" w:rsidR="000255C8" w:rsidRPr="003350F2" w:rsidRDefault="000255C8" w:rsidP="000255C8">
            <w:pPr>
              <w:jc w:val="center"/>
            </w:pPr>
          </w:p>
        </w:tc>
        <w:tc>
          <w:tcPr>
            <w:tcW w:w="1139" w:type="dxa"/>
          </w:tcPr>
          <w:p w14:paraId="182C9135" w14:textId="77777777" w:rsidR="000255C8" w:rsidRPr="003350F2" w:rsidRDefault="000255C8" w:rsidP="000255C8">
            <w:pPr>
              <w:jc w:val="center"/>
            </w:pPr>
          </w:p>
        </w:tc>
        <w:tc>
          <w:tcPr>
            <w:tcW w:w="1150" w:type="dxa"/>
          </w:tcPr>
          <w:p w14:paraId="00CB5854" w14:textId="77777777" w:rsidR="000255C8" w:rsidRPr="003350F2" w:rsidRDefault="000255C8" w:rsidP="000255C8">
            <w:pPr>
              <w:jc w:val="center"/>
            </w:pPr>
          </w:p>
        </w:tc>
        <w:tc>
          <w:tcPr>
            <w:tcW w:w="1150" w:type="dxa"/>
          </w:tcPr>
          <w:p w14:paraId="1408393A" w14:textId="77777777" w:rsidR="000255C8" w:rsidRPr="003350F2" w:rsidRDefault="000255C8" w:rsidP="000255C8">
            <w:pPr>
              <w:jc w:val="center"/>
            </w:pPr>
          </w:p>
        </w:tc>
      </w:tr>
      <w:tr w:rsidR="000255C8" w:rsidRPr="003350F2" w14:paraId="5DC965BB" w14:textId="77777777" w:rsidTr="004E287B">
        <w:trPr>
          <w:jc w:val="center"/>
        </w:trPr>
        <w:tc>
          <w:tcPr>
            <w:tcW w:w="1797" w:type="dxa"/>
            <w:vMerge/>
          </w:tcPr>
          <w:p w14:paraId="755C8998" w14:textId="77777777" w:rsidR="000255C8" w:rsidRPr="003350F2" w:rsidRDefault="000255C8" w:rsidP="000255C8"/>
        </w:tc>
        <w:tc>
          <w:tcPr>
            <w:tcW w:w="1180" w:type="dxa"/>
            <w:vMerge/>
          </w:tcPr>
          <w:p w14:paraId="7A1789FC" w14:textId="77777777" w:rsidR="000255C8" w:rsidRPr="003350F2" w:rsidRDefault="000255C8" w:rsidP="000255C8">
            <w:pPr>
              <w:jc w:val="center"/>
              <w:rPr>
                <w:i/>
              </w:rPr>
            </w:pPr>
          </w:p>
        </w:tc>
        <w:tc>
          <w:tcPr>
            <w:tcW w:w="1248" w:type="dxa"/>
          </w:tcPr>
          <w:p w14:paraId="74157138" w14:textId="77777777" w:rsidR="000255C8" w:rsidRPr="003350F2" w:rsidRDefault="000255C8" w:rsidP="000255C8">
            <w:pPr>
              <w:jc w:val="center"/>
            </w:pPr>
          </w:p>
          <w:p w14:paraId="75A5681A" w14:textId="77777777" w:rsidR="000255C8" w:rsidRPr="003350F2" w:rsidRDefault="000255C8" w:rsidP="000255C8">
            <w:pPr>
              <w:jc w:val="center"/>
            </w:pPr>
          </w:p>
        </w:tc>
        <w:tc>
          <w:tcPr>
            <w:tcW w:w="1138" w:type="dxa"/>
          </w:tcPr>
          <w:p w14:paraId="6597A9E6" w14:textId="77777777" w:rsidR="000255C8" w:rsidRPr="003350F2" w:rsidRDefault="000255C8" w:rsidP="000255C8">
            <w:pPr>
              <w:jc w:val="center"/>
            </w:pPr>
          </w:p>
        </w:tc>
        <w:tc>
          <w:tcPr>
            <w:tcW w:w="1185" w:type="dxa"/>
          </w:tcPr>
          <w:p w14:paraId="065DD186" w14:textId="77777777" w:rsidR="000255C8" w:rsidRPr="003350F2" w:rsidRDefault="000255C8" w:rsidP="000255C8">
            <w:pPr>
              <w:jc w:val="center"/>
            </w:pPr>
          </w:p>
        </w:tc>
        <w:tc>
          <w:tcPr>
            <w:tcW w:w="1139" w:type="dxa"/>
          </w:tcPr>
          <w:p w14:paraId="583BA38C" w14:textId="77777777" w:rsidR="000255C8" w:rsidRPr="003350F2" w:rsidRDefault="000255C8" w:rsidP="000255C8">
            <w:pPr>
              <w:jc w:val="center"/>
            </w:pPr>
          </w:p>
        </w:tc>
        <w:tc>
          <w:tcPr>
            <w:tcW w:w="1150" w:type="dxa"/>
          </w:tcPr>
          <w:p w14:paraId="02FE0F99" w14:textId="77777777" w:rsidR="000255C8" w:rsidRPr="003350F2" w:rsidRDefault="000255C8" w:rsidP="000255C8">
            <w:pPr>
              <w:jc w:val="center"/>
            </w:pPr>
          </w:p>
        </w:tc>
        <w:tc>
          <w:tcPr>
            <w:tcW w:w="1150" w:type="dxa"/>
          </w:tcPr>
          <w:p w14:paraId="67A91CF9" w14:textId="77777777" w:rsidR="000255C8" w:rsidRPr="003350F2" w:rsidRDefault="000255C8" w:rsidP="000255C8">
            <w:pPr>
              <w:jc w:val="center"/>
            </w:pPr>
          </w:p>
        </w:tc>
      </w:tr>
      <w:tr w:rsidR="000255C8" w:rsidRPr="003350F2" w14:paraId="0E29A93A" w14:textId="77777777" w:rsidTr="004E287B">
        <w:trPr>
          <w:jc w:val="center"/>
        </w:trPr>
        <w:tc>
          <w:tcPr>
            <w:tcW w:w="1797" w:type="dxa"/>
          </w:tcPr>
          <w:p w14:paraId="1250AFA5" w14:textId="77777777" w:rsidR="000255C8" w:rsidRPr="003350F2" w:rsidRDefault="000255C8" w:rsidP="000255C8">
            <w:r w:rsidRPr="003350F2">
              <w:t>5. Precizēta finansiālā ietekme:</w:t>
            </w:r>
          </w:p>
        </w:tc>
        <w:tc>
          <w:tcPr>
            <w:tcW w:w="1180" w:type="dxa"/>
            <w:vMerge w:val="restart"/>
          </w:tcPr>
          <w:p w14:paraId="3C6F1852" w14:textId="77777777" w:rsidR="000255C8" w:rsidRPr="003350F2" w:rsidRDefault="000255C8" w:rsidP="000255C8">
            <w:pPr>
              <w:jc w:val="center"/>
              <w:rPr>
                <w:i/>
              </w:rPr>
            </w:pPr>
            <w:r w:rsidRPr="003350F2">
              <w:t>X</w:t>
            </w:r>
          </w:p>
          <w:p w14:paraId="0D04D14B" w14:textId="77777777" w:rsidR="000255C8" w:rsidRPr="003350F2" w:rsidRDefault="000255C8" w:rsidP="000255C8">
            <w:pPr>
              <w:jc w:val="center"/>
              <w:rPr>
                <w:i/>
              </w:rPr>
            </w:pPr>
          </w:p>
        </w:tc>
        <w:tc>
          <w:tcPr>
            <w:tcW w:w="1248" w:type="dxa"/>
          </w:tcPr>
          <w:p w14:paraId="0CDDD303" w14:textId="77777777" w:rsidR="000255C8" w:rsidRPr="003350F2" w:rsidRDefault="000255C8" w:rsidP="000255C8">
            <w:pPr>
              <w:jc w:val="center"/>
            </w:pPr>
            <w:r w:rsidRPr="003350F2">
              <w:t>0</w:t>
            </w:r>
          </w:p>
        </w:tc>
        <w:tc>
          <w:tcPr>
            <w:tcW w:w="1138" w:type="dxa"/>
          </w:tcPr>
          <w:p w14:paraId="34F4C660" w14:textId="77777777" w:rsidR="000255C8" w:rsidRPr="003350F2" w:rsidRDefault="000255C8" w:rsidP="000255C8">
            <w:pPr>
              <w:jc w:val="center"/>
            </w:pPr>
            <w:r w:rsidRPr="003350F2">
              <w:t>0</w:t>
            </w:r>
          </w:p>
        </w:tc>
        <w:tc>
          <w:tcPr>
            <w:tcW w:w="1185" w:type="dxa"/>
          </w:tcPr>
          <w:p w14:paraId="2D6B11C4" w14:textId="77777777" w:rsidR="000255C8" w:rsidRPr="003350F2" w:rsidRDefault="000255C8" w:rsidP="000255C8">
            <w:pPr>
              <w:jc w:val="center"/>
            </w:pPr>
            <w:r w:rsidRPr="003350F2">
              <w:t>0</w:t>
            </w:r>
          </w:p>
        </w:tc>
        <w:tc>
          <w:tcPr>
            <w:tcW w:w="1139" w:type="dxa"/>
          </w:tcPr>
          <w:p w14:paraId="7F954B37" w14:textId="77777777" w:rsidR="000255C8" w:rsidRPr="003350F2" w:rsidRDefault="000255C8" w:rsidP="000255C8">
            <w:pPr>
              <w:jc w:val="center"/>
            </w:pPr>
            <w:r w:rsidRPr="003350F2">
              <w:t>0</w:t>
            </w:r>
          </w:p>
        </w:tc>
        <w:tc>
          <w:tcPr>
            <w:tcW w:w="1150" w:type="dxa"/>
          </w:tcPr>
          <w:p w14:paraId="1D7373F8" w14:textId="77777777" w:rsidR="000255C8" w:rsidRPr="003350F2" w:rsidRDefault="000255C8" w:rsidP="000255C8">
            <w:pPr>
              <w:jc w:val="center"/>
            </w:pPr>
            <w:r w:rsidRPr="003350F2">
              <w:t>0</w:t>
            </w:r>
          </w:p>
        </w:tc>
        <w:tc>
          <w:tcPr>
            <w:tcW w:w="1150" w:type="dxa"/>
          </w:tcPr>
          <w:p w14:paraId="7134B5A7" w14:textId="77777777" w:rsidR="000255C8" w:rsidRPr="003350F2" w:rsidRDefault="000255C8" w:rsidP="000255C8">
            <w:pPr>
              <w:jc w:val="center"/>
            </w:pPr>
            <w:r w:rsidRPr="003350F2">
              <w:t>0</w:t>
            </w:r>
          </w:p>
        </w:tc>
      </w:tr>
      <w:tr w:rsidR="000255C8" w:rsidRPr="003350F2" w14:paraId="68C2D1E5" w14:textId="77777777" w:rsidTr="004E287B">
        <w:trPr>
          <w:jc w:val="center"/>
        </w:trPr>
        <w:tc>
          <w:tcPr>
            <w:tcW w:w="1797" w:type="dxa"/>
          </w:tcPr>
          <w:p w14:paraId="6F4DDCBA" w14:textId="77777777" w:rsidR="000255C8" w:rsidRPr="003350F2" w:rsidRDefault="000255C8" w:rsidP="000255C8">
            <w:r w:rsidRPr="003350F2">
              <w:t>5.1. valsts pamatbudžets</w:t>
            </w:r>
          </w:p>
        </w:tc>
        <w:tc>
          <w:tcPr>
            <w:tcW w:w="1180" w:type="dxa"/>
            <w:vMerge/>
            <w:vAlign w:val="center"/>
          </w:tcPr>
          <w:p w14:paraId="1919B06D" w14:textId="77777777" w:rsidR="000255C8" w:rsidRPr="003350F2" w:rsidRDefault="000255C8" w:rsidP="000255C8">
            <w:pPr>
              <w:jc w:val="center"/>
              <w:rPr>
                <w:i/>
              </w:rPr>
            </w:pPr>
          </w:p>
        </w:tc>
        <w:tc>
          <w:tcPr>
            <w:tcW w:w="1248" w:type="dxa"/>
          </w:tcPr>
          <w:p w14:paraId="09920BF5" w14:textId="77777777" w:rsidR="000255C8" w:rsidRPr="003350F2" w:rsidRDefault="000255C8" w:rsidP="000255C8">
            <w:pPr>
              <w:jc w:val="center"/>
            </w:pPr>
            <w:r w:rsidRPr="003350F2">
              <w:t>0</w:t>
            </w:r>
          </w:p>
        </w:tc>
        <w:tc>
          <w:tcPr>
            <w:tcW w:w="1138" w:type="dxa"/>
          </w:tcPr>
          <w:p w14:paraId="42E17EFC" w14:textId="77777777" w:rsidR="000255C8" w:rsidRPr="003350F2" w:rsidRDefault="000255C8" w:rsidP="000255C8">
            <w:pPr>
              <w:jc w:val="center"/>
            </w:pPr>
            <w:r w:rsidRPr="003350F2">
              <w:t>0</w:t>
            </w:r>
          </w:p>
        </w:tc>
        <w:tc>
          <w:tcPr>
            <w:tcW w:w="1185" w:type="dxa"/>
          </w:tcPr>
          <w:p w14:paraId="5FD1603D" w14:textId="77777777" w:rsidR="000255C8" w:rsidRPr="003350F2" w:rsidRDefault="000255C8" w:rsidP="000255C8">
            <w:pPr>
              <w:jc w:val="center"/>
            </w:pPr>
            <w:r w:rsidRPr="003350F2">
              <w:t>0</w:t>
            </w:r>
          </w:p>
        </w:tc>
        <w:tc>
          <w:tcPr>
            <w:tcW w:w="1139" w:type="dxa"/>
          </w:tcPr>
          <w:p w14:paraId="7E65E411" w14:textId="77777777" w:rsidR="000255C8" w:rsidRPr="003350F2" w:rsidRDefault="000255C8" w:rsidP="000255C8">
            <w:pPr>
              <w:jc w:val="center"/>
            </w:pPr>
            <w:r w:rsidRPr="003350F2">
              <w:t>0</w:t>
            </w:r>
          </w:p>
        </w:tc>
        <w:tc>
          <w:tcPr>
            <w:tcW w:w="1150" w:type="dxa"/>
          </w:tcPr>
          <w:p w14:paraId="25EB4D33" w14:textId="77777777" w:rsidR="000255C8" w:rsidRPr="003350F2" w:rsidRDefault="000255C8" w:rsidP="000255C8">
            <w:pPr>
              <w:jc w:val="center"/>
            </w:pPr>
          </w:p>
        </w:tc>
        <w:tc>
          <w:tcPr>
            <w:tcW w:w="1150" w:type="dxa"/>
          </w:tcPr>
          <w:p w14:paraId="4EFD5C18" w14:textId="77777777" w:rsidR="000255C8" w:rsidRPr="003350F2" w:rsidRDefault="000255C8" w:rsidP="000255C8">
            <w:pPr>
              <w:jc w:val="center"/>
            </w:pPr>
          </w:p>
        </w:tc>
      </w:tr>
      <w:tr w:rsidR="000255C8" w:rsidRPr="003350F2" w14:paraId="07815137" w14:textId="77777777" w:rsidTr="004E287B">
        <w:trPr>
          <w:jc w:val="center"/>
        </w:trPr>
        <w:tc>
          <w:tcPr>
            <w:tcW w:w="1797" w:type="dxa"/>
          </w:tcPr>
          <w:p w14:paraId="14FB1B7B" w14:textId="77777777" w:rsidR="000255C8" w:rsidRPr="003350F2" w:rsidRDefault="000255C8" w:rsidP="000255C8">
            <w:r w:rsidRPr="003350F2">
              <w:t>5.2. speciālais budžets</w:t>
            </w:r>
          </w:p>
        </w:tc>
        <w:tc>
          <w:tcPr>
            <w:tcW w:w="1180" w:type="dxa"/>
            <w:vMerge/>
            <w:vAlign w:val="center"/>
          </w:tcPr>
          <w:p w14:paraId="0059F6A2" w14:textId="77777777" w:rsidR="000255C8" w:rsidRPr="003350F2" w:rsidRDefault="000255C8" w:rsidP="000255C8">
            <w:pPr>
              <w:jc w:val="center"/>
              <w:rPr>
                <w:i/>
              </w:rPr>
            </w:pPr>
          </w:p>
        </w:tc>
        <w:tc>
          <w:tcPr>
            <w:tcW w:w="1248" w:type="dxa"/>
          </w:tcPr>
          <w:p w14:paraId="16575A21" w14:textId="77777777" w:rsidR="000255C8" w:rsidRPr="003350F2" w:rsidRDefault="000255C8" w:rsidP="000255C8">
            <w:pPr>
              <w:jc w:val="center"/>
            </w:pPr>
          </w:p>
        </w:tc>
        <w:tc>
          <w:tcPr>
            <w:tcW w:w="1138" w:type="dxa"/>
          </w:tcPr>
          <w:p w14:paraId="30295D16" w14:textId="77777777" w:rsidR="000255C8" w:rsidRPr="003350F2" w:rsidRDefault="000255C8" w:rsidP="000255C8">
            <w:pPr>
              <w:jc w:val="center"/>
            </w:pPr>
          </w:p>
        </w:tc>
        <w:tc>
          <w:tcPr>
            <w:tcW w:w="1185" w:type="dxa"/>
          </w:tcPr>
          <w:p w14:paraId="3DE4E692" w14:textId="77777777" w:rsidR="000255C8" w:rsidRPr="003350F2" w:rsidRDefault="000255C8" w:rsidP="000255C8">
            <w:pPr>
              <w:jc w:val="center"/>
            </w:pPr>
          </w:p>
        </w:tc>
        <w:tc>
          <w:tcPr>
            <w:tcW w:w="1139" w:type="dxa"/>
          </w:tcPr>
          <w:p w14:paraId="116E4955" w14:textId="77777777" w:rsidR="000255C8" w:rsidRPr="003350F2" w:rsidRDefault="000255C8" w:rsidP="000255C8">
            <w:pPr>
              <w:jc w:val="center"/>
            </w:pPr>
          </w:p>
        </w:tc>
        <w:tc>
          <w:tcPr>
            <w:tcW w:w="1150" w:type="dxa"/>
          </w:tcPr>
          <w:p w14:paraId="4EFFF0A2" w14:textId="77777777" w:rsidR="000255C8" w:rsidRPr="003350F2" w:rsidRDefault="000255C8" w:rsidP="000255C8">
            <w:pPr>
              <w:jc w:val="center"/>
            </w:pPr>
          </w:p>
        </w:tc>
        <w:tc>
          <w:tcPr>
            <w:tcW w:w="1150" w:type="dxa"/>
          </w:tcPr>
          <w:p w14:paraId="4BBF5DE1" w14:textId="77777777" w:rsidR="000255C8" w:rsidRPr="003350F2" w:rsidRDefault="000255C8" w:rsidP="000255C8">
            <w:pPr>
              <w:jc w:val="center"/>
            </w:pPr>
          </w:p>
        </w:tc>
      </w:tr>
      <w:tr w:rsidR="000255C8" w:rsidRPr="003350F2" w14:paraId="6B189783" w14:textId="77777777" w:rsidTr="004E287B">
        <w:trPr>
          <w:jc w:val="center"/>
        </w:trPr>
        <w:tc>
          <w:tcPr>
            <w:tcW w:w="1797" w:type="dxa"/>
          </w:tcPr>
          <w:p w14:paraId="0715619B" w14:textId="77777777" w:rsidR="000255C8" w:rsidRPr="003350F2" w:rsidRDefault="000255C8" w:rsidP="000255C8">
            <w:r w:rsidRPr="003350F2">
              <w:t xml:space="preserve">5.3. pašvaldību budžets </w:t>
            </w:r>
          </w:p>
        </w:tc>
        <w:tc>
          <w:tcPr>
            <w:tcW w:w="1180" w:type="dxa"/>
            <w:vMerge/>
          </w:tcPr>
          <w:p w14:paraId="5A4E3ABE" w14:textId="77777777" w:rsidR="000255C8" w:rsidRPr="003350F2" w:rsidRDefault="000255C8" w:rsidP="000255C8">
            <w:pPr>
              <w:jc w:val="center"/>
              <w:rPr>
                <w:i/>
              </w:rPr>
            </w:pPr>
          </w:p>
        </w:tc>
        <w:tc>
          <w:tcPr>
            <w:tcW w:w="1248" w:type="dxa"/>
          </w:tcPr>
          <w:p w14:paraId="06307726" w14:textId="77777777" w:rsidR="000255C8" w:rsidRPr="003350F2" w:rsidRDefault="000255C8" w:rsidP="000255C8">
            <w:pPr>
              <w:jc w:val="center"/>
            </w:pPr>
          </w:p>
        </w:tc>
        <w:tc>
          <w:tcPr>
            <w:tcW w:w="1138" w:type="dxa"/>
          </w:tcPr>
          <w:p w14:paraId="0C57A468" w14:textId="77777777" w:rsidR="000255C8" w:rsidRPr="003350F2" w:rsidRDefault="000255C8" w:rsidP="000255C8">
            <w:pPr>
              <w:jc w:val="center"/>
            </w:pPr>
          </w:p>
        </w:tc>
        <w:tc>
          <w:tcPr>
            <w:tcW w:w="1185" w:type="dxa"/>
          </w:tcPr>
          <w:p w14:paraId="194AD4B8" w14:textId="77777777" w:rsidR="000255C8" w:rsidRPr="003350F2" w:rsidRDefault="000255C8" w:rsidP="000255C8">
            <w:pPr>
              <w:jc w:val="center"/>
            </w:pPr>
          </w:p>
        </w:tc>
        <w:tc>
          <w:tcPr>
            <w:tcW w:w="1139" w:type="dxa"/>
          </w:tcPr>
          <w:p w14:paraId="66CF4D64" w14:textId="77777777" w:rsidR="000255C8" w:rsidRPr="003350F2" w:rsidRDefault="000255C8" w:rsidP="000255C8">
            <w:pPr>
              <w:jc w:val="center"/>
            </w:pPr>
          </w:p>
        </w:tc>
        <w:tc>
          <w:tcPr>
            <w:tcW w:w="1150" w:type="dxa"/>
          </w:tcPr>
          <w:p w14:paraId="39D8D829" w14:textId="77777777" w:rsidR="000255C8" w:rsidRPr="003350F2" w:rsidRDefault="000255C8" w:rsidP="000255C8">
            <w:pPr>
              <w:jc w:val="center"/>
            </w:pPr>
          </w:p>
        </w:tc>
        <w:tc>
          <w:tcPr>
            <w:tcW w:w="1150" w:type="dxa"/>
          </w:tcPr>
          <w:p w14:paraId="4EE966C6" w14:textId="77777777" w:rsidR="000255C8" w:rsidRPr="003350F2" w:rsidRDefault="000255C8" w:rsidP="000255C8">
            <w:pPr>
              <w:jc w:val="center"/>
            </w:pPr>
          </w:p>
        </w:tc>
      </w:tr>
      <w:tr w:rsidR="000255C8" w:rsidRPr="003350F2" w14:paraId="44BA5E79" w14:textId="77777777" w:rsidTr="004E287B">
        <w:trPr>
          <w:jc w:val="center"/>
        </w:trPr>
        <w:tc>
          <w:tcPr>
            <w:tcW w:w="1797" w:type="dxa"/>
          </w:tcPr>
          <w:p w14:paraId="297977C6" w14:textId="77777777" w:rsidR="000255C8" w:rsidRPr="003350F2" w:rsidRDefault="000255C8" w:rsidP="000255C8">
            <w:r w:rsidRPr="003350F2">
              <w:t>6. Detalizēts ieņēmumu un izdevumu aprēķins (ja nepie</w:t>
            </w:r>
            <w:r w:rsidRPr="003350F2">
              <w:softHyphen/>
              <w:t>ciešams, detalizētu ieņēmumu un izdevumu aprēķinu var pievienot anotācijas pielikumā):</w:t>
            </w:r>
          </w:p>
        </w:tc>
        <w:tc>
          <w:tcPr>
            <w:tcW w:w="8190" w:type="dxa"/>
            <w:gridSpan w:val="7"/>
            <w:vMerge w:val="restart"/>
            <w:shd w:val="clear" w:color="auto" w:fill="auto"/>
          </w:tcPr>
          <w:p w14:paraId="794AC6D2" w14:textId="1288E999" w:rsidR="00C00EF0" w:rsidRPr="001D126D" w:rsidRDefault="004E287B" w:rsidP="00F96EEC">
            <w:pPr>
              <w:ind w:right="142"/>
              <w:jc w:val="both"/>
            </w:pPr>
            <w:r>
              <w:t>Fi</w:t>
            </w:r>
            <w:r w:rsidR="00783FB2" w:rsidRPr="004E287B">
              <w:t xml:space="preserve">nansējuma apmērs valsts pētījumu programmai </w:t>
            </w:r>
            <w:r w:rsidR="00F96EEC">
              <w:t>5</w:t>
            </w:r>
            <w:r w:rsidR="00783FB2" w:rsidRPr="004E287B">
              <w:t xml:space="preserve"> milj. </w:t>
            </w:r>
            <w:r w:rsidR="00783FB2" w:rsidRPr="004E287B">
              <w:rPr>
                <w:i/>
              </w:rPr>
              <w:t>euro</w:t>
            </w:r>
            <w:r w:rsidR="00783FB2" w:rsidRPr="004E287B">
              <w:t xml:space="preserve"> apmērā ir noteikts, balstoties uz nepieciešamību katrā no identificētām jomām</w:t>
            </w:r>
            <w:r w:rsidR="00B949CD" w:rsidRPr="004E287B">
              <w:t xml:space="preserve"> –</w:t>
            </w:r>
            <w:r w:rsidR="00783FB2" w:rsidRPr="004E287B">
              <w:t xml:space="preserve"> veselības, inženiertehnisko risinājumu, sabiedrības un tautsaimniecības jomās</w:t>
            </w:r>
            <w:r w:rsidR="00B949CD" w:rsidRPr="004E287B">
              <w:t xml:space="preserve"> –</w:t>
            </w:r>
            <w:r w:rsidR="00783FB2" w:rsidRPr="004E287B">
              <w:t xml:space="preserve"> nodrošināt projektus konkrēto problēmu risināšanai. Kopā īstenojot šo valsts pētījumu programmu (turpmāk</w:t>
            </w:r>
            <w:r w:rsidR="00B874B6" w:rsidRPr="004E287B">
              <w:t xml:space="preserve"> </w:t>
            </w:r>
            <w:r w:rsidR="00B949CD" w:rsidRPr="004E287B">
              <w:t>–</w:t>
            </w:r>
            <w:r w:rsidR="00B874B6" w:rsidRPr="004E287B">
              <w:t xml:space="preserve"> </w:t>
            </w:r>
            <w:r w:rsidR="00783FB2" w:rsidRPr="004E287B">
              <w:t xml:space="preserve">VPP), tā ļautu jau 2020.gadā īstenot </w:t>
            </w:r>
            <w:r w:rsidR="00B949CD" w:rsidRPr="004E287B">
              <w:t xml:space="preserve">vismaz </w:t>
            </w:r>
            <w:r w:rsidR="00783FB2" w:rsidRPr="004E287B">
              <w:t>10 konsorciju pētniecības projektus ar būtisku ietekmi, kuri ir tematiski sadalīti starp 3 jomām. Papildus, ir nepieciešams nodrošināt, ka vismaz 1 projekts horizontāli integrē kopīgā pretpandēmijas stratēģijā visu šīs VPP īstenoto projektu rezultātus, un tiek iegūtas jau agrīnas zinātnē balstītas rekomendācijas virsmērķa sasniegšanai. Programmas apmērs ir pietiekams, lai tam būtu nopietns iespaids uz Latvijas zinātnes kapacitātes nodrošināšanu, taču tas nepārsniedz to resursu, kuru īsā brīdī var mobilizēt īpaši svarīgu izdevumu risināšanai.</w:t>
            </w:r>
            <w:r w:rsidR="00B949CD" w:rsidRPr="004E287B">
              <w:t xml:space="preserve"> </w:t>
            </w:r>
            <w:r w:rsidR="00C148CC" w:rsidRPr="004E287B">
              <w:t>Pielikumā VPP izmaksu indikatīvā tāme.</w:t>
            </w:r>
          </w:p>
        </w:tc>
      </w:tr>
      <w:tr w:rsidR="000255C8" w:rsidRPr="003350F2" w14:paraId="4ED8265D" w14:textId="77777777" w:rsidTr="004E287B">
        <w:trPr>
          <w:jc w:val="center"/>
        </w:trPr>
        <w:tc>
          <w:tcPr>
            <w:tcW w:w="1797" w:type="dxa"/>
          </w:tcPr>
          <w:p w14:paraId="3CC72F49" w14:textId="081C47C0" w:rsidR="000255C8" w:rsidRPr="003350F2" w:rsidRDefault="000255C8" w:rsidP="000255C8">
            <w:r w:rsidRPr="003350F2">
              <w:t>6.1. detalizēts ieņēmumu aprēķins</w:t>
            </w:r>
          </w:p>
        </w:tc>
        <w:tc>
          <w:tcPr>
            <w:tcW w:w="8190" w:type="dxa"/>
            <w:gridSpan w:val="7"/>
            <w:vMerge/>
            <w:shd w:val="clear" w:color="auto" w:fill="auto"/>
          </w:tcPr>
          <w:p w14:paraId="406DC981" w14:textId="77777777" w:rsidR="000255C8" w:rsidRPr="003350F2" w:rsidRDefault="000255C8" w:rsidP="000255C8">
            <w:pPr>
              <w:rPr>
                <w:b/>
                <w:i/>
              </w:rPr>
            </w:pPr>
          </w:p>
        </w:tc>
      </w:tr>
      <w:tr w:rsidR="000255C8" w:rsidRPr="003350F2" w14:paraId="0B171A07" w14:textId="77777777" w:rsidTr="004E287B">
        <w:trPr>
          <w:jc w:val="center"/>
        </w:trPr>
        <w:tc>
          <w:tcPr>
            <w:tcW w:w="1797" w:type="dxa"/>
          </w:tcPr>
          <w:p w14:paraId="5544A915" w14:textId="77777777" w:rsidR="000255C8" w:rsidRPr="003350F2" w:rsidRDefault="000255C8" w:rsidP="000255C8">
            <w:r w:rsidRPr="003350F2">
              <w:t>6.2. detalizēts izdevumu aprēķins</w:t>
            </w:r>
          </w:p>
        </w:tc>
        <w:tc>
          <w:tcPr>
            <w:tcW w:w="8190" w:type="dxa"/>
            <w:gridSpan w:val="7"/>
            <w:vMerge/>
            <w:shd w:val="clear" w:color="auto" w:fill="auto"/>
          </w:tcPr>
          <w:p w14:paraId="461768AA" w14:textId="77777777" w:rsidR="000255C8" w:rsidRPr="003350F2" w:rsidRDefault="000255C8" w:rsidP="000255C8">
            <w:pPr>
              <w:rPr>
                <w:b/>
                <w:i/>
              </w:rPr>
            </w:pPr>
          </w:p>
        </w:tc>
      </w:tr>
      <w:tr w:rsidR="000255C8" w:rsidRPr="003350F2" w14:paraId="4108B955" w14:textId="77777777" w:rsidTr="004E287B">
        <w:trPr>
          <w:trHeight w:val="399"/>
          <w:jc w:val="center"/>
        </w:trPr>
        <w:tc>
          <w:tcPr>
            <w:tcW w:w="1797" w:type="dxa"/>
          </w:tcPr>
          <w:p w14:paraId="104E30F9" w14:textId="77777777" w:rsidR="000255C8" w:rsidRPr="003350F2" w:rsidRDefault="000255C8" w:rsidP="000255C8">
            <w:r w:rsidRPr="003350F2">
              <w:t>7. Amata vietu skaita izmaiņas</w:t>
            </w:r>
          </w:p>
        </w:tc>
        <w:tc>
          <w:tcPr>
            <w:tcW w:w="8190" w:type="dxa"/>
            <w:gridSpan w:val="7"/>
            <w:shd w:val="clear" w:color="auto" w:fill="auto"/>
          </w:tcPr>
          <w:p w14:paraId="22B97D4D" w14:textId="77777777" w:rsidR="000255C8" w:rsidRPr="003350F2" w:rsidRDefault="000255C8" w:rsidP="000255C8">
            <w:pPr>
              <w:ind w:right="34"/>
              <w:jc w:val="both"/>
            </w:pPr>
            <w:r w:rsidRPr="003350F2">
              <w:t>Projektam nav ietekme uz amata vietu skaita izmaiņām.</w:t>
            </w:r>
          </w:p>
        </w:tc>
      </w:tr>
      <w:tr w:rsidR="000255C8" w:rsidRPr="003350F2" w14:paraId="314A46F2" w14:textId="77777777" w:rsidTr="004E287B">
        <w:trPr>
          <w:trHeight w:val="399"/>
          <w:jc w:val="center"/>
        </w:trPr>
        <w:tc>
          <w:tcPr>
            <w:tcW w:w="1797" w:type="dxa"/>
          </w:tcPr>
          <w:p w14:paraId="06BABADD" w14:textId="77777777" w:rsidR="000255C8" w:rsidRPr="003350F2" w:rsidRDefault="000255C8" w:rsidP="000255C8">
            <w:r w:rsidRPr="003350F2">
              <w:t>8. Cita informācija</w:t>
            </w:r>
          </w:p>
        </w:tc>
        <w:tc>
          <w:tcPr>
            <w:tcW w:w="8190" w:type="dxa"/>
            <w:gridSpan w:val="7"/>
            <w:shd w:val="clear" w:color="auto" w:fill="auto"/>
          </w:tcPr>
          <w:p w14:paraId="449F609D" w14:textId="1CFDA5AA" w:rsidR="000255C8" w:rsidRPr="003350F2" w:rsidRDefault="000255C8" w:rsidP="00A336C0">
            <w:pPr>
              <w:ind w:right="34"/>
              <w:jc w:val="both"/>
            </w:pPr>
            <w:r w:rsidRPr="000520D5">
              <w:t xml:space="preserve">Izdevumus </w:t>
            </w:r>
            <w:r w:rsidR="00A336C0">
              <w:t>5 000 000</w:t>
            </w:r>
            <w:r w:rsidR="00CF37F9" w:rsidRPr="00CF37F9">
              <w:t xml:space="preserve"> </w:t>
            </w:r>
            <w:r w:rsidRPr="00CB3E4F">
              <w:rPr>
                <w:i/>
              </w:rPr>
              <w:t>euro</w:t>
            </w:r>
            <w:r>
              <w:t xml:space="preserve"> apmērā </w:t>
            </w:r>
            <w:r w:rsidRPr="000520D5">
              <w:t xml:space="preserve">sedz no valsts budžeta programmas 02.00.00 </w:t>
            </w:r>
            <w:r w:rsidR="00B874B6">
              <w:t>“</w:t>
            </w:r>
            <w:r w:rsidRPr="000520D5">
              <w:t xml:space="preserve">Līdzekļi neparedzētiem gadījumiem” atbilstoši </w:t>
            </w:r>
            <w:r w:rsidRPr="00072C7D">
              <w:t>Ministru kabineta 2018.</w:t>
            </w:r>
            <w:r>
              <w:t xml:space="preserve"> </w:t>
            </w:r>
            <w:r w:rsidRPr="00072C7D">
              <w:t>gada 17.</w:t>
            </w:r>
            <w:r>
              <w:t xml:space="preserve"> </w:t>
            </w:r>
            <w:r w:rsidRPr="00072C7D">
              <w:t>jūlija noteikum</w:t>
            </w:r>
            <w:r>
              <w:t xml:space="preserve">iem </w:t>
            </w:r>
            <w:r w:rsidRPr="00072C7D">
              <w:t>Nr.</w:t>
            </w:r>
            <w:r>
              <w:t xml:space="preserve"> </w:t>
            </w:r>
            <w:r w:rsidRPr="00072C7D">
              <w:t>421</w:t>
            </w:r>
            <w:r w:rsidR="00B874B6">
              <w:t xml:space="preserve"> “</w:t>
            </w:r>
            <w:r w:rsidRPr="00072C7D">
              <w:t>Kārtība, kādā veic gadskārtējā valsts budžeta likumā noteiktās apropriācijas izmaiņas”.</w:t>
            </w:r>
          </w:p>
        </w:tc>
      </w:tr>
    </w:tbl>
    <w:p w14:paraId="09907893" w14:textId="77777777"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5314E066" w14:textId="77777777" w:rsidTr="00D228F9">
        <w:tc>
          <w:tcPr>
            <w:tcW w:w="10060" w:type="dxa"/>
            <w:tcBorders>
              <w:bottom w:val="single" w:sz="4" w:space="0" w:color="auto"/>
            </w:tcBorders>
            <w:vAlign w:val="center"/>
          </w:tcPr>
          <w:p w14:paraId="066E5DE5" w14:textId="77777777" w:rsidR="00C3572A" w:rsidRPr="003350F2" w:rsidRDefault="00C3572A" w:rsidP="00AF3BA2">
            <w:pPr>
              <w:pStyle w:val="naisnod"/>
              <w:spacing w:before="0" w:after="0"/>
            </w:pPr>
            <w:r w:rsidRPr="003350F2">
              <w:t>IV. Tiesību akta projekta ietekme uz spēkā esošo tiesību normu sistēmu</w:t>
            </w:r>
          </w:p>
        </w:tc>
      </w:tr>
      <w:tr w:rsidR="00C3572A" w:rsidRPr="003350F2" w14:paraId="6759AFCD"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F18A76" w14:textId="77777777" w:rsidR="00C3572A" w:rsidRPr="003350F2" w:rsidRDefault="00C3572A" w:rsidP="00AF3BA2">
            <w:pPr>
              <w:ind w:right="127"/>
              <w:jc w:val="center"/>
            </w:pPr>
            <w:r w:rsidRPr="003350F2">
              <w:t>Projekts šo jomu neskar</w:t>
            </w:r>
          </w:p>
        </w:tc>
      </w:tr>
    </w:tbl>
    <w:p w14:paraId="76BA2AA1"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77BF46FF" w14:textId="77777777" w:rsidTr="00AF3BA2">
        <w:tc>
          <w:tcPr>
            <w:tcW w:w="10060" w:type="dxa"/>
            <w:vAlign w:val="center"/>
          </w:tcPr>
          <w:p w14:paraId="5F02568D" w14:textId="77777777"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14:paraId="0A321A1A" w14:textId="77777777" w:rsidTr="00AF3BA2">
        <w:trPr>
          <w:trHeight w:val="273"/>
        </w:trPr>
        <w:tc>
          <w:tcPr>
            <w:tcW w:w="10060" w:type="dxa"/>
          </w:tcPr>
          <w:p w14:paraId="0013946F" w14:textId="77777777" w:rsidR="00C3572A" w:rsidRPr="003350F2" w:rsidRDefault="00C3572A" w:rsidP="00AF3BA2">
            <w:pPr>
              <w:ind w:right="127"/>
              <w:jc w:val="center"/>
            </w:pPr>
            <w:r w:rsidRPr="003350F2">
              <w:t>Projekts šo jomu neskar</w:t>
            </w:r>
          </w:p>
        </w:tc>
      </w:tr>
    </w:tbl>
    <w:p w14:paraId="3F201EA1"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1C8405D4" w14:textId="77777777" w:rsidTr="00555D35">
        <w:tc>
          <w:tcPr>
            <w:tcW w:w="10060" w:type="dxa"/>
            <w:tcBorders>
              <w:bottom w:val="single" w:sz="4" w:space="0" w:color="auto"/>
            </w:tcBorders>
            <w:vAlign w:val="center"/>
          </w:tcPr>
          <w:p w14:paraId="4E43DD0C" w14:textId="77777777" w:rsidR="00C3572A" w:rsidRPr="003350F2" w:rsidRDefault="00C3572A" w:rsidP="00AF3BA2">
            <w:pPr>
              <w:pStyle w:val="naisnod"/>
              <w:spacing w:before="0" w:after="0"/>
            </w:pPr>
            <w:r w:rsidRPr="003350F2">
              <w:t>VI. Sabiedrības līdzdalība un komunikācijas aktivitātes</w:t>
            </w:r>
          </w:p>
        </w:tc>
      </w:tr>
      <w:tr w:rsidR="00C3572A" w:rsidRPr="003350F2" w14:paraId="2E21EDE6" w14:textId="77777777" w:rsidTr="00555D35">
        <w:trPr>
          <w:trHeight w:val="273"/>
        </w:trPr>
        <w:tc>
          <w:tcPr>
            <w:tcW w:w="10060" w:type="dxa"/>
            <w:tcBorders>
              <w:top w:val="single" w:sz="4" w:space="0" w:color="auto"/>
              <w:left w:val="single" w:sz="4" w:space="0" w:color="auto"/>
              <w:bottom w:val="single" w:sz="4" w:space="0" w:color="auto"/>
              <w:right w:val="single" w:sz="4" w:space="0" w:color="auto"/>
            </w:tcBorders>
          </w:tcPr>
          <w:p w14:paraId="0FE06225" w14:textId="77777777" w:rsidR="0099068A" w:rsidRPr="003350F2" w:rsidRDefault="00C3572A" w:rsidP="0099068A">
            <w:pPr>
              <w:ind w:right="127"/>
              <w:jc w:val="center"/>
            </w:pPr>
            <w:r w:rsidRPr="003350F2">
              <w:t>Projekts šo jomu neskar</w:t>
            </w:r>
          </w:p>
        </w:tc>
      </w:tr>
    </w:tbl>
    <w:p w14:paraId="66B05CD4" w14:textId="77777777"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1776C8F8" w14:textId="77777777" w:rsidTr="00AF3BA2">
        <w:tc>
          <w:tcPr>
            <w:tcW w:w="10060" w:type="dxa"/>
            <w:vAlign w:val="center"/>
          </w:tcPr>
          <w:p w14:paraId="16E62DC6" w14:textId="77777777"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14:paraId="3891885E" w14:textId="77777777" w:rsidTr="00AF3BA2">
        <w:tc>
          <w:tcPr>
            <w:tcW w:w="10060" w:type="dxa"/>
            <w:vAlign w:val="center"/>
          </w:tcPr>
          <w:p w14:paraId="430882DF" w14:textId="77777777" w:rsidR="00802B1E" w:rsidRPr="003350F2" w:rsidRDefault="00802B1E" w:rsidP="00AF3BA2">
            <w:pPr>
              <w:pStyle w:val="naisnod"/>
              <w:spacing w:before="0" w:after="0"/>
              <w:rPr>
                <w:b w:val="0"/>
              </w:rPr>
            </w:pPr>
            <w:r w:rsidRPr="003350F2">
              <w:rPr>
                <w:b w:val="0"/>
              </w:rPr>
              <w:t>Projekts šo jomu neskar</w:t>
            </w:r>
          </w:p>
        </w:tc>
      </w:tr>
    </w:tbl>
    <w:p w14:paraId="42295271" w14:textId="77777777" w:rsidR="00932A30" w:rsidRPr="003350F2" w:rsidRDefault="00932A30" w:rsidP="00C7220E">
      <w:pPr>
        <w:pStyle w:val="Pamatteksts2"/>
        <w:spacing w:after="0" w:line="240" w:lineRule="auto"/>
        <w:ind w:firstLine="720"/>
        <w:jc w:val="both"/>
      </w:pPr>
    </w:p>
    <w:p w14:paraId="464CA027" w14:textId="77777777" w:rsidR="00932A30" w:rsidRDefault="00932A30"/>
    <w:p w14:paraId="1BD30D41" w14:textId="77777777" w:rsidR="00282C8F" w:rsidRPr="003350F2" w:rsidRDefault="00282C8F"/>
    <w:p w14:paraId="04A8CF9D" w14:textId="77777777" w:rsidR="00617D7A" w:rsidRPr="00D5719D" w:rsidRDefault="00481F9B" w:rsidP="00C7220E">
      <w:pPr>
        <w:pStyle w:val="Pamatteksts2"/>
        <w:spacing w:after="0" w:line="240" w:lineRule="auto"/>
        <w:ind w:firstLine="720"/>
        <w:jc w:val="both"/>
      </w:pPr>
      <w:r w:rsidRPr="00D5719D">
        <w:lastRenderedPageBreak/>
        <w:t>I</w:t>
      </w:r>
      <w:r w:rsidR="008F245F" w:rsidRPr="00D5719D">
        <w:t>zglītības un zinātnes ministr</w:t>
      </w:r>
      <w:r w:rsidR="00896B42" w:rsidRPr="00D5719D">
        <w:t>e</w:t>
      </w:r>
      <w:r w:rsidRPr="00D5719D">
        <w:tab/>
      </w:r>
      <w:r w:rsidRPr="00D5719D">
        <w:tab/>
      </w:r>
      <w:r w:rsidRPr="00D5719D">
        <w:tab/>
      </w:r>
      <w:r w:rsidRPr="00D5719D">
        <w:tab/>
      </w:r>
      <w:r w:rsidRPr="00D5719D">
        <w:tab/>
      </w:r>
      <w:r w:rsidR="001F5853" w:rsidRPr="00D5719D">
        <w:t xml:space="preserve">Ilga </w:t>
      </w:r>
      <w:r w:rsidR="00896B42" w:rsidRPr="00D5719D">
        <w:t>Šuplinska</w:t>
      </w:r>
    </w:p>
    <w:p w14:paraId="5B316C89" w14:textId="77777777" w:rsidR="00712CCE" w:rsidRPr="00D5719D" w:rsidRDefault="00712CCE" w:rsidP="00E71639"/>
    <w:p w14:paraId="121DADF2" w14:textId="77777777" w:rsidR="001D6234" w:rsidRPr="00D5719D" w:rsidRDefault="001D6234" w:rsidP="005E259D">
      <w:pPr>
        <w:ind w:left="720"/>
      </w:pPr>
    </w:p>
    <w:p w14:paraId="23F61432" w14:textId="38C48202" w:rsidR="00D5719D" w:rsidRPr="00D5719D" w:rsidRDefault="00D5719D" w:rsidP="00D5719D">
      <w:pPr>
        <w:ind w:left="720"/>
      </w:pPr>
      <w:r>
        <w:t xml:space="preserve">Valsts sekretāre </w:t>
      </w:r>
      <w:r>
        <w:tab/>
      </w:r>
      <w:r>
        <w:tab/>
      </w:r>
      <w:r>
        <w:tab/>
      </w:r>
      <w:r>
        <w:tab/>
      </w:r>
      <w:r>
        <w:tab/>
      </w:r>
      <w:r>
        <w:tab/>
      </w:r>
      <w:r>
        <w:tab/>
      </w:r>
      <w:r w:rsidRPr="00D5719D">
        <w:t>Līga Lejiņa</w:t>
      </w:r>
    </w:p>
    <w:p w14:paraId="17A6DF27" w14:textId="77777777" w:rsidR="00283C73" w:rsidRDefault="00283C73" w:rsidP="005E259D">
      <w:pPr>
        <w:ind w:left="720"/>
        <w:rPr>
          <w:sz w:val="22"/>
          <w:szCs w:val="22"/>
        </w:rPr>
      </w:pPr>
    </w:p>
    <w:p w14:paraId="77CBA485" w14:textId="77777777" w:rsidR="00834D22" w:rsidRDefault="00834D22" w:rsidP="005E259D">
      <w:pPr>
        <w:ind w:left="720"/>
        <w:rPr>
          <w:sz w:val="22"/>
          <w:szCs w:val="22"/>
        </w:rPr>
      </w:pPr>
    </w:p>
    <w:p w14:paraId="65BC5B05" w14:textId="77777777" w:rsidR="00D5719D" w:rsidRDefault="00D5719D" w:rsidP="005E259D">
      <w:pPr>
        <w:ind w:left="720"/>
        <w:rPr>
          <w:sz w:val="22"/>
          <w:szCs w:val="22"/>
        </w:rPr>
      </w:pPr>
    </w:p>
    <w:p w14:paraId="05FCB5EC" w14:textId="77777777" w:rsidR="00D5719D" w:rsidRPr="003350F2" w:rsidRDefault="00D5719D" w:rsidP="005E259D">
      <w:pPr>
        <w:ind w:left="720"/>
        <w:rPr>
          <w:sz w:val="22"/>
          <w:szCs w:val="22"/>
        </w:rPr>
      </w:pPr>
    </w:p>
    <w:p w14:paraId="5A737BD9" w14:textId="3D67374C" w:rsidR="00887F4F" w:rsidRPr="00887F4F" w:rsidRDefault="00A336C0" w:rsidP="00887F4F">
      <w:pPr>
        <w:ind w:left="720"/>
        <w:rPr>
          <w:sz w:val="22"/>
          <w:szCs w:val="22"/>
        </w:rPr>
      </w:pPr>
      <w:r>
        <w:rPr>
          <w:sz w:val="22"/>
          <w:szCs w:val="22"/>
        </w:rPr>
        <w:t>Laipniece</w:t>
      </w:r>
      <w:r w:rsidR="00887F4F" w:rsidRPr="00887F4F">
        <w:rPr>
          <w:sz w:val="22"/>
          <w:szCs w:val="22"/>
        </w:rPr>
        <w:t xml:space="preserve"> 67047935</w:t>
      </w:r>
    </w:p>
    <w:p w14:paraId="1B6325A7" w14:textId="3AB0C903" w:rsidR="00763103" w:rsidRPr="002D62A9" w:rsidRDefault="00190740" w:rsidP="00887F4F">
      <w:pPr>
        <w:ind w:left="720"/>
        <w:rPr>
          <w:sz w:val="22"/>
          <w:szCs w:val="22"/>
        </w:rPr>
      </w:pPr>
      <w:hyperlink r:id="rId9" w:history="1">
        <w:r w:rsidR="00D5719D" w:rsidRPr="00D779BA">
          <w:rPr>
            <w:rStyle w:val="Hipersaite"/>
            <w:sz w:val="22"/>
            <w:szCs w:val="22"/>
          </w:rPr>
          <w:t>diana.laipniece@izm.gov.lv</w:t>
        </w:r>
      </w:hyperlink>
      <w:r w:rsidR="00D5719D">
        <w:rPr>
          <w:sz w:val="22"/>
          <w:szCs w:val="22"/>
        </w:rPr>
        <w:t xml:space="preserve"> </w:t>
      </w:r>
    </w:p>
    <w:sectPr w:rsidR="00763103" w:rsidRPr="002D62A9" w:rsidSect="00F606D9">
      <w:headerReference w:type="default" r:id="rId10"/>
      <w:footerReference w:type="default" r:id="rId11"/>
      <w:footerReference w:type="first" r:id="rId12"/>
      <w:pgSz w:w="11906" w:h="16838" w:code="9"/>
      <w:pgMar w:top="1134" w:right="1134" w:bottom="992"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DAB6" w14:textId="77777777" w:rsidR="00190740" w:rsidRDefault="00190740" w:rsidP="00123E9B">
      <w:r>
        <w:separator/>
      </w:r>
    </w:p>
  </w:endnote>
  <w:endnote w:type="continuationSeparator" w:id="0">
    <w:p w14:paraId="2287EF78" w14:textId="77777777" w:rsidR="00190740" w:rsidRDefault="00190740"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5DF7" w14:textId="4558BE4F" w:rsidR="00F3318E" w:rsidRPr="009733D3" w:rsidRDefault="004945BF" w:rsidP="009733D3">
    <w:pPr>
      <w:pStyle w:val="Kjene"/>
      <w:jc w:val="both"/>
    </w:pPr>
    <w:r>
      <w:rPr>
        <w:sz w:val="22"/>
        <w:szCs w:val="22"/>
      </w:rPr>
      <w:t>IZMAnot_29</w:t>
    </w:r>
    <w:r w:rsidR="004B1CE2">
      <w:rPr>
        <w:sz w:val="22"/>
        <w:szCs w:val="22"/>
      </w:rPr>
      <w:t>04</w:t>
    </w:r>
    <w:r w:rsidR="00F3318E">
      <w:rPr>
        <w:sz w:val="22"/>
        <w:szCs w:val="22"/>
      </w:rPr>
      <w:t>20</w:t>
    </w:r>
    <w:r w:rsidR="00F3318E" w:rsidRPr="00896B42">
      <w:rPr>
        <w:sz w:val="22"/>
        <w:szCs w:val="22"/>
      </w:rPr>
      <w:t>_</w:t>
    </w:r>
    <w:r w:rsidR="004B1CE2">
      <w:rPr>
        <w:sz w:val="22"/>
        <w:szCs w:val="22"/>
      </w:rPr>
      <w:t>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1CD1" w14:textId="0CB6FA7F" w:rsidR="00F3318E" w:rsidRPr="001B6B4D" w:rsidRDefault="004945BF" w:rsidP="001B6B4D">
    <w:pPr>
      <w:pStyle w:val="Kjene"/>
      <w:jc w:val="both"/>
    </w:pPr>
    <w:r>
      <w:rPr>
        <w:sz w:val="22"/>
        <w:szCs w:val="22"/>
      </w:rPr>
      <w:t>IZMAnot_29</w:t>
    </w:r>
    <w:r w:rsidR="004B1CE2">
      <w:rPr>
        <w:sz w:val="22"/>
        <w:szCs w:val="22"/>
      </w:rPr>
      <w:t>04</w:t>
    </w:r>
    <w:r w:rsidR="00F3318E">
      <w:rPr>
        <w:sz w:val="22"/>
        <w:szCs w:val="22"/>
      </w:rPr>
      <w:t>20</w:t>
    </w:r>
    <w:r w:rsidR="00F3318E" w:rsidRPr="00896B42">
      <w:rPr>
        <w:sz w:val="22"/>
        <w:szCs w:val="22"/>
      </w:rPr>
      <w:t>_</w:t>
    </w:r>
    <w:r w:rsidR="004B1CE2">
      <w:rPr>
        <w:sz w:val="22"/>
        <w:szCs w:val="22"/>
      </w:rPr>
      <w:t>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C205" w14:textId="77777777" w:rsidR="00190740" w:rsidRDefault="00190740" w:rsidP="00123E9B">
      <w:r>
        <w:separator/>
      </w:r>
    </w:p>
  </w:footnote>
  <w:footnote w:type="continuationSeparator" w:id="0">
    <w:p w14:paraId="5EC13EE7" w14:textId="77777777" w:rsidR="00190740" w:rsidRDefault="00190740" w:rsidP="0012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D900" w14:textId="77777777" w:rsidR="00F3318E" w:rsidRDefault="00F3318E">
    <w:pPr>
      <w:pStyle w:val="Galvene"/>
      <w:jc w:val="center"/>
    </w:pPr>
    <w:r>
      <w:fldChar w:fldCharType="begin"/>
    </w:r>
    <w:r>
      <w:instrText xml:space="preserve"> PAGE   \* MERGEFORMAT </w:instrText>
    </w:r>
    <w:r>
      <w:fldChar w:fldCharType="separate"/>
    </w:r>
    <w:r w:rsidR="00973DC8">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5541"/>
    <w:multiLevelType w:val="hybridMultilevel"/>
    <w:tmpl w:val="FE24576E"/>
    <w:lvl w:ilvl="0" w:tplc="65943A38">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 w15:restartNumberingAfterBreak="0">
    <w:nsid w:val="2AD604F4"/>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15:restartNumberingAfterBreak="0">
    <w:nsid w:val="44234364"/>
    <w:multiLevelType w:val="hybridMultilevel"/>
    <w:tmpl w:val="463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3010A"/>
    <w:multiLevelType w:val="hybridMultilevel"/>
    <w:tmpl w:val="77F0C4B6"/>
    <w:lvl w:ilvl="0" w:tplc="BA4A3234">
      <w:start w:val="21"/>
      <w:numFmt w:val="bullet"/>
      <w:lvlText w:val="-"/>
      <w:lvlJc w:val="left"/>
      <w:pPr>
        <w:ind w:left="442" w:hanging="360"/>
      </w:pPr>
      <w:rPr>
        <w:rFonts w:ascii="Times New Roman" w:eastAsia="Calibri" w:hAnsi="Times New Roman"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5" w15:restartNumberingAfterBreak="0">
    <w:nsid w:val="692039F7"/>
    <w:multiLevelType w:val="hybridMultilevel"/>
    <w:tmpl w:val="DDFA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8B0F03"/>
    <w:multiLevelType w:val="hybridMultilevel"/>
    <w:tmpl w:val="1C2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NrEwMrEwNjUzNrJU0lEKTi0uzszPAykwqQUAEO2X0SwAAAA="/>
  </w:docVars>
  <w:rsids>
    <w:rsidRoot w:val="00D96FCD"/>
    <w:rsid w:val="00000124"/>
    <w:rsid w:val="00000CE0"/>
    <w:rsid w:val="00000DEA"/>
    <w:rsid w:val="00001116"/>
    <w:rsid w:val="00001B33"/>
    <w:rsid w:val="00002604"/>
    <w:rsid w:val="00002DDF"/>
    <w:rsid w:val="00003C4D"/>
    <w:rsid w:val="00004CD6"/>
    <w:rsid w:val="00004D5D"/>
    <w:rsid w:val="0000524B"/>
    <w:rsid w:val="00005A9D"/>
    <w:rsid w:val="00006D42"/>
    <w:rsid w:val="00010140"/>
    <w:rsid w:val="00010298"/>
    <w:rsid w:val="000103AD"/>
    <w:rsid w:val="00010590"/>
    <w:rsid w:val="000120DA"/>
    <w:rsid w:val="000122AA"/>
    <w:rsid w:val="00012701"/>
    <w:rsid w:val="00012EAE"/>
    <w:rsid w:val="000136B9"/>
    <w:rsid w:val="00013BAA"/>
    <w:rsid w:val="0001413E"/>
    <w:rsid w:val="00014BD0"/>
    <w:rsid w:val="00016578"/>
    <w:rsid w:val="000167C6"/>
    <w:rsid w:val="000177BF"/>
    <w:rsid w:val="00020664"/>
    <w:rsid w:val="000216EC"/>
    <w:rsid w:val="0002179F"/>
    <w:rsid w:val="000219F0"/>
    <w:rsid w:val="00021BCD"/>
    <w:rsid w:val="00024A0F"/>
    <w:rsid w:val="000255C8"/>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C3D"/>
    <w:rsid w:val="00055F70"/>
    <w:rsid w:val="00056E02"/>
    <w:rsid w:val="000577FD"/>
    <w:rsid w:val="00060EB4"/>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629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EFA"/>
    <w:rsid w:val="000A152C"/>
    <w:rsid w:val="000A1C3B"/>
    <w:rsid w:val="000A208E"/>
    <w:rsid w:val="000A2237"/>
    <w:rsid w:val="000A2634"/>
    <w:rsid w:val="000A4403"/>
    <w:rsid w:val="000A6188"/>
    <w:rsid w:val="000A671B"/>
    <w:rsid w:val="000A77DA"/>
    <w:rsid w:val="000B0834"/>
    <w:rsid w:val="000B0DC4"/>
    <w:rsid w:val="000B1367"/>
    <w:rsid w:val="000B1B4E"/>
    <w:rsid w:val="000B259F"/>
    <w:rsid w:val="000B3147"/>
    <w:rsid w:val="000B3B3C"/>
    <w:rsid w:val="000B3EC8"/>
    <w:rsid w:val="000B3FF6"/>
    <w:rsid w:val="000B4FCC"/>
    <w:rsid w:val="000B51C9"/>
    <w:rsid w:val="000B62CA"/>
    <w:rsid w:val="000B7EAC"/>
    <w:rsid w:val="000C0ABC"/>
    <w:rsid w:val="000C0BAF"/>
    <w:rsid w:val="000C136C"/>
    <w:rsid w:val="000C147C"/>
    <w:rsid w:val="000C152F"/>
    <w:rsid w:val="000C1819"/>
    <w:rsid w:val="000C1B3D"/>
    <w:rsid w:val="000C1D23"/>
    <w:rsid w:val="000C2C7B"/>
    <w:rsid w:val="000C36BE"/>
    <w:rsid w:val="000C4925"/>
    <w:rsid w:val="000C612B"/>
    <w:rsid w:val="000C63F4"/>
    <w:rsid w:val="000C74F5"/>
    <w:rsid w:val="000D003C"/>
    <w:rsid w:val="000D00F8"/>
    <w:rsid w:val="000D1441"/>
    <w:rsid w:val="000D157B"/>
    <w:rsid w:val="000D266E"/>
    <w:rsid w:val="000D2CA4"/>
    <w:rsid w:val="000D2F48"/>
    <w:rsid w:val="000D43D0"/>
    <w:rsid w:val="000D4465"/>
    <w:rsid w:val="000D6486"/>
    <w:rsid w:val="000D6878"/>
    <w:rsid w:val="000D7431"/>
    <w:rsid w:val="000E058D"/>
    <w:rsid w:val="000E0815"/>
    <w:rsid w:val="000E2489"/>
    <w:rsid w:val="000E2CEB"/>
    <w:rsid w:val="000E2DC8"/>
    <w:rsid w:val="000E3B94"/>
    <w:rsid w:val="000E4203"/>
    <w:rsid w:val="000E4A2A"/>
    <w:rsid w:val="000E4A57"/>
    <w:rsid w:val="000E5FDF"/>
    <w:rsid w:val="000E6027"/>
    <w:rsid w:val="000E6280"/>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384"/>
    <w:rsid w:val="0014095C"/>
    <w:rsid w:val="001411A7"/>
    <w:rsid w:val="001413A9"/>
    <w:rsid w:val="00141676"/>
    <w:rsid w:val="00141E02"/>
    <w:rsid w:val="00143747"/>
    <w:rsid w:val="001453A8"/>
    <w:rsid w:val="00147CBF"/>
    <w:rsid w:val="00147D9A"/>
    <w:rsid w:val="00150ACB"/>
    <w:rsid w:val="00150D62"/>
    <w:rsid w:val="0015243B"/>
    <w:rsid w:val="00152C87"/>
    <w:rsid w:val="00154C1B"/>
    <w:rsid w:val="001559B7"/>
    <w:rsid w:val="00156760"/>
    <w:rsid w:val="00156E36"/>
    <w:rsid w:val="00157F12"/>
    <w:rsid w:val="00160511"/>
    <w:rsid w:val="00160DC9"/>
    <w:rsid w:val="0016104B"/>
    <w:rsid w:val="0016123E"/>
    <w:rsid w:val="00161261"/>
    <w:rsid w:val="0016142A"/>
    <w:rsid w:val="00162670"/>
    <w:rsid w:val="00162EB5"/>
    <w:rsid w:val="00166975"/>
    <w:rsid w:val="001673FC"/>
    <w:rsid w:val="00167A83"/>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740"/>
    <w:rsid w:val="00190B51"/>
    <w:rsid w:val="00191B0F"/>
    <w:rsid w:val="0019241B"/>
    <w:rsid w:val="00193178"/>
    <w:rsid w:val="00194724"/>
    <w:rsid w:val="00194A0F"/>
    <w:rsid w:val="0019646F"/>
    <w:rsid w:val="00196BF3"/>
    <w:rsid w:val="00196ED7"/>
    <w:rsid w:val="001977BE"/>
    <w:rsid w:val="00197B19"/>
    <w:rsid w:val="001A03A0"/>
    <w:rsid w:val="001A0506"/>
    <w:rsid w:val="001A142F"/>
    <w:rsid w:val="001A290D"/>
    <w:rsid w:val="001A2EC1"/>
    <w:rsid w:val="001A31E1"/>
    <w:rsid w:val="001A3434"/>
    <w:rsid w:val="001A34F0"/>
    <w:rsid w:val="001A351A"/>
    <w:rsid w:val="001A3FE6"/>
    <w:rsid w:val="001A4D52"/>
    <w:rsid w:val="001A5058"/>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6EF"/>
    <w:rsid w:val="001B5E6D"/>
    <w:rsid w:val="001B6323"/>
    <w:rsid w:val="001B657F"/>
    <w:rsid w:val="001B6B4D"/>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26D"/>
    <w:rsid w:val="001D17EA"/>
    <w:rsid w:val="001D1E0C"/>
    <w:rsid w:val="001D1F6A"/>
    <w:rsid w:val="001D2466"/>
    <w:rsid w:val="001D2E9F"/>
    <w:rsid w:val="001D3147"/>
    <w:rsid w:val="001D4A15"/>
    <w:rsid w:val="001D6234"/>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2E36"/>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815"/>
    <w:rsid w:val="00221A1C"/>
    <w:rsid w:val="00222917"/>
    <w:rsid w:val="00222EDD"/>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61F1"/>
    <w:rsid w:val="00237289"/>
    <w:rsid w:val="00237D13"/>
    <w:rsid w:val="00241061"/>
    <w:rsid w:val="00241396"/>
    <w:rsid w:val="00241FA4"/>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6BC6"/>
    <w:rsid w:val="00257B3B"/>
    <w:rsid w:val="00262348"/>
    <w:rsid w:val="002637C0"/>
    <w:rsid w:val="002643AF"/>
    <w:rsid w:val="00266356"/>
    <w:rsid w:val="00267302"/>
    <w:rsid w:val="00270408"/>
    <w:rsid w:val="0027057B"/>
    <w:rsid w:val="00270BCE"/>
    <w:rsid w:val="00270DC1"/>
    <w:rsid w:val="00270E39"/>
    <w:rsid w:val="00272159"/>
    <w:rsid w:val="00272248"/>
    <w:rsid w:val="00272F12"/>
    <w:rsid w:val="00273D63"/>
    <w:rsid w:val="002744DD"/>
    <w:rsid w:val="00274B5E"/>
    <w:rsid w:val="00274E8A"/>
    <w:rsid w:val="002761F4"/>
    <w:rsid w:val="00276BC9"/>
    <w:rsid w:val="002819CC"/>
    <w:rsid w:val="00282C8F"/>
    <w:rsid w:val="00283C73"/>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46E"/>
    <w:rsid w:val="002B084B"/>
    <w:rsid w:val="002B173E"/>
    <w:rsid w:val="002B2EB9"/>
    <w:rsid w:val="002B3051"/>
    <w:rsid w:val="002B4AB5"/>
    <w:rsid w:val="002B4D56"/>
    <w:rsid w:val="002B56C0"/>
    <w:rsid w:val="002B5C0B"/>
    <w:rsid w:val="002B6351"/>
    <w:rsid w:val="002B673A"/>
    <w:rsid w:val="002B6933"/>
    <w:rsid w:val="002B784B"/>
    <w:rsid w:val="002B78ED"/>
    <w:rsid w:val="002B7BCB"/>
    <w:rsid w:val="002C06E5"/>
    <w:rsid w:val="002C0946"/>
    <w:rsid w:val="002C117A"/>
    <w:rsid w:val="002C202B"/>
    <w:rsid w:val="002C2590"/>
    <w:rsid w:val="002C2C3F"/>
    <w:rsid w:val="002C3FCE"/>
    <w:rsid w:val="002C50CA"/>
    <w:rsid w:val="002C602F"/>
    <w:rsid w:val="002C7C2B"/>
    <w:rsid w:val="002D0A53"/>
    <w:rsid w:val="002D2F54"/>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1D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2F7E"/>
    <w:rsid w:val="003037E8"/>
    <w:rsid w:val="00303DB0"/>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0F4"/>
    <w:rsid w:val="00325826"/>
    <w:rsid w:val="00326649"/>
    <w:rsid w:val="003268E2"/>
    <w:rsid w:val="00326D04"/>
    <w:rsid w:val="00326FFD"/>
    <w:rsid w:val="003275B5"/>
    <w:rsid w:val="00331B78"/>
    <w:rsid w:val="00332AD8"/>
    <w:rsid w:val="003340E6"/>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297E"/>
    <w:rsid w:val="003756FB"/>
    <w:rsid w:val="00376610"/>
    <w:rsid w:val="00376CEF"/>
    <w:rsid w:val="003770AC"/>
    <w:rsid w:val="003773F8"/>
    <w:rsid w:val="00377A66"/>
    <w:rsid w:val="00377A82"/>
    <w:rsid w:val="00381A75"/>
    <w:rsid w:val="00383F46"/>
    <w:rsid w:val="00384191"/>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4C0"/>
    <w:rsid w:val="003B2B5A"/>
    <w:rsid w:val="003B32AE"/>
    <w:rsid w:val="003B38AA"/>
    <w:rsid w:val="003B4005"/>
    <w:rsid w:val="003B465C"/>
    <w:rsid w:val="003B5117"/>
    <w:rsid w:val="003B5F90"/>
    <w:rsid w:val="003B6D50"/>
    <w:rsid w:val="003C0796"/>
    <w:rsid w:val="003C1075"/>
    <w:rsid w:val="003C158C"/>
    <w:rsid w:val="003C2496"/>
    <w:rsid w:val="003C2CE7"/>
    <w:rsid w:val="003C691E"/>
    <w:rsid w:val="003D01AF"/>
    <w:rsid w:val="003D089C"/>
    <w:rsid w:val="003D0D5D"/>
    <w:rsid w:val="003D4908"/>
    <w:rsid w:val="003D5EAB"/>
    <w:rsid w:val="003D725A"/>
    <w:rsid w:val="003D7335"/>
    <w:rsid w:val="003E0699"/>
    <w:rsid w:val="003E0B83"/>
    <w:rsid w:val="003E1FF4"/>
    <w:rsid w:val="003E40B5"/>
    <w:rsid w:val="003E4A67"/>
    <w:rsid w:val="003E4DD8"/>
    <w:rsid w:val="003E612F"/>
    <w:rsid w:val="003E62C7"/>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27D"/>
    <w:rsid w:val="00412E8E"/>
    <w:rsid w:val="00415D76"/>
    <w:rsid w:val="00415F7B"/>
    <w:rsid w:val="00416FC9"/>
    <w:rsid w:val="00417538"/>
    <w:rsid w:val="004177B4"/>
    <w:rsid w:val="0041793F"/>
    <w:rsid w:val="00420504"/>
    <w:rsid w:val="00421356"/>
    <w:rsid w:val="00423736"/>
    <w:rsid w:val="00424739"/>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50BED"/>
    <w:rsid w:val="00451063"/>
    <w:rsid w:val="004513C2"/>
    <w:rsid w:val="00451ABA"/>
    <w:rsid w:val="00452EA1"/>
    <w:rsid w:val="00453435"/>
    <w:rsid w:val="004549AB"/>
    <w:rsid w:val="00454E29"/>
    <w:rsid w:val="00455240"/>
    <w:rsid w:val="00455959"/>
    <w:rsid w:val="00455F8A"/>
    <w:rsid w:val="004560F5"/>
    <w:rsid w:val="004569F4"/>
    <w:rsid w:val="00456BC1"/>
    <w:rsid w:val="00457161"/>
    <w:rsid w:val="00460D5B"/>
    <w:rsid w:val="00460DD3"/>
    <w:rsid w:val="0046135E"/>
    <w:rsid w:val="0046200B"/>
    <w:rsid w:val="0046394C"/>
    <w:rsid w:val="00463D46"/>
    <w:rsid w:val="00463FD8"/>
    <w:rsid w:val="00464CD0"/>
    <w:rsid w:val="00466E6C"/>
    <w:rsid w:val="004679D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384E"/>
    <w:rsid w:val="004940B7"/>
    <w:rsid w:val="004945BF"/>
    <w:rsid w:val="00494F68"/>
    <w:rsid w:val="00495766"/>
    <w:rsid w:val="0049673D"/>
    <w:rsid w:val="00496B3A"/>
    <w:rsid w:val="00496E04"/>
    <w:rsid w:val="00497DF7"/>
    <w:rsid w:val="004A0325"/>
    <w:rsid w:val="004A1976"/>
    <w:rsid w:val="004A1DA4"/>
    <w:rsid w:val="004A1E2E"/>
    <w:rsid w:val="004A1F56"/>
    <w:rsid w:val="004A1FB5"/>
    <w:rsid w:val="004A2074"/>
    <w:rsid w:val="004A2665"/>
    <w:rsid w:val="004A56AF"/>
    <w:rsid w:val="004A5933"/>
    <w:rsid w:val="004A69F3"/>
    <w:rsid w:val="004A6A93"/>
    <w:rsid w:val="004A6E2E"/>
    <w:rsid w:val="004B0198"/>
    <w:rsid w:val="004B025E"/>
    <w:rsid w:val="004B0B66"/>
    <w:rsid w:val="004B0E3B"/>
    <w:rsid w:val="004B0E92"/>
    <w:rsid w:val="004B1CE2"/>
    <w:rsid w:val="004B2DAB"/>
    <w:rsid w:val="004B3BD2"/>
    <w:rsid w:val="004B3D5A"/>
    <w:rsid w:val="004B3DE6"/>
    <w:rsid w:val="004B550F"/>
    <w:rsid w:val="004B617C"/>
    <w:rsid w:val="004B723A"/>
    <w:rsid w:val="004B7C13"/>
    <w:rsid w:val="004C0D01"/>
    <w:rsid w:val="004C164B"/>
    <w:rsid w:val="004C2118"/>
    <w:rsid w:val="004C30F4"/>
    <w:rsid w:val="004C320D"/>
    <w:rsid w:val="004C3E95"/>
    <w:rsid w:val="004C4814"/>
    <w:rsid w:val="004C6150"/>
    <w:rsid w:val="004C673C"/>
    <w:rsid w:val="004C6E14"/>
    <w:rsid w:val="004C7662"/>
    <w:rsid w:val="004D0A5B"/>
    <w:rsid w:val="004D202D"/>
    <w:rsid w:val="004D3559"/>
    <w:rsid w:val="004D35B2"/>
    <w:rsid w:val="004D3922"/>
    <w:rsid w:val="004D40E3"/>
    <w:rsid w:val="004D52D0"/>
    <w:rsid w:val="004D5405"/>
    <w:rsid w:val="004D5BFB"/>
    <w:rsid w:val="004D5CF0"/>
    <w:rsid w:val="004D6A71"/>
    <w:rsid w:val="004D70A2"/>
    <w:rsid w:val="004D79CE"/>
    <w:rsid w:val="004E0128"/>
    <w:rsid w:val="004E09AB"/>
    <w:rsid w:val="004E0F6A"/>
    <w:rsid w:val="004E12FF"/>
    <w:rsid w:val="004E1F05"/>
    <w:rsid w:val="004E2747"/>
    <w:rsid w:val="004E287B"/>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4E8A"/>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746"/>
    <w:rsid w:val="00545E59"/>
    <w:rsid w:val="005462AF"/>
    <w:rsid w:val="005469FE"/>
    <w:rsid w:val="005511F9"/>
    <w:rsid w:val="00551AA8"/>
    <w:rsid w:val="00552059"/>
    <w:rsid w:val="0055221F"/>
    <w:rsid w:val="00553ADF"/>
    <w:rsid w:val="00554067"/>
    <w:rsid w:val="00554CAC"/>
    <w:rsid w:val="00554CE1"/>
    <w:rsid w:val="00555D35"/>
    <w:rsid w:val="005562DC"/>
    <w:rsid w:val="005565A5"/>
    <w:rsid w:val="005575EF"/>
    <w:rsid w:val="005575F5"/>
    <w:rsid w:val="00557E2F"/>
    <w:rsid w:val="00560101"/>
    <w:rsid w:val="005605CC"/>
    <w:rsid w:val="0056276D"/>
    <w:rsid w:val="005637B7"/>
    <w:rsid w:val="00564A60"/>
    <w:rsid w:val="00564A7F"/>
    <w:rsid w:val="005654DC"/>
    <w:rsid w:val="00565777"/>
    <w:rsid w:val="00565B49"/>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64D"/>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97451"/>
    <w:rsid w:val="005A02DC"/>
    <w:rsid w:val="005A03DE"/>
    <w:rsid w:val="005A077D"/>
    <w:rsid w:val="005A0EAC"/>
    <w:rsid w:val="005A133F"/>
    <w:rsid w:val="005A16E3"/>
    <w:rsid w:val="005A19BE"/>
    <w:rsid w:val="005A2C74"/>
    <w:rsid w:val="005A30EC"/>
    <w:rsid w:val="005A518B"/>
    <w:rsid w:val="005A5201"/>
    <w:rsid w:val="005A627E"/>
    <w:rsid w:val="005A6DC2"/>
    <w:rsid w:val="005A7083"/>
    <w:rsid w:val="005A7608"/>
    <w:rsid w:val="005A7644"/>
    <w:rsid w:val="005A7707"/>
    <w:rsid w:val="005B1651"/>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2F04"/>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520B"/>
    <w:rsid w:val="005E6567"/>
    <w:rsid w:val="005E717E"/>
    <w:rsid w:val="005F117A"/>
    <w:rsid w:val="005F11FC"/>
    <w:rsid w:val="005F22A7"/>
    <w:rsid w:val="005F2399"/>
    <w:rsid w:val="005F2BCF"/>
    <w:rsid w:val="005F2FAE"/>
    <w:rsid w:val="005F3204"/>
    <w:rsid w:val="005F3AA1"/>
    <w:rsid w:val="005F58A9"/>
    <w:rsid w:val="005F5E32"/>
    <w:rsid w:val="005F6A42"/>
    <w:rsid w:val="005F7C0B"/>
    <w:rsid w:val="00600DCE"/>
    <w:rsid w:val="00600E72"/>
    <w:rsid w:val="00602085"/>
    <w:rsid w:val="0060231D"/>
    <w:rsid w:val="0060310F"/>
    <w:rsid w:val="00604944"/>
    <w:rsid w:val="00605A33"/>
    <w:rsid w:val="00606918"/>
    <w:rsid w:val="006107D6"/>
    <w:rsid w:val="0061090E"/>
    <w:rsid w:val="00612403"/>
    <w:rsid w:val="00612906"/>
    <w:rsid w:val="00612E8B"/>
    <w:rsid w:val="0061490B"/>
    <w:rsid w:val="00615FD8"/>
    <w:rsid w:val="00616477"/>
    <w:rsid w:val="0061650C"/>
    <w:rsid w:val="00616E6F"/>
    <w:rsid w:val="0061759F"/>
    <w:rsid w:val="006176E5"/>
    <w:rsid w:val="00617D7A"/>
    <w:rsid w:val="00620CAE"/>
    <w:rsid w:val="006213D4"/>
    <w:rsid w:val="00621D65"/>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5F6C"/>
    <w:rsid w:val="00646682"/>
    <w:rsid w:val="00650A27"/>
    <w:rsid w:val="0065105A"/>
    <w:rsid w:val="006530A0"/>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50B0"/>
    <w:rsid w:val="00696BD1"/>
    <w:rsid w:val="00696EF6"/>
    <w:rsid w:val="0069769B"/>
    <w:rsid w:val="00697E73"/>
    <w:rsid w:val="006A04CE"/>
    <w:rsid w:val="006A0732"/>
    <w:rsid w:val="006A20B2"/>
    <w:rsid w:val="006A20E8"/>
    <w:rsid w:val="006A26FB"/>
    <w:rsid w:val="006A2E73"/>
    <w:rsid w:val="006A3F8B"/>
    <w:rsid w:val="006A4966"/>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3F11"/>
    <w:rsid w:val="006B561A"/>
    <w:rsid w:val="006B5639"/>
    <w:rsid w:val="006B5FDC"/>
    <w:rsid w:val="006B62B0"/>
    <w:rsid w:val="006B6E90"/>
    <w:rsid w:val="006B746E"/>
    <w:rsid w:val="006B76EE"/>
    <w:rsid w:val="006B7D9B"/>
    <w:rsid w:val="006C1D18"/>
    <w:rsid w:val="006C24E4"/>
    <w:rsid w:val="006C5D57"/>
    <w:rsid w:val="006C6007"/>
    <w:rsid w:val="006C668E"/>
    <w:rsid w:val="006D03B1"/>
    <w:rsid w:val="006D0962"/>
    <w:rsid w:val="006D43D1"/>
    <w:rsid w:val="006D531B"/>
    <w:rsid w:val="006D5A81"/>
    <w:rsid w:val="006D5AA7"/>
    <w:rsid w:val="006D615C"/>
    <w:rsid w:val="006D6BB4"/>
    <w:rsid w:val="006D759A"/>
    <w:rsid w:val="006D781E"/>
    <w:rsid w:val="006D7BDE"/>
    <w:rsid w:val="006E0FB6"/>
    <w:rsid w:val="006E2009"/>
    <w:rsid w:val="006E4523"/>
    <w:rsid w:val="006E49B0"/>
    <w:rsid w:val="006E4CBA"/>
    <w:rsid w:val="006E520B"/>
    <w:rsid w:val="006E522D"/>
    <w:rsid w:val="006E6160"/>
    <w:rsid w:val="006E6252"/>
    <w:rsid w:val="006E625B"/>
    <w:rsid w:val="006E768C"/>
    <w:rsid w:val="006E78C3"/>
    <w:rsid w:val="006F28DA"/>
    <w:rsid w:val="006F2E8A"/>
    <w:rsid w:val="006F303E"/>
    <w:rsid w:val="006F31EF"/>
    <w:rsid w:val="006F3202"/>
    <w:rsid w:val="006F3DD2"/>
    <w:rsid w:val="006F5778"/>
    <w:rsid w:val="006F7333"/>
    <w:rsid w:val="006F77B3"/>
    <w:rsid w:val="00700411"/>
    <w:rsid w:val="0070407F"/>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679D"/>
    <w:rsid w:val="00716DC7"/>
    <w:rsid w:val="00717621"/>
    <w:rsid w:val="0071789E"/>
    <w:rsid w:val="00717D4B"/>
    <w:rsid w:val="0072077A"/>
    <w:rsid w:val="007207FC"/>
    <w:rsid w:val="007213F1"/>
    <w:rsid w:val="00721827"/>
    <w:rsid w:val="00721B88"/>
    <w:rsid w:val="00722668"/>
    <w:rsid w:val="007241E1"/>
    <w:rsid w:val="007247C1"/>
    <w:rsid w:val="00724A88"/>
    <w:rsid w:val="00724AF2"/>
    <w:rsid w:val="00724F55"/>
    <w:rsid w:val="00725838"/>
    <w:rsid w:val="007263F1"/>
    <w:rsid w:val="00726C59"/>
    <w:rsid w:val="007275E1"/>
    <w:rsid w:val="00727B34"/>
    <w:rsid w:val="0073031B"/>
    <w:rsid w:val="0073052C"/>
    <w:rsid w:val="0073235F"/>
    <w:rsid w:val="00732686"/>
    <w:rsid w:val="00732A32"/>
    <w:rsid w:val="00733131"/>
    <w:rsid w:val="00733818"/>
    <w:rsid w:val="00733E34"/>
    <w:rsid w:val="00734D65"/>
    <w:rsid w:val="007351BE"/>
    <w:rsid w:val="007357D6"/>
    <w:rsid w:val="0074024D"/>
    <w:rsid w:val="00740D39"/>
    <w:rsid w:val="00741E65"/>
    <w:rsid w:val="007442E2"/>
    <w:rsid w:val="00744DB0"/>
    <w:rsid w:val="00746067"/>
    <w:rsid w:val="0075045D"/>
    <w:rsid w:val="007533E1"/>
    <w:rsid w:val="00754101"/>
    <w:rsid w:val="0075490B"/>
    <w:rsid w:val="00754BEC"/>
    <w:rsid w:val="007557D3"/>
    <w:rsid w:val="007558B7"/>
    <w:rsid w:val="00755DA8"/>
    <w:rsid w:val="00756902"/>
    <w:rsid w:val="00757A53"/>
    <w:rsid w:val="00760A85"/>
    <w:rsid w:val="00760EF9"/>
    <w:rsid w:val="00761B03"/>
    <w:rsid w:val="00761F25"/>
    <w:rsid w:val="00762F8F"/>
    <w:rsid w:val="00763103"/>
    <w:rsid w:val="00763461"/>
    <w:rsid w:val="0076548E"/>
    <w:rsid w:val="0076557F"/>
    <w:rsid w:val="00765AA8"/>
    <w:rsid w:val="00765D84"/>
    <w:rsid w:val="007667AC"/>
    <w:rsid w:val="00767815"/>
    <w:rsid w:val="00767F8A"/>
    <w:rsid w:val="00770316"/>
    <w:rsid w:val="0077110E"/>
    <w:rsid w:val="0077133D"/>
    <w:rsid w:val="00771689"/>
    <w:rsid w:val="00772C7F"/>
    <w:rsid w:val="00773B13"/>
    <w:rsid w:val="00773C28"/>
    <w:rsid w:val="00774453"/>
    <w:rsid w:val="00775647"/>
    <w:rsid w:val="00775905"/>
    <w:rsid w:val="00775B96"/>
    <w:rsid w:val="00776830"/>
    <w:rsid w:val="00776848"/>
    <w:rsid w:val="00776B8D"/>
    <w:rsid w:val="00776EE1"/>
    <w:rsid w:val="007777AA"/>
    <w:rsid w:val="007809F2"/>
    <w:rsid w:val="00780BAD"/>
    <w:rsid w:val="00781BCE"/>
    <w:rsid w:val="00782FA1"/>
    <w:rsid w:val="00783B51"/>
    <w:rsid w:val="00783BFA"/>
    <w:rsid w:val="00783C80"/>
    <w:rsid w:val="00783FB2"/>
    <w:rsid w:val="00785F44"/>
    <w:rsid w:val="007869BA"/>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97F77"/>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8D6"/>
    <w:rsid w:val="007B7914"/>
    <w:rsid w:val="007B7D7B"/>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2387"/>
    <w:rsid w:val="007D2EB8"/>
    <w:rsid w:val="007D45A8"/>
    <w:rsid w:val="007D488D"/>
    <w:rsid w:val="007D5F73"/>
    <w:rsid w:val="007D6C0C"/>
    <w:rsid w:val="007D7688"/>
    <w:rsid w:val="007E150B"/>
    <w:rsid w:val="007E2464"/>
    <w:rsid w:val="007E36FC"/>
    <w:rsid w:val="007E4188"/>
    <w:rsid w:val="007E4C84"/>
    <w:rsid w:val="007E5095"/>
    <w:rsid w:val="007E529F"/>
    <w:rsid w:val="007E6314"/>
    <w:rsid w:val="007E71C1"/>
    <w:rsid w:val="007E7F9D"/>
    <w:rsid w:val="007F0A35"/>
    <w:rsid w:val="007F12ED"/>
    <w:rsid w:val="007F1F1C"/>
    <w:rsid w:val="007F3911"/>
    <w:rsid w:val="007F392A"/>
    <w:rsid w:val="007F3F77"/>
    <w:rsid w:val="007F4125"/>
    <w:rsid w:val="007F4741"/>
    <w:rsid w:val="007F55D7"/>
    <w:rsid w:val="007F671D"/>
    <w:rsid w:val="007F6D6B"/>
    <w:rsid w:val="007F6EDE"/>
    <w:rsid w:val="007F717E"/>
    <w:rsid w:val="007F7235"/>
    <w:rsid w:val="0080017B"/>
    <w:rsid w:val="00801B0F"/>
    <w:rsid w:val="00802031"/>
    <w:rsid w:val="0080222E"/>
    <w:rsid w:val="00802B1E"/>
    <w:rsid w:val="00803311"/>
    <w:rsid w:val="00803457"/>
    <w:rsid w:val="008034B4"/>
    <w:rsid w:val="00803645"/>
    <w:rsid w:val="00804094"/>
    <w:rsid w:val="00804959"/>
    <w:rsid w:val="00804B8C"/>
    <w:rsid w:val="00805BB2"/>
    <w:rsid w:val="00805F3C"/>
    <w:rsid w:val="008070CF"/>
    <w:rsid w:val="00810F0A"/>
    <w:rsid w:val="008121FB"/>
    <w:rsid w:val="0081654C"/>
    <w:rsid w:val="00816572"/>
    <w:rsid w:val="00816672"/>
    <w:rsid w:val="0081704B"/>
    <w:rsid w:val="00817AFF"/>
    <w:rsid w:val="008202CC"/>
    <w:rsid w:val="008212A7"/>
    <w:rsid w:val="008221C8"/>
    <w:rsid w:val="0082231A"/>
    <w:rsid w:val="00823CD9"/>
    <w:rsid w:val="008240FE"/>
    <w:rsid w:val="008243FF"/>
    <w:rsid w:val="00826116"/>
    <w:rsid w:val="00830024"/>
    <w:rsid w:val="00830DCA"/>
    <w:rsid w:val="00831A72"/>
    <w:rsid w:val="008328E8"/>
    <w:rsid w:val="00832B1D"/>
    <w:rsid w:val="00833325"/>
    <w:rsid w:val="00833D7A"/>
    <w:rsid w:val="008348F1"/>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657"/>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0403"/>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B5966"/>
    <w:rsid w:val="008B6393"/>
    <w:rsid w:val="008B6533"/>
    <w:rsid w:val="008B7F6A"/>
    <w:rsid w:val="008C06F7"/>
    <w:rsid w:val="008C2295"/>
    <w:rsid w:val="008C28CD"/>
    <w:rsid w:val="008C38CF"/>
    <w:rsid w:val="008C46F8"/>
    <w:rsid w:val="008C4B1B"/>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8BC"/>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0A0A"/>
    <w:rsid w:val="00901B63"/>
    <w:rsid w:val="00902500"/>
    <w:rsid w:val="00902EBE"/>
    <w:rsid w:val="00903206"/>
    <w:rsid w:val="009032DE"/>
    <w:rsid w:val="00903356"/>
    <w:rsid w:val="00905B70"/>
    <w:rsid w:val="009063BF"/>
    <w:rsid w:val="00906540"/>
    <w:rsid w:val="00907766"/>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2713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3759"/>
    <w:rsid w:val="009542E6"/>
    <w:rsid w:val="0095432B"/>
    <w:rsid w:val="00954918"/>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436"/>
    <w:rsid w:val="009667F8"/>
    <w:rsid w:val="00967D62"/>
    <w:rsid w:val="00970D16"/>
    <w:rsid w:val="0097189A"/>
    <w:rsid w:val="0097200A"/>
    <w:rsid w:val="009733D3"/>
    <w:rsid w:val="009736EB"/>
    <w:rsid w:val="009737D2"/>
    <w:rsid w:val="00973DC8"/>
    <w:rsid w:val="009754A7"/>
    <w:rsid w:val="0097689E"/>
    <w:rsid w:val="00976A0F"/>
    <w:rsid w:val="00976CDB"/>
    <w:rsid w:val="00977567"/>
    <w:rsid w:val="00977F8A"/>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B7B8A"/>
    <w:rsid w:val="009C0BE4"/>
    <w:rsid w:val="009C17F0"/>
    <w:rsid w:val="009C451C"/>
    <w:rsid w:val="009C4A7C"/>
    <w:rsid w:val="009C5922"/>
    <w:rsid w:val="009C5DAF"/>
    <w:rsid w:val="009C6300"/>
    <w:rsid w:val="009C6731"/>
    <w:rsid w:val="009C680C"/>
    <w:rsid w:val="009C69D5"/>
    <w:rsid w:val="009C72DF"/>
    <w:rsid w:val="009C7CF5"/>
    <w:rsid w:val="009D008F"/>
    <w:rsid w:val="009D0A1F"/>
    <w:rsid w:val="009D0AD7"/>
    <w:rsid w:val="009D207C"/>
    <w:rsid w:val="009D25BD"/>
    <w:rsid w:val="009D2B33"/>
    <w:rsid w:val="009D3BC9"/>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06F"/>
    <w:rsid w:val="009E4529"/>
    <w:rsid w:val="009E465E"/>
    <w:rsid w:val="009E5842"/>
    <w:rsid w:val="009E5B5C"/>
    <w:rsid w:val="009E6DAD"/>
    <w:rsid w:val="009F0059"/>
    <w:rsid w:val="009F01B0"/>
    <w:rsid w:val="009F066C"/>
    <w:rsid w:val="009F0A4C"/>
    <w:rsid w:val="009F0FA5"/>
    <w:rsid w:val="009F1E12"/>
    <w:rsid w:val="009F1E36"/>
    <w:rsid w:val="009F1F3A"/>
    <w:rsid w:val="009F21FD"/>
    <w:rsid w:val="009F3D84"/>
    <w:rsid w:val="009F41FE"/>
    <w:rsid w:val="009F4715"/>
    <w:rsid w:val="009F5244"/>
    <w:rsid w:val="009F5846"/>
    <w:rsid w:val="009F5B27"/>
    <w:rsid w:val="009F641D"/>
    <w:rsid w:val="009F65C9"/>
    <w:rsid w:val="009F6AC7"/>
    <w:rsid w:val="009F7726"/>
    <w:rsid w:val="00A007D0"/>
    <w:rsid w:val="00A00CDB"/>
    <w:rsid w:val="00A01426"/>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36C0"/>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5F3"/>
    <w:rsid w:val="00A47C5F"/>
    <w:rsid w:val="00A47C64"/>
    <w:rsid w:val="00A51E4D"/>
    <w:rsid w:val="00A51F07"/>
    <w:rsid w:val="00A524B8"/>
    <w:rsid w:val="00A54405"/>
    <w:rsid w:val="00A55A7A"/>
    <w:rsid w:val="00A562C5"/>
    <w:rsid w:val="00A5709C"/>
    <w:rsid w:val="00A57753"/>
    <w:rsid w:val="00A623A2"/>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3C7A"/>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C17"/>
    <w:rsid w:val="00AB1DBC"/>
    <w:rsid w:val="00AB1ED1"/>
    <w:rsid w:val="00AB1FD4"/>
    <w:rsid w:val="00AB251D"/>
    <w:rsid w:val="00AB3056"/>
    <w:rsid w:val="00AB3339"/>
    <w:rsid w:val="00AB340C"/>
    <w:rsid w:val="00AB3A31"/>
    <w:rsid w:val="00AB5059"/>
    <w:rsid w:val="00AB656C"/>
    <w:rsid w:val="00AB74FC"/>
    <w:rsid w:val="00AB75A6"/>
    <w:rsid w:val="00AB7722"/>
    <w:rsid w:val="00AC06F4"/>
    <w:rsid w:val="00AC4230"/>
    <w:rsid w:val="00AC5F81"/>
    <w:rsid w:val="00AC60AC"/>
    <w:rsid w:val="00AC624B"/>
    <w:rsid w:val="00AC7A31"/>
    <w:rsid w:val="00AD02C1"/>
    <w:rsid w:val="00AD1E01"/>
    <w:rsid w:val="00AD32CE"/>
    <w:rsid w:val="00AD4674"/>
    <w:rsid w:val="00AD4F07"/>
    <w:rsid w:val="00AD4F8F"/>
    <w:rsid w:val="00AD539B"/>
    <w:rsid w:val="00AD584F"/>
    <w:rsid w:val="00AD5BEC"/>
    <w:rsid w:val="00AE0507"/>
    <w:rsid w:val="00AE1960"/>
    <w:rsid w:val="00AE19E3"/>
    <w:rsid w:val="00AE3049"/>
    <w:rsid w:val="00AE371F"/>
    <w:rsid w:val="00AE38F5"/>
    <w:rsid w:val="00AE38F8"/>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17B"/>
    <w:rsid w:val="00B0535C"/>
    <w:rsid w:val="00B06326"/>
    <w:rsid w:val="00B106F1"/>
    <w:rsid w:val="00B109B1"/>
    <w:rsid w:val="00B10B0B"/>
    <w:rsid w:val="00B1173B"/>
    <w:rsid w:val="00B11917"/>
    <w:rsid w:val="00B120A4"/>
    <w:rsid w:val="00B12F0E"/>
    <w:rsid w:val="00B12FF4"/>
    <w:rsid w:val="00B13442"/>
    <w:rsid w:val="00B1390A"/>
    <w:rsid w:val="00B1425E"/>
    <w:rsid w:val="00B15540"/>
    <w:rsid w:val="00B164F7"/>
    <w:rsid w:val="00B167F8"/>
    <w:rsid w:val="00B17109"/>
    <w:rsid w:val="00B200B2"/>
    <w:rsid w:val="00B21DA7"/>
    <w:rsid w:val="00B23E1C"/>
    <w:rsid w:val="00B24229"/>
    <w:rsid w:val="00B244D4"/>
    <w:rsid w:val="00B2482E"/>
    <w:rsid w:val="00B24994"/>
    <w:rsid w:val="00B24B83"/>
    <w:rsid w:val="00B251F9"/>
    <w:rsid w:val="00B25E14"/>
    <w:rsid w:val="00B25F1D"/>
    <w:rsid w:val="00B2782A"/>
    <w:rsid w:val="00B27CE6"/>
    <w:rsid w:val="00B30487"/>
    <w:rsid w:val="00B30B51"/>
    <w:rsid w:val="00B324F4"/>
    <w:rsid w:val="00B33243"/>
    <w:rsid w:val="00B336D8"/>
    <w:rsid w:val="00B34BFA"/>
    <w:rsid w:val="00B35405"/>
    <w:rsid w:val="00B356A4"/>
    <w:rsid w:val="00B3582A"/>
    <w:rsid w:val="00B37E75"/>
    <w:rsid w:val="00B40C78"/>
    <w:rsid w:val="00B411EC"/>
    <w:rsid w:val="00B41C0A"/>
    <w:rsid w:val="00B4225C"/>
    <w:rsid w:val="00B4251E"/>
    <w:rsid w:val="00B429CA"/>
    <w:rsid w:val="00B42C06"/>
    <w:rsid w:val="00B44F22"/>
    <w:rsid w:val="00B45EDD"/>
    <w:rsid w:val="00B45F3D"/>
    <w:rsid w:val="00B46F3A"/>
    <w:rsid w:val="00B471E0"/>
    <w:rsid w:val="00B47E6F"/>
    <w:rsid w:val="00B50AB0"/>
    <w:rsid w:val="00B50B55"/>
    <w:rsid w:val="00B50F81"/>
    <w:rsid w:val="00B519A4"/>
    <w:rsid w:val="00B5360F"/>
    <w:rsid w:val="00B537A2"/>
    <w:rsid w:val="00B53979"/>
    <w:rsid w:val="00B54EA7"/>
    <w:rsid w:val="00B5535F"/>
    <w:rsid w:val="00B57455"/>
    <w:rsid w:val="00B6128F"/>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6358"/>
    <w:rsid w:val="00B7732E"/>
    <w:rsid w:val="00B77651"/>
    <w:rsid w:val="00B80C47"/>
    <w:rsid w:val="00B81322"/>
    <w:rsid w:val="00B81A36"/>
    <w:rsid w:val="00B82332"/>
    <w:rsid w:val="00B835B7"/>
    <w:rsid w:val="00B857B3"/>
    <w:rsid w:val="00B862CD"/>
    <w:rsid w:val="00B86385"/>
    <w:rsid w:val="00B86487"/>
    <w:rsid w:val="00B86766"/>
    <w:rsid w:val="00B87192"/>
    <w:rsid w:val="00B874B6"/>
    <w:rsid w:val="00B9187A"/>
    <w:rsid w:val="00B92E1A"/>
    <w:rsid w:val="00B93654"/>
    <w:rsid w:val="00B93D23"/>
    <w:rsid w:val="00B94951"/>
    <w:rsid w:val="00B949CD"/>
    <w:rsid w:val="00B95D33"/>
    <w:rsid w:val="00B96178"/>
    <w:rsid w:val="00B96441"/>
    <w:rsid w:val="00B96B6E"/>
    <w:rsid w:val="00B96CA3"/>
    <w:rsid w:val="00B97591"/>
    <w:rsid w:val="00B97B6E"/>
    <w:rsid w:val="00BA006C"/>
    <w:rsid w:val="00BA080D"/>
    <w:rsid w:val="00BA20B0"/>
    <w:rsid w:val="00BA3159"/>
    <w:rsid w:val="00BA372F"/>
    <w:rsid w:val="00BA377D"/>
    <w:rsid w:val="00BA4961"/>
    <w:rsid w:val="00BA4E67"/>
    <w:rsid w:val="00BA5CA2"/>
    <w:rsid w:val="00BA6156"/>
    <w:rsid w:val="00BA6305"/>
    <w:rsid w:val="00BA66FC"/>
    <w:rsid w:val="00BA7940"/>
    <w:rsid w:val="00BB302C"/>
    <w:rsid w:val="00BB3C51"/>
    <w:rsid w:val="00BB449B"/>
    <w:rsid w:val="00BB4599"/>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2F69"/>
    <w:rsid w:val="00BF4049"/>
    <w:rsid w:val="00BF433B"/>
    <w:rsid w:val="00BF482E"/>
    <w:rsid w:val="00BF48DB"/>
    <w:rsid w:val="00BF4B8B"/>
    <w:rsid w:val="00BF5318"/>
    <w:rsid w:val="00BF5486"/>
    <w:rsid w:val="00BF5EE7"/>
    <w:rsid w:val="00BF6FE8"/>
    <w:rsid w:val="00BF78DE"/>
    <w:rsid w:val="00BF7C57"/>
    <w:rsid w:val="00C00EF0"/>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48CC"/>
    <w:rsid w:val="00C15554"/>
    <w:rsid w:val="00C17CB6"/>
    <w:rsid w:val="00C217A1"/>
    <w:rsid w:val="00C221FB"/>
    <w:rsid w:val="00C2264D"/>
    <w:rsid w:val="00C23282"/>
    <w:rsid w:val="00C23CCC"/>
    <w:rsid w:val="00C24859"/>
    <w:rsid w:val="00C25CDA"/>
    <w:rsid w:val="00C27E98"/>
    <w:rsid w:val="00C301CF"/>
    <w:rsid w:val="00C30204"/>
    <w:rsid w:val="00C309F0"/>
    <w:rsid w:val="00C30CED"/>
    <w:rsid w:val="00C31183"/>
    <w:rsid w:val="00C31357"/>
    <w:rsid w:val="00C3188F"/>
    <w:rsid w:val="00C31C0D"/>
    <w:rsid w:val="00C33847"/>
    <w:rsid w:val="00C340E9"/>
    <w:rsid w:val="00C34365"/>
    <w:rsid w:val="00C345C2"/>
    <w:rsid w:val="00C356A9"/>
    <w:rsid w:val="00C3572A"/>
    <w:rsid w:val="00C35B11"/>
    <w:rsid w:val="00C364B5"/>
    <w:rsid w:val="00C373B4"/>
    <w:rsid w:val="00C374E7"/>
    <w:rsid w:val="00C378BC"/>
    <w:rsid w:val="00C403B2"/>
    <w:rsid w:val="00C408CC"/>
    <w:rsid w:val="00C40C5E"/>
    <w:rsid w:val="00C40D08"/>
    <w:rsid w:val="00C411E2"/>
    <w:rsid w:val="00C412A1"/>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153"/>
    <w:rsid w:val="00C64EA4"/>
    <w:rsid w:val="00C65610"/>
    <w:rsid w:val="00C66505"/>
    <w:rsid w:val="00C67AF4"/>
    <w:rsid w:val="00C70A6E"/>
    <w:rsid w:val="00C7207C"/>
    <w:rsid w:val="00C7220E"/>
    <w:rsid w:val="00C72B99"/>
    <w:rsid w:val="00C73A00"/>
    <w:rsid w:val="00C73C69"/>
    <w:rsid w:val="00C758FD"/>
    <w:rsid w:val="00C762E2"/>
    <w:rsid w:val="00C76C64"/>
    <w:rsid w:val="00C77DF4"/>
    <w:rsid w:val="00C82AF3"/>
    <w:rsid w:val="00C82EC3"/>
    <w:rsid w:val="00C8314D"/>
    <w:rsid w:val="00C84704"/>
    <w:rsid w:val="00C84C2B"/>
    <w:rsid w:val="00C85CD7"/>
    <w:rsid w:val="00C85EE2"/>
    <w:rsid w:val="00C86EA8"/>
    <w:rsid w:val="00C879A4"/>
    <w:rsid w:val="00C87AEC"/>
    <w:rsid w:val="00C9093A"/>
    <w:rsid w:val="00C9134E"/>
    <w:rsid w:val="00C91B50"/>
    <w:rsid w:val="00C92968"/>
    <w:rsid w:val="00C92FD7"/>
    <w:rsid w:val="00C93F04"/>
    <w:rsid w:val="00C94CAC"/>
    <w:rsid w:val="00C9721C"/>
    <w:rsid w:val="00C979E0"/>
    <w:rsid w:val="00CA1169"/>
    <w:rsid w:val="00CA1EB4"/>
    <w:rsid w:val="00CA1FC0"/>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3E4F"/>
    <w:rsid w:val="00CB475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019"/>
    <w:rsid w:val="00CD5672"/>
    <w:rsid w:val="00CD6134"/>
    <w:rsid w:val="00CD6622"/>
    <w:rsid w:val="00CD7C93"/>
    <w:rsid w:val="00CE0B01"/>
    <w:rsid w:val="00CE0CD5"/>
    <w:rsid w:val="00CE133F"/>
    <w:rsid w:val="00CE25BC"/>
    <w:rsid w:val="00CE2B81"/>
    <w:rsid w:val="00CE4C48"/>
    <w:rsid w:val="00CE4DD4"/>
    <w:rsid w:val="00CE5941"/>
    <w:rsid w:val="00CE5E80"/>
    <w:rsid w:val="00CE7BB7"/>
    <w:rsid w:val="00CE7E8A"/>
    <w:rsid w:val="00CF0182"/>
    <w:rsid w:val="00CF04D1"/>
    <w:rsid w:val="00CF16AE"/>
    <w:rsid w:val="00CF1A1B"/>
    <w:rsid w:val="00CF37F9"/>
    <w:rsid w:val="00CF3ED9"/>
    <w:rsid w:val="00CF4589"/>
    <w:rsid w:val="00CF4624"/>
    <w:rsid w:val="00CF465D"/>
    <w:rsid w:val="00CF5DF9"/>
    <w:rsid w:val="00CF60BA"/>
    <w:rsid w:val="00CF694A"/>
    <w:rsid w:val="00CF6E4E"/>
    <w:rsid w:val="00CF70A6"/>
    <w:rsid w:val="00CF7601"/>
    <w:rsid w:val="00CF7959"/>
    <w:rsid w:val="00CF7C34"/>
    <w:rsid w:val="00D00E7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453E"/>
    <w:rsid w:val="00D152FB"/>
    <w:rsid w:val="00D169D5"/>
    <w:rsid w:val="00D20F65"/>
    <w:rsid w:val="00D215ED"/>
    <w:rsid w:val="00D219E7"/>
    <w:rsid w:val="00D228F9"/>
    <w:rsid w:val="00D23429"/>
    <w:rsid w:val="00D2370C"/>
    <w:rsid w:val="00D24153"/>
    <w:rsid w:val="00D24CBA"/>
    <w:rsid w:val="00D24DAB"/>
    <w:rsid w:val="00D2673D"/>
    <w:rsid w:val="00D26C8A"/>
    <w:rsid w:val="00D26D28"/>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37236"/>
    <w:rsid w:val="00D4125D"/>
    <w:rsid w:val="00D43C39"/>
    <w:rsid w:val="00D45ADA"/>
    <w:rsid w:val="00D47260"/>
    <w:rsid w:val="00D506B1"/>
    <w:rsid w:val="00D50C0B"/>
    <w:rsid w:val="00D51380"/>
    <w:rsid w:val="00D51DE2"/>
    <w:rsid w:val="00D551F2"/>
    <w:rsid w:val="00D56352"/>
    <w:rsid w:val="00D5658C"/>
    <w:rsid w:val="00D5719D"/>
    <w:rsid w:val="00D60813"/>
    <w:rsid w:val="00D61865"/>
    <w:rsid w:val="00D61A7B"/>
    <w:rsid w:val="00D632B6"/>
    <w:rsid w:val="00D6367F"/>
    <w:rsid w:val="00D64A7A"/>
    <w:rsid w:val="00D657C7"/>
    <w:rsid w:val="00D65A62"/>
    <w:rsid w:val="00D66BC1"/>
    <w:rsid w:val="00D67174"/>
    <w:rsid w:val="00D67493"/>
    <w:rsid w:val="00D67A62"/>
    <w:rsid w:val="00D70509"/>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0E3A"/>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31E6"/>
    <w:rsid w:val="00DF4493"/>
    <w:rsid w:val="00DF44D5"/>
    <w:rsid w:val="00DF4AB3"/>
    <w:rsid w:val="00DF5003"/>
    <w:rsid w:val="00DF5249"/>
    <w:rsid w:val="00DF5903"/>
    <w:rsid w:val="00DF5932"/>
    <w:rsid w:val="00DF6129"/>
    <w:rsid w:val="00E000FD"/>
    <w:rsid w:val="00E01AAB"/>
    <w:rsid w:val="00E03E05"/>
    <w:rsid w:val="00E0547D"/>
    <w:rsid w:val="00E0777F"/>
    <w:rsid w:val="00E07D6D"/>
    <w:rsid w:val="00E1046D"/>
    <w:rsid w:val="00E10EA9"/>
    <w:rsid w:val="00E110EE"/>
    <w:rsid w:val="00E1136E"/>
    <w:rsid w:val="00E1182B"/>
    <w:rsid w:val="00E11CBD"/>
    <w:rsid w:val="00E131BF"/>
    <w:rsid w:val="00E14286"/>
    <w:rsid w:val="00E147BB"/>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2ADB"/>
    <w:rsid w:val="00E33A6E"/>
    <w:rsid w:val="00E33CDF"/>
    <w:rsid w:val="00E33F44"/>
    <w:rsid w:val="00E34D42"/>
    <w:rsid w:val="00E35E8A"/>
    <w:rsid w:val="00E3681A"/>
    <w:rsid w:val="00E36E44"/>
    <w:rsid w:val="00E379F0"/>
    <w:rsid w:val="00E37D81"/>
    <w:rsid w:val="00E401A6"/>
    <w:rsid w:val="00E4134F"/>
    <w:rsid w:val="00E416D2"/>
    <w:rsid w:val="00E4307A"/>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E71"/>
    <w:rsid w:val="00E60FC3"/>
    <w:rsid w:val="00E62047"/>
    <w:rsid w:val="00E63ADF"/>
    <w:rsid w:val="00E6452C"/>
    <w:rsid w:val="00E64579"/>
    <w:rsid w:val="00E64BB6"/>
    <w:rsid w:val="00E65245"/>
    <w:rsid w:val="00E65992"/>
    <w:rsid w:val="00E66017"/>
    <w:rsid w:val="00E66584"/>
    <w:rsid w:val="00E7081C"/>
    <w:rsid w:val="00E70BDB"/>
    <w:rsid w:val="00E71639"/>
    <w:rsid w:val="00E71979"/>
    <w:rsid w:val="00E72113"/>
    <w:rsid w:val="00E724B9"/>
    <w:rsid w:val="00E737CE"/>
    <w:rsid w:val="00E73AE3"/>
    <w:rsid w:val="00E73C18"/>
    <w:rsid w:val="00E754E7"/>
    <w:rsid w:val="00E75C2F"/>
    <w:rsid w:val="00E80F7A"/>
    <w:rsid w:val="00E81CA7"/>
    <w:rsid w:val="00E82EFE"/>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1EAD"/>
    <w:rsid w:val="00EB2135"/>
    <w:rsid w:val="00EB3208"/>
    <w:rsid w:val="00EB5CEE"/>
    <w:rsid w:val="00EB5E4B"/>
    <w:rsid w:val="00EB67EB"/>
    <w:rsid w:val="00EB7D72"/>
    <w:rsid w:val="00EC0598"/>
    <w:rsid w:val="00EC070A"/>
    <w:rsid w:val="00EC0869"/>
    <w:rsid w:val="00EC091D"/>
    <w:rsid w:val="00EC0D24"/>
    <w:rsid w:val="00EC37B3"/>
    <w:rsid w:val="00EC44B4"/>
    <w:rsid w:val="00EC4F6F"/>
    <w:rsid w:val="00EC5826"/>
    <w:rsid w:val="00EC5AE4"/>
    <w:rsid w:val="00EC6941"/>
    <w:rsid w:val="00EC7BBC"/>
    <w:rsid w:val="00ED0CF6"/>
    <w:rsid w:val="00ED1710"/>
    <w:rsid w:val="00ED1BC0"/>
    <w:rsid w:val="00ED29EB"/>
    <w:rsid w:val="00ED2DBD"/>
    <w:rsid w:val="00ED2FA8"/>
    <w:rsid w:val="00ED5A68"/>
    <w:rsid w:val="00ED6681"/>
    <w:rsid w:val="00ED675F"/>
    <w:rsid w:val="00ED6C4A"/>
    <w:rsid w:val="00ED6E3A"/>
    <w:rsid w:val="00EE0F72"/>
    <w:rsid w:val="00EE15E7"/>
    <w:rsid w:val="00EE1842"/>
    <w:rsid w:val="00EE3881"/>
    <w:rsid w:val="00EE3959"/>
    <w:rsid w:val="00EE3C77"/>
    <w:rsid w:val="00EE4748"/>
    <w:rsid w:val="00EE47BE"/>
    <w:rsid w:val="00EE4FC1"/>
    <w:rsid w:val="00EE550E"/>
    <w:rsid w:val="00EE676B"/>
    <w:rsid w:val="00EE681B"/>
    <w:rsid w:val="00EE74D9"/>
    <w:rsid w:val="00EE7D3E"/>
    <w:rsid w:val="00EF0015"/>
    <w:rsid w:val="00EF13F3"/>
    <w:rsid w:val="00EF2F13"/>
    <w:rsid w:val="00EF46C8"/>
    <w:rsid w:val="00EF48F6"/>
    <w:rsid w:val="00EF5381"/>
    <w:rsid w:val="00EF58DD"/>
    <w:rsid w:val="00EF6B45"/>
    <w:rsid w:val="00F0057B"/>
    <w:rsid w:val="00F006DA"/>
    <w:rsid w:val="00F00BB7"/>
    <w:rsid w:val="00F00F9F"/>
    <w:rsid w:val="00F01660"/>
    <w:rsid w:val="00F039D2"/>
    <w:rsid w:val="00F03A50"/>
    <w:rsid w:val="00F04465"/>
    <w:rsid w:val="00F04C75"/>
    <w:rsid w:val="00F05C65"/>
    <w:rsid w:val="00F06030"/>
    <w:rsid w:val="00F06077"/>
    <w:rsid w:val="00F06483"/>
    <w:rsid w:val="00F06528"/>
    <w:rsid w:val="00F07066"/>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2C3"/>
    <w:rsid w:val="00F2355B"/>
    <w:rsid w:val="00F24AFB"/>
    <w:rsid w:val="00F24D15"/>
    <w:rsid w:val="00F26FCB"/>
    <w:rsid w:val="00F30399"/>
    <w:rsid w:val="00F30634"/>
    <w:rsid w:val="00F30BC5"/>
    <w:rsid w:val="00F30EAB"/>
    <w:rsid w:val="00F31E1B"/>
    <w:rsid w:val="00F326C8"/>
    <w:rsid w:val="00F328BF"/>
    <w:rsid w:val="00F3318E"/>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686"/>
    <w:rsid w:val="00F52A24"/>
    <w:rsid w:val="00F53178"/>
    <w:rsid w:val="00F535A5"/>
    <w:rsid w:val="00F541AE"/>
    <w:rsid w:val="00F560C1"/>
    <w:rsid w:val="00F5649E"/>
    <w:rsid w:val="00F57B67"/>
    <w:rsid w:val="00F57F4B"/>
    <w:rsid w:val="00F6047E"/>
    <w:rsid w:val="00F606D9"/>
    <w:rsid w:val="00F62C42"/>
    <w:rsid w:val="00F63024"/>
    <w:rsid w:val="00F63529"/>
    <w:rsid w:val="00F643F2"/>
    <w:rsid w:val="00F65399"/>
    <w:rsid w:val="00F66937"/>
    <w:rsid w:val="00F70A6B"/>
    <w:rsid w:val="00F71637"/>
    <w:rsid w:val="00F71E34"/>
    <w:rsid w:val="00F72CE7"/>
    <w:rsid w:val="00F73E58"/>
    <w:rsid w:val="00F755C7"/>
    <w:rsid w:val="00F75F61"/>
    <w:rsid w:val="00F765A2"/>
    <w:rsid w:val="00F81A9F"/>
    <w:rsid w:val="00F82221"/>
    <w:rsid w:val="00F83581"/>
    <w:rsid w:val="00F8549E"/>
    <w:rsid w:val="00F85AF0"/>
    <w:rsid w:val="00F85BE4"/>
    <w:rsid w:val="00F862B1"/>
    <w:rsid w:val="00F8643F"/>
    <w:rsid w:val="00F870B5"/>
    <w:rsid w:val="00F8736F"/>
    <w:rsid w:val="00F9139E"/>
    <w:rsid w:val="00F92D74"/>
    <w:rsid w:val="00F93DBB"/>
    <w:rsid w:val="00F951E3"/>
    <w:rsid w:val="00F96DD4"/>
    <w:rsid w:val="00F96EEC"/>
    <w:rsid w:val="00F973F5"/>
    <w:rsid w:val="00FA0692"/>
    <w:rsid w:val="00FA0D44"/>
    <w:rsid w:val="00FA1530"/>
    <w:rsid w:val="00FA198A"/>
    <w:rsid w:val="00FA1C8C"/>
    <w:rsid w:val="00FA2563"/>
    <w:rsid w:val="00FA2C27"/>
    <w:rsid w:val="00FA3C12"/>
    <w:rsid w:val="00FA3EA3"/>
    <w:rsid w:val="00FA4401"/>
    <w:rsid w:val="00FA4C12"/>
    <w:rsid w:val="00FA58CB"/>
    <w:rsid w:val="00FA5D27"/>
    <w:rsid w:val="00FA5D9A"/>
    <w:rsid w:val="00FA677A"/>
    <w:rsid w:val="00FA6CFA"/>
    <w:rsid w:val="00FA6DE8"/>
    <w:rsid w:val="00FB0A94"/>
    <w:rsid w:val="00FB0BA4"/>
    <w:rsid w:val="00FB1C5D"/>
    <w:rsid w:val="00FB316A"/>
    <w:rsid w:val="00FB3551"/>
    <w:rsid w:val="00FB4613"/>
    <w:rsid w:val="00FB4C81"/>
    <w:rsid w:val="00FB518E"/>
    <w:rsid w:val="00FB6428"/>
    <w:rsid w:val="00FB6841"/>
    <w:rsid w:val="00FC0AAD"/>
    <w:rsid w:val="00FC1724"/>
    <w:rsid w:val="00FC27DB"/>
    <w:rsid w:val="00FC59E5"/>
    <w:rsid w:val="00FC5D81"/>
    <w:rsid w:val="00FC6855"/>
    <w:rsid w:val="00FC6911"/>
    <w:rsid w:val="00FC73D9"/>
    <w:rsid w:val="00FC7A5E"/>
    <w:rsid w:val="00FD0807"/>
    <w:rsid w:val="00FD120E"/>
    <w:rsid w:val="00FD1F87"/>
    <w:rsid w:val="00FD35D0"/>
    <w:rsid w:val="00FD5A80"/>
    <w:rsid w:val="00FD65A5"/>
    <w:rsid w:val="00FD681B"/>
    <w:rsid w:val="00FD7331"/>
    <w:rsid w:val="00FD7FF0"/>
    <w:rsid w:val="00FE0E03"/>
    <w:rsid w:val="00FE1142"/>
    <w:rsid w:val="00FE3414"/>
    <w:rsid w:val="00FE3673"/>
    <w:rsid w:val="00FE5919"/>
    <w:rsid w:val="00FF014F"/>
    <w:rsid w:val="00FF049C"/>
    <w:rsid w:val="00FF19DC"/>
    <w:rsid w:val="00FF2188"/>
    <w:rsid w:val="00FF3272"/>
    <w:rsid w:val="00FF5C5A"/>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2B9D8"/>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96FCD"/>
    <w:rPr>
      <w:rFonts w:ascii="Times New Roman" w:hAnsi="Times New Roman"/>
      <w:sz w:val="24"/>
      <w:szCs w:val="24"/>
    </w:rPr>
  </w:style>
  <w:style w:type="paragraph" w:styleId="Virsraksts5">
    <w:name w:val="heading 5"/>
    <w:basedOn w:val="Parasts"/>
    <w:next w:val="Parasts"/>
    <w:link w:val="Virsraksts5Rakstz"/>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locked/>
    <w:rsid w:val="00D96FCD"/>
    <w:rPr>
      <w:rFonts w:ascii="Times New Roman" w:hAnsi="Times New Roman" w:cs="Times New Roman"/>
      <w:sz w:val="20"/>
      <w:szCs w:val="20"/>
      <w:lang w:val="en-US"/>
    </w:rPr>
  </w:style>
  <w:style w:type="paragraph" w:customStyle="1" w:styleId="naisf">
    <w:name w:val="naisf"/>
    <w:basedOn w:val="Parasts"/>
    <w:rsid w:val="00D96FCD"/>
    <w:pPr>
      <w:spacing w:before="75" w:after="75"/>
      <w:ind w:firstLine="375"/>
      <w:jc w:val="both"/>
    </w:pPr>
  </w:style>
  <w:style w:type="paragraph" w:customStyle="1" w:styleId="naisnod">
    <w:name w:val="naisnod"/>
    <w:basedOn w:val="Parasts"/>
    <w:rsid w:val="00D96FCD"/>
    <w:pPr>
      <w:spacing w:before="150" w:after="150"/>
      <w:jc w:val="center"/>
    </w:pPr>
    <w:rPr>
      <w:b/>
      <w:bCs/>
    </w:rPr>
  </w:style>
  <w:style w:type="paragraph" w:customStyle="1" w:styleId="naiskr">
    <w:name w:val="naiskr"/>
    <w:basedOn w:val="Parasts"/>
    <w:rsid w:val="00D96FCD"/>
    <w:pPr>
      <w:spacing w:before="75" w:after="75"/>
    </w:pPr>
  </w:style>
  <w:style w:type="table" w:styleId="Reatabula">
    <w:name w:val="Table Grid"/>
    <w:basedOn w:val="Parastatabula"/>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96FCD"/>
    <w:rPr>
      <w:sz w:val="20"/>
      <w:szCs w:val="20"/>
    </w:rPr>
  </w:style>
  <w:style w:type="character" w:customStyle="1" w:styleId="VrestekstsRakstz">
    <w:name w:val="Vēres teksts Rakstz."/>
    <w:basedOn w:val="Noklusjumarindkopasfonts"/>
    <w:link w:val="Vresteksts"/>
    <w:semiHidden/>
    <w:locked/>
    <w:rsid w:val="00D96FCD"/>
    <w:rPr>
      <w:rFonts w:ascii="Times New Roman" w:hAnsi="Times New Roman" w:cs="Times New Roman"/>
      <w:sz w:val="20"/>
      <w:szCs w:val="20"/>
      <w:lang w:eastAsia="lv-LV"/>
    </w:rPr>
  </w:style>
  <w:style w:type="paragraph" w:styleId="Pamattekstaatkpe2">
    <w:name w:val="Body Text Indent 2"/>
    <w:basedOn w:val="Parasts"/>
    <w:link w:val="Pamattekstaatkpe2Rakstz"/>
    <w:semiHidden/>
    <w:rsid w:val="00D96FCD"/>
    <w:pPr>
      <w:spacing w:after="120" w:line="480" w:lineRule="auto"/>
      <w:ind w:left="283"/>
    </w:pPr>
  </w:style>
  <w:style w:type="character" w:customStyle="1" w:styleId="Pamattekstaatkpe2Rakstz">
    <w:name w:val="Pamatteksta atkāpe 2 Rakstz."/>
    <w:basedOn w:val="Noklusjumarindkopasfonts"/>
    <w:link w:val="Pamattekstaatkpe2"/>
    <w:semiHidden/>
    <w:locked/>
    <w:rsid w:val="00D96FCD"/>
    <w:rPr>
      <w:rFonts w:ascii="Times New Roman" w:hAnsi="Times New Roman" w:cs="Times New Roman"/>
      <w:sz w:val="24"/>
      <w:szCs w:val="24"/>
      <w:lang w:eastAsia="lv-LV"/>
    </w:rPr>
  </w:style>
  <w:style w:type="paragraph" w:styleId="Galvene">
    <w:name w:val="header"/>
    <w:basedOn w:val="Parasts"/>
    <w:link w:val="GalveneRakstz"/>
    <w:rsid w:val="00D96FCD"/>
    <w:pPr>
      <w:tabs>
        <w:tab w:val="center" w:pos="4153"/>
        <w:tab w:val="right" w:pos="8306"/>
      </w:tabs>
    </w:pPr>
  </w:style>
  <w:style w:type="character" w:customStyle="1" w:styleId="GalveneRakstz">
    <w:name w:val="Galvene Rakstz."/>
    <w:basedOn w:val="Noklusjumarindkopasfonts"/>
    <w:link w:val="Galvene"/>
    <w:locked/>
    <w:rsid w:val="00D96FCD"/>
    <w:rPr>
      <w:rFonts w:ascii="Times New Roman" w:hAnsi="Times New Roman" w:cs="Times New Roman"/>
      <w:sz w:val="24"/>
      <w:szCs w:val="24"/>
      <w:lang w:eastAsia="lv-LV"/>
    </w:rPr>
  </w:style>
  <w:style w:type="paragraph" w:styleId="Kjene">
    <w:name w:val="footer"/>
    <w:basedOn w:val="Parasts"/>
    <w:link w:val="KjeneRakstz"/>
    <w:rsid w:val="00D96FCD"/>
    <w:pPr>
      <w:tabs>
        <w:tab w:val="center" w:pos="4153"/>
        <w:tab w:val="right" w:pos="8306"/>
      </w:tabs>
    </w:pPr>
  </w:style>
  <w:style w:type="character" w:customStyle="1" w:styleId="KjeneRakstz">
    <w:name w:val="Kājene Rakstz."/>
    <w:basedOn w:val="Noklusjumarindkopasfonts"/>
    <w:link w:val="Kjene"/>
    <w:locked/>
    <w:rsid w:val="00D96FCD"/>
    <w:rPr>
      <w:rFonts w:ascii="Times New Roman" w:hAnsi="Times New Roman" w:cs="Times New Roman"/>
      <w:sz w:val="24"/>
      <w:szCs w:val="24"/>
      <w:lang w:eastAsia="lv-LV"/>
    </w:rPr>
  </w:style>
  <w:style w:type="paragraph" w:styleId="Pamatteksts">
    <w:name w:val="Body Text"/>
    <w:basedOn w:val="Parasts"/>
    <w:link w:val="PamattekstsRakstz"/>
    <w:semiHidden/>
    <w:rsid w:val="00D96FCD"/>
    <w:pPr>
      <w:spacing w:after="120"/>
    </w:pPr>
  </w:style>
  <w:style w:type="character" w:customStyle="1" w:styleId="PamattekstsRakstz">
    <w:name w:val="Pamatteksts Rakstz."/>
    <w:basedOn w:val="Noklusjumarindkopasfonts"/>
    <w:link w:val="Pamatteksts"/>
    <w:semiHidden/>
    <w:locked/>
    <w:rsid w:val="00D96FCD"/>
    <w:rPr>
      <w:rFonts w:ascii="Times New Roman" w:hAnsi="Times New Roman" w:cs="Times New Roman"/>
      <w:sz w:val="24"/>
      <w:szCs w:val="24"/>
      <w:lang w:eastAsia="lv-LV"/>
    </w:rPr>
  </w:style>
  <w:style w:type="character" w:styleId="Hipersaite">
    <w:name w:val="Hyperlink"/>
    <w:basedOn w:val="Noklusjumarindkopasfonts"/>
    <w:rsid w:val="00844660"/>
    <w:rPr>
      <w:color w:val="0000FF"/>
      <w:u w:val="single"/>
    </w:rPr>
  </w:style>
  <w:style w:type="character" w:styleId="Izclums">
    <w:name w:val="Emphasis"/>
    <w:basedOn w:val="Noklusjumarindkopasfonts"/>
    <w:uiPriority w:val="20"/>
    <w:qFormat/>
    <w:locked/>
    <w:rsid w:val="003A193D"/>
    <w:rPr>
      <w:b/>
      <w:bCs/>
      <w:i w:val="0"/>
      <w:iCs w:val="0"/>
    </w:rPr>
  </w:style>
  <w:style w:type="character" w:customStyle="1" w:styleId="std1">
    <w:name w:val="std1"/>
    <w:basedOn w:val="Noklusjumarindkopasfonts"/>
    <w:rsid w:val="003A193D"/>
    <w:rPr>
      <w:rFonts w:ascii="Arial" w:hAnsi="Arial" w:cs="Arial" w:hint="default"/>
      <w:sz w:val="24"/>
      <w:szCs w:val="24"/>
    </w:rPr>
  </w:style>
  <w:style w:type="paragraph" w:styleId="Pamatteksts2">
    <w:name w:val="Body Text 2"/>
    <w:basedOn w:val="Parasts"/>
    <w:link w:val="Pamatteksts2Rakstz"/>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Noklusjumarindkopasfonts"/>
    <w:rsid w:val="001B1189"/>
  </w:style>
  <w:style w:type="paragraph" w:styleId="Sarakstarindkopa">
    <w:name w:val="List Paragraph"/>
    <w:basedOn w:val="Parasts"/>
    <w:uiPriority w:val="34"/>
    <w:qFormat/>
    <w:rsid w:val="00BE3D54"/>
    <w:pPr>
      <w:ind w:left="720"/>
      <w:contextualSpacing/>
    </w:pPr>
  </w:style>
  <w:style w:type="paragraph" w:styleId="Bezatstarpm">
    <w:name w:val="No Spacing"/>
    <w:uiPriority w:val="1"/>
    <w:qFormat/>
    <w:rsid w:val="00481F9B"/>
    <w:rPr>
      <w:rFonts w:ascii="Times New Roman" w:eastAsia="Times New Roman" w:hAnsi="Times New Roman"/>
      <w:sz w:val="24"/>
      <w:szCs w:val="24"/>
    </w:rPr>
  </w:style>
  <w:style w:type="paragraph" w:styleId="Balonteksts">
    <w:name w:val="Balloon Text"/>
    <w:basedOn w:val="Parasts"/>
    <w:link w:val="BalontekstsRakstz"/>
    <w:semiHidden/>
    <w:unhideWhenUsed/>
    <w:rsid w:val="001D2466"/>
    <w:rPr>
      <w:rFonts w:ascii="Segoe UI" w:hAnsi="Segoe UI" w:cs="Segoe UI"/>
      <w:sz w:val="18"/>
      <w:szCs w:val="18"/>
    </w:rPr>
  </w:style>
  <w:style w:type="character" w:customStyle="1" w:styleId="BalontekstsRakstz">
    <w:name w:val="Balonteksts Rakstz."/>
    <w:basedOn w:val="Noklusjumarindkopasfonts"/>
    <w:link w:val="Balonteksts"/>
    <w:semiHidden/>
    <w:rsid w:val="001D2466"/>
    <w:rPr>
      <w:rFonts w:ascii="Segoe UI" w:hAnsi="Segoe UI" w:cs="Segoe UI"/>
      <w:sz w:val="18"/>
      <w:szCs w:val="18"/>
    </w:rPr>
  </w:style>
  <w:style w:type="character" w:styleId="Vresatsauce">
    <w:name w:val="footnote reference"/>
    <w:basedOn w:val="Noklusjumarindkopasfonts"/>
    <w:semiHidden/>
    <w:unhideWhenUsed/>
    <w:rsid w:val="00B251F9"/>
    <w:rPr>
      <w:vertAlign w:val="superscript"/>
    </w:rPr>
  </w:style>
  <w:style w:type="character" w:styleId="Komentraatsauce">
    <w:name w:val="annotation reference"/>
    <w:basedOn w:val="Noklusjumarindkopasfonts"/>
    <w:semiHidden/>
    <w:unhideWhenUsed/>
    <w:rsid w:val="003037E8"/>
    <w:rPr>
      <w:sz w:val="16"/>
      <w:szCs w:val="16"/>
    </w:rPr>
  </w:style>
  <w:style w:type="paragraph" w:styleId="Komentrateksts">
    <w:name w:val="annotation text"/>
    <w:basedOn w:val="Parasts"/>
    <w:link w:val="KomentratekstsRakstz"/>
    <w:semiHidden/>
    <w:unhideWhenUsed/>
    <w:rsid w:val="003037E8"/>
    <w:rPr>
      <w:sz w:val="20"/>
      <w:szCs w:val="20"/>
    </w:rPr>
  </w:style>
  <w:style w:type="character" w:customStyle="1" w:styleId="KomentratekstsRakstz">
    <w:name w:val="Komentāra teksts Rakstz."/>
    <w:basedOn w:val="Noklusjumarindkopasfonts"/>
    <w:link w:val="Komentrateksts"/>
    <w:semiHidden/>
    <w:rsid w:val="003037E8"/>
    <w:rPr>
      <w:rFonts w:ascii="Times New Roman" w:hAnsi="Times New Roman"/>
    </w:rPr>
  </w:style>
  <w:style w:type="paragraph" w:styleId="Komentratma">
    <w:name w:val="annotation subject"/>
    <w:basedOn w:val="Komentrateksts"/>
    <w:next w:val="Komentrateksts"/>
    <w:link w:val="KomentratmaRakstz"/>
    <w:semiHidden/>
    <w:unhideWhenUsed/>
    <w:rsid w:val="003037E8"/>
    <w:rPr>
      <w:b/>
      <w:bCs/>
    </w:rPr>
  </w:style>
  <w:style w:type="character" w:customStyle="1" w:styleId="KomentratmaRakstz">
    <w:name w:val="Komentāra tēma Rakstz."/>
    <w:basedOn w:val="KomentratekstsRakstz"/>
    <w:link w:val="Komentratma"/>
    <w:semiHidden/>
    <w:rsid w:val="003037E8"/>
    <w:rPr>
      <w:rFonts w:ascii="Times New Roman" w:hAnsi="Times New Roman"/>
      <w:b/>
      <w:bCs/>
    </w:rPr>
  </w:style>
  <w:style w:type="paragraph" w:customStyle="1" w:styleId="Default">
    <w:name w:val="Default"/>
    <w:rsid w:val="004E28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478618928">
      <w:bodyDiv w:val="1"/>
      <w:marLeft w:val="0"/>
      <w:marRight w:val="0"/>
      <w:marTop w:val="0"/>
      <w:marBottom w:val="0"/>
      <w:divBdr>
        <w:top w:val="none" w:sz="0" w:space="0" w:color="auto"/>
        <w:left w:val="none" w:sz="0" w:space="0" w:color="auto"/>
        <w:bottom w:val="none" w:sz="0" w:space="0" w:color="auto"/>
        <w:right w:val="none" w:sz="0" w:space="0" w:color="auto"/>
      </w:divBdr>
    </w:div>
    <w:div w:id="492064868">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1029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iles/first-eravscorona-action-plan-short-term-coordinated-reseach-and-innovation-act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laipniec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F1B7-4243-4165-B8F3-A3613D99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7890</Words>
  <Characters>4498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 valsts sekretāra vietnieks - Sporta departamenta direktors E.Severs_x000d_
67047935, edgars.severs@izm.gov.lv</dc:description>
  <cp:lastModifiedBy>mic704469</cp:lastModifiedBy>
  <cp:revision>2</cp:revision>
  <cp:lastPrinted>2018-03-22T14:28:00Z</cp:lastPrinted>
  <dcterms:created xsi:type="dcterms:W3CDTF">2020-04-30T06:02:00Z</dcterms:created>
  <dcterms:modified xsi:type="dcterms:W3CDTF">2020-04-30T06:02:00Z</dcterms:modified>
</cp:coreProperties>
</file>