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7912" w14:textId="77777777" w:rsidR="008D68DB" w:rsidRDefault="00DF37EA">
      <w:pPr>
        <w:ind w:left="720"/>
        <w:jc w:val="center"/>
        <w:rPr>
          <w:b/>
          <w:color w:val="000000"/>
          <w:sz w:val="28"/>
          <w:szCs w:val="28"/>
        </w:rPr>
      </w:pPr>
      <w:r>
        <w:rPr>
          <w:b/>
          <w:color w:val="000000"/>
          <w:sz w:val="28"/>
          <w:szCs w:val="28"/>
        </w:rPr>
        <w:t xml:space="preserve">Ministru kabineta noteikumu projekta </w:t>
      </w:r>
    </w:p>
    <w:p w14:paraId="23A99C48" w14:textId="77777777" w:rsidR="008D68DB" w:rsidRDefault="00DF37EA">
      <w:pPr>
        <w:jc w:val="center"/>
        <w:rPr>
          <w:b/>
          <w:color w:val="000000"/>
          <w:sz w:val="28"/>
          <w:szCs w:val="28"/>
        </w:rPr>
      </w:pPr>
      <w:r>
        <w:rPr>
          <w:b/>
          <w:color w:val="000000"/>
          <w:sz w:val="28"/>
          <w:szCs w:val="28"/>
        </w:rPr>
        <w:t xml:space="preserve">„Grozījumi Ministru kabineta 2011.gada 25.janvāra noteikumos </w:t>
      </w:r>
    </w:p>
    <w:p w14:paraId="3CDD29A2" w14:textId="77777777" w:rsidR="008D68DB" w:rsidRDefault="00DF37EA">
      <w:pPr>
        <w:jc w:val="center"/>
        <w:rPr>
          <w:b/>
          <w:color w:val="000000"/>
          <w:sz w:val="28"/>
          <w:szCs w:val="28"/>
        </w:rPr>
      </w:pPr>
      <w:r>
        <w:rPr>
          <w:b/>
          <w:color w:val="000000"/>
          <w:sz w:val="28"/>
          <w:szCs w:val="28"/>
        </w:rPr>
        <w:t>Nr.75 „Noteikumi par aktīvo nodarbinātības pasākumu un preventīvo bezdarba samazināšanas pasākumu organizēšanas un finansēšanas kārtību un pasākumu īstenotāju izvēles principiem””</w:t>
      </w:r>
    </w:p>
    <w:p w14:paraId="0B92FD87" w14:textId="77777777" w:rsidR="008D68DB" w:rsidRDefault="00DF37EA">
      <w:pPr>
        <w:jc w:val="center"/>
        <w:rPr>
          <w:b/>
          <w:sz w:val="28"/>
          <w:szCs w:val="28"/>
        </w:rPr>
      </w:pPr>
      <w:r>
        <w:rPr>
          <w:b/>
          <w:sz w:val="28"/>
          <w:szCs w:val="28"/>
        </w:rPr>
        <w:t>sākotnējās ietekmes novērtējuma ziņojums (anotācija)</w:t>
      </w:r>
    </w:p>
    <w:p w14:paraId="01E379F6" w14:textId="77777777" w:rsidR="008D68DB" w:rsidRDefault="008D68DB">
      <w:pPr>
        <w:jc w:val="center"/>
        <w:rPr>
          <w:b/>
          <w:sz w:val="28"/>
          <w:szCs w:val="28"/>
        </w:rPr>
      </w:pPr>
    </w:p>
    <w:tbl>
      <w:tblPr>
        <w:tblStyle w:val="TableGrid"/>
        <w:tblW w:w="9209" w:type="dxa"/>
        <w:tblLayout w:type="fixed"/>
        <w:tblLook w:val="04A0" w:firstRow="1" w:lastRow="0" w:firstColumn="1" w:lastColumn="0" w:noHBand="0" w:noVBand="1"/>
      </w:tblPr>
      <w:tblGrid>
        <w:gridCol w:w="2830"/>
        <w:gridCol w:w="6379"/>
      </w:tblGrid>
      <w:tr w:rsidR="008D68DB" w14:paraId="0869B912" w14:textId="77777777">
        <w:tc>
          <w:tcPr>
            <w:tcW w:w="9209" w:type="dxa"/>
            <w:gridSpan w:val="2"/>
          </w:tcPr>
          <w:p w14:paraId="0ECA77FC" w14:textId="77777777" w:rsidR="008D68DB" w:rsidRDefault="00DF37EA">
            <w:pPr>
              <w:jc w:val="center"/>
              <w:rPr>
                <w:b/>
              </w:rPr>
            </w:pPr>
            <w:r>
              <w:rPr>
                <w:b/>
              </w:rPr>
              <w:t>Tiesību akta projekta anotācijas kopsavilkums</w:t>
            </w:r>
          </w:p>
        </w:tc>
      </w:tr>
      <w:tr w:rsidR="008D68DB" w14:paraId="0ABAD537" w14:textId="77777777">
        <w:tc>
          <w:tcPr>
            <w:tcW w:w="2830" w:type="dxa"/>
          </w:tcPr>
          <w:p w14:paraId="5AEDACB2" w14:textId="77777777" w:rsidR="008D68DB" w:rsidRDefault="00DF37EA">
            <w:r>
              <w:t xml:space="preserve">Mērķis, risinājums un projekta spēkā stāšanās laiks </w:t>
            </w:r>
          </w:p>
        </w:tc>
        <w:tc>
          <w:tcPr>
            <w:tcW w:w="6379" w:type="dxa"/>
          </w:tcPr>
          <w:p w14:paraId="6B071B9A" w14:textId="590D8576" w:rsidR="008D68DB" w:rsidRDefault="00DF37EA">
            <w:pPr>
              <w:jc w:val="both"/>
            </w:pPr>
            <w:r>
              <w:t>Lai veicinātu bezdarbnieku apmācību kvalitāti un īstenošanas nosacījumu ievērošanu, 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paredz pastiprinātu profesionālās apmācības, pārkvalifikācijas, kvalifikācijas paaugstināšanas un neformālās izglītības ieguves pasākumu īstenotāju atbildību par pasākumu īstenošanas nosacījumu neievērošanu, kā arī nosaka papildus kritērijus izglītības iestādēm, kuras vēlas īstenot profesionālās tālākizglītības un profesionālās pilnveides programmas bezdarbnieku apmācību ietvaros. Tāpat pēc Labklājības ministrijas iniciatīvas  Noteikumu projektā ietvertas tiesību normas, kas pilnveido aktīvās darba tirgus politikas pasākumu īstenošanas nosacījumus, lai nodrošinātu bezdarbniekiem efektīvāku atbalstu darba meklēšanā un nodrošinātu mērķētākus atbalsta pasākumus, t.sk. pilnveidojot reģionālajās mobilitātes atbalstu.</w:t>
            </w:r>
          </w:p>
        </w:tc>
      </w:tr>
    </w:tbl>
    <w:p w14:paraId="3C92529B" w14:textId="77777777" w:rsidR="008D68DB" w:rsidRDefault="008D68DB">
      <w:pPr>
        <w:jc w:val="center"/>
        <w:rPr>
          <w:b/>
          <w:sz w:val="28"/>
          <w:szCs w:val="28"/>
        </w:rPr>
      </w:pPr>
    </w:p>
    <w:tbl>
      <w:tblPr>
        <w:tblpPr w:leftFromText="180" w:rightFromText="180" w:vertAnchor="text" w:tblpY="1"/>
        <w:tblOverlap w:val="neve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410"/>
      </w:tblGrid>
      <w:tr w:rsidR="008D68DB" w14:paraId="166F7F85" w14:textId="77777777">
        <w:tc>
          <w:tcPr>
            <w:tcW w:w="9210" w:type="dxa"/>
            <w:gridSpan w:val="3"/>
            <w:shd w:val="clear" w:color="000000" w:fill="auto"/>
          </w:tcPr>
          <w:p w14:paraId="5477E3EB" w14:textId="77777777" w:rsidR="008D68DB" w:rsidRDefault="00DF37EA">
            <w:pPr>
              <w:jc w:val="center"/>
              <w:rPr>
                <w:b/>
              </w:rPr>
            </w:pPr>
            <w:r>
              <w:rPr>
                <w:b/>
              </w:rPr>
              <w:t>I. Tiesību akta projekta izstrādes nepieciešamība</w:t>
            </w:r>
          </w:p>
        </w:tc>
      </w:tr>
      <w:tr w:rsidR="008D68DB" w14:paraId="020EA5FC" w14:textId="77777777">
        <w:tc>
          <w:tcPr>
            <w:tcW w:w="381" w:type="dxa"/>
            <w:shd w:val="clear" w:color="000000" w:fill="auto"/>
          </w:tcPr>
          <w:p w14:paraId="4E7BE04A" w14:textId="77777777" w:rsidR="008D68DB" w:rsidRDefault="00DF37EA">
            <w:pPr>
              <w:rPr>
                <w:sz w:val="22"/>
                <w:szCs w:val="22"/>
              </w:rPr>
            </w:pPr>
            <w:r>
              <w:rPr>
                <w:sz w:val="22"/>
                <w:szCs w:val="22"/>
              </w:rPr>
              <w:t>1.</w:t>
            </w:r>
          </w:p>
        </w:tc>
        <w:tc>
          <w:tcPr>
            <w:tcW w:w="2419" w:type="dxa"/>
            <w:shd w:val="clear" w:color="000000" w:fill="auto"/>
          </w:tcPr>
          <w:p w14:paraId="015861F6" w14:textId="77777777" w:rsidR="008D68DB" w:rsidRDefault="00DF37EA">
            <w:r>
              <w:t>Pamatojums</w:t>
            </w:r>
          </w:p>
        </w:tc>
        <w:tc>
          <w:tcPr>
            <w:tcW w:w="6410" w:type="dxa"/>
            <w:shd w:val="clear" w:color="000000" w:fill="auto"/>
          </w:tcPr>
          <w:p w14:paraId="36B2BD23" w14:textId="46977FE0" w:rsidR="008D68DB" w:rsidRDefault="00DF37EA">
            <w:pPr>
              <w:contextualSpacing/>
              <w:jc w:val="both"/>
            </w:pPr>
            <w:r>
              <w:t>Noteikumu projekts izstrādāts pēc Labklājības ministrijas iniciatīvas. Noteikumu projektā ietvertas tiesību normas, kas pilnveido aktīvās darba tirgus politikas pasākumu īstenošanas nosacījumus, lai nodrošinātu bezdarbniekiem efektīvāku atbalstu darba meklēšanā un nodrošinātu mērķētākus atbalsta pasākumus.</w:t>
            </w:r>
          </w:p>
        </w:tc>
      </w:tr>
      <w:tr w:rsidR="008D68DB" w14:paraId="7F0AC974" w14:textId="77777777">
        <w:tc>
          <w:tcPr>
            <w:tcW w:w="381" w:type="dxa"/>
            <w:shd w:val="clear" w:color="000000" w:fill="auto"/>
          </w:tcPr>
          <w:p w14:paraId="07027151" w14:textId="77777777" w:rsidR="008D68DB" w:rsidRDefault="00DF37EA">
            <w:pPr>
              <w:rPr>
                <w:sz w:val="22"/>
                <w:szCs w:val="22"/>
              </w:rPr>
            </w:pPr>
            <w:r>
              <w:rPr>
                <w:sz w:val="22"/>
                <w:szCs w:val="22"/>
              </w:rPr>
              <w:t xml:space="preserve">2. </w:t>
            </w:r>
          </w:p>
        </w:tc>
        <w:tc>
          <w:tcPr>
            <w:tcW w:w="2419" w:type="dxa"/>
            <w:shd w:val="clear" w:color="000000" w:fill="auto"/>
          </w:tcPr>
          <w:p w14:paraId="03C1EFD2" w14:textId="77777777" w:rsidR="008D68DB" w:rsidRDefault="00DF37EA">
            <w:r>
              <w:t>Pašreizējā situācija un problēmas, kuru risināšanai tiesību akta projekts izstrādāts, tiesiskā regulējuma mērķis un būtība</w:t>
            </w:r>
          </w:p>
        </w:tc>
        <w:tc>
          <w:tcPr>
            <w:tcW w:w="6410" w:type="dxa"/>
            <w:shd w:val="clear" w:color="000000" w:fill="auto"/>
          </w:tcPr>
          <w:p w14:paraId="421A0905" w14:textId="25EAE944" w:rsidR="008D68DB" w:rsidRDefault="00DF37EA">
            <w:pPr>
              <w:shd w:val="clear" w:color="000000" w:fill="FFFFFF"/>
              <w:jc w:val="both"/>
              <w:rPr>
                <w:spacing w:val="-4"/>
              </w:rPr>
            </w:pPr>
            <w:r>
              <w:rPr>
                <w:spacing w:val="-4"/>
              </w:rPr>
              <w:t xml:space="preserve">Atbalstu pasākumus darba meklēšanā reglamentē </w:t>
            </w:r>
            <w:r>
              <w:t xml:space="preserve"> </w:t>
            </w:r>
            <w:r>
              <w:rPr>
                <w:spacing w:val="-4"/>
              </w:rPr>
              <w:t>Ministru kabineta 2011.gada 25.janvāra noteikumi Nr.75 „Noteikumi par aktīvo nodarbinātības pasākumu un preventīvo bezdarba samazināšanas pasākumu organizēšanas un finansēšanas kārtību un pasākumu īstenotāju izvēles principiem” (turpmāk – MK noteikumi Nr.75). Noteikumu projektā paredzētas šādas izmaiņas MK noteikumos Nr.75.</w:t>
            </w:r>
          </w:p>
          <w:p w14:paraId="6A5E0E22" w14:textId="77777777" w:rsidR="00A54020" w:rsidRDefault="00A54020">
            <w:pPr>
              <w:shd w:val="clear" w:color="000000" w:fill="FFFFFF"/>
              <w:jc w:val="both"/>
              <w:rPr>
                <w:spacing w:val="-4"/>
              </w:rPr>
            </w:pPr>
          </w:p>
          <w:p w14:paraId="7BD8E92C" w14:textId="67356E4E" w:rsidR="008D68DB" w:rsidRDefault="00DF37EA">
            <w:pPr>
              <w:shd w:val="clear" w:color="000000" w:fill="FFFFFF"/>
              <w:jc w:val="both"/>
              <w:rPr>
                <w:spacing w:val="-4"/>
              </w:rPr>
            </w:pPr>
            <w:r>
              <w:rPr>
                <w:spacing w:val="-4"/>
              </w:rPr>
              <w:t xml:space="preserve">1. Viens no atbalsta pasākumiem  bezdarbniekiem ar invaliditāti ir mācību vai darba vietas pielāgošana. Šim pasākumiem </w:t>
            </w:r>
            <w:r>
              <w:t xml:space="preserve"> </w:t>
            </w:r>
            <w:r>
              <w:rPr>
                <w:spacing w:val="-4"/>
              </w:rPr>
              <w:t xml:space="preserve">pieļaujamais finansējums ir 711 </w:t>
            </w:r>
            <w:r>
              <w:rPr>
                <w:i/>
                <w:spacing w:val="-4"/>
              </w:rPr>
              <w:t>euro</w:t>
            </w:r>
            <w:r>
              <w:rPr>
                <w:spacing w:val="-4"/>
              </w:rPr>
              <w:t xml:space="preserve"> jeb 500 latu, kas tika aprēķināts un noteikts 2009.gadā. Kopš 2009.gada iekārtu un aprīkojuma iegādes, kā arī tehnisko palīglīdzekļu izgatavošanas un iegādes (tai skaitā piegādes un uzstādīšanas), lai pielāgotu darba vietas darbā pieņemtajiem bezdarbniekiem ar invaliditāti,  izdevumi </w:t>
            </w:r>
            <w:r>
              <w:rPr>
                <w:spacing w:val="-4"/>
              </w:rPr>
              <w:lastRenderedPageBreak/>
              <w:t xml:space="preserve">ir palielinājušies, bet vienreizējās dotācijas apmērs nav pārskatīts un tas ir saglabājies nemainīgs.   </w:t>
            </w:r>
          </w:p>
          <w:p w14:paraId="4B76268F" w14:textId="77777777" w:rsidR="008D68DB" w:rsidRDefault="00DF37EA">
            <w:pPr>
              <w:shd w:val="clear" w:color="000000" w:fill="FFFFFF"/>
              <w:jc w:val="both"/>
              <w:rPr>
                <w:spacing w:val="-4"/>
              </w:rPr>
            </w:pPr>
            <w:r>
              <w:rPr>
                <w:spacing w:val="-4"/>
              </w:rPr>
              <w:t xml:space="preserve">Atbilstoši Centrālās statistikas pārvaldes datiem patēriņa cenu indekss laika periodā no 2010. – 2019.gada augustam pieaudzis par 17,1 % un šajā periodā vērojams patēriņa preču cenu pieaugums (inflācija). Vienlaikus šajā laika periodā pieaudzis arī valstī noteiktās minimālās mēnešalgas apmērs (no 256,12 </w:t>
            </w:r>
            <w:r>
              <w:rPr>
                <w:i/>
                <w:spacing w:val="-4"/>
              </w:rPr>
              <w:t>euro</w:t>
            </w:r>
            <w:r>
              <w:rPr>
                <w:spacing w:val="-4"/>
              </w:rPr>
              <w:t xml:space="preserve"> 2010.gadā līdz 430 </w:t>
            </w:r>
            <w:r>
              <w:rPr>
                <w:i/>
                <w:spacing w:val="-4"/>
              </w:rPr>
              <w:t>euro</w:t>
            </w:r>
            <w:r>
              <w:rPr>
                <w:spacing w:val="-4"/>
              </w:rPr>
              <w:t xml:space="preserve"> no 2018.gada). </w:t>
            </w:r>
          </w:p>
          <w:p w14:paraId="0EB2133E" w14:textId="2078B8EC" w:rsidR="008D68DB" w:rsidRDefault="00DF37EA">
            <w:pPr>
              <w:shd w:val="clear" w:color="000000" w:fill="FFFFFF"/>
              <w:jc w:val="both"/>
              <w:rPr>
                <w:spacing w:val="-4"/>
              </w:rPr>
            </w:pPr>
            <w:r>
              <w:rPr>
                <w:spacing w:val="-4"/>
              </w:rPr>
              <w:t>Ņemot vērā patēriņa cenu pieaugumu valstī, kā arī minimālās algas pieaugumu, nepieciešams pārskatīt arī minētās dotācijas apmēru. Plānots, ka turpmāk darba</w:t>
            </w:r>
            <w:r w:rsidR="007E07C2">
              <w:rPr>
                <w:spacing w:val="-4"/>
              </w:rPr>
              <w:t xml:space="preserve"> vai </w:t>
            </w:r>
            <w:r>
              <w:rPr>
                <w:spacing w:val="-4"/>
              </w:rPr>
              <w:t xml:space="preserve">mācību </w:t>
            </w:r>
            <w:r w:rsidR="007E07C2">
              <w:rPr>
                <w:spacing w:val="-4"/>
              </w:rPr>
              <w:t xml:space="preserve">vietas </w:t>
            </w:r>
            <w:r>
              <w:rPr>
                <w:spacing w:val="-4"/>
              </w:rPr>
              <w:t xml:space="preserve">pielāgošanai varēs saņemt finansējumu līdz 1000 </w:t>
            </w:r>
            <w:r>
              <w:rPr>
                <w:i/>
                <w:spacing w:val="-4"/>
              </w:rPr>
              <w:t>euro</w:t>
            </w:r>
            <w:r>
              <w:rPr>
                <w:spacing w:val="-4"/>
              </w:rPr>
              <w:t xml:space="preserve">. Vienlaikus jāņem vērā, ka, tāpat kā šobrīd, pielāgojumus varēs veikt tikai atbilstoši ergoterapeita sniegtajiem norādījumiem.  </w:t>
            </w:r>
          </w:p>
          <w:p w14:paraId="6098FC73" w14:textId="77777777" w:rsidR="008D68DB" w:rsidRDefault="008D68DB">
            <w:pPr>
              <w:pStyle w:val="ListParagraph"/>
              <w:shd w:val="clear" w:color="000000" w:fill="FFFFFF"/>
              <w:ind w:left="0"/>
              <w:contextualSpacing/>
              <w:jc w:val="both"/>
              <w:rPr>
                <w:rFonts w:ascii="Times New Roman" w:eastAsia="Times New Roman" w:hAnsi="Times New Roman"/>
                <w:spacing w:val="-4"/>
                <w:sz w:val="24"/>
                <w:szCs w:val="24"/>
              </w:rPr>
            </w:pPr>
          </w:p>
          <w:p w14:paraId="6819BA31" w14:textId="5A933EA1"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pacing w:val="-4"/>
                <w:sz w:val="24"/>
                <w:szCs w:val="24"/>
              </w:rPr>
              <w:t xml:space="preserve">2. Periodā no 2014. līdz 2016.gadam tika īstenots  izmēģinājumprojekts </w:t>
            </w:r>
            <w:r>
              <w:rPr>
                <w:rFonts w:ascii="Times New Roman" w:eastAsia="Times New Roman" w:hAnsi="Times New Roman"/>
                <w:sz w:val="24"/>
                <w:szCs w:val="24"/>
              </w:rPr>
              <w:t>„Profesionālās tālākizglītības programmu īstenošana bezdarbniekiem valsts vai pašvaldību dibinātās izglītības iestādēs” (turpmāk – izmēģinājumprojekts)</w:t>
            </w:r>
            <w:r>
              <w:rPr>
                <w:rFonts w:ascii="Times New Roman" w:eastAsia="Times New Roman" w:hAnsi="Times New Roman"/>
                <w:spacing w:val="-4"/>
                <w:sz w:val="24"/>
                <w:szCs w:val="24"/>
              </w:rPr>
              <w:t xml:space="preserve">. </w:t>
            </w:r>
            <w:r>
              <w:rPr>
                <w:rFonts w:ascii="Times New Roman" w:eastAsia="Times New Roman" w:hAnsi="Times New Roman"/>
                <w:sz w:val="24"/>
                <w:szCs w:val="24"/>
              </w:rPr>
              <w:t>2015.gada 2.ceturksnī tika uzsākta minētā izmēģinājumprojekta 2.kārta, iesaistot 200 bezdarbniekus profesionālās izglītības kompetences centru (PIKC) organizētajās apmācībās un valsts un pašvaldību dibināto profesionālās izglītības iestāžu, kuru infrastruktūras uzlabošana ir veikta no Eiropas Reģionālā</w:t>
            </w:r>
            <w:r w:rsidR="00A73A43">
              <w:rPr>
                <w:rFonts w:ascii="Times New Roman" w:eastAsia="Times New Roman" w:hAnsi="Times New Roman"/>
                <w:sz w:val="24"/>
                <w:szCs w:val="24"/>
              </w:rPr>
              <w:t>s</w:t>
            </w:r>
            <w:r>
              <w:rPr>
                <w:rFonts w:ascii="Times New Roman" w:eastAsia="Times New Roman" w:hAnsi="Times New Roman"/>
                <w:sz w:val="24"/>
                <w:szCs w:val="24"/>
              </w:rPr>
              <w:t xml:space="preserve"> attīstības fonda (ERAF) līdzekļiem, apmācību programmās (turpmāk – valsts un pašvaldību profesionālās izglītības iestādes). Izmēģinājumprojekta 2.kārtā tika iesaistīti bezdarbnieki, kuri vairāk pakļauti kādam no sociālās atstumtības riskiem, piemēram, ilgstošie bezdarbnieki un bezdarbnieki vecumā virs 45 gadiem, kuriem vēl samērā ilgi būs jāatrodas darba tirgū un kuriem vienlaikus ir paaugstināts ilgstošā bezdarba risks. Grupu komplektācija tika veikta ārpus apmācību kuponu sistēmas. </w:t>
            </w:r>
          </w:p>
          <w:p w14:paraId="3E08D1A7" w14:textId="07D5995B" w:rsidR="008D68DB" w:rsidRDefault="00DF37EA">
            <w:pPr>
              <w:jc w:val="both"/>
            </w:pPr>
            <w:r>
              <w:t xml:space="preserve">Lai nodrošinātu minētā projekta un to rezultātu pēctecību, Noteikumu projekts paredz iespēju profesionālās izglītības kompetences centriem īstenot atsevišķas profesionālās tālākizglītības un profesionālās pilnveides izglītības programmas ārpus kuponu sistēmas konkrētai bezdarbnieku mērķa grupai - bezdarbniekiem ar invaliditāti.  Tas  veiksmīgāk nodrošinās minimālo dalībnieku skaitu mācību grupās un nepieciešamo papildus atbalstu, kā arī  sekmēs efektīvāku sociālās atstumtības riskam pakļauto bezdarbnieku ar invaliditāti iesaisti profesionālajā tālākizglītībā, kas rezultātā sekmēs šīs mērķa grupas aktivizāciju darba tirgū. </w:t>
            </w:r>
          </w:p>
          <w:p w14:paraId="735FC410" w14:textId="77777777" w:rsidR="008D68DB" w:rsidRDefault="00DF37EA">
            <w:pPr>
              <w:jc w:val="both"/>
            </w:pPr>
            <w:r>
              <w:t xml:space="preserve">Šobrīd darba tirgū ir pieprasītas izglītības programmas, kurām ir nepieciešams būtisks materiāltehniskais ieguldījums un kuras īsteno tikai valsts un pašvaldību izglītības iestādes, piemēram, izglītības programma „Datorizēto ciparu vadības (CNC) metālapstrādes darbgaldu iestatītājs”. Atsevišķu apmācību programmu īstenošana bezdarbnieku apmācību ietvaros ārpus kupona metodes nepieciešama, jo atsevišķu izglītības programmu īstenošanu varētu nodrošināt profesionālās izglītības iestādes, kurām piešķirts profesionālās izglītības kompetences </w:t>
            </w:r>
            <w:r>
              <w:lastRenderedPageBreak/>
              <w:t xml:space="preserve">centra statuss un kurām ir materiāltehniskais nodrošinājums šādu izglītības programmu īstenošanai. </w:t>
            </w:r>
          </w:p>
          <w:p w14:paraId="3BF19632" w14:textId="5B156478" w:rsidR="008D68DB" w:rsidRDefault="00DF37EA">
            <w:pPr>
              <w:jc w:val="both"/>
              <w:rPr>
                <w:b/>
                <w:u w:val="single"/>
              </w:rPr>
            </w:pPr>
            <w:r>
              <w:t>Ekonomiskās sadarbības un attīstības organizācija (OECD) 2017. gada Ekonomikas pārskatā par Latviju (</w:t>
            </w:r>
            <w:r>
              <w:rPr>
                <w:i/>
              </w:rPr>
              <w:t>Economic Survey of Latvia 2017</w:t>
            </w:r>
            <w:r>
              <w:t xml:space="preserve">) aicina īstenot pasākumus, kas vērsti uz bezdarbnieku iesaistes veicināšanu modernizētajās valsts profesionālajās izglītības iestādēs. Atbilstoši informatīvajam ziņojumam „Par darba grupas, kas izveidota ar Ministru prezidenta 2017.gada 12.aprīļa rīkojumu Nr.106 </w:t>
            </w:r>
            <w:bookmarkStart w:id="0" w:name="_Hlk498421901"/>
            <w:r>
              <w:t>„</w:t>
            </w:r>
            <w:bookmarkEnd w:id="0"/>
            <w:r>
              <w:t>Par darba grupu” rezultātiem” (izskatīts 2017. gada 29.augusta Ministru kabineta sēdē, prot. Nr. 42 45.§) plānoti visaptverošāki pasākumi pieaugušo izglītības piedāvājuma veicināšanai valsts profesionālajās izglītības iestādēs. Noteikumu projektā paredzētās tiesību PIKC  un valsts un pašvaldību profesionālajām izglītības iestādēm,  kuru infrastruktūras uzlabošana ir veikta no ERAF līdzekļiem,  īstenot profesionālās izglītības programmas bezdarbnieku apmācību ietvaros ir solis rekomendāciju pakāpeniskai ieviešanai.</w:t>
            </w:r>
            <w:r>
              <w:rPr>
                <w:b/>
                <w:u w:val="single"/>
              </w:rPr>
              <w:t xml:space="preserve"> </w:t>
            </w:r>
          </w:p>
          <w:p w14:paraId="3E1BC3B9" w14:textId="50BE4B4C" w:rsidR="008D68DB" w:rsidRDefault="00DF37EA">
            <w:pPr>
              <w:jc w:val="both"/>
            </w:pPr>
            <w:r>
              <w:t xml:space="preserve">Šajās izglītības programmās bezdarbnieku mācības tiks īstenotas gan PIKC, gan valsts un pašvaldību, gan privātajās izglītības iestādēs. Noteikumu projekts paredz PIKC un valsts un pašvaldību profesionālajām izglītības iestādēm tiesības īstenot bezdarbnieku apmācību atsevišķās programmās bezdarbniekiem ar invaliditāti, bet neierobežo šo programmu apguvi piedāvāt arī privātajām izglītības iestādēm un neierobežo bezdarbnieka izvēli apgūt sev vēlamās programmas sev vēlamajā izglītības iestādē. Ja bezdarbnieks ar invaliditāti atbildīs konkrētām pazīmēm, viņš tiks informēts par iespēju apgūt apmācību programmu PIKC vai valsts un pašvaldību profesionālajās izglītības iestādēs, taču bezdarbnieks varēs izvēlēties, vai vēlas tikt iesaistīts grupu komplektēšanā PIKC vai valsts un pašvaldību profesionālajās izglītības iestādēs, vai arī apgūt apmācību programmu sevis izvēlētā izglītības iestādē, atbilstoši apmācību ar kupona metodi īstenošanas nosacījumiem. Tāpat visi bezdarbnieki, kas būs saņēmuši apmācību kuponus, joprojām varēs brīvi izvēlēties izglītības programmu un izglītības iestādi, kurā apgūt konkrēto programmu. </w:t>
            </w:r>
          </w:p>
          <w:p w14:paraId="20473042" w14:textId="4C4CBD67" w:rsidR="006C1684" w:rsidRDefault="00397B10">
            <w:pPr>
              <w:jc w:val="both"/>
            </w:pPr>
            <w:r w:rsidRPr="00397B10">
              <w:t xml:space="preserve">Neraugoties uz pieejamajiem atbalsta pasākumiem personām ar invaliditāti, saglabājas salīdzinoši  zems personu ar invaliditāti nodarbinātības līmenis. </w:t>
            </w:r>
            <w:r>
              <w:t xml:space="preserve">Kopējie </w:t>
            </w:r>
            <w:r w:rsidR="00CB5359">
              <w:t>bezdarba radītāj</w:t>
            </w:r>
            <w:r>
              <w:t>i</w:t>
            </w:r>
            <w:r w:rsidR="00CB5359">
              <w:t xml:space="preserve"> </w:t>
            </w:r>
            <w:r>
              <w:t>pakāpeniski uzlabojas</w:t>
            </w:r>
            <w:r w:rsidR="00CB5359">
              <w:t>,</w:t>
            </w:r>
            <w:r>
              <w:t xml:space="preserve"> vienlaikus</w:t>
            </w:r>
            <w:r w:rsidR="00CB5359">
              <w:t xml:space="preserve"> bezdarbnieku ar invaliditāti īpatsvar</w:t>
            </w:r>
            <w:r w:rsidR="0088509C">
              <w:t>s</w:t>
            </w:r>
            <w:r w:rsidR="00CB5359">
              <w:t xml:space="preserve"> nepārtraukti pieaug.</w:t>
            </w:r>
            <w:r>
              <w:t xml:space="preserve"> Šādas tendences izvirza prioritāti rast īpašus un vēl mērķētākus risinājumus personu ar invaliditāti nodarbinātības veicināšanai. Piedāvātais risinājums sniegtu personām ar invaliditāti nozīmīgu atbalstu gadījumus, kad atbilstošas mācību iestādes atrašana patstāvīgi personai ar invaliditāti rada grūtības. </w:t>
            </w:r>
            <w:r w:rsidR="001E1EA6" w:rsidRPr="001E1EA6">
              <w:t>Papildus, lai veicinātu apmācību kvalitāti visām bezdarbnieku grupām, plānots attīstīt sadarbību ar Izglītības kvalitātes valsts dienestu.</w:t>
            </w:r>
          </w:p>
          <w:p w14:paraId="10E51E48" w14:textId="6E6DE39C" w:rsidR="0088509C" w:rsidRDefault="0088509C">
            <w:pPr>
              <w:jc w:val="both"/>
            </w:pPr>
          </w:p>
          <w:p w14:paraId="4A305597" w14:textId="5EBC289B" w:rsidR="008D68DB" w:rsidRDefault="00DF37EA">
            <w:pPr>
              <w:jc w:val="both"/>
            </w:pPr>
            <w:r>
              <w:t xml:space="preserve">Plānotās izmaiņas negatīvi neietekmēs konkurenci, jo paplašinās potenciālo apmācību programmu īstenotāju skaitu. Tāpat </w:t>
            </w:r>
            <w:r>
              <w:lastRenderedPageBreak/>
              <w:t xml:space="preserve">Noteikumu projektā netiek paredzēti konkurenci ierobežojoši nosacījumi, jo projektā noteiktās izglītības programmas varēs piedāvāt gan PIKC un valsts un pašvaldību profesionālajās izglītības iestādes, gan privātās izglītības iestādes, un bezdarbniekiem visos gadījumos tiks saglabāta iespēja izvēlēties izglītības iestādi un apmācību programmu. </w:t>
            </w:r>
          </w:p>
          <w:p w14:paraId="3B506356" w14:textId="79F27B3A" w:rsidR="008D68DB" w:rsidRDefault="00DF37EA">
            <w:pPr>
              <w:jc w:val="both"/>
            </w:pPr>
            <w:r>
              <w:t xml:space="preserve">Vērtējot darbā iekārtošanās rādītājus pēc dalības izmēģinājumprojektā, tika veikts izvērtējums, kura ietvaros tika vērtēti darbā iekārtošanās rādītāji pēc projekta ietvaros apgūto programmu pabeigšanas (šuvējs, galdnieks, drēbnieks, lokmetinātājs metināšanā ar mehanizēto iekārtu inertās gāzes vidē, inženierkomunikāciju montētājs, konditora palīgs, viesmīlības pakalpojumu speciālists, lietvedis). Salīdzinot izmēģinājumprojekta  mērķa grupas (bezdarbnieki, kuri ir bez darba vismaz 12 mēnešus vai ir vecāki par 45 gadiem) darbā iekārtošanos rādītājus Latvijas reģionos pēc mācību apguves (periodā no 2015. gada 1.septembra līdz 2016. gada 1.aprīlim), ar darbā iekārtošanos rādītājiem pēc mācību apguves tā paša laika periodā privātajās (komersantu) izglītības iestādēs, secināms, ka darbā iekārtošanās pirmo 6 mēnešus laikā pēc mācību pabeigšanas izmēģinājumprojekta izglītības iestādēs (sešos PIKC un vienā pašvaldības izglītības iestādē) ir par 6 procentpunktiem augstāka nekā privātajās (komersantu) izglītības iestādēs. </w:t>
            </w:r>
          </w:p>
          <w:p w14:paraId="15FFC026" w14:textId="77777777" w:rsidR="008D68DB" w:rsidRDefault="00DF37EA">
            <w:pPr>
              <w:jc w:val="both"/>
            </w:pPr>
            <w:r>
              <w:t>Pirmo 6 mēnešu laikā pēc mācību pabeigšanas darbā iekārtojās 42 no 147 izmēģinājumprojekta mērķa grupas bezdarbniekiem, kas īpatsvarā veidoja 29% darbā iekārtošanās rādītāju. Savukārt pirmo 6 mēnešu laikā pēc mācību pabeigšanas komersantu izglītības iestādēs darbā iekārtojās 29 no 126 mērķa grupas bezdarbniekiem, kas īpatsvarā veidoja 23% darbā iekārtošanās rādītāju. Darbā iekārtošanās rādītāji ļauj secināt, ka bezdarbnieku apmācības PIKC un valsts un pašvaldību profesionālajās izglītības iestādes ir konkurētspējīgas un valsts un pašvaldību profesionālajām izglītības iestādēm pieejamo infrastruktūru būtu lietderīgi izmantot arī bezdarbnieku apmācībām. Izvērsta informācija ietverta tabulā:</w:t>
            </w:r>
          </w:p>
          <w:tbl>
            <w:tblPr>
              <w:tblpPr w:leftFromText="180" w:rightFromText="180" w:horzAnchor="margin" w:tblpXSpec="center" w:tblpY="418"/>
              <w:tblW w:w="6033" w:type="dxa"/>
              <w:tblLayout w:type="fixed"/>
              <w:tblLook w:val="04A0" w:firstRow="1" w:lastRow="0" w:firstColumn="1" w:lastColumn="0" w:noHBand="0" w:noVBand="1"/>
            </w:tblPr>
            <w:tblGrid>
              <w:gridCol w:w="969"/>
              <w:gridCol w:w="869"/>
              <w:gridCol w:w="662"/>
              <w:gridCol w:w="695"/>
              <w:gridCol w:w="556"/>
              <w:gridCol w:w="834"/>
              <w:gridCol w:w="835"/>
              <w:gridCol w:w="613"/>
            </w:tblGrid>
            <w:tr w:rsidR="008D68DB" w14:paraId="711CD3E9" w14:textId="77777777">
              <w:trPr>
                <w:trHeight w:val="520"/>
              </w:trPr>
              <w:tc>
                <w:tcPr>
                  <w:tcW w:w="969" w:type="dxa"/>
                  <w:tcBorders>
                    <w:top w:val="single" w:sz="4" w:space="0" w:color="auto"/>
                    <w:left w:val="single" w:sz="4" w:space="0" w:color="auto"/>
                    <w:bottom w:val="single" w:sz="4" w:space="0" w:color="auto"/>
                    <w:right w:val="single" w:sz="4" w:space="0" w:color="auto"/>
                  </w:tcBorders>
                  <w:shd w:val="clear" w:color="000000" w:fill="auto"/>
                  <w:vAlign w:val="center"/>
                </w:tcPr>
                <w:p w14:paraId="0F7B267C" w14:textId="77777777" w:rsidR="008D68DB" w:rsidRDefault="00DF37EA">
                  <w:pPr>
                    <w:jc w:val="center"/>
                    <w:rPr>
                      <w:color w:val="000000"/>
                    </w:rPr>
                  </w:pPr>
                  <w:r>
                    <w:rPr>
                      <w:color w:val="000000"/>
                    </w:rPr>
                    <w:lastRenderedPageBreak/>
                    <w:t>Profesionālās izglītības iestādes nosaukums</w:t>
                  </w:r>
                </w:p>
              </w:tc>
              <w:tc>
                <w:tcPr>
                  <w:tcW w:w="869" w:type="dxa"/>
                  <w:tcBorders>
                    <w:top w:val="single" w:sz="4" w:space="0" w:color="auto"/>
                    <w:left w:val="nil"/>
                    <w:bottom w:val="single" w:sz="4" w:space="0" w:color="auto"/>
                    <w:right w:val="single" w:sz="4" w:space="0" w:color="auto"/>
                  </w:tcBorders>
                  <w:shd w:val="clear" w:color="000000" w:fill="auto"/>
                  <w:vAlign w:val="center"/>
                </w:tcPr>
                <w:p w14:paraId="02800AC3" w14:textId="77777777" w:rsidR="008D68DB" w:rsidRDefault="00DF37EA">
                  <w:pPr>
                    <w:jc w:val="center"/>
                    <w:rPr>
                      <w:color w:val="000000"/>
                    </w:rPr>
                  </w:pPr>
                  <w:r>
                    <w:rPr>
                      <w:color w:val="000000"/>
                    </w:rPr>
                    <w:t>Profesionālās kvalifikācijas nosaukums</w:t>
                  </w:r>
                </w:p>
              </w:tc>
              <w:tc>
                <w:tcPr>
                  <w:tcW w:w="662" w:type="dxa"/>
                  <w:tcBorders>
                    <w:top w:val="single" w:sz="4" w:space="0" w:color="auto"/>
                    <w:left w:val="nil"/>
                    <w:bottom w:val="single" w:sz="4" w:space="0" w:color="auto"/>
                    <w:right w:val="single" w:sz="4" w:space="0" w:color="auto"/>
                  </w:tcBorders>
                  <w:shd w:val="clear" w:color="000000" w:fill="auto"/>
                  <w:vAlign w:val="center"/>
                </w:tcPr>
                <w:p w14:paraId="052998A9" w14:textId="77777777" w:rsidR="008D68DB" w:rsidRDefault="00DF37EA">
                  <w:pPr>
                    <w:jc w:val="center"/>
                    <w:rPr>
                      <w:color w:val="000000"/>
                    </w:rPr>
                  </w:pPr>
                  <w:r>
                    <w:rPr>
                      <w:color w:val="000000"/>
                    </w:rPr>
                    <w:t xml:space="preserve">Pabeigušo skaits līdz 2016.g. 16.septembrim </w:t>
                  </w:r>
                </w:p>
              </w:tc>
              <w:tc>
                <w:tcPr>
                  <w:tcW w:w="695" w:type="dxa"/>
                  <w:tcBorders>
                    <w:top w:val="single" w:sz="4" w:space="0" w:color="auto"/>
                    <w:left w:val="nil"/>
                    <w:bottom w:val="single" w:sz="4" w:space="0" w:color="auto"/>
                    <w:right w:val="single" w:sz="4" w:space="0" w:color="auto"/>
                  </w:tcBorders>
                  <w:shd w:val="clear" w:color="000000" w:fill="auto"/>
                  <w:vAlign w:val="center"/>
                </w:tcPr>
                <w:p w14:paraId="27D23941" w14:textId="77777777" w:rsidR="008D68DB" w:rsidRDefault="00DF37EA">
                  <w:pPr>
                    <w:jc w:val="center"/>
                    <w:rPr>
                      <w:color w:val="000000"/>
                    </w:rPr>
                  </w:pPr>
                  <w:r>
                    <w:rPr>
                      <w:color w:val="000000"/>
                    </w:rPr>
                    <w:t>Darbā iekārtošanās pirmo 6 mēnešu laikā pēc dalības programmu apguvē</w:t>
                  </w:r>
                </w:p>
              </w:tc>
              <w:tc>
                <w:tcPr>
                  <w:tcW w:w="556" w:type="dxa"/>
                  <w:tcBorders>
                    <w:top w:val="single" w:sz="4" w:space="0" w:color="auto"/>
                    <w:left w:val="nil"/>
                    <w:bottom w:val="single" w:sz="4" w:space="0" w:color="auto"/>
                    <w:right w:val="single" w:sz="4" w:space="0" w:color="auto"/>
                  </w:tcBorders>
                  <w:shd w:val="clear" w:color="000000" w:fill="auto"/>
                  <w:vAlign w:val="center"/>
                </w:tcPr>
                <w:p w14:paraId="46EB4360" w14:textId="77777777" w:rsidR="008D68DB" w:rsidRDefault="00DF37EA">
                  <w:pPr>
                    <w:jc w:val="center"/>
                    <w:rPr>
                      <w:color w:val="000000"/>
                    </w:rPr>
                  </w:pPr>
                  <w:r>
                    <w:rPr>
                      <w:color w:val="000000"/>
                    </w:rPr>
                    <w:t>Īpatsvars</w:t>
                  </w:r>
                </w:p>
              </w:tc>
              <w:tc>
                <w:tcPr>
                  <w:tcW w:w="834" w:type="dxa"/>
                  <w:tcBorders>
                    <w:top w:val="single" w:sz="4" w:space="0" w:color="auto"/>
                    <w:left w:val="nil"/>
                    <w:bottom w:val="single" w:sz="4" w:space="0" w:color="auto"/>
                    <w:right w:val="single" w:sz="4" w:space="0" w:color="auto"/>
                  </w:tcBorders>
                  <w:shd w:val="clear" w:color="000000" w:fill="auto"/>
                  <w:vAlign w:val="center"/>
                </w:tcPr>
                <w:p w14:paraId="4A84A37C" w14:textId="77777777" w:rsidR="008D68DB" w:rsidRDefault="00DF37EA">
                  <w:pPr>
                    <w:jc w:val="center"/>
                    <w:rPr>
                      <w:color w:val="000000"/>
                    </w:rPr>
                  </w:pPr>
                  <w:r>
                    <w:rPr>
                      <w:color w:val="000000"/>
                    </w:rPr>
                    <w:t>Šo pašu izglītības programmu pabeigušo skaits privātajās izglītības iestādēs</w:t>
                  </w:r>
                </w:p>
              </w:tc>
              <w:tc>
                <w:tcPr>
                  <w:tcW w:w="835" w:type="dxa"/>
                  <w:tcBorders>
                    <w:top w:val="single" w:sz="4" w:space="0" w:color="auto"/>
                    <w:left w:val="nil"/>
                    <w:bottom w:val="single" w:sz="4" w:space="0" w:color="auto"/>
                    <w:right w:val="single" w:sz="4" w:space="0" w:color="auto"/>
                  </w:tcBorders>
                  <w:shd w:val="clear" w:color="000000" w:fill="auto"/>
                  <w:vAlign w:val="center"/>
                </w:tcPr>
                <w:p w14:paraId="5D80B9E4" w14:textId="77777777" w:rsidR="008D68DB" w:rsidRDefault="00DF37EA">
                  <w:pPr>
                    <w:jc w:val="center"/>
                    <w:rPr>
                      <w:color w:val="000000"/>
                    </w:rPr>
                  </w:pPr>
                  <w:r>
                    <w:rPr>
                      <w:color w:val="000000"/>
                    </w:rPr>
                    <w:t>Darbā iekārtošanās pirmo 6 mēnešu laikā pēc dalības šo pašu programmu apguvē privātajās izglītības iestādēs</w:t>
                  </w:r>
                </w:p>
              </w:tc>
              <w:tc>
                <w:tcPr>
                  <w:tcW w:w="613" w:type="dxa"/>
                  <w:tcBorders>
                    <w:top w:val="single" w:sz="4" w:space="0" w:color="auto"/>
                    <w:left w:val="nil"/>
                    <w:bottom w:val="single" w:sz="4" w:space="0" w:color="auto"/>
                    <w:right w:val="single" w:sz="4" w:space="0" w:color="auto"/>
                  </w:tcBorders>
                  <w:shd w:val="clear" w:color="000000" w:fill="auto"/>
                  <w:vAlign w:val="center"/>
                </w:tcPr>
                <w:p w14:paraId="2E68449C" w14:textId="77777777" w:rsidR="008D68DB" w:rsidRDefault="00DF37EA">
                  <w:pPr>
                    <w:jc w:val="center"/>
                    <w:rPr>
                      <w:color w:val="000000"/>
                    </w:rPr>
                  </w:pPr>
                  <w:r>
                    <w:rPr>
                      <w:color w:val="000000"/>
                    </w:rPr>
                    <w:t>Īpatsvars</w:t>
                  </w:r>
                </w:p>
              </w:tc>
            </w:tr>
            <w:tr w:rsidR="008D68DB" w14:paraId="18BAB19F"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79FA772B" w14:textId="77777777" w:rsidR="008D68DB" w:rsidRDefault="00DF37EA">
                  <w:pPr>
                    <w:jc w:val="center"/>
                    <w:rPr>
                      <w:b/>
                      <w:i/>
                      <w:color w:val="000000"/>
                    </w:rPr>
                  </w:pPr>
                  <w:r>
                    <w:rPr>
                      <w:b/>
                      <w:i/>
                      <w:color w:val="000000"/>
                    </w:rPr>
                    <w:t>Kurzeme</w:t>
                  </w:r>
                </w:p>
              </w:tc>
            </w:tr>
            <w:tr w:rsidR="008D68DB" w14:paraId="2D8303EE"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4D3CE41F" w14:textId="77777777" w:rsidR="008D68DB" w:rsidRDefault="00DF37EA">
                  <w:pPr>
                    <w:rPr>
                      <w:b/>
                      <w:color w:val="000000"/>
                    </w:rPr>
                  </w:pPr>
                  <w:r>
                    <w:rPr>
                      <w:b/>
                      <w:color w:val="000000"/>
                    </w:rPr>
                    <w:t>PIKC "Liepājas Valsts tehnikums"</w:t>
                  </w:r>
                </w:p>
              </w:tc>
              <w:tc>
                <w:tcPr>
                  <w:tcW w:w="869" w:type="dxa"/>
                  <w:tcBorders>
                    <w:top w:val="nil"/>
                    <w:left w:val="nil"/>
                    <w:bottom w:val="single" w:sz="4" w:space="0" w:color="auto"/>
                    <w:right w:val="single" w:sz="4" w:space="0" w:color="auto"/>
                  </w:tcBorders>
                  <w:shd w:val="clear" w:color="000000" w:fill="auto"/>
                  <w:vAlign w:val="center"/>
                </w:tcPr>
                <w:p w14:paraId="34085E6A" w14:textId="77777777" w:rsidR="008D68DB" w:rsidRDefault="00DF37EA">
                  <w:pPr>
                    <w:jc w:val="center"/>
                    <w:rPr>
                      <w:i/>
                      <w:color w:val="000000"/>
                    </w:rPr>
                  </w:pPr>
                  <w:r>
                    <w:rPr>
                      <w:i/>
                      <w:color w:val="000000"/>
                    </w:rPr>
                    <w:t>Šuvējs</w:t>
                  </w:r>
                </w:p>
              </w:tc>
              <w:tc>
                <w:tcPr>
                  <w:tcW w:w="662" w:type="dxa"/>
                  <w:tcBorders>
                    <w:top w:val="nil"/>
                    <w:left w:val="nil"/>
                    <w:bottom w:val="single" w:sz="4" w:space="0" w:color="auto"/>
                    <w:right w:val="single" w:sz="4" w:space="0" w:color="auto"/>
                  </w:tcBorders>
                  <w:shd w:val="clear" w:color="000000" w:fill="auto"/>
                  <w:vAlign w:val="center"/>
                </w:tcPr>
                <w:p w14:paraId="401AEA97" w14:textId="77777777" w:rsidR="008D68DB" w:rsidRDefault="00DF37EA">
                  <w:pPr>
                    <w:jc w:val="center"/>
                    <w:rPr>
                      <w:b/>
                      <w:color w:val="000000"/>
                    </w:rPr>
                  </w:pPr>
                  <w:r>
                    <w:rPr>
                      <w:b/>
                      <w:color w:val="000000"/>
                    </w:rPr>
                    <w:t>18</w:t>
                  </w:r>
                </w:p>
              </w:tc>
              <w:tc>
                <w:tcPr>
                  <w:tcW w:w="695" w:type="dxa"/>
                  <w:tcBorders>
                    <w:top w:val="nil"/>
                    <w:left w:val="nil"/>
                    <w:bottom w:val="single" w:sz="4" w:space="0" w:color="auto"/>
                    <w:right w:val="single" w:sz="4" w:space="0" w:color="auto"/>
                  </w:tcBorders>
                  <w:shd w:val="clear" w:color="000000" w:fill="auto"/>
                  <w:vAlign w:val="center"/>
                </w:tcPr>
                <w:p w14:paraId="63A673C7" w14:textId="77777777" w:rsidR="008D68DB" w:rsidRDefault="00DF37EA">
                  <w:pPr>
                    <w:jc w:val="center"/>
                    <w:rPr>
                      <w:b/>
                      <w:color w:val="000000"/>
                    </w:rPr>
                  </w:pPr>
                  <w:r>
                    <w:rPr>
                      <w:b/>
                      <w:color w:val="000000"/>
                    </w:rPr>
                    <w:t>8</w:t>
                  </w:r>
                </w:p>
              </w:tc>
              <w:tc>
                <w:tcPr>
                  <w:tcW w:w="556" w:type="dxa"/>
                  <w:tcBorders>
                    <w:top w:val="nil"/>
                    <w:left w:val="nil"/>
                    <w:bottom w:val="single" w:sz="4" w:space="0" w:color="auto"/>
                    <w:right w:val="single" w:sz="4" w:space="0" w:color="auto"/>
                  </w:tcBorders>
                  <w:shd w:val="clear" w:color="000000" w:fill="auto"/>
                  <w:vAlign w:val="center"/>
                </w:tcPr>
                <w:p w14:paraId="03B479BB" w14:textId="77777777" w:rsidR="008D68DB" w:rsidRDefault="00DF37EA">
                  <w:pPr>
                    <w:jc w:val="center"/>
                    <w:rPr>
                      <w:b/>
                      <w:color w:val="000000"/>
                    </w:rPr>
                  </w:pPr>
                  <w:r>
                    <w:rPr>
                      <w:b/>
                      <w:color w:val="000000"/>
                    </w:rPr>
                    <w:t>35%</w:t>
                  </w:r>
                </w:p>
              </w:tc>
              <w:tc>
                <w:tcPr>
                  <w:tcW w:w="834" w:type="dxa"/>
                  <w:tcBorders>
                    <w:top w:val="nil"/>
                    <w:left w:val="nil"/>
                    <w:bottom w:val="single" w:sz="4" w:space="0" w:color="auto"/>
                    <w:right w:val="single" w:sz="4" w:space="0" w:color="auto"/>
                  </w:tcBorders>
                  <w:shd w:val="clear" w:color="000000" w:fill="auto"/>
                  <w:vAlign w:val="center"/>
                </w:tcPr>
                <w:p w14:paraId="3DAEA5A5" w14:textId="77777777" w:rsidR="008D68DB" w:rsidRDefault="00DF37EA">
                  <w:pPr>
                    <w:jc w:val="center"/>
                    <w:rPr>
                      <w:b/>
                      <w:color w:val="000000"/>
                    </w:rPr>
                  </w:pPr>
                  <w:r>
                    <w:rPr>
                      <w:b/>
                      <w:color w:val="000000"/>
                    </w:rPr>
                    <w:t>3</w:t>
                  </w:r>
                </w:p>
              </w:tc>
              <w:tc>
                <w:tcPr>
                  <w:tcW w:w="835" w:type="dxa"/>
                  <w:tcBorders>
                    <w:top w:val="nil"/>
                    <w:left w:val="nil"/>
                    <w:bottom w:val="single" w:sz="4" w:space="0" w:color="auto"/>
                    <w:right w:val="single" w:sz="4" w:space="0" w:color="auto"/>
                  </w:tcBorders>
                  <w:shd w:val="clear" w:color="000000" w:fill="auto"/>
                  <w:vAlign w:val="center"/>
                </w:tcPr>
                <w:p w14:paraId="701572F2" w14:textId="77777777" w:rsidR="008D68DB" w:rsidRDefault="00DF37EA">
                  <w:pPr>
                    <w:jc w:val="center"/>
                    <w:rPr>
                      <w:b/>
                      <w:color w:val="000000"/>
                    </w:rPr>
                  </w:pPr>
                  <w:r>
                    <w:rPr>
                      <w:b/>
                      <w:color w:val="000000"/>
                    </w:rPr>
                    <w:t>1</w:t>
                  </w:r>
                </w:p>
              </w:tc>
              <w:tc>
                <w:tcPr>
                  <w:tcW w:w="613" w:type="dxa"/>
                  <w:tcBorders>
                    <w:top w:val="nil"/>
                    <w:left w:val="nil"/>
                    <w:bottom w:val="single" w:sz="4" w:space="0" w:color="auto"/>
                    <w:right w:val="single" w:sz="4" w:space="0" w:color="auto"/>
                  </w:tcBorders>
                  <w:shd w:val="clear" w:color="000000" w:fill="auto"/>
                  <w:vAlign w:val="center"/>
                </w:tcPr>
                <w:p w14:paraId="01E79D1D" w14:textId="77777777" w:rsidR="008D68DB" w:rsidRDefault="00DF37EA">
                  <w:pPr>
                    <w:jc w:val="center"/>
                    <w:rPr>
                      <w:b/>
                      <w:color w:val="000000"/>
                    </w:rPr>
                  </w:pPr>
                  <w:r>
                    <w:rPr>
                      <w:b/>
                      <w:color w:val="000000"/>
                    </w:rPr>
                    <w:t>33%</w:t>
                  </w:r>
                </w:p>
              </w:tc>
            </w:tr>
            <w:tr w:rsidR="008D68DB" w14:paraId="2404A24B" w14:textId="77777777">
              <w:trPr>
                <w:trHeight w:val="216"/>
              </w:trPr>
              <w:tc>
                <w:tcPr>
                  <w:tcW w:w="969" w:type="dxa"/>
                  <w:tcBorders>
                    <w:top w:val="nil"/>
                    <w:left w:val="single" w:sz="4" w:space="0" w:color="auto"/>
                    <w:bottom w:val="single" w:sz="4" w:space="0" w:color="auto"/>
                    <w:right w:val="single" w:sz="4" w:space="0" w:color="auto"/>
                  </w:tcBorders>
                  <w:shd w:val="clear" w:color="000000" w:fill="auto"/>
                  <w:vAlign w:val="center"/>
                </w:tcPr>
                <w:p w14:paraId="163A8341" w14:textId="77777777" w:rsidR="008D68DB" w:rsidRDefault="00DF37EA">
                  <w:pPr>
                    <w:rPr>
                      <w:b/>
                      <w:color w:val="000000"/>
                    </w:rPr>
                  </w:pPr>
                  <w:r>
                    <w:rPr>
                      <w:b/>
                      <w:color w:val="000000"/>
                    </w:rPr>
                    <w:t>PIKC "Kuldīgas Tehnoloģiju un tūrisma tehnikums"</w:t>
                  </w:r>
                </w:p>
              </w:tc>
              <w:tc>
                <w:tcPr>
                  <w:tcW w:w="869" w:type="dxa"/>
                  <w:tcBorders>
                    <w:top w:val="nil"/>
                    <w:left w:val="nil"/>
                    <w:bottom w:val="single" w:sz="4" w:space="0" w:color="auto"/>
                    <w:right w:val="single" w:sz="4" w:space="0" w:color="auto"/>
                  </w:tcBorders>
                  <w:shd w:val="clear" w:color="000000" w:fill="auto"/>
                  <w:vAlign w:val="center"/>
                </w:tcPr>
                <w:p w14:paraId="5DCA0B29" w14:textId="77777777" w:rsidR="008D68DB" w:rsidRDefault="00DF37EA">
                  <w:pPr>
                    <w:jc w:val="center"/>
                    <w:rPr>
                      <w:i/>
                      <w:color w:val="000000"/>
                    </w:rPr>
                  </w:pPr>
                  <w:r>
                    <w:rPr>
                      <w:i/>
                      <w:color w:val="000000"/>
                    </w:rPr>
                    <w:t>Galdnieks</w:t>
                  </w:r>
                </w:p>
              </w:tc>
              <w:tc>
                <w:tcPr>
                  <w:tcW w:w="662" w:type="dxa"/>
                  <w:tcBorders>
                    <w:top w:val="nil"/>
                    <w:left w:val="nil"/>
                    <w:bottom w:val="single" w:sz="4" w:space="0" w:color="auto"/>
                    <w:right w:val="single" w:sz="4" w:space="0" w:color="auto"/>
                  </w:tcBorders>
                  <w:shd w:val="clear" w:color="000000" w:fill="auto"/>
                  <w:vAlign w:val="center"/>
                </w:tcPr>
                <w:p w14:paraId="2B1B06BA" w14:textId="77777777" w:rsidR="008D68DB" w:rsidRDefault="00DF37EA">
                  <w:pPr>
                    <w:jc w:val="center"/>
                    <w:rPr>
                      <w:b/>
                      <w:color w:val="000000"/>
                    </w:rPr>
                  </w:pPr>
                  <w:r>
                    <w:rPr>
                      <w:b/>
                      <w:color w:val="000000"/>
                    </w:rPr>
                    <w:t>5</w:t>
                  </w:r>
                </w:p>
              </w:tc>
              <w:tc>
                <w:tcPr>
                  <w:tcW w:w="695" w:type="dxa"/>
                  <w:tcBorders>
                    <w:top w:val="nil"/>
                    <w:left w:val="nil"/>
                    <w:bottom w:val="single" w:sz="4" w:space="0" w:color="auto"/>
                    <w:right w:val="single" w:sz="4" w:space="0" w:color="auto"/>
                  </w:tcBorders>
                  <w:shd w:val="clear" w:color="000000" w:fill="auto"/>
                  <w:vAlign w:val="center"/>
                </w:tcPr>
                <w:p w14:paraId="46DDD773" w14:textId="77777777" w:rsidR="008D68DB" w:rsidRDefault="00DF37EA">
                  <w:pPr>
                    <w:jc w:val="center"/>
                    <w:rPr>
                      <w:b/>
                      <w:color w:val="000000"/>
                    </w:rPr>
                  </w:pPr>
                  <w:r>
                    <w:rPr>
                      <w:b/>
                      <w:color w:val="000000"/>
                    </w:rPr>
                    <w:t>0</w:t>
                  </w:r>
                </w:p>
              </w:tc>
              <w:tc>
                <w:tcPr>
                  <w:tcW w:w="556" w:type="dxa"/>
                  <w:tcBorders>
                    <w:top w:val="nil"/>
                    <w:left w:val="nil"/>
                    <w:bottom w:val="single" w:sz="4" w:space="0" w:color="auto"/>
                    <w:right w:val="single" w:sz="4" w:space="0" w:color="auto"/>
                  </w:tcBorders>
                  <w:shd w:val="clear" w:color="000000" w:fill="auto"/>
                  <w:vAlign w:val="center"/>
                </w:tcPr>
                <w:p w14:paraId="479F345D" w14:textId="77777777" w:rsidR="008D68DB" w:rsidRDefault="00DF37EA">
                  <w:pPr>
                    <w:jc w:val="center"/>
                    <w:rPr>
                      <w:b/>
                      <w:color w:val="000000"/>
                    </w:rPr>
                  </w:pPr>
                  <w:r>
                    <w:rPr>
                      <w:b/>
                      <w:color w:val="000000"/>
                    </w:rPr>
                    <w:t>0%</w:t>
                  </w:r>
                </w:p>
              </w:tc>
              <w:tc>
                <w:tcPr>
                  <w:tcW w:w="834" w:type="dxa"/>
                  <w:tcBorders>
                    <w:top w:val="nil"/>
                    <w:left w:val="nil"/>
                    <w:bottom w:val="single" w:sz="4" w:space="0" w:color="auto"/>
                    <w:right w:val="single" w:sz="4" w:space="0" w:color="auto"/>
                  </w:tcBorders>
                  <w:shd w:val="clear" w:color="000000" w:fill="auto"/>
                  <w:vAlign w:val="center"/>
                </w:tcPr>
                <w:p w14:paraId="41A8A89B" w14:textId="77777777" w:rsidR="008D68DB" w:rsidRDefault="00DF37EA">
                  <w:pPr>
                    <w:jc w:val="center"/>
                    <w:rPr>
                      <w:b/>
                      <w:color w:val="000000"/>
                    </w:rPr>
                  </w:pPr>
                  <w:r>
                    <w:rPr>
                      <w:b/>
                      <w:color w:val="000000"/>
                    </w:rPr>
                    <w:t>0</w:t>
                  </w:r>
                </w:p>
              </w:tc>
              <w:tc>
                <w:tcPr>
                  <w:tcW w:w="835" w:type="dxa"/>
                  <w:tcBorders>
                    <w:top w:val="nil"/>
                    <w:left w:val="nil"/>
                    <w:bottom w:val="single" w:sz="4" w:space="0" w:color="auto"/>
                    <w:right w:val="single" w:sz="4" w:space="0" w:color="auto"/>
                  </w:tcBorders>
                  <w:shd w:val="clear" w:color="000000" w:fill="auto"/>
                  <w:vAlign w:val="center"/>
                </w:tcPr>
                <w:p w14:paraId="7E590D75" w14:textId="77777777" w:rsidR="008D68DB" w:rsidRDefault="00DF37EA">
                  <w:pPr>
                    <w:jc w:val="center"/>
                    <w:rPr>
                      <w:b/>
                      <w:color w:val="000000"/>
                    </w:rPr>
                  </w:pPr>
                  <w:r>
                    <w:rPr>
                      <w:b/>
                      <w:color w:val="000000"/>
                    </w:rPr>
                    <w:t>0</w:t>
                  </w:r>
                </w:p>
              </w:tc>
              <w:tc>
                <w:tcPr>
                  <w:tcW w:w="613" w:type="dxa"/>
                  <w:tcBorders>
                    <w:top w:val="nil"/>
                    <w:left w:val="nil"/>
                    <w:bottom w:val="single" w:sz="4" w:space="0" w:color="auto"/>
                    <w:right w:val="single" w:sz="4" w:space="0" w:color="auto"/>
                  </w:tcBorders>
                  <w:shd w:val="clear" w:color="000000" w:fill="auto"/>
                  <w:vAlign w:val="center"/>
                </w:tcPr>
                <w:p w14:paraId="396648D3" w14:textId="77777777" w:rsidR="008D68DB" w:rsidRDefault="00DF37EA">
                  <w:pPr>
                    <w:jc w:val="center"/>
                    <w:rPr>
                      <w:b/>
                      <w:color w:val="000000"/>
                    </w:rPr>
                  </w:pPr>
                  <w:r>
                    <w:rPr>
                      <w:b/>
                      <w:color w:val="000000"/>
                    </w:rPr>
                    <w:t>0%</w:t>
                  </w:r>
                </w:p>
              </w:tc>
            </w:tr>
            <w:tr w:rsidR="008D68DB" w14:paraId="128F832F"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60D2D057" w14:textId="77777777" w:rsidR="008D68DB" w:rsidRDefault="00DF37EA">
                  <w:pPr>
                    <w:jc w:val="center"/>
                    <w:rPr>
                      <w:b/>
                      <w:i/>
                      <w:color w:val="000000"/>
                    </w:rPr>
                  </w:pPr>
                  <w:r>
                    <w:rPr>
                      <w:b/>
                      <w:i/>
                      <w:color w:val="000000"/>
                    </w:rPr>
                    <w:t>Latgale</w:t>
                  </w:r>
                </w:p>
              </w:tc>
            </w:tr>
            <w:tr w:rsidR="008D68DB" w14:paraId="4909F68B"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26A852EE" w14:textId="77777777" w:rsidR="008D68DB" w:rsidRDefault="00DF37EA">
                  <w:pPr>
                    <w:rPr>
                      <w:b/>
                      <w:color w:val="000000"/>
                    </w:rPr>
                  </w:pPr>
                  <w:r>
                    <w:rPr>
                      <w:b/>
                      <w:color w:val="000000"/>
                    </w:rPr>
                    <w:t xml:space="preserve">PIKC “Daugavpils tehnikums” </w:t>
                  </w:r>
                </w:p>
              </w:tc>
              <w:tc>
                <w:tcPr>
                  <w:tcW w:w="869" w:type="dxa"/>
                  <w:tcBorders>
                    <w:top w:val="nil"/>
                    <w:left w:val="nil"/>
                    <w:bottom w:val="single" w:sz="4" w:space="0" w:color="auto"/>
                    <w:right w:val="single" w:sz="4" w:space="0" w:color="auto"/>
                  </w:tcBorders>
                  <w:shd w:val="clear" w:color="000000" w:fill="auto"/>
                  <w:vAlign w:val="center"/>
                </w:tcPr>
                <w:p w14:paraId="2282386C" w14:textId="77777777" w:rsidR="008D68DB" w:rsidRDefault="00DF37EA">
                  <w:pPr>
                    <w:jc w:val="center"/>
                    <w:rPr>
                      <w:i/>
                      <w:color w:val="000000"/>
                    </w:rPr>
                  </w:pPr>
                  <w:r>
                    <w:rPr>
                      <w:i/>
                      <w:color w:val="000000"/>
                    </w:rPr>
                    <w:t>Drēbnieks</w:t>
                  </w:r>
                </w:p>
              </w:tc>
              <w:tc>
                <w:tcPr>
                  <w:tcW w:w="662" w:type="dxa"/>
                  <w:tcBorders>
                    <w:top w:val="nil"/>
                    <w:left w:val="nil"/>
                    <w:bottom w:val="single" w:sz="4" w:space="0" w:color="auto"/>
                    <w:right w:val="single" w:sz="4" w:space="0" w:color="auto"/>
                  </w:tcBorders>
                  <w:shd w:val="clear" w:color="000000" w:fill="auto"/>
                  <w:vAlign w:val="center"/>
                </w:tcPr>
                <w:p w14:paraId="78BB5768" w14:textId="77777777" w:rsidR="008D68DB" w:rsidRDefault="00DF37EA">
                  <w:pPr>
                    <w:jc w:val="center"/>
                    <w:rPr>
                      <w:b/>
                      <w:color w:val="000000"/>
                    </w:rPr>
                  </w:pPr>
                  <w:r>
                    <w:rPr>
                      <w:b/>
                      <w:color w:val="000000"/>
                    </w:rPr>
                    <w:t>9</w:t>
                  </w:r>
                </w:p>
              </w:tc>
              <w:tc>
                <w:tcPr>
                  <w:tcW w:w="695" w:type="dxa"/>
                  <w:tcBorders>
                    <w:top w:val="nil"/>
                    <w:left w:val="nil"/>
                    <w:bottom w:val="single" w:sz="4" w:space="0" w:color="auto"/>
                    <w:right w:val="single" w:sz="4" w:space="0" w:color="auto"/>
                  </w:tcBorders>
                  <w:shd w:val="clear" w:color="000000" w:fill="auto"/>
                  <w:vAlign w:val="center"/>
                </w:tcPr>
                <w:p w14:paraId="46151842" w14:textId="77777777" w:rsidR="008D68DB" w:rsidRDefault="00DF37EA">
                  <w:pPr>
                    <w:jc w:val="center"/>
                    <w:rPr>
                      <w:b/>
                      <w:color w:val="000000"/>
                    </w:rPr>
                  </w:pPr>
                  <w:r>
                    <w:rPr>
                      <w:b/>
                      <w:color w:val="000000"/>
                    </w:rPr>
                    <w:t>1</w:t>
                  </w:r>
                </w:p>
              </w:tc>
              <w:tc>
                <w:tcPr>
                  <w:tcW w:w="556" w:type="dxa"/>
                  <w:tcBorders>
                    <w:top w:val="nil"/>
                    <w:left w:val="nil"/>
                    <w:bottom w:val="single" w:sz="4" w:space="0" w:color="auto"/>
                    <w:right w:val="single" w:sz="4" w:space="0" w:color="auto"/>
                  </w:tcBorders>
                  <w:shd w:val="clear" w:color="000000" w:fill="auto"/>
                  <w:vAlign w:val="center"/>
                </w:tcPr>
                <w:p w14:paraId="32506FF9" w14:textId="77777777" w:rsidR="008D68DB" w:rsidRDefault="00DF37EA">
                  <w:pPr>
                    <w:jc w:val="center"/>
                    <w:rPr>
                      <w:b/>
                      <w:color w:val="000000"/>
                    </w:rPr>
                  </w:pPr>
                  <w:r>
                    <w:rPr>
                      <w:b/>
                      <w:color w:val="000000"/>
                    </w:rPr>
                    <w:t>8%</w:t>
                  </w:r>
                </w:p>
              </w:tc>
              <w:tc>
                <w:tcPr>
                  <w:tcW w:w="834" w:type="dxa"/>
                  <w:tcBorders>
                    <w:top w:val="nil"/>
                    <w:left w:val="nil"/>
                    <w:bottom w:val="single" w:sz="4" w:space="0" w:color="auto"/>
                    <w:right w:val="single" w:sz="4" w:space="0" w:color="auto"/>
                  </w:tcBorders>
                  <w:shd w:val="clear" w:color="000000" w:fill="auto"/>
                  <w:vAlign w:val="center"/>
                </w:tcPr>
                <w:p w14:paraId="52E46EAF" w14:textId="77777777" w:rsidR="008D68DB" w:rsidRDefault="00DF37EA">
                  <w:pPr>
                    <w:jc w:val="center"/>
                    <w:rPr>
                      <w:b/>
                      <w:color w:val="000000"/>
                    </w:rPr>
                  </w:pPr>
                  <w:r>
                    <w:rPr>
                      <w:b/>
                      <w:color w:val="000000"/>
                    </w:rPr>
                    <w:t>37</w:t>
                  </w:r>
                </w:p>
              </w:tc>
              <w:tc>
                <w:tcPr>
                  <w:tcW w:w="835" w:type="dxa"/>
                  <w:tcBorders>
                    <w:top w:val="nil"/>
                    <w:left w:val="nil"/>
                    <w:bottom w:val="single" w:sz="4" w:space="0" w:color="auto"/>
                    <w:right w:val="single" w:sz="4" w:space="0" w:color="auto"/>
                  </w:tcBorders>
                  <w:shd w:val="clear" w:color="000000" w:fill="auto"/>
                  <w:vAlign w:val="center"/>
                </w:tcPr>
                <w:p w14:paraId="20771781" w14:textId="77777777" w:rsidR="008D68DB" w:rsidRDefault="00DF37EA">
                  <w:pPr>
                    <w:jc w:val="center"/>
                    <w:rPr>
                      <w:b/>
                      <w:color w:val="000000"/>
                    </w:rPr>
                  </w:pPr>
                  <w:r>
                    <w:rPr>
                      <w:b/>
                      <w:color w:val="000000"/>
                    </w:rPr>
                    <w:t>2</w:t>
                  </w:r>
                </w:p>
              </w:tc>
              <w:tc>
                <w:tcPr>
                  <w:tcW w:w="613" w:type="dxa"/>
                  <w:tcBorders>
                    <w:top w:val="nil"/>
                    <w:left w:val="nil"/>
                    <w:bottom w:val="single" w:sz="4" w:space="0" w:color="auto"/>
                    <w:right w:val="single" w:sz="4" w:space="0" w:color="auto"/>
                  </w:tcBorders>
                  <w:shd w:val="clear" w:color="000000" w:fill="auto"/>
                  <w:vAlign w:val="center"/>
                </w:tcPr>
                <w:p w14:paraId="13CD60DF" w14:textId="77777777" w:rsidR="008D68DB" w:rsidRDefault="00DF37EA">
                  <w:pPr>
                    <w:jc w:val="center"/>
                    <w:rPr>
                      <w:b/>
                      <w:color w:val="000000"/>
                    </w:rPr>
                  </w:pPr>
                  <w:r>
                    <w:rPr>
                      <w:b/>
                      <w:color w:val="000000"/>
                    </w:rPr>
                    <w:t>5%</w:t>
                  </w:r>
                </w:p>
              </w:tc>
            </w:tr>
            <w:tr w:rsidR="008D68DB" w14:paraId="10362552" w14:textId="77777777">
              <w:trPr>
                <w:trHeight w:val="85"/>
              </w:trPr>
              <w:tc>
                <w:tcPr>
                  <w:tcW w:w="969" w:type="dxa"/>
                  <w:vMerge w:val="restart"/>
                  <w:tcBorders>
                    <w:top w:val="nil"/>
                    <w:left w:val="single" w:sz="4" w:space="0" w:color="auto"/>
                    <w:bottom w:val="single" w:sz="4" w:space="0" w:color="auto"/>
                    <w:right w:val="single" w:sz="4" w:space="0" w:color="auto"/>
                  </w:tcBorders>
                  <w:shd w:val="clear" w:color="000000" w:fill="auto"/>
                  <w:vAlign w:val="center"/>
                </w:tcPr>
                <w:p w14:paraId="1E4420CB" w14:textId="77777777" w:rsidR="008D68DB" w:rsidRDefault="00DF37EA">
                  <w:pPr>
                    <w:rPr>
                      <w:b/>
                      <w:color w:val="000000"/>
                    </w:rPr>
                  </w:pPr>
                  <w:r>
                    <w:rPr>
                      <w:b/>
                      <w:color w:val="000000"/>
                    </w:rPr>
                    <w:t>PIKC "Daugavpils Būvnie</w:t>
                  </w:r>
                  <w:r>
                    <w:rPr>
                      <w:b/>
                      <w:color w:val="000000"/>
                    </w:rPr>
                    <w:lastRenderedPageBreak/>
                    <w:t>cības tehnikums"</w:t>
                  </w:r>
                </w:p>
              </w:tc>
              <w:tc>
                <w:tcPr>
                  <w:tcW w:w="869" w:type="dxa"/>
                  <w:tcBorders>
                    <w:top w:val="nil"/>
                    <w:left w:val="nil"/>
                    <w:bottom w:val="single" w:sz="4" w:space="0" w:color="auto"/>
                    <w:right w:val="single" w:sz="4" w:space="0" w:color="auto"/>
                  </w:tcBorders>
                  <w:shd w:val="clear" w:color="000000" w:fill="auto"/>
                  <w:vAlign w:val="center"/>
                </w:tcPr>
                <w:p w14:paraId="36AACD9C" w14:textId="77777777" w:rsidR="008D68DB" w:rsidRDefault="00DF37EA">
                  <w:pPr>
                    <w:jc w:val="center"/>
                    <w:rPr>
                      <w:i/>
                      <w:color w:val="000000"/>
                    </w:rPr>
                  </w:pPr>
                  <w:r>
                    <w:rPr>
                      <w:i/>
                      <w:color w:val="000000"/>
                    </w:rPr>
                    <w:lastRenderedPageBreak/>
                    <w:t>Lokmetinātājs metin</w:t>
                  </w:r>
                  <w:r>
                    <w:rPr>
                      <w:i/>
                      <w:color w:val="000000"/>
                    </w:rPr>
                    <w:lastRenderedPageBreak/>
                    <w:t>āšanā ar mehanizēto iekārtu inertās gāzes vidē (MIG)</w:t>
                  </w:r>
                </w:p>
              </w:tc>
              <w:tc>
                <w:tcPr>
                  <w:tcW w:w="662" w:type="dxa"/>
                  <w:tcBorders>
                    <w:top w:val="nil"/>
                    <w:left w:val="nil"/>
                    <w:bottom w:val="single" w:sz="4" w:space="0" w:color="auto"/>
                    <w:right w:val="single" w:sz="4" w:space="0" w:color="auto"/>
                  </w:tcBorders>
                  <w:shd w:val="clear" w:color="000000" w:fill="auto"/>
                  <w:vAlign w:val="center"/>
                </w:tcPr>
                <w:p w14:paraId="519EA68C" w14:textId="77777777" w:rsidR="008D68DB" w:rsidRDefault="00DF37EA">
                  <w:pPr>
                    <w:jc w:val="center"/>
                    <w:rPr>
                      <w:b/>
                      <w:color w:val="000000"/>
                    </w:rPr>
                  </w:pPr>
                  <w:r>
                    <w:rPr>
                      <w:b/>
                      <w:color w:val="000000"/>
                    </w:rPr>
                    <w:lastRenderedPageBreak/>
                    <w:t>23</w:t>
                  </w:r>
                </w:p>
              </w:tc>
              <w:tc>
                <w:tcPr>
                  <w:tcW w:w="695" w:type="dxa"/>
                  <w:tcBorders>
                    <w:top w:val="nil"/>
                    <w:left w:val="nil"/>
                    <w:bottom w:val="single" w:sz="4" w:space="0" w:color="auto"/>
                    <w:right w:val="single" w:sz="4" w:space="0" w:color="auto"/>
                  </w:tcBorders>
                  <w:shd w:val="clear" w:color="000000" w:fill="auto"/>
                  <w:vAlign w:val="center"/>
                </w:tcPr>
                <w:p w14:paraId="4E6830A2" w14:textId="77777777" w:rsidR="008D68DB" w:rsidRDefault="00DF37EA">
                  <w:pPr>
                    <w:jc w:val="center"/>
                    <w:rPr>
                      <w:b/>
                      <w:color w:val="000000"/>
                    </w:rPr>
                  </w:pPr>
                  <w:r>
                    <w:rPr>
                      <w:b/>
                      <w:color w:val="000000"/>
                    </w:rPr>
                    <w:t>7</w:t>
                  </w:r>
                </w:p>
              </w:tc>
              <w:tc>
                <w:tcPr>
                  <w:tcW w:w="556" w:type="dxa"/>
                  <w:tcBorders>
                    <w:top w:val="nil"/>
                    <w:left w:val="nil"/>
                    <w:bottom w:val="single" w:sz="4" w:space="0" w:color="auto"/>
                    <w:right w:val="single" w:sz="4" w:space="0" w:color="auto"/>
                  </w:tcBorders>
                  <w:shd w:val="clear" w:color="000000" w:fill="auto"/>
                  <w:vAlign w:val="center"/>
                </w:tcPr>
                <w:p w14:paraId="0E1EA6A6" w14:textId="77777777" w:rsidR="008D68DB" w:rsidRDefault="00DF37EA">
                  <w:pPr>
                    <w:jc w:val="center"/>
                    <w:rPr>
                      <w:b/>
                      <w:color w:val="000000"/>
                    </w:rPr>
                  </w:pPr>
                  <w:r>
                    <w:rPr>
                      <w:b/>
                      <w:color w:val="000000"/>
                    </w:rPr>
                    <w:t>24%</w:t>
                  </w:r>
                </w:p>
              </w:tc>
              <w:tc>
                <w:tcPr>
                  <w:tcW w:w="834" w:type="dxa"/>
                  <w:tcBorders>
                    <w:top w:val="nil"/>
                    <w:left w:val="nil"/>
                    <w:bottom w:val="single" w:sz="4" w:space="0" w:color="auto"/>
                    <w:right w:val="single" w:sz="4" w:space="0" w:color="auto"/>
                  </w:tcBorders>
                  <w:shd w:val="clear" w:color="000000" w:fill="auto"/>
                  <w:vAlign w:val="center"/>
                </w:tcPr>
                <w:p w14:paraId="48EBE214" w14:textId="77777777" w:rsidR="008D68DB" w:rsidRDefault="00DF37EA">
                  <w:pPr>
                    <w:jc w:val="center"/>
                    <w:rPr>
                      <w:b/>
                      <w:color w:val="000000"/>
                    </w:rPr>
                  </w:pPr>
                  <w:r>
                    <w:rPr>
                      <w:b/>
                      <w:color w:val="000000"/>
                    </w:rPr>
                    <w:t>10</w:t>
                  </w:r>
                </w:p>
              </w:tc>
              <w:tc>
                <w:tcPr>
                  <w:tcW w:w="835" w:type="dxa"/>
                  <w:tcBorders>
                    <w:top w:val="nil"/>
                    <w:left w:val="nil"/>
                    <w:bottom w:val="single" w:sz="4" w:space="0" w:color="auto"/>
                    <w:right w:val="single" w:sz="4" w:space="0" w:color="auto"/>
                  </w:tcBorders>
                  <w:shd w:val="clear" w:color="000000" w:fill="auto"/>
                  <w:vAlign w:val="center"/>
                </w:tcPr>
                <w:p w14:paraId="1C4D06D0" w14:textId="77777777" w:rsidR="008D68DB" w:rsidRDefault="00DF37EA">
                  <w:pPr>
                    <w:jc w:val="center"/>
                    <w:rPr>
                      <w:b/>
                      <w:color w:val="000000"/>
                    </w:rPr>
                  </w:pPr>
                  <w:r>
                    <w:rPr>
                      <w:b/>
                      <w:color w:val="000000"/>
                    </w:rPr>
                    <w:t>1</w:t>
                  </w:r>
                </w:p>
              </w:tc>
              <w:tc>
                <w:tcPr>
                  <w:tcW w:w="613" w:type="dxa"/>
                  <w:tcBorders>
                    <w:top w:val="nil"/>
                    <w:left w:val="nil"/>
                    <w:bottom w:val="single" w:sz="4" w:space="0" w:color="auto"/>
                    <w:right w:val="single" w:sz="4" w:space="0" w:color="auto"/>
                  </w:tcBorders>
                  <w:shd w:val="clear" w:color="000000" w:fill="auto"/>
                  <w:vAlign w:val="center"/>
                </w:tcPr>
                <w:p w14:paraId="520B2278" w14:textId="77777777" w:rsidR="008D68DB" w:rsidRDefault="00DF37EA">
                  <w:pPr>
                    <w:jc w:val="center"/>
                    <w:rPr>
                      <w:b/>
                      <w:color w:val="000000"/>
                    </w:rPr>
                  </w:pPr>
                  <w:r>
                    <w:rPr>
                      <w:b/>
                      <w:color w:val="000000"/>
                    </w:rPr>
                    <w:t>8%</w:t>
                  </w:r>
                </w:p>
              </w:tc>
            </w:tr>
            <w:tr w:rsidR="008D68DB" w14:paraId="783FD499" w14:textId="77777777">
              <w:trPr>
                <w:trHeight w:val="141"/>
              </w:trPr>
              <w:tc>
                <w:tcPr>
                  <w:tcW w:w="969" w:type="dxa"/>
                  <w:vMerge/>
                  <w:tcBorders>
                    <w:top w:val="nil"/>
                    <w:left w:val="single" w:sz="4" w:space="0" w:color="auto"/>
                    <w:bottom w:val="single" w:sz="4" w:space="0" w:color="auto"/>
                    <w:right w:val="single" w:sz="4" w:space="0" w:color="auto"/>
                  </w:tcBorders>
                  <w:shd w:val="clear" w:color="000000" w:fill="auto"/>
                  <w:vAlign w:val="center"/>
                </w:tcPr>
                <w:p w14:paraId="08427875" w14:textId="77777777" w:rsidR="008D68DB" w:rsidRDefault="008D68DB"/>
              </w:tc>
              <w:tc>
                <w:tcPr>
                  <w:tcW w:w="869" w:type="dxa"/>
                  <w:tcBorders>
                    <w:top w:val="nil"/>
                    <w:left w:val="nil"/>
                    <w:bottom w:val="single" w:sz="4" w:space="0" w:color="auto"/>
                    <w:right w:val="single" w:sz="4" w:space="0" w:color="auto"/>
                  </w:tcBorders>
                  <w:shd w:val="clear" w:color="000000" w:fill="auto"/>
                  <w:vAlign w:val="center"/>
                </w:tcPr>
                <w:p w14:paraId="7913E6C9" w14:textId="77777777" w:rsidR="008D68DB" w:rsidRDefault="00DF37EA">
                  <w:pPr>
                    <w:jc w:val="center"/>
                    <w:rPr>
                      <w:i/>
                      <w:color w:val="000000"/>
                    </w:rPr>
                  </w:pPr>
                  <w:r>
                    <w:rPr>
                      <w:i/>
                      <w:color w:val="000000"/>
                    </w:rPr>
                    <w:t>Inženierkomunikāciju montētājs</w:t>
                  </w:r>
                </w:p>
              </w:tc>
              <w:tc>
                <w:tcPr>
                  <w:tcW w:w="662" w:type="dxa"/>
                  <w:tcBorders>
                    <w:top w:val="nil"/>
                    <w:left w:val="nil"/>
                    <w:bottom w:val="single" w:sz="4" w:space="0" w:color="auto"/>
                    <w:right w:val="single" w:sz="4" w:space="0" w:color="auto"/>
                  </w:tcBorders>
                  <w:shd w:val="clear" w:color="000000" w:fill="auto"/>
                  <w:vAlign w:val="center"/>
                </w:tcPr>
                <w:p w14:paraId="0B899566" w14:textId="77777777" w:rsidR="008D68DB" w:rsidRDefault="00DF37EA">
                  <w:pPr>
                    <w:jc w:val="center"/>
                    <w:rPr>
                      <w:b/>
                      <w:color w:val="000000"/>
                    </w:rPr>
                  </w:pPr>
                  <w:r>
                    <w:rPr>
                      <w:b/>
                      <w:color w:val="000000"/>
                    </w:rPr>
                    <w:t>53</w:t>
                  </w:r>
                </w:p>
              </w:tc>
              <w:tc>
                <w:tcPr>
                  <w:tcW w:w="695" w:type="dxa"/>
                  <w:tcBorders>
                    <w:top w:val="nil"/>
                    <w:left w:val="nil"/>
                    <w:bottom w:val="single" w:sz="4" w:space="0" w:color="auto"/>
                    <w:right w:val="single" w:sz="4" w:space="0" w:color="auto"/>
                  </w:tcBorders>
                  <w:shd w:val="clear" w:color="000000" w:fill="auto"/>
                  <w:vAlign w:val="center"/>
                </w:tcPr>
                <w:p w14:paraId="38351E95" w14:textId="77777777" w:rsidR="008D68DB" w:rsidRDefault="00DF37EA">
                  <w:pPr>
                    <w:jc w:val="center"/>
                    <w:rPr>
                      <w:b/>
                      <w:color w:val="000000"/>
                    </w:rPr>
                  </w:pPr>
                  <w:r>
                    <w:rPr>
                      <w:b/>
                      <w:color w:val="000000"/>
                    </w:rPr>
                    <w:t>13</w:t>
                  </w:r>
                </w:p>
              </w:tc>
              <w:tc>
                <w:tcPr>
                  <w:tcW w:w="556" w:type="dxa"/>
                  <w:tcBorders>
                    <w:top w:val="nil"/>
                    <w:left w:val="nil"/>
                    <w:bottom w:val="single" w:sz="4" w:space="0" w:color="auto"/>
                    <w:right w:val="single" w:sz="4" w:space="0" w:color="auto"/>
                  </w:tcBorders>
                  <w:shd w:val="clear" w:color="000000" w:fill="auto"/>
                  <w:vAlign w:val="center"/>
                </w:tcPr>
                <w:p w14:paraId="68E2FA44" w14:textId="77777777" w:rsidR="008D68DB" w:rsidRDefault="00DF37EA">
                  <w:pPr>
                    <w:jc w:val="center"/>
                    <w:rPr>
                      <w:b/>
                      <w:color w:val="000000"/>
                    </w:rPr>
                  </w:pPr>
                  <w:r>
                    <w:rPr>
                      <w:b/>
                      <w:color w:val="000000"/>
                    </w:rPr>
                    <w:t>22%</w:t>
                  </w:r>
                </w:p>
              </w:tc>
              <w:tc>
                <w:tcPr>
                  <w:tcW w:w="834" w:type="dxa"/>
                  <w:tcBorders>
                    <w:top w:val="nil"/>
                    <w:left w:val="nil"/>
                    <w:bottom w:val="single" w:sz="4" w:space="0" w:color="auto"/>
                    <w:right w:val="single" w:sz="4" w:space="0" w:color="auto"/>
                  </w:tcBorders>
                  <w:shd w:val="clear" w:color="000000" w:fill="auto"/>
                  <w:vAlign w:val="center"/>
                </w:tcPr>
                <w:p w14:paraId="66A7EF1F" w14:textId="77777777" w:rsidR="008D68DB" w:rsidRDefault="00DF37EA">
                  <w:pPr>
                    <w:jc w:val="center"/>
                    <w:rPr>
                      <w:b/>
                      <w:color w:val="000000"/>
                    </w:rPr>
                  </w:pPr>
                  <w:r>
                    <w:rPr>
                      <w:b/>
                      <w:color w:val="000000"/>
                    </w:rPr>
                    <w:t>18</w:t>
                  </w:r>
                </w:p>
              </w:tc>
              <w:tc>
                <w:tcPr>
                  <w:tcW w:w="835" w:type="dxa"/>
                  <w:tcBorders>
                    <w:top w:val="nil"/>
                    <w:left w:val="nil"/>
                    <w:bottom w:val="single" w:sz="4" w:space="0" w:color="auto"/>
                    <w:right w:val="single" w:sz="4" w:space="0" w:color="auto"/>
                  </w:tcBorders>
                  <w:shd w:val="clear" w:color="000000" w:fill="auto"/>
                  <w:vAlign w:val="center"/>
                </w:tcPr>
                <w:p w14:paraId="538D7218" w14:textId="77777777" w:rsidR="008D68DB" w:rsidRDefault="00DF37EA">
                  <w:pPr>
                    <w:jc w:val="center"/>
                    <w:rPr>
                      <w:b/>
                      <w:color w:val="000000"/>
                    </w:rPr>
                  </w:pPr>
                  <w:r>
                    <w:rPr>
                      <w:b/>
                      <w:color w:val="000000"/>
                    </w:rPr>
                    <w:t>5</w:t>
                  </w:r>
                </w:p>
              </w:tc>
              <w:tc>
                <w:tcPr>
                  <w:tcW w:w="613" w:type="dxa"/>
                  <w:tcBorders>
                    <w:top w:val="nil"/>
                    <w:left w:val="nil"/>
                    <w:bottom w:val="single" w:sz="4" w:space="0" w:color="auto"/>
                    <w:right w:val="single" w:sz="4" w:space="0" w:color="auto"/>
                  </w:tcBorders>
                  <w:shd w:val="clear" w:color="000000" w:fill="auto"/>
                  <w:vAlign w:val="center"/>
                </w:tcPr>
                <w:p w14:paraId="745EE9E4" w14:textId="77777777" w:rsidR="008D68DB" w:rsidRDefault="00DF37EA">
                  <w:pPr>
                    <w:jc w:val="center"/>
                    <w:rPr>
                      <w:b/>
                      <w:color w:val="000000"/>
                    </w:rPr>
                  </w:pPr>
                  <w:r>
                    <w:rPr>
                      <w:b/>
                      <w:color w:val="000000"/>
                    </w:rPr>
                    <w:t>28%</w:t>
                  </w:r>
                </w:p>
              </w:tc>
            </w:tr>
            <w:tr w:rsidR="008D68DB" w14:paraId="155E098C" w14:textId="77777777">
              <w:trPr>
                <w:trHeight w:val="240"/>
              </w:trPr>
              <w:tc>
                <w:tcPr>
                  <w:tcW w:w="969" w:type="dxa"/>
                  <w:tcBorders>
                    <w:top w:val="nil"/>
                    <w:left w:val="single" w:sz="4" w:space="0" w:color="auto"/>
                    <w:bottom w:val="single" w:sz="4" w:space="0" w:color="auto"/>
                    <w:right w:val="single" w:sz="4" w:space="0" w:color="auto"/>
                  </w:tcBorders>
                  <w:shd w:val="clear" w:color="000000" w:fill="auto"/>
                  <w:vAlign w:val="center"/>
                </w:tcPr>
                <w:p w14:paraId="43CBECB0" w14:textId="77777777" w:rsidR="008D68DB" w:rsidRDefault="00DF37EA">
                  <w:pPr>
                    <w:rPr>
                      <w:b/>
                      <w:color w:val="000000"/>
                    </w:rPr>
                  </w:pPr>
                  <w:r>
                    <w:rPr>
                      <w:b/>
                      <w:color w:val="000000"/>
                    </w:rPr>
                    <w:t>PIKC VSIA “Rīgas Tūrisma un radošas industrijas tehnikums”</w:t>
                  </w:r>
                </w:p>
              </w:tc>
              <w:tc>
                <w:tcPr>
                  <w:tcW w:w="869" w:type="dxa"/>
                  <w:tcBorders>
                    <w:top w:val="nil"/>
                    <w:left w:val="nil"/>
                    <w:bottom w:val="single" w:sz="4" w:space="0" w:color="auto"/>
                    <w:right w:val="single" w:sz="4" w:space="0" w:color="auto"/>
                  </w:tcBorders>
                  <w:shd w:val="clear" w:color="000000" w:fill="auto"/>
                  <w:vAlign w:val="center"/>
                </w:tcPr>
                <w:p w14:paraId="01440691" w14:textId="77777777" w:rsidR="008D68DB" w:rsidRDefault="00DF37EA">
                  <w:pPr>
                    <w:jc w:val="center"/>
                    <w:rPr>
                      <w:i/>
                      <w:color w:val="000000"/>
                    </w:rPr>
                  </w:pPr>
                  <w:r>
                    <w:rPr>
                      <w:i/>
                      <w:color w:val="000000"/>
                    </w:rPr>
                    <w:t>Konditora palīgs</w:t>
                  </w:r>
                </w:p>
              </w:tc>
              <w:tc>
                <w:tcPr>
                  <w:tcW w:w="662" w:type="dxa"/>
                  <w:tcBorders>
                    <w:top w:val="nil"/>
                    <w:left w:val="nil"/>
                    <w:bottom w:val="single" w:sz="4" w:space="0" w:color="auto"/>
                    <w:right w:val="single" w:sz="4" w:space="0" w:color="auto"/>
                  </w:tcBorders>
                  <w:shd w:val="clear" w:color="000000" w:fill="auto"/>
                  <w:vAlign w:val="center"/>
                </w:tcPr>
                <w:p w14:paraId="29BC87FF" w14:textId="77777777" w:rsidR="008D68DB" w:rsidRDefault="00DF37EA">
                  <w:pPr>
                    <w:jc w:val="center"/>
                    <w:rPr>
                      <w:b/>
                      <w:color w:val="000000"/>
                    </w:rPr>
                  </w:pPr>
                  <w:r>
                    <w:rPr>
                      <w:b/>
                      <w:color w:val="000000"/>
                    </w:rPr>
                    <w:t>9</w:t>
                  </w:r>
                </w:p>
              </w:tc>
              <w:tc>
                <w:tcPr>
                  <w:tcW w:w="695" w:type="dxa"/>
                  <w:tcBorders>
                    <w:top w:val="nil"/>
                    <w:left w:val="nil"/>
                    <w:bottom w:val="single" w:sz="4" w:space="0" w:color="auto"/>
                    <w:right w:val="single" w:sz="4" w:space="0" w:color="auto"/>
                  </w:tcBorders>
                  <w:shd w:val="clear" w:color="000000" w:fill="auto"/>
                  <w:vAlign w:val="center"/>
                </w:tcPr>
                <w:p w14:paraId="40BA18A1" w14:textId="77777777" w:rsidR="008D68DB" w:rsidRDefault="00DF37EA">
                  <w:pPr>
                    <w:jc w:val="center"/>
                    <w:rPr>
                      <w:b/>
                      <w:color w:val="000000"/>
                    </w:rPr>
                  </w:pPr>
                  <w:r>
                    <w:rPr>
                      <w:b/>
                      <w:color w:val="000000"/>
                    </w:rPr>
                    <w:t>3</w:t>
                  </w:r>
                </w:p>
              </w:tc>
              <w:tc>
                <w:tcPr>
                  <w:tcW w:w="556" w:type="dxa"/>
                  <w:tcBorders>
                    <w:top w:val="nil"/>
                    <w:left w:val="nil"/>
                    <w:bottom w:val="single" w:sz="4" w:space="0" w:color="auto"/>
                    <w:right w:val="single" w:sz="4" w:space="0" w:color="auto"/>
                  </w:tcBorders>
                  <w:shd w:val="clear" w:color="000000" w:fill="auto"/>
                  <w:vAlign w:val="center"/>
                </w:tcPr>
                <w:p w14:paraId="3E4FB969" w14:textId="77777777" w:rsidR="008D68DB" w:rsidRDefault="00DF37EA">
                  <w:pPr>
                    <w:jc w:val="center"/>
                    <w:rPr>
                      <w:b/>
                      <w:color w:val="000000"/>
                    </w:rPr>
                  </w:pPr>
                  <w:r>
                    <w:rPr>
                      <w:b/>
                      <w:color w:val="000000"/>
                    </w:rPr>
                    <w:t>30%</w:t>
                  </w:r>
                </w:p>
              </w:tc>
              <w:tc>
                <w:tcPr>
                  <w:tcW w:w="834" w:type="dxa"/>
                  <w:tcBorders>
                    <w:top w:val="nil"/>
                    <w:left w:val="nil"/>
                    <w:bottom w:val="single" w:sz="4" w:space="0" w:color="auto"/>
                    <w:right w:val="single" w:sz="4" w:space="0" w:color="auto"/>
                  </w:tcBorders>
                  <w:shd w:val="clear" w:color="000000" w:fill="auto"/>
                  <w:vAlign w:val="center"/>
                </w:tcPr>
                <w:p w14:paraId="1388B5EF" w14:textId="77777777" w:rsidR="008D68DB" w:rsidRDefault="00DF37EA">
                  <w:pPr>
                    <w:jc w:val="center"/>
                    <w:rPr>
                      <w:b/>
                      <w:color w:val="000000"/>
                    </w:rPr>
                  </w:pPr>
                  <w:r>
                    <w:rPr>
                      <w:b/>
                      <w:color w:val="000000"/>
                    </w:rPr>
                    <w:t>28</w:t>
                  </w:r>
                </w:p>
              </w:tc>
              <w:tc>
                <w:tcPr>
                  <w:tcW w:w="835" w:type="dxa"/>
                  <w:tcBorders>
                    <w:top w:val="nil"/>
                    <w:left w:val="nil"/>
                    <w:bottom w:val="single" w:sz="4" w:space="0" w:color="auto"/>
                    <w:right w:val="single" w:sz="4" w:space="0" w:color="auto"/>
                  </w:tcBorders>
                  <w:shd w:val="clear" w:color="000000" w:fill="auto"/>
                  <w:vAlign w:val="center"/>
                </w:tcPr>
                <w:p w14:paraId="7EB83B8E" w14:textId="77777777" w:rsidR="008D68DB" w:rsidRDefault="00DF37EA">
                  <w:pPr>
                    <w:jc w:val="center"/>
                    <w:rPr>
                      <w:b/>
                      <w:color w:val="000000"/>
                    </w:rPr>
                  </w:pPr>
                  <w:r>
                    <w:rPr>
                      <w:b/>
                      <w:color w:val="000000"/>
                    </w:rPr>
                    <w:t>7</w:t>
                  </w:r>
                </w:p>
              </w:tc>
              <w:tc>
                <w:tcPr>
                  <w:tcW w:w="613" w:type="dxa"/>
                  <w:tcBorders>
                    <w:top w:val="nil"/>
                    <w:left w:val="nil"/>
                    <w:bottom w:val="single" w:sz="4" w:space="0" w:color="auto"/>
                    <w:right w:val="single" w:sz="4" w:space="0" w:color="auto"/>
                  </w:tcBorders>
                  <w:shd w:val="clear" w:color="000000" w:fill="auto"/>
                  <w:vAlign w:val="center"/>
                </w:tcPr>
                <w:p w14:paraId="7CD1BD74" w14:textId="77777777" w:rsidR="008D68DB" w:rsidRDefault="00DF37EA">
                  <w:pPr>
                    <w:jc w:val="center"/>
                    <w:rPr>
                      <w:b/>
                      <w:color w:val="000000"/>
                    </w:rPr>
                  </w:pPr>
                  <w:r>
                    <w:rPr>
                      <w:b/>
                      <w:color w:val="000000"/>
                    </w:rPr>
                    <w:t>23%</w:t>
                  </w:r>
                </w:p>
              </w:tc>
            </w:tr>
            <w:tr w:rsidR="008D68DB" w14:paraId="631C5F76"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53A103D2" w14:textId="77777777" w:rsidR="008D68DB" w:rsidRDefault="00DF37EA">
                  <w:pPr>
                    <w:jc w:val="center"/>
                    <w:rPr>
                      <w:b/>
                      <w:i/>
                      <w:color w:val="000000"/>
                    </w:rPr>
                  </w:pPr>
                  <w:r>
                    <w:rPr>
                      <w:b/>
                      <w:i/>
                      <w:color w:val="000000"/>
                    </w:rPr>
                    <w:t>Vidzeme</w:t>
                  </w:r>
                </w:p>
              </w:tc>
            </w:tr>
            <w:tr w:rsidR="008D68DB" w14:paraId="1506C7E5" w14:textId="77777777">
              <w:trPr>
                <w:trHeight w:val="183"/>
              </w:trPr>
              <w:tc>
                <w:tcPr>
                  <w:tcW w:w="969" w:type="dxa"/>
                  <w:tcBorders>
                    <w:top w:val="nil"/>
                    <w:left w:val="single" w:sz="4" w:space="0" w:color="auto"/>
                    <w:bottom w:val="single" w:sz="4" w:space="0" w:color="auto"/>
                    <w:right w:val="single" w:sz="4" w:space="0" w:color="auto"/>
                  </w:tcBorders>
                  <w:shd w:val="clear" w:color="000000" w:fill="auto"/>
                  <w:vAlign w:val="center"/>
                </w:tcPr>
                <w:p w14:paraId="52871958" w14:textId="77777777" w:rsidR="008D68DB" w:rsidRDefault="00DF37EA">
                  <w:pPr>
                    <w:rPr>
                      <w:b/>
                      <w:color w:val="000000"/>
                    </w:rPr>
                  </w:pPr>
                  <w:r>
                    <w:rPr>
                      <w:b/>
                      <w:color w:val="000000"/>
                    </w:rPr>
                    <w:t xml:space="preserve">PIKC ”Priekuļu tehnikums” </w:t>
                  </w:r>
                </w:p>
              </w:tc>
              <w:tc>
                <w:tcPr>
                  <w:tcW w:w="869" w:type="dxa"/>
                  <w:tcBorders>
                    <w:top w:val="nil"/>
                    <w:left w:val="nil"/>
                    <w:bottom w:val="single" w:sz="4" w:space="0" w:color="auto"/>
                    <w:right w:val="single" w:sz="4" w:space="0" w:color="auto"/>
                  </w:tcBorders>
                  <w:shd w:val="clear" w:color="000000" w:fill="auto"/>
                  <w:vAlign w:val="center"/>
                </w:tcPr>
                <w:p w14:paraId="23E418E4" w14:textId="77777777" w:rsidR="008D68DB" w:rsidRDefault="00DF37EA">
                  <w:pPr>
                    <w:jc w:val="center"/>
                    <w:rPr>
                      <w:i/>
                      <w:color w:val="000000"/>
                    </w:rPr>
                  </w:pPr>
                  <w:r>
                    <w:rPr>
                      <w:i/>
                      <w:color w:val="000000"/>
                    </w:rPr>
                    <w:t>Viesmīlības pakalpojumu speciālists</w:t>
                  </w:r>
                </w:p>
              </w:tc>
              <w:tc>
                <w:tcPr>
                  <w:tcW w:w="662" w:type="dxa"/>
                  <w:tcBorders>
                    <w:top w:val="nil"/>
                    <w:left w:val="nil"/>
                    <w:bottom w:val="single" w:sz="4" w:space="0" w:color="auto"/>
                    <w:right w:val="single" w:sz="4" w:space="0" w:color="auto"/>
                  </w:tcBorders>
                  <w:shd w:val="clear" w:color="000000" w:fill="auto"/>
                  <w:vAlign w:val="center"/>
                </w:tcPr>
                <w:p w14:paraId="009BA718" w14:textId="77777777" w:rsidR="008D68DB" w:rsidRDefault="00DF37EA">
                  <w:pPr>
                    <w:jc w:val="center"/>
                    <w:rPr>
                      <w:b/>
                      <w:color w:val="000000"/>
                    </w:rPr>
                  </w:pPr>
                  <w:r>
                    <w:rPr>
                      <w:b/>
                      <w:color w:val="000000"/>
                    </w:rPr>
                    <w:t>5</w:t>
                  </w:r>
                </w:p>
              </w:tc>
              <w:tc>
                <w:tcPr>
                  <w:tcW w:w="695" w:type="dxa"/>
                  <w:tcBorders>
                    <w:top w:val="nil"/>
                    <w:left w:val="nil"/>
                    <w:bottom w:val="single" w:sz="4" w:space="0" w:color="auto"/>
                    <w:right w:val="single" w:sz="4" w:space="0" w:color="auto"/>
                  </w:tcBorders>
                  <w:shd w:val="clear" w:color="000000" w:fill="auto"/>
                  <w:vAlign w:val="center"/>
                </w:tcPr>
                <w:p w14:paraId="6E65E309" w14:textId="77777777" w:rsidR="008D68DB" w:rsidRDefault="00DF37EA">
                  <w:pPr>
                    <w:jc w:val="center"/>
                    <w:rPr>
                      <w:b/>
                      <w:color w:val="000000"/>
                    </w:rPr>
                  </w:pPr>
                  <w:r>
                    <w:rPr>
                      <w:b/>
                      <w:color w:val="000000"/>
                    </w:rPr>
                    <w:t>2</w:t>
                  </w:r>
                </w:p>
              </w:tc>
              <w:tc>
                <w:tcPr>
                  <w:tcW w:w="556" w:type="dxa"/>
                  <w:tcBorders>
                    <w:top w:val="nil"/>
                    <w:left w:val="nil"/>
                    <w:bottom w:val="single" w:sz="4" w:space="0" w:color="auto"/>
                    <w:right w:val="single" w:sz="4" w:space="0" w:color="auto"/>
                  </w:tcBorders>
                  <w:shd w:val="clear" w:color="000000" w:fill="auto"/>
                  <w:vAlign w:val="center"/>
                </w:tcPr>
                <w:p w14:paraId="55C3CDA0" w14:textId="77777777" w:rsidR="008D68DB" w:rsidRDefault="00DF37EA">
                  <w:pPr>
                    <w:jc w:val="center"/>
                    <w:rPr>
                      <w:b/>
                      <w:color w:val="000000"/>
                    </w:rPr>
                  </w:pPr>
                  <w:r>
                    <w:rPr>
                      <w:b/>
                      <w:color w:val="000000"/>
                    </w:rPr>
                    <w:t>29%</w:t>
                  </w:r>
                </w:p>
              </w:tc>
              <w:tc>
                <w:tcPr>
                  <w:tcW w:w="834" w:type="dxa"/>
                  <w:tcBorders>
                    <w:top w:val="nil"/>
                    <w:left w:val="nil"/>
                    <w:bottom w:val="single" w:sz="4" w:space="0" w:color="auto"/>
                    <w:right w:val="single" w:sz="4" w:space="0" w:color="auto"/>
                  </w:tcBorders>
                  <w:shd w:val="clear" w:color="000000" w:fill="auto"/>
                  <w:vAlign w:val="center"/>
                </w:tcPr>
                <w:p w14:paraId="53B45428" w14:textId="77777777" w:rsidR="008D68DB" w:rsidRDefault="00DF37EA">
                  <w:pPr>
                    <w:jc w:val="center"/>
                    <w:rPr>
                      <w:b/>
                      <w:color w:val="000000"/>
                    </w:rPr>
                  </w:pPr>
                  <w:r>
                    <w:rPr>
                      <w:b/>
                      <w:color w:val="000000"/>
                    </w:rPr>
                    <w:t>0</w:t>
                  </w:r>
                </w:p>
              </w:tc>
              <w:tc>
                <w:tcPr>
                  <w:tcW w:w="835" w:type="dxa"/>
                  <w:tcBorders>
                    <w:top w:val="nil"/>
                    <w:left w:val="nil"/>
                    <w:bottom w:val="single" w:sz="4" w:space="0" w:color="auto"/>
                    <w:right w:val="single" w:sz="4" w:space="0" w:color="auto"/>
                  </w:tcBorders>
                  <w:shd w:val="clear" w:color="000000" w:fill="auto"/>
                  <w:vAlign w:val="center"/>
                </w:tcPr>
                <w:p w14:paraId="480D64FD" w14:textId="77777777" w:rsidR="008D68DB" w:rsidRDefault="00DF37EA">
                  <w:pPr>
                    <w:jc w:val="center"/>
                    <w:rPr>
                      <w:b/>
                      <w:color w:val="000000"/>
                    </w:rPr>
                  </w:pPr>
                  <w:r>
                    <w:rPr>
                      <w:b/>
                      <w:color w:val="000000"/>
                    </w:rPr>
                    <w:t>0</w:t>
                  </w:r>
                </w:p>
              </w:tc>
              <w:tc>
                <w:tcPr>
                  <w:tcW w:w="613" w:type="dxa"/>
                  <w:tcBorders>
                    <w:top w:val="nil"/>
                    <w:left w:val="nil"/>
                    <w:bottom w:val="single" w:sz="4" w:space="0" w:color="auto"/>
                    <w:right w:val="single" w:sz="4" w:space="0" w:color="auto"/>
                  </w:tcBorders>
                  <w:shd w:val="clear" w:color="000000" w:fill="auto"/>
                  <w:vAlign w:val="center"/>
                </w:tcPr>
                <w:p w14:paraId="44E80B50" w14:textId="77777777" w:rsidR="008D68DB" w:rsidRDefault="00DF37EA">
                  <w:pPr>
                    <w:jc w:val="center"/>
                    <w:rPr>
                      <w:b/>
                      <w:color w:val="000000"/>
                    </w:rPr>
                  </w:pPr>
                  <w:r>
                    <w:rPr>
                      <w:b/>
                      <w:color w:val="000000"/>
                    </w:rPr>
                    <w:t> </w:t>
                  </w:r>
                </w:p>
              </w:tc>
            </w:tr>
            <w:tr w:rsidR="008D68DB" w14:paraId="2733F9A9"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402F48C6" w14:textId="77777777" w:rsidR="008D68DB" w:rsidRDefault="00DF37EA">
                  <w:pPr>
                    <w:rPr>
                      <w:b/>
                      <w:color w:val="000000"/>
                    </w:rPr>
                  </w:pPr>
                  <w:r>
                    <w:rPr>
                      <w:b/>
                      <w:color w:val="000000"/>
                    </w:rPr>
                    <w:t>PIKC "Smiltenes tehnikums"</w:t>
                  </w:r>
                </w:p>
              </w:tc>
              <w:tc>
                <w:tcPr>
                  <w:tcW w:w="869" w:type="dxa"/>
                  <w:tcBorders>
                    <w:top w:val="nil"/>
                    <w:left w:val="nil"/>
                    <w:bottom w:val="single" w:sz="4" w:space="0" w:color="auto"/>
                    <w:right w:val="single" w:sz="4" w:space="0" w:color="auto"/>
                  </w:tcBorders>
                  <w:shd w:val="clear" w:color="000000" w:fill="auto"/>
                  <w:vAlign w:val="center"/>
                </w:tcPr>
                <w:p w14:paraId="7107B0B0" w14:textId="77777777" w:rsidR="008D68DB" w:rsidRDefault="00DF37EA">
                  <w:pPr>
                    <w:jc w:val="center"/>
                    <w:rPr>
                      <w:i/>
                      <w:color w:val="000000"/>
                    </w:rPr>
                  </w:pPr>
                  <w:r>
                    <w:rPr>
                      <w:i/>
                      <w:color w:val="000000"/>
                    </w:rPr>
                    <w:t>Šuvējs</w:t>
                  </w:r>
                </w:p>
              </w:tc>
              <w:tc>
                <w:tcPr>
                  <w:tcW w:w="662" w:type="dxa"/>
                  <w:tcBorders>
                    <w:top w:val="nil"/>
                    <w:left w:val="nil"/>
                    <w:bottom w:val="single" w:sz="4" w:space="0" w:color="auto"/>
                    <w:right w:val="single" w:sz="4" w:space="0" w:color="auto"/>
                  </w:tcBorders>
                  <w:shd w:val="clear" w:color="000000" w:fill="auto"/>
                  <w:vAlign w:val="center"/>
                </w:tcPr>
                <w:p w14:paraId="4F124B32" w14:textId="77777777" w:rsidR="008D68DB" w:rsidRDefault="00DF37EA">
                  <w:pPr>
                    <w:jc w:val="center"/>
                    <w:rPr>
                      <w:b/>
                      <w:color w:val="000000"/>
                    </w:rPr>
                  </w:pPr>
                  <w:r>
                    <w:rPr>
                      <w:b/>
                      <w:color w:val="000000"/>
                    </w:rPr>
                    <w:t>7</w:t>
                  </w:r>
                </w:p>
              </w:tc>
              <w:tc>
                <w:tcPr>
                  <w:tcW w:w="695" w:type="dxa"/>
                  <w:tcBorders>
                    <w:top w:val="nil"/>
                    <w:left w:val="nil"/>
                    <w:bottom w:val="single" w:sz="4" w:space="0" w:color="auto"/>
                    <w:right w:val="single" w:sz="4" w:space="0" w:color="auto"/>
                  </w:tcBorders>
                  <w:shd w:val="clear" w:color="000000" w:fill="auto"/>
                  <w:vAlign w:val="center"/>
                </w:tcPr>
                <w:p w14:paraId="0BDB8F5D" w14:textId="77777777" w:rsidR="008D68DB" w:rsidRDefault="00DF37EA">
                  <w:pPr>
                    <w:jc w:val="center"/>
                    <w:rPr>
                      <w:b/>
                      <w:color w:val="000000"/>
                    </w:rPr>
                  </w:pPr>
                  <w:r>
                    <w:rPr>
                      <w:b/>
                      <w:color w:val="000000"/>
                    </w:rPr>
                    <w:t>0</w:t>
                  </w:r>
                </w:p>
              </w:tc>
              <w:tc>
                <w:tcPr>
                  <w:tcW w:w="556" w:type="dxa"/>
                  <w:tcBorders>
                    <w:top w:val="nil"/>
                    <w:left w:val="nil"/>
                    <w:bottom w:val="single" w:sz="4" w:space="0" w:color="auto"/>
                    <w:right w:val="single" w:sz="4" w:space="0" w:color="auto"/>
                  </w:tcBorders>
                  <w:shd w:val="clear" w:color="000000" w:fill="auto"/>
                  <w:vAlign w:val="center"/>
                </w:tcPr>
                <w:p w14:paraId="0117A03B" w14:textId="77777777" w:rsidR="008D68DB" w:rsidRDefault="00DF37EA">
                  <w:pPr>
                    <w:jc w:val="center"/>
                    <w:rPr>
                      <w:b/>
                      <w:color w:val="000000"/>
                    </w:rPr>
                  </w:pPr>
                  <w:r>
                    <w:rPr>
                      <w:b/>
                      <w:color w:val="000000"/>
                    </w:rPr>
                    <w:t>0%</w:t>
                  </w:r>
                </w:p>
              </w:tc>
              <w:tc>
                <w:tcPr>
                  <w:tcW w:w="834" w:type="dxa"/>
                  <w:tcBorders>
                    <w:top w:val="nil"/>
                    <w:left w:val="nil"/>
                    <w:bottom w:val="single" w:sz="4" w:space="0" w:color="auto"/>
                    <w:right w:val="single" w:sz="4" w:space="0" w:color="auto"/>
                  </w:tcBorders>
                  <w:shd w:val="clear" w:color="000000" w:fill="auto"/>
                  <w:vAlign w:val="center"/>
                </w:tcPr>
                <w:p w14:paraId="026AA8D1" w14:textId="77777777" w:rsidR="008D68DB" w:rsidRDefault="00DF37EA">
                  <w:pPr>
                    <w:jc w:val="center"/>
                    <w:rPr>
                      <w:b/>
                      <w:color w:val="000000"/>
                    </w:rPr>
                  </w:pPr>
                  <w:r>
                    <w:rPr>
                      <w:b/>
                      <w:color w:val="000000"/>
                    </w:rPr>
                    <w:t>13</w:t>
                  </w:r>
                </w:p>
              </w:tc>
              <w:tc>
                <w:tcPr>
                  <w:tcW w:w="835" w:type="dxa"/>
                  <w:tcBorders>
                    <w:top w:val="nil"/>
                    <w:left w:val="nil"/>
                    <w:bottom w:val="single" w:sz="4" w:space="0" w:color="auto"/>
                    <w:right w:val="single" w:sz="4" w:space="0" w:color="auto"/>
                  </w:tcBorders>
                  <w:shd w:val="clear" w:color="000000" w:fill="auto"/>
                  <w:vAlign w:val="center"/>
                </w:tcPr>
                <w:p w14:paraId="50DB01F0" w14:textId="77777777" w:rsidR="008D68DB" w:rsidRDefault="00DF37EA">
                  <w:pPr>
                    <w:jc w:val="center"/>
                    <w:rPr>
                      <w:b/>
                      <w:color w:val="000000"/>
                    </w:rPr>
                  </w:pPr>
                  <w:r>
                    <w:rPr>
                      <w:b/>
                      <w:color w:val="000000"/>
                    </w:rPr>
                    <w:t>5</w:t>
                  </w:r>
                </w:p>
              </w:tc>
              <w:tc>
                <w:tcPr>
                  <w:tcW w:w="613" w:type="dxa"/>
                  <w:tcBorders>
                    <w:top w:val="nil"/>
                    <w:left w:val="nil"/>
                    <w:bottom w:val="single" w:sz="4" w:space="0" w:color="auto"/>
                    <w:right w:val="single" w:sz="4" w:space="0" w:color="auto"/>
                  </w:tcBorders>
                  <w:shd w:val="clear" w:color="000000" w:fill="auto"/>
                  <w:vAlign w:val="center"/>
                </w:tcPr>
                <w:p w14:paraId="7CE6395F" w14:textId="77777777" w:rsidR="008D68DB" w:rsidRDefault="00DF37EA">
                  <w:pPr>
                    <w:jc w:val="center"/>
                    <w:rPr>
                      <w:b/>
                      <w:color w:val="000000"/>
                    </w:rPr>
                  </w:pPr>
                  <w:r>
                    <w:rPr>
                      <w:b/>
                      <w:color w:val="000000"/>
                    </w:rPr>
                    <w:t>36%</w:t>
                  </w:r>
                </w:p>
              </w:tc>
            </w:tr>
            <w:tr w:rsidR="008D68DB" w14:paraId="0AC528D8"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0FFD7D86" w14:textId="77777777" w:rsidR="008D68DB" w:rsidRDefault="00DF37EA">
                  <w:pPr>
                    <w:jc w:val="center"/>
                    <w:rPr>
                      <w:b/>
                      <w:i/>
                      <w:color w:val="000000"/>
                    </w:rPr>
                  </w:pPr>
                  <w:r>
                    <w:rPr>
                      <w:b/>
                      <w:i/>
                      <w:color w:val="000000"/>
                    </w:rPr>
                    <w:t>Zemgale</w:t>
                  </w:r>
                </w:p>
              </w:tc>
            </w:tr>
            <w:tr w:rsidR="008D68DB" w14:paraId="5BC20D2E" w14:textId="77777777">
              <w:trPr>
                <w:trHeight w:val="85"/>
              </w:trPr>
              <w:tc>
                <w:tcPr>
                  <w:tcW w:w="969" w:type="dxa"/>
                  <w:vMerge w:val="restart"/>
                  <w:tcBorders>
                    <w:top w:val="nil"/>
                    <w:left w:val="single" w:sz="4" w:space="0" w:color="auto"/>
                    <w:bottom w:val="single" w:sz="4" w:space="0" w:color="auto"/>
                    <w:right w:val="single" w:sz="4" w:space="0" w:color="auto"/>
                  </w:tcBorders>
                  <w:shd w:val="clear" w:color="000000" w:fill="auto"/>
                  <w:vAlign w:val="center"/>
                </w:tcPr>
                <w:p w14:paraId="48BC8B8F" w14:textId="77777777" w:rsidR="008D68DB" w:rsidRDefault="00DF37EA">
                  <w:pPr>
                    <w:rPr>
                      <w:b/>
                      <w:color w:val="000000"/>
                    </w:rPr>
                  </w:pPr>
                  <w:r>
                    <w:rPr>
                      <w:b/>
                      <w:color w:val="000000"/>
                    </w:rPr>
                    <w:t>PIKC "Jelgavas tehnikums"</w:t>
                  </w:r>
                </w:p>
              </w:tc>
              <w:tc>
                <w:tcPr>
                  <w:tcW w:w="869" w:type="dxa"/>
                  <w:vMerge w:val="restart"/>
                  <w:tcBorders>
                    <w:top w:val="nil"/>
                    <w:left w:val="single" w:sz="4" w:space="0" w:color="auto"/>
                    <w:bottom w:val="single" w:sz="4" w:space="0" w:color="000000"/>
                    <w:right w:val="single" w:sz="4" w:space="0" w:color="auto"/>
                  </w:tcBorders>
                  <w:shd w:val="clear" w:color="000000" w:fill="auto"/>
                  <w:vAlign w:val="center"/>
                </w:tcPr>
                <w:p w14:paraId="0442C36C" w14:textId="77777777" w:rsidR="008D68DB" w:rsidRDefault="00DF37EA">
                  <w:pPr>
                    <w:jc w:val="center"/>
                    <w:rPr>
                      <w:i/>
                      <w:color w:val="000000"/>
                    </w:rPr>
                  </w:pPr>
                  <w:r>
                    <w:rPr>
                      <w:i/>
                      <w:color w:val="000000"/>
                    </w:rPr>
                    <w:t>Lietvedis</w:t>
                  </w:r>
                </w:p>
              </w:tc>
              <w:tc>
                <w:tcPr>
                  <w:tcW w:w="662" w:type="dxa"/>
                  <w:vMerge w:val="restart"/>
                  <w:tcBorders>
                    <w:top w:val="nil"/>
                    <w:left w:val="single" w:sz="4" w:space="0" w:color="auto"/>
                    <w:bottom w:val="single" w:sz="4" w:space="0" w:color="000000"/>
                    <w:right w:val="single" w:sz="4" w:space="0" w:color="auto"/>
                  </w:tcBorders>
                  <w:shd w:val="clear" w:color="000000" w:fill="auto"/>
                  <w:vAlign w:val="center"/>
                </w:tcPr>
                <w:p w14:paraId="104FAAE1" w14:textId="77777777" w:rsidR="008D68DB" w:rsidRDefault="008D68DB">
                  <w:pPr>
                    <w:jc w:val="center"/>
                    <w:rPr>
                      <w:b/>
                      <w:color w:val="000000"/>
                    </w:rPr>
                  </w:pPr>
                </w:p>
                <w:p w14:paraId="5B5B2665" w14:textId="77777777" w:rsidR="008D68DB" w:rsidRDefault="00DF37EA">
                  <w:pPr>
                    <w:jc w:val="center"/>
                    <w:rPr>
                      <w:b/>
                      <w:color w:val="000000"/>
                    </w:rPr>
                  </w:pPr>
                  <w:r>
                    <w:rPr>
                      <w:color w:val="000000"/>
                    </w:rPr>
                    <w:t> </w:t>
                  </w:r>
                </w:p>
                <w:p w14:paraId="52DCD46C" w14:textId="77777777" w:rsidR="008D68DB" w:rsidRDefault="00DF37EA">
                  <w:pPr>
                    <w:jc w:val="center"/>
                    <w:rPr>
                      <w:b/>
                      <w:color w:val="000000"/>
                    </w:rPr>
                  </w:pPr>
                  <w:r>
                    <w:rPr>
                      <w:b/>
                      <w:color w:val="000000"/>
                    </w:rPr>
                    <w:t>14</w:t>
                  </w:r>
                </w:p>
                <w:p w14:paraId="7CCE0401" w14:textId="77777777" w:rsidR="008D68DB" w:rsidRDefault="00DF37EA">
                  <w:pPr>
                    <w:jc w:val="center"/>
                    <w:rPr>
                      <w:b/>
                      <w:color w:val="000000"/>
                    </w:rPr>
                  </w:pPr>
                  <w:r>
                    <w:rPr>
                      <w:b/>
                      <w:color w:val="000000"/>
                    </w:rPr>
                    <w:t> </w:t>
                  </w:r>
                </w:p>
              </w:tc>
              <w:tc>
                <w:tcPr>
                  <w:tcW w:w="695" w:type="dxa"/>
                  <w:vMerge w:val="restart"/>
                  <w:tcBorders>
                    <w:top w:val="nil"/>
                    <w:left w:val="nil"/>
                    <w:bottom w:val="single" w:sz="4" w:space="0" w:color="auto"/>
                    <w:right w:val="single" w:sz="4" w:space="0" w:color="auto"/>
                  </w:tcBorders>
                  <w:shd w:val="clear" w:color="000000" w:fill="auto"/>
                  <w:vAlign w:val="center"/>
                </w:tcPr>
                <w:p w14:paraId="067C933A" w14:textId="77777777" w:rsidR="008D68DB" w:rsidRDefault="00DF37EA">
                  <w:pPr>
                    <w:jc w:val="center"/>
                    <w:rPr>
                      <w:b/>
                      <w:color w:val="000000"/>
                    </w:rPr>
                  </w:pPr>
                  <w:r>
                    <w:rPr>
                      <w:b/>
                      <w:color w:val="000000"/>
                    </w:rPr>
                    <w:t>8</w:t>
                  </w:r>
                </w:p>
                <w:p w14:paraId="7428CB18" w14:textId="77777777" w:rsidR="008D68DB" w:rsidRDefault="00DF37EA">
                  <w:pPr>
                    <w:jc w:val="center"/>
                    <w:rPr>
                      <w:b/>
                      <w:color w:val="000000"/>
                    </w:rPr>
                  </w:pPr>
                  <w:r>
                    <w:rPr>
                      <w:b/>
                      <w:color w:val="000000"/>
                    </w:rPr>
                    <w:t> </w:t>
                  </w:r>
                </w:p>
              </w:tc>
              <w:tc>
                <w:tcPr>
                  <w:tcW w:w="556" w:type="dxa"/>
                  <w:vMerge w:val="restart"/>
                  <w:tcBorders>
                    <w:top w:val="nil"/>
                    <w:left w:val="nil"/>
                    <w:bottom w:val="single" w:sz="4" w:space="0" w:color="auto"/>
                    <w:right w:val="single" w:sz="4" w:space="0" w:color="auto"/>
                  </w:tcBorders>
                  <w:shd w:val="clear" w:color="000000" w:fill="auto"/>
                  <w:vAlign w:val="center"/>
                </w:tcPr>
                <w:p w14:paraId="5C044C4E" w14:textId="77777777" w:rsidR="008D68DB" w:rsidRDefault="00DF37EA">
                  <w:pPr>
                    <w:jc w:val="center"/>
                    <w:rPr>
                      <w:b/>
                      <w:color w:val="000000"/>
                    </w:rPr>
                  </w:pPr>
                  <w:r>
                    <w:rPr>
                      <w:b/>
                      <w:color w:val="000000"/>
                    </w:rPr>
                    <w:t>47%</w:t>
                  </w:r>
                </w:p>
                <w:p w14:paraId="2BF03E74" w14:textId="77777777" w:rsidR="008D68DB" w:rsidRDefault="00DF37EA">
                  <w:pPr>
                    <w:jc w:val="center"/>
                    <w:rPr>
                      <w:b/>
                      <w:color w:val="000000"/>
                    </w:rPr>
                  </w:pPr>
                  <w:r>
                    <w:rPr>
                      <w:b/>
                      <w:color w:val="000000"/>
                    </w:rPr>
                    <w:t> </w:t>
                  </w:r>
                </w:p>
              </w:tc>
              <w:tc>
                <w:tcPr>
                  <w:tcW w:w="834" w:type="dxa"/>
                  <w:vMerge w:val="restart"/>
                  <w:tcBorders>
                    <w:top w:val="nil"/>
                    <w:left w:val="nil"/>
                    <w:bottom w:val="single" w:sz="4" w:space="0" w:color="auto"/>
                    <w:right w:val="single" w:sz="4" w:space="0" w:color="auto"/>
                  </w:tcBorders>
                  <w:shd w:val="clear" w:color="000000" w:fill="auto"/>
                  <w:vAlign w:val="center"/>
                </w:tcPr>
                <w:p w14:paraId="3A98B41E" w14:textId="77777777" w:rsidR="008D68DB" w:rsidRDefault="00DF37EA">
                  <w:pPr>
                    <w:jc w:val="center"/>
                    <w:rPr>
                      <w:b/>
                      <w:color w:val="000000"/>
                    </w:rPr>
                  </w:pPr>
                  <w:r>
                    <w:rPr>
                      <w:b/>
                      <w:color w:val="000000"/>
                    </w:rPr>
                    <w:t> </w:t>
                  </w:r>
                </w:p>
                <w:p w14:paraId="0F42C3C9" w14:textId="77777777" w:rsidR="008D68DB" w:rsidRDefault="00DF37EA">
                  <w:pPr>
                    <w:jc w:val="center"/>
                    <w:rPr>
                      <w:b/>
                      <w:color w:val="000000"/>
                    </w:rPr>
                  </w:pPr>
                  <w:r>
                    <w:rPr>
                      <w:b/>
                      <w:color w:val="000000"/>
                    </w:rPr>
                    <w:t>16</w:t>
                  </w:r>
                </w:p>
                <w:p w14:paraId="0F5DA42E" w14:textId="77777777" w:rsidR="008D68DB" w:rsidRDefault="00DF37EA">
                  <w:pPr>
                    <w:jc w:val="center"/>
                    <w:rPr>
                      <w:b/>
                      <w:color w:val="000000"/>
                    </w:rPr>
                  </w:pPr>
                  <w:r>
                    <w:rPr>
                      <w:b/>
                      <w:color w:val="000000"/>
                    </w:rPr>
                    <w:t> </w:t>
                  </w:r>
                </w:p>
              </w:tc>
              <w:tc>
                <w:tcPr>
                  <w:tcW w:w="835" w:type="dxa"/>
                  <w:vMerge w:val="restart"/>
                  <w:tcBorders>
                    <w:top w:val="nil"/>
                    <w:left w:val="nil"/>
                    <w:bottom w:val="single" w:sz="4" w:space="0" w:color="auto"/>
                    <w:right w:val="single" w:sz="4" w:space="0" w:color="auto"/>
                  </w:tcBorders>
                  <w:shd w:val="clear" w:color="000000" w:fill="auto"/>
                  <w:vAlign w:val="center"/>
                </w:tcPr>
                <w:p w14:paraId="167027FE" w14:textId="77777777" w:rsidR="008D68DB" w:rsidRDefault="00DF37EA">
                  <w:pPr>
                    <w:jc w:val="center"/>
                    <w:rPr>
                      <w:b/>
                      <w:color w:val="000000"/>
                    </w:rPr>
                  </w:pPr>
                  <w:r>
                    <w:rPr>
                      <w:b/>
                      <w:color w:val="000000"/>
                    </w:rPr>
                    <w:t>8</w:t>
                  </w:r>
                </w:p>
                <w:p w14:paraId="67BB0659" w14:textId="77777777" w:rsidR="008D68DB" w:rsidRDefault="00DF37EA">
                  <w:pPr>
                    <w:jc w:val="center"/>
                    <w:rPr>
                      <w:b/>
                      <w:color w:val="000000"/>
                    </w:rPr>
                  </w:pPr>
                  <w:r>
                    <w:rPr>
                      <w:b/>
                      <w:color w:val="000000"/>
                    </w:rPr>
                    <w:t> </w:t>
                  </w:r>
                </w:p>
              </w:tc>
              <w:tc>
                <w:tcPr>
                  <w:tcW w:w="613" w:type="dxa"/>
                  <w:tcBorders>
                    <w:top w:val="nil"/>
                    <w:left w:val="nil"/>
                    <w:bottom w:val="single" w:sz="4" w:space="0" w:color="auto"/>
                    <w:right w:val="single" w:sz="4" w:space="0" w:color="auto"/>
                  </w:tcBorders>
                  <w:shd w:val="clear" w:color="000000" w:fill="auto"/>
                  <w:vAlign w:val="center"/>
                </w:tcPr>
                <w:p w14:paraId="0CEF84B0" w14:textId="77777777" w:rsidR="008D68DB" w:rsidRDefault="00DF37EA">
                  <w:pPr>
                    <w:jc w:val="center"/>
                    <w:rPr>
                      <w:b/>
                      <w:color w:val="000000"/>
                    </w:rPr>
                  </w:pPr>
                  <w:r>
                    <w:rPr>
                      <w:b/>
                      <w:color w:val="000000"/>
                    </w:rPr>
                    <w:t>42%</w:t>
                  </w:r>
                </w:p>
              </w:tc>
            </w:tr>
            <w:tr w:rsidR="008D68DB" w14:paraId="746D640A" w14:textId="77777777">
              <w:trPr>
                <w:trHeight w:val="85"/>
              </w:trPr>
              <w:tc>
                <w:tcPr>
                  <w:tcW w:w="969" w:type="dxa"/>
                  <w:vMerge/>
                  <w:tcBorders>
                    <w:top w:val="nil"/>
                    <w:left w:val="single" w:sz="4" w:space="0" w:color="auto"/>
                    <w:bottom w:val="single" w:sz="4" w:space="0" w:color="auto"/>
                    <w:right w:val="single" w:sz="4" w:space="0" w:color="auto"/>
                  </w:tcBorders>
                  <w:shd w:val="clear" w:color="000000" w:fill="auto"/>
                  <w:vAlign w:val="center"/>
                </w:tcPr>
                <w:p w14:paraId="3E809539" w14:textId="77777777" w:rsidR="008D68DB" w:rsidRDefault="008D68DB"/>
              </w:tc>
              <w:tc>
                <w:tcPr>
                  <w:tcW w:w="869" w:type="dxa"/>
                  <w:vMerge/>
                  <w:tcBorders>
                    <w:top w:val="nil"/>
                    <w:left w:val="single" w:sz="4" w:space="0" w:color="auto"/>
                    <w:bottom w:val="single" w:sz="4" w:space="0" w:color="000000"/>
                    <w:right w:val="single" w:sz="4" w:space="0" w:color="auto"/>
                  </w:tcBorders>
                  <w:shd w:val="clear" w:color="000000" w:fill="auto"/>
                  <w:vAlign w:val="center"/>
                </w:tcPr>
                <w:p w14:paraId="65E97AAE" w14:textId="77777777" w:rsidR="008D68DB" w:rsidRDefault="008D68DB"/>
              </w:tc>
              <w:tc>
                <w:tcPr>
                  <w:tcW w:w="662" w:type="dxa"/>
                  <w:vMerge/>
                  <w:tcBorders>
                    <w:top w:val="nil"/>
                    <w:left w:val="single" w:sz="4" w:space="0" w:color="auto"/>
                    <w:bottom w:val="single" w:sz="4" w:space="0" w:color="000000"/>
                    <w:right w:val="single" w:sz="4" w:space="0" w:color="auto"/>
                  </w:tcBorders>
                  <w:shd w:val="clear" w:color="000000" w:fill="auto"/>
                  <w:vAlign w:val="center"/>
                </w:tcPr>
                <w:p w14:paraId="49145049" w14:textId="77777777" w:rsidR="008D68DB" w:rsidRDefault="008D68DB"/>
              </w:tc>
              <w:tc>
                <w:tcPr>
                  <w:tcW w:w="695" w:type="dxa"/>
                  <w:vMerge/>
                  <w:tcBorders>
                    <w:top w:val="nil"/>
                    <w:left w:val="nil"/>
                    <w:bottom w:val="single" w:sz="4" w:space="0" w:color="auto"/>
                    <w:right w:val="single" w:sz="4" w:space="0" w:color="auto"/>
                  </w:tcBorders>
                  <w:shd w:val="clear" w:color="000000" w:fill="auto"/>
                  <w:vAlign w:val="center"/>
                </w:tcPr>
                <w:p w14:paraId="2B58C9A7" w14:textId="77777777" w:rsidR="008D68DB" w:rsidRDefault="008D68DB"/>
              </w:tc>
              <w:tc>
                <w:tcPr>
                  <w:tcW w:w="556" w:type="dxa"/>
                  <w:vMerge/>
                  <w:tcBorders>
                    <w:top w:val="nil"/>
                    <w:left w:val="nil"/>
                    <w:bottom w:val="single" w:sz="4" w:space="0" w:color="auto"/>
                    <w:right w:val="single" w:sz="4" w:space="0" w:color="auto"/>
                  </w:tcBorders>
                  <w:shd w:val="clear" w:color="000000" w:fill="auto"/>
                  <w:vAlign w:val="center"/>
                </w:tcPr>
                <w:p w14:paraId="083CC9F0" w14:textId="77777777" w:rsidR="008D68DB" w:rsidRDefault="008D68DB"/>
              </w:tc>
              <w:tc>
                <w:tcPr>
                  <w:tcW w:w="834" w:type="dxa"/>
                  <w:vMerge/>
                  <w:tcBorders>
                    <w:top w:val="nil"/>
                    <w:left w:val="nil"/>
                    <w:bottom w:val="single" w:sz="4" w:space="0" w:color="auto"/>
                    <w:right w:val="single" w:sz="4" w:space="0" w:color="auto"/>
                  </w:tcBorders>
                  <w:shd w:val="clear" w:color="000000" w:fill="auto"/>
                  <w:vAlign w:val="center"/>
                </w:tcPr>
                <w:p w14:paraId="1F1BAD7E" w14:textId="77777777" w:rsidR="008D68DB" w:rsidRDefault="008D68DB"/>
              </w:tc>
              <w:tc>
                <w:tcPr>
                  <w:tcW w:w="835" w:type="dxa"/>
                  <w:vMerge/>
                  <w:tcBorders>
                    <w:top w:val="nil"/>
                    <w:left w:val="nil"/>
                    <w:bottom w:val="single" w:sz="4" w:space="0" w:color="auto"/>
                    <w:right w:val="single" w:sz="4" w:space="0" w:color="auto"/>
                  </w:tcBorders>
                  <w:shd w:val="clear" w:color="000000" w:fill="auto"/>
                  <w:vAlign w:val="center"/>
                </w:tcPr>
                <w:p w14:paraId="03DB822F" w14:textId="77777777" w:rsidR="008D68DB" w:rsidRDefault="008D68DB"/>
              </w:tc>
              <w:tc>
                <w:tcPr>
                  <w:tcW w:w="613" w:type="dxa"/>
                  <w:tcBorders>
                    <w:top w:val="nil"/>
                    <w:left w:val="nil"/>
                    <w:bottom w:val="single" w:sz="4" w:space="0" w:color="auto"/>
                    <w:right w:val="single" w:sz="4" w:space="0" w:color="auto"/>
                  </w:tcBorders>
                  <w:shd w:val="clear" w:color="000000" w:fill="auto"/>
                  <w:vAlign w:val="center"/>
                </w:tcPr>
                <w:p w14:paraId="171DFC86" w14:textId="77777777" w:rsidR="008D68DB" w:rsidRDefault="00DF37EA">
                  <w:pPr>
                    <w:jc w:val="center"/>
                    <w:rPr>
                      <w:b/>
                      <w:color w:val="000000"/>
                    </w:rPr>
                  </w:pPr>
                  <w:r>
                    <w:rPr>
                      <w:b/>
                      <w:color w:val="000000"/>
                    </w:rPr>
                    <w:t> </w:t>
                  </w:r>
                </w:p>
              </w:tc>
            </w:tr>
            <w:tr w:rsidR="008D68DB" w14:paraId="63F89214"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23A3B8CA" w14:textId="77777777" w:rsidR="008D68DB" w:rsidRDefault="00DF37EA">
                  <w:pPr>
                    <w:rPr>
                      <w:b/>
                      <w:color w:val="000000"/>
                    </w:rPr>
                  </w:pPr>
                  <w:r>
                    <w:rPr>
                      <w:b/>
                      <w:color w:val="000000"/>
                    </w:rPr>
                    <w:t xml:space="preserve">Aizkraukles Profesionālā </w:t>
                  </w:r>
                  <w:r>
                    <w:rPr>
                      <w:b/>
                      <w:color w:val="000000"/>
                    </w:rPr>
                    <w:lastRenderedPageBreak/>
                    <w:t>vidusskola</w:t>
                  </w:r>
                </w:p>
              </w:tc>
              <w:tc>
                <w:tcPr>
                  <w:tcW w:w="869" w:type="dxa"/>
                  <w:tcBorders>
                    <w:top w:val="nil"/>
                    <w:left w:val="nil"/>
                    <w:bottom w:val="single" w:sz="4" w:space="0" w:color="auto"/>
                    <w:right w:val="single" w:sz="4" w:space="0" w:color="auto"/>
                  </w:tcBorders>
                  <w:shd w:val="clear" w:color="000000" w:fill="auto"/>
                  <w:vAlign w:val="center"/>
                </w:tcPr>
                <w:p w14:paraId="5AF4D940" w14:textId="77777777" w:rsidR="008D68DB" w:rsidRDefault="00DF37EA">
                  <w:pPr>
                    <w:jc w:val="center"/>
                    <w:rPr>
                      <w:i/>
                      <w:color w:val="000000"/>
                    </w:rPr>
                  </w:pPr>
                  <w:r>
                    <w:rPr>
                      <w:i/>
                      <w:color w:val="000000"/>
                    </w:rPr>
                    <w:lastRenderedPageBreak/>
                    <w:t>Galdnieks</w:t>
                  </w:r>
                </w:p>
              </w:tc>
              <w:tc>
                <w:tcPr>
                  <w:tcW w:w="662" w:type="dxa"/>
                  <w:tcBorders>
                    <w:top w:val="nil"/>
                    <w:left w:val="nil"/>
                    <w:bottom w:val="single" w:sz="4" w:space="0" w:color="auto"/>
                    <w:right w:val="single" w:sz="4" w:space="0" w:color="auto"/>
                  </w:tcBorders>
                  <w:shd w:val="clear" w:color="000000" w:fill="auto"/>
                  <w:vAlign w:val="center"/>
                </w:tcPr>
                <w:p w14:paraId="7E3F4B1B" w14:textId="77777777" w:rsidR="008D68DB" w:rsidRDefault="00DF37EA">
                  <w:pPr>
                    <w:jc w:val="center"/>
                    <w:rPr>
                      <w:b/>
                      <w:color w:val="000000"/>
                    </w:rPr>
                  </w:pPr>
                  <w:r>
                    <w:rPr>
                      <w:b/>
                      <w:color w:val="000000"/>
                    </w:rPr>
                    <w:t>4</w:t>
                  </w:r>
                </w:p>
              </w:tc>
              <w:tc>
                <w:tcPr>
                  <w:tcW w:w="695" w:type="dxa"/>
                  <w:tcBorders>
                    <w:top w:val="nil"/>
                    <w:left w:val="nil"/>
                    <w:bottom w:val="single" w:sz="4" w:space="0" w:color="auto"/>
                    <w:right w:val="single" w:sz="4" w:space="0" w:color="auto"/>
                  </w:tcBorders>
                  <w:shd w:val="clear" w:color="000000" w:fill="auto"/>
                  <w:vAlign w:val="center"/>
                </w:tcPr>
                <w:p w14:paraId="5D31495C" w14:textId="77777777" w:rsidR="008D68DB" w:rsidRDefault="00DF37EA">
                  <w:pPr>
                    <w:jc w:val="center"/>
                    <w:rPr>
                      <w:b/>
                      <w:color w:val="000000"/>
                    </w:rPr>
                  </w:pPr>
                  <w:r>
                    <w:rPr>
                      <w:b/>
                      <w:color w:val="000000"/>
                    </w:rPr>
                    <w:t>0</w:t>
                  </w:r>
                </w:p>
              </w:tc>
              <w:tc>
                <w:tcPr>
                  <w:tcW w:w="556" w:type="dxa"/>
                  <w:tcBorders>
                    <w:top w:val="nil"/>
                    <w:left w:val="nil"/>
                    <w:bottom w:val="single" w:sz="4" w:space="0" w:color="auto"/>
                    <w:right w:val="single" w:sz="4" w:space="0" w:color="auto"/>
                  </w:tcBorders>
                  <w:shd w:val="clear" w:color="000000" w:fill="auto"/>
                  <w:vAlign w:val="center"/>
                </w:tcPr>
                <w:p w14:paraId="46D846AF" w14:textId="77777777" w:rsidR="008D68DB" w:rsidRDefault="00DF37EA">
                  <w:pPr>
                    <w:jc w:val="center"/>
                    <w:rPr>
                      <w:b/>
                      <w:color w:val="000000"/>
                    </w:rPr>
                  </w:pPr>
                  <w:r>
                    <w:rPr>
                      <w:b/>
                      <w:color w:val="000000"/>
                    </w:rPr>
                    <w:t>0%</w:t>
                  </w:r>
                </w:p>
              </w:tc>
              <w:tc>
                <w:tcPr>
                  <w:tcW w:w="834" w:type="dxa"/>
                  <w:tcBorders>
                    <w:top w:val="nil"/>
                    <w:left w:val="nil"/>
                    <w:bottom w:val="single" w:sz="4" w:space="0" w:color="auto"/>
                    <w:right w:val="single" w:sz="4" w:space="0" w:color="auto"/>
                  </w:tcBorders>
                  <w:shd w:val="clear" w:color="000000" w:fill="auto"/>
                  <w:vAlign w:val="center"/>
                </w:tcPr>
                <w:p w14:paraId="721C6F81" w14:textId="77777777" w:rsidR="008D68DB" w:rsidRDefault="00DF37EA">
                  <w:pPr>
                    <w:jc w:val="center"/>
                    <w:rPr>
                      <w:b/>
                      <w:color w:val="000000"/>
                    </w:rPr>
                  </w:pPr>
                  <w:r>
                    <w:rPr>
                      <w:b/>
                      <w:color w:val="000000"/>
                    </w:rPr>
                    <w:t>0</w:t>
                  </w:r>
                </w:p>
              </w:tc>
              <w:tc>
                <w:tcPr>
                  <w:tcW w:w="835" w:type="dxa"/>
                  <w:tcBorders>
                    <w:top w:val="nil"/>
                    <w:left w:val="nil"/>
                    <w:bottom w:val="single" w:sz="4" w:space="0" w:color="auto"/>
                    <w:right w:val="single" w:sz="4" w:space="0" w:color="auto"/>
                  </w:tcBorders>
                  <w:shd w:val="clear" w:color="000000" w:fill="auto"/>
                  <w:vAlign w:val="center"/>
                </w:tcPr>
                <w:p w14:paraId="47EE9017" w14:textId="77777777" w:rsidR="008D68DB" w:rsidRDefault="00DF37EA">
                  <w:pPr>
                    <w:jc w:val="center"/>
                    <w:rPr>
                      <w:b/>
                      <w:color w:val="000000"/>
                    </w:rPr>
                  </w:pPr>
                  <w:r>
                    <w:rPr>
                      <w:b/>
                      <w:color w:val="000000"/>
                    </w:rPr>
                    <w:t>0</w:t>
                  </w:r>
                </w:p>
              </w:tc>
              <w:tc>
                <w:tcPr>
                  <w:tcW w:w="613" w:type="dxa"/>
                  <w:tcBorders>
                    <w:top w:val="nil"/>
                    <w:left w:val="nil"/>
                    <w:bottom w:val="single" w:sz="4" w:space="0" w:color="auto"/>
                    <w:right w:val="single" w:sz="4" w:space="0" w:color="auto"/>
                  </w:tcBorders>
                  <w:shd w:val="clear" w:color="000000" w:fill="auto"/>
                  <w:vAlign w:val="center"/>
                </w:tcPr>
                <w:p w14:paraId="261A8F4F" w14:textId="77777777" w:rsidR="008D68DB" w:rsidRDefault="00DF37EA">
                  <w:pPr>
                    <w:jc w:val="center"/>
                    <w:rPr>
                      <w:b/>
                      <w:color w:val="000000"/>
                    </w:rPr>
                  </w:pPr>
                  <w:r>
                    <w:rPr>
                      <w:b/>
                      <w:color w:val="000000"/>
                    </w:rPr>
                    <w:t> </w:t>
                  </w:r>
                </w:p>
              </w:tc>
            </w:tr>
            <w:tr w:rsidR="008D68DB" w14:paraId="7BD2E751" w14:textId="77777777">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5208F4F0" w14:textId="77777777" w:rsidR="008D68DB" w:rsidRDefault="00DF37EA">
                  <w:pPr>
                    <w:jc w:val="right"/>
                    <w:rPr>
                      <w:b/>
                      <w:color w:val="000000"/>
                    </w:rPr>
                  </w:pPr>
                  <w:r>
                    <w:rPr>
                      <w:b/>
                      <w:color w:val="000000"/>
                    </w:rPr>
                    <w:t>Iesaistīti kopā</w:t>
                  </w:r>
                </w:p>
              </w:tc>
              <w:tc>
                <w:tcPr>
                  <w:tcW w:w="695" w:type="dxa"/>
                  <w:tcBorders>
                    <w:top w:val="nil"/>
                    <w:left w:val="nil"/>
                    <w:bottom w:val="single" w:sz="4" w:space="0" w:color="auto"/>
                    <w:right w:val="single" w:sz="4" w:space="0" w:color="auto"/>
                  </w:tcBorders>
                  <w:shd w:val="clear" w:color="000000" w:fill="auto"/>
                  <w:vAlign w:val="center"/>
                </w:tcPr>
                <w:p w14:paraId="3CA975B4" w14:textId="77777777" w:rsidR="008D68DB" w:rsidRDefault="00DF37EA">
                  <w:pPr>
                    <w:jc w:val="center"/>
                    <w:rPr>
                      <w:b/>
                      <w:color w:val="000000"/>
                    </w:rPr>
                  </w:pPr>
                  <w:r>
                    <w:rPr>
                      <w:b/>
                      <w:color w:val="000000"/>
                    </w:rPr>
                    <w:t>181</w:t>
                  </w:r>
                </w:p>
              </w:tc>
              <w:tc>
                <w:tcPr>
                  <w:tcW w:w="556" w:type="dxa"/>
                  <w:tcBorders>
                    <w:top w:val="nil"/>
                    <w:left w:val="nil"/>
                    <w:bottom w:val="single" w:sz="4" w:space="0" w:color="auto"/>
                    <w:right w:val="single" w:sz="4" w:space="0" w:color="auto"/>
                  </w:tcBorders>
                  <w:shd w:val="clear" w:color="000000" w:fill="auto"/>
                  <w:vAlign w:val="center"/>
                </w:tcPr>
                <w:p w14:paraId="4C153E0D" w14:textId="77777777" w:rsidR="008D68DB" w:rsidRDefault="00DF37EA">
                  <w:pPr>
                    <w:jc w:val="center"/>
                    <w:rPr>
                      <w:b/>
                      <w:color w:val="000000"/>
                    </w:rPr>
                  </w:pPr>
                  <w:r>
                    <w:rPr>
                      <w:b/>
                      <w:color w:val="000000"/>
                    </w:rPr>
                    <w:t> </w:t>
                  </w:r>
                </w:p>
              </w:tc>
              <w:tc>
                <w:tcPr>
                  <w:tcW w:w="834" w:type="dxa"/>
                  <w:tcBorders>
                    <w:top w:val="nil"/>
                    <w:left w:val="nil"/>
                    <w:bottom w:val="single" w:sz="4" w:space="0" w:color="auto"/>
                    <w:right w:val="single" w:sz="4" w:space="0" w:color="auto"/>
                  </w:tcBorders>
                  <w:shd w:val="clear" w:color="000000" w:fill="auto"/>
                  <w:vAlign w:val="center"/>
                </w:tcPr>
                <w:p w14:paraId="65FA5362" w14:textId="77777777" w:rsidR="008D68DB" w:rsidRDefault="00DF37EA">
                  <w:pPr>
                    <w:jc w:val="center"/>
                    <w:rPr>
                      <w:b/>
                      <w:color w:val="000000"/>
                    </w:rPr>
                  </w:pPr>
                  <w:r>
                    <w:rPr>
                      <w:b/>
                      <w:color w:val="000000"/>
                    </w:rPr>
                    <w:t> </w:t>
                  </w:r>
                </w:p>
              </w:tc>
              <w:tc>
                <w:tcPr>
                  <w:tcW w:w="835" w:type="dxa"/>
                  <w:tcBorders>
                    <w:top w:val="nil"/>
                    <w:left w:val="nil"/>
                    <w:bottom w:val="single" w:sz="4" w:space="0" w:color="auto"/>
                    <w:right w:val="single" w:sz="4" w:space="0" w:color="auto"/>
                  </w:tcBorders>
                  <w:shd w:val="clear" w:color="000000" w:fill="auto"/>
                  <w:vAlign w:val="center"/>
                </w:tcPr>
                <w:p w14:paraId="4F5DCE90" w14:textId="77777777" w:rsidR="008D68DB" w:rsidRDefault="00DF37EA">
                  <w:pPr>
                    <w:jc w:val="center"/>
                    <w:rPr>
                      <w:b/>
                      <w:color w:val="000000"/>
                    </w:rPr>
                  </w:pPr>
                  <w:r>
                    <w:rPr>
                      <w:b/>
                      <w:color w:val="000000"/>
                    </w:rPr>
                    <w:t> </w:t>
                  </w:r>
                </w:p>
                <w:p w14:paraId="5CCA3CBB" w14:textId="77777777" w:rsidR="008D68DB" w:rsidRDefault="00DF37EA">
                  <w:pPr>
                    <w:jc w:val="center"/>
                    <w:rPr>
                      <w:b/>
                      <w:color w:val="000000"/>
                    </w:rPr>
                  </w:pPr>
                  <w:r>
                    <w:rPr>
                      <w:b/>
                      <w:color w:val="000000"/>
                    </w:rPr>
                    <w:t>136</w:t>
                  </w:r>
                </w:p>
              </w:tc>
              <w:tc>
                <w:tcPr>
                  <w:tcW w:w="613" w:type="dxa"/>
                  <w:tcBorders>
                    <w:top w:val="nil"/>
                    <w:left w:val="nil"/>
                    <w:bottom w:val="single" w:sz="4" w:space="0" w:color="auto"/>
                    <w:right w:val="single" w:sz="4" w:space="0" w:color="auto"/>
                  </w:tcBorders>
                  <w:shd w:val="clear" w:color="000000" w:fill="auto"/>
                  <w:vAlign w:val="center"/>
                </w:tcPr>
                <w:p w14:paraId="5588CAA4" w14:textId="77777777" w:rsidR="008D68DB" w:rsidRDefault="00DF37EA">
                  <w:pPr>
                    <w:jc w:val="center"/>
                    <w:rPr>
                      <w:b/>
                      <w:color w:val="000000"/>
                    </w:rPr>
                  </w:pPr>
                  <w:r>
                    <w:rPr>
                      <w:b/>
                      <w:color w:val="000000"/>
                    </w:rPr>
                    <w:t> </w:t>
                  </w:r>
                </w:p>
              </w:tc>
            </w:tr>
            <w:tr w:rsidR="008D68DB" w14:paraId="14AB9862" w14:textId="77777777">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65010449" w14:textId="77777777" w:rsidR="008D68DB" w:rsidRDefault="00DF37EA">
                  <w:pPr>
                    <w:jc w:val="right"/>
                    <w:rPr>
                      <w:b/>
                      <w:color w:val="000000"/>
                    </w:rPr>
                  </w:pPr>
                  <w:r>
                    <w:rPr>
                      <w:b/>
                      <w:color w:val="000000"/>
                    </w:rPr>
                    <w:t>Izglītības apguvi pabeiguši kopā</w:t>
                  </w:r>
                </w:p>
              </w:tc>
              <w:tc>
                <w:tcPr>
                  <w:tcW w:w="695" w:type="dxa"/>
                  <w:tcBorders>
                    <w:top w:val="nil"/>
                    <w:left w:val="nil"/>
                    <w:bottom w:val="single" w:sz="4" w:space="0" w:color="auto"/>
                    <w:right w:val="single" w:sz="4" w:space="0" w:color="auto"/>
                  </w:tcBorders>
                  <w:shd w:val="clear" w:color="000000" w:fill="auto"/>
                  <w:vAlign w:val="center"/>
                </w:tcPr>
                <w:p w14:paraId="730E5A14" w14:textId="77777777" w:rsidR="008D68DB" w:rsidRDefault="00DF37EA">
                  <w:pPr>
                    <w:jc w:val="center"/>
                    <w:rPr>
                      <w:b/>
                      <w:color w:val="000000"/>
                    </w:rPr>
                  </w:pPr>
                  <w:r>
                    <w:rPr>
                      <w:b/>
                      <w:color w:val="000000"/>
                    </w:rPr>
                    <w:t>147</w:t>
                  </w:r>
                </w:p>
              </w:tc>
              <w:tc>
                <w:tcPr>
                  <w:tcW w:w="556" w:type="dxa"/>
                  <w:tcBorders>
                    <w:top w:val="nil"/>
                    <w:left w:val="nil"/>
                    <w:bottom w:val="single" w:sz="4" w:space="0" w:color="auto"/>
                    <w:right w:val="single" w:sz="4" w:space="0" w:color="auto"/>
                  </w:tcBorders>
                  <w:shd w:val="clear" w:color="000000" w:fill="auto"/>
                  <w:vAlign w:val="center"/>
                </w:tcPr>
                <w:p w14:paraId="08A2B13F" w14:textId="77777777" w:rsidR="008D68DB" w:rsidRDefault="00DF37EA">
                  <w:pPr>
                    <w:jc w:val="center"/>
                    <w:rPr>
                      <w:b/>
                      <w:color w:val="000000"/>
                    </w:rPr>
                  </w:pPr>
                  <w:r>
                    <w:rPr>
                      <w:b/>
                      <w:color w:val="000000"/>
                    </w:rPr>
                    <w:t> </w:t>
                  </w:r>
                </w:p>
              </w:tc>
              <w:tc>
                <w:tcPr>
                  <w:tcW w:w="834" w:type="dxa"/>
                  <w:tcBorders>
                    <w:top w:val="nil"/>
                    <w:left w:val="nil"/>
                    <w:bottom w:val="single" w:sz="4" w:space="0" w:color="auto"/>
                    <w:right w:val="single" w:sz="4" w:space="0" w:color="auto"/>
                  </w:tcBorders>
                  <w:shd w:val="clear" w:color="000000" w:fill="auto"/>
                  <w:vAlign w:val="center"/>
                </w:tcPr>
                <w:p w14:paraId="64767AA7" w14:textId="77777777" w:rsidR="008D68DB" w:rsidRDefault="00DF37EA">
                  <w:pPr>
                    <w:jc w:val="center"/>
                    <w:rPr>
                      <w:b/>
                      <w:color w:val="000000"/>
                    </w:rPr>
                  </w:pPr>
                  <w:r>
                    <w:rPr>
                      <w:b/>
                      <w:color w:val="000000"/>
                    </w:rPr>
                    <w:t> </w:t>
                  </w:r>
                </w:p>
              </w:tc>
              <w:tc>
                <w:tcPr>
                  <w:tcW w:w="835" w:type="dxa"/>
                  <w:tcBorders>
                    <w:top w:val="nil"/>
                    <w:left w:val="nil"/>
                    <w:bottom w:val="single" w:sz="4" w:space="0" w:color="auto"/>
                    <w:right w:val="single" w:sz="4" w:space="0" w:color="auto"/>
                  </w:tcBorders>
                  <w:shd w:val="clear" w:color="000000" w:fill="auto"/>
                  <w:vAlign w:val="center"/>
                </w:tcPr>
                <w:p w14:paraId="304C3E6C" w14:textId="77777777" w:rsidR="008D68DB" w:rsidRDefault="00DF37EA">
                  <w:pPr>
                    <w:jc w:val="center"/>
                    <w:rPr>
                      <w:b/>
                      <w:color w:val="000000"/>
                    </w:rPr>
                  </w:pPr>
                  <w:r>
                    <w:rPr>
                      <w:b/>
                      <w:color w:val="000000"/>
                    </w:rPr>
                    <w:t> </w:t>
                  </w:r>
                </w:p>
                <w:p w14:paraId="78038255" w14:textId="77777777" w:rsidR="008D68DB" w:rsidRDefault="00DF37EA">
                  <w:pPr>
                    <w:jc w:val="center"/>
                    <w:rPr>
                      <w:b/>
                      <w:color w:val="000000"/>
                    </w:rPr>
                  </w:pPr>
                  <w:r>
                    <w:rPr>
                      <w:b/>
                      <w:color w:val="000000"/>
                    </w:rPr>
                    <w:t>126</w:t>
                  </w:r>
                </w:p>
              </w:tc>
              <w:tc>
                <w:tcPr>
                  <w:tcW w:w="613" w:type="dxa"/>
                  <w:tcBorders>
                    <w:top w:val="nil"/>
                    <w:left w:val="nil"/>
                    <w:bottom w:val="single" w:sz="4" w:space="0" w:color="auto"/>
                    <w:right w:val="single" w:sz="4" w:space="0" w:color="auto"/>
                  </w:tcBorders>
                  <w:shd w:val="clear" w:color="000000" w:fill="auto"/>
                  <w:vAlign w:val="center"/>
                </w:tcPr>
                <w:p w14:paraId="39ABF38F" w14:textId="77777777" w:rsidR="008D68DB" w:rsidRDefault="00DF37EA">
                  <w:pPr>
                    <w:jc w:val="center"/>
                    <w:rPr>
                      <w:b/>
                      <w:color w:val="000000"/>
                    </w:rPr>
                  </w:pPr>
                  <w:r>
                    <w:rPr>
                      <w:b/>
                      <w:color w:val="000000"/>
                    </w:rPr>
                    <w:t> </w:t>
                  </w:r>
                </w:p>
              </w:tc>
            </w:tr>
            <w:tr w:rsidR="008D68DB" w14:paraId="7716E795" w14:textId="77777777">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6019C81" w14:textId="77777777" w:rsidR="008D68DB" w:rsidRDefault="00DF37EA">
                  <w:pPr>
                    <w:jc w:val="right"/>
                    <w:rPr>
                      <w:b/>
                      <w:color w:val="000000"/>
                    </w:rPr>
                  </w:pPr>
                  <w:r>
                    <w:rPr>
                      <w:b/>
                      <w:color w:val="000000"/>
                    </w:rPr>
                    <w:t>Iekārtojās darbā pirmo 6 mēnešu laikā pēc pabeigšanas</w:t>
                  </w:r>
                </w:p>
              </w:tc>
              <w:tc>
                <w:tcPr>
                  <w:tcW w:w="695" w:type="dxa"/>
                  <w:tcBorders>
                    <w:top w:val="nil"/>
                    <w:left w:val="nil"/>
                    <w:bottom w:val="single" w:sz="4" w:space="0" w:color="auto"/>
                    <w:right w:val="single" w:sz="4" w:space="0" w:color="auto"/>
                  </w:tcBorders>
                  <w:shd w:val="clear" w:color="000000" w:fill="auto"/>
                  <w:vAlign w:val="center"/>
                </w:tcPr>
                <w:p w14:paraId="56DDBD7B" w14:textId="77777777" w:rsidR="008D68DB" w:rsidRDefault="00DF37EA">
                  <w:pPr>
                    <w:jc w:val="center"/>
                    <w:rPr>
                      <w:b/>
                      <w:color w:val="000000"/>
                    </w:rPr>
                  </w:pPr>
                  <w:r>
                    <w:rPr>
                      <w:b/>
                      <w:color w:val="000000"/>
                    </w:rPr>
                    <w:t>42</w:t>
                  </w:r>
                </w:p>
              </w:tc>
              <w:tc>
                <w:tcPr>
                  <w:tcW w:w="556" w:type="dxa"/>
                  <w:tcBorders>
                    <w:top w:val="nil"/>
                    <w:left w:val="nil"/>
                    <w:bottom w:val="single" w:sz="4" w:space="0" w:color="auto"/>
                    <w:right w:val="single" w:sz="4" w:space="0" w:color="auto"/>
                  </w:tcBorders>
                  <w:shd w:val="clear" w:color="000000" w:fill="auto"/>
                  <w:vAlign w:val="center"/>
                </w:tcPr>
                <w:p w14:paraId="13BAEF81" w14:textId="77777777" w:rsidR="008D68DB" w:rsidRDefault="00DF37EA">
                  <w:pPr>
                    <w:jc w:val="center"/>
                    <w:rPr>
                      <w:b/>
                      <w:color w:val="000000"/>
                    </w:rPr>
                  </w:pPr>
                  <w:r>
                    <w:rPr>
                      <w:b/>
                      <w:color w:val="000000"/>
                    </w:rPr>
                    <w:t> </w:t>
                  </w:r>
                </w:p>
              </w:tc>
              <w:tc>
                <w:tcPr>
                  <w:tcW w:w="834" w:type="dxa"/>
                  <w:tcBorders>
                    <w:top w:val="nil"/>
                    <w:left w:val="nil"/>
                    <w:bottom w:val="single" w:sz="4" w:space="0" w:color="auto"/>
                    <w:right w:val="single" w:sz="4" w:space="0" w:color="auto"/>
                  </w:tcBorders>
                  <w:shd w:val="clear" w:color="000000" w:fill="auto"/>
                  <w:vAlign w:val="center"/>
                </w:tcPr>
                <w:p w14:paraId="0582D6D9" w14:textId="77777777" w:rsidR="008D68DB" w:rsidRDefault="00DF37EA">
                  <w:pPr>
                    <w:jc w:val="center"/>
                    <w:rPr>
                      <w:b/>
                      <w:color w:val="000000"/>
                    </w:rPr>
                  </w:pPr>
                  <w:r>
                    <w:rPr>
                      <w:b/>
                      <w:color w:val="000000"/>
                    </w:rPr>
                    <w:t> </w:t>
                  </w:r>
                </w:p>
              </w:tc>
              <w:tc>
                <w:tcPr>
                  <w:tcW w:w="835" w:type="dxa"/>
                  <w:tcBorders>
                    <w:top w:val="nil"/>
                    <w:left w:val="nil"/>
                    <w:bottom w:val="single" w:sz="4" w:space="0" w:color="auto"/>
                    <w:right w:val="single" w:sz="4" w:space="0" w:color="auto"/>
                  </w:tcBorders>
                  <w:shd w:val="clear" w:color="000000" w:fill="auto"/>
                  <w:vAlign w:val="center"/>
                </w:tcPr>
                <w:p w14:paraId="0778F20A" w14:textId="77777777" w:rsidR="008D68DB" w:rsidRDefault="00DF37EA">
                  <w:pPr>
                    <w:jc w:val="center"/>
                    <w:rPr>
                      <w:b/>
                      <w:color w:val="000000"/>
                    </w:rPr>
                  </w:pPr>
                  <w:r>
                    <w:rPr>
                      <w:b/>
                      <w:color w:val="000000"/>
                    </w:rPr>
                    <w:t> </w:t>
                  </w:r>
                </w:p>
                <w:p w14:paraId="45EA2DBE" w14:textId="77777777" w:rsidR="008D68DB" w:rsidRDefault="00DF37EA">
                  <w:pPr>
                    <w:jc w:val="center"/>
                    <w:rPr>
                      <w:b/>
                      <w:color w:val="000000"/>
                    </w:rPr>
                  </w:pPr>
                  <w:r>
                    <w:rPr>
                      <w:b/>
                      <w:color w:val="000000"/>
                    </w:rPr>
                    <w:t>29</w:t>
                  </w:r>
                </w:p>
              </w:tc>
              <w:tc>
                <w:tcPr>
                  <w:tcW w:w="613" w:type="dxa"/>
                  <w:tcBorders>
                    <w:top w:val="nil"/>
                    <w:left w:val="nil"/>
                    <w:bottom w:val="single" w:sz="4" w:space="0" w:color="auto"/>
                    <w:right w:val="single" w:sz="4" w:space="0" w:color="auto"/>
                  </w:tcBorders>
                  <w:shd w:val="clear" w:color="000000" w:fill="auto"/>
                  <w:vAlign w:val="center"/>
                </w:tcPr>
                <w:p w14:paraId="43E9B022" w14:textId="77777777" w:rsidR="008D68DB" w:rsidRDefault="00DF37EA">
                  <w:pPr>
                    <w:jc w:val="center"/>
                    <w:rPr>
                      <w:b/>
                      <w:color w:val="000000"/>
                    </w:rPr>
                  </w:pPr>
                  <w:r>
                    <w:rPr>
                      <w:b/>
                      <w:color w:val="000000"/>
                    </w:rPr>
                    <w:t> </w:t>
                  </w:r>
                </w:p>
              </w:tc>
            </w:tr>
          </w:tbl>
          <w:p w14:paraId="44BF3A29" w14:textId="77777777" w:rsidR="008D68DB" w:rsidRDefault="008D68DB">
            <w:pPr>
              <w:jc w:val="both"/>
            </w:pPr>
          </w:p>
          <w:p w14:paraId="77271A9F" w14:textId="311A4A14" w:rsidR="008D68DB" w:rsidRDefault="00DF37EA">
            <w:pPr>
              <w:jc w:val="both"/>
            </w:pPr>
            <w:r>
              <w:t>Atbilstoši Ministru kabinetā 2017. gada 21.martā atbalstītajam izmēģinājumprojekta otrās kārtas informatīvajam ziņojumam (prot. Nr. 14 32.§) Noteikumu projekts paredz iespēju profesionālās izglītības kompetences centriem  un valsts un pašvaldību dibinātām profesionālās izglītības iestādēm īstenot atsevišķas profesionālās tālākizglītības un profesionālās pilnveides izglītības programmas.</w:t>
            </w:r>
          </w:p>
          <w:p w14:paraId="3F6E1633" w14:textId="058A654D" w:rsidR="008D68DB" w:rsidRDefault="00DF37EA">
            <w:pPr>
              <w:jc w:val="both"/>
            </w:pPr>
            <w:r>
              <w:t xml:space="preserve">Izmēģinājumprojekts tika īstenots divās kārtās, no kurām pirmajā kārtā iesaistīja izglītības iestādes, kuru infrastruktūras uzlabošana ir veikta no ERAF līdzekļiem, taču izglītības iestāžu iesaiste bezdarbnieku apmācībā bija neliela, tādēļ </w:t>
            </w:r>
            <w:proofErr w:type="spellStart"/>
            <w:r>
              <w:t>izmēģinājumprojekta</w:t>
            </w:r>
            <w:proofErr w:type="spellEnd"/>
            <w:r>
              <w:t xml:space="preserve"> otrajā kārtā tika paplašināts izglītības iestāžu loks, iesaistot PIKC. Arī turpmāk atsevišķu programmu īstenošanu ārpus kuponu metodes bezdarbnieku apmācību ietvaros plānots novirzīt gan PIKC, gan citās valsts un pašvaldību dibinātās profesionālās izglītības iestādēs.</w:t>
            </w:r>
          </w:p>
          <w:p w14:paraId="7D5689C6" w14:textId="5970DBA5" w:rsidR="008D68DB" w:rsidRDefault="00DF37EA">
            <w:pPr>
              <w:jc w:val="both"/>
            </w:pPr>
            <w:r>
              <w:t>Šobrīd un arī atbilstoši Noteikumu projektam bezdarbnieki ar invaliditāti paši izvēlas sev piemērotāko pakalpojuma sniedzēju un apgūstamo izglītības programmu. Laikā, kad bezdarbnieks iesaistās apmācībā, to neiesaista citos aktīvajos nodarbinātības pasākumos, t.sk. nodarbinātības pasākumos, kas paredzēti personām ar invaliditāti. Bezdarbnieka individuālajā darba meklēšanas plānā iekļauj veicamos pasākumus, kā arī nepieciešamos atbalsta pasākumus un tie savā starpā nepārklājas, ņemot vērā laika resursus, kas nepieciešami izglītības programmu apguvei. Iesaiste vairākos pasākumos iespējama tikai MK noteikumu Nr.75 6.punk</w:t>
            </w:r>
            <w:r w:rsidR="00395E92">
              <w:t>t</w:t>
            </w:r>
            <w:r>
              <w:t>ā noteiktajā kārtībā. Bezdarbnieku apmācības tiek īstenotas Darbības programmas „Izaugsme un nodarbinātība” 7.1.1.specifiskā atbalsta mērķa „Paaugstināt bezdarbnieku kvalifikāciju un prasmes atbilstoši darba tirgus pieprasījumam” (turpmāk – SAM 7.1.1.) (ESF finansējums) ietvaros.</w:t>
            </w:r>
          </w:p>
          <w:p w14:paraId="7BF07CAB" w14:textId="584F514B" w:rsidR="008D68DB" w:rsidRDefault="00DF37EA">
            <w:pPr>
              <w:jc w:val="both"/>
            </w:pPr>
            <w:r>
              <w:t xml:space="preserve">Bezdarba riskam pakļauto personu apmācību kopš 2016.gada īsteno Darbības programmas „Izaugsme un nodarbinātība” 8.4.1. specifiskā atbalsta mērķa „Pilnveidot nodarbināto personu profesionālo kompetenci” ietvaros. Apmācību īstenotājus un izglītības programmas nosaka atbilstoši 2016.gada 15.jūlija Ministru kabineta noteikumiem Nr.474 „Darbības programmas „Izaugsme un nodarbinātība” 8.4.1. specifiskā atbalsta mērķa „Pilnveidot nodarbināto personu profesionālo kompetenci” īstenošanas noteikumi”. </w:t>
            </w:r>
          </w:p>
          <w:p w14:paraId="75EE87E7" w14:textId="5AE0AB11" w:rsidR="00E909F7" w:rsidRDefault="00E909F7">
            <w:pPr>
              <w:jc w:val="both"/>
            </w:pPr>
          </w:p>
          <w:p w14:paraId="2B00D430" w14:textId="77777777" w:rsidR="00E909F7" w:rsidRDefault="00E909F7" w:rsidP="00E909F7">
            <w:pPr>
              <w:jc w:val="both"/>
            </w:pPr>
            <w:r>
              <w:lastRenderedPageBreak/>
              <w:t>Sociālās integrācijas valsts aģentūras (turpmāk - SIVA) statuss un uzdevumi ir nostiprināti Sociālo pakalpojumu un sociālās palīdzības likuma 15.1 pantā, kas paredz SIVA kompetenci  sociālās rehabilitācijas pakalpojumu un profesionālās rehabilitācijas pakalpojumu sniegšanā, kā arī profesionālās pamatizglītības, profesionālās vidējās izglītības, pirmā līmeņa profesionālās augstākās izglītības (koledžas izglītība), profesionālās tālākizglītības un profesionālās pilnveides programmu īstenošanā, sagatavojot speciālistus profesijās, kuras nepieciešamas invalīdu sociālās aizsardzības pasākumu veikšanai.</w:t>
            </w:r>
          </w:p>
          <w:p w14:paraId="780F98A5" w14:textId="7525F19B" w:rsidR="00E909F7" w:rsidRDefault="00E909F7" w:rsidP="00E909F7">
            <w:pPr>
              <w:jc w:val="both"/>
            </w:pPr>
            <w:r>
              <w:t xml:space="preserve">SIVA īstenotās apmācību programmas ir īpaši orientētas un pielāgotas personu ar invaliditāti vajadzībām, tādējādi paredzēts </w:t>
            </w:r>
            <w:r w:rsidR="006C1684">
              <w:t>nostiprināt</w:t>
            </w:r>
            <w:r>
              <w:t xml:space="preserve"> arī SIVA tiesības pēc nepieciešamības nodrošināt personu ar invaliditāti apmācības gadījumos, kad bezdarbnieks nevar vai atsakāt izvēlēties apmācību īstenotāju ar kupona metodi.</w:t>
            </w:r>
          </w:p>
          <w:p w14:paraId="208F44C1" w14:textId="52B5530C" w:rsidR="008D68DB" w:rsidRDefault="00DF37EA">
            <w:pPr>
              <w:jc w:val="both"/>
            </w:pPr>
            <w:r>
              <w:t>Noteikumu projekts paredz, ka apmācību komisija nosaka tikai tās apmācību jomas un izglītības programmas, kurās nepieciešams veikt bezdarbnieku un darba meklētāju apmācību.</w:t>
            </w:r>
          </w:p>
          <w:p w14:paraId="334D5636" w14:textId="77777777" w:rsidR="008D68DB" w:rsidRDefault="008D68DB">
            <w:pPr>
              <w:jc w:val="both"/>
            </w:pPr>
          </w:p>
          <w:p w14:paraId="38F13500" w14:textId="77777777" w:rsidR="008D68DB" w:rsidRDefault="00DF37EA">
            <w:pPr>
              <w:shd w:val="clear" w:color="000000" w:fill="FFFFFF"/>
              <w:jc w:val="both"/>
            </w:pPr>
            <w:r>
              <w:t xml:space="preserve">4. Lai nodrošinātu efektīvāku finanšu līdzekļu izlietojumu, īstenojot transportlīdzekļu un traktortehnikas vadītāju apmācības, Noteikumu projekts paredz, ka transportlīdzekļu un traktortehnikas vadītāju apmācību programmas bezdarbnieku apmācību ietvaros ar kupona metodi atkārtoti varēs īstenot tikai tās izglītības iestādes, kurās pēc programmas apguves kvalifikācijas iegūšanas eksāmenu Ceļu satiksmes drošības direkcijā vai Valsts tehniskās uzraudzības aģentūrā pēdējā gada laikā sekmīgi nokārtojuši ne mazāk kā 60% no pretendenta apmācīto personu skaita. </w:t>
            </w:r>
          </w:p>
          <w:p w14:paraId="188B239C" w14:textId="3635E160"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Ja izglītības iestāde neatbilst minētajām prasībām (pēc transportlīdzekļu vai traktortehnikas vadītāju apmācību programmas apguves vadītāja kvalifikācijas eksāmenu pēdējā gada laikā sekmīgi nokārtojuši mazāk kā 60% no pretendenta apmācīto personu skaita), vai tiek svītrota no izglītības piedāvājumu saraksta, izglītības iestāde atkārtoti piesakās īstenot minētās programmas ne agrāk kā 2 gadus pēc tam, kad saņemts atteikums piešķirt tiesības īstenot transportlīdzekļu un traktortehnikas vadītāju apmācību programmas (ņemot vērā, ka gadu minētās apmācības konkrētajā izglītības iestādē bezdarbnieku apmācību ietvaros īstenotas netika). </w:t>
            </w:r>
          </w:p>
          <w:p w14:paraId="4C13F9B7" w14:textId="3E79674C" w:rsidR="004940C6" w:rsidRDefault="004940C6">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Jāuzsver, ka minētā prasība neuzliek izglītības iestādei pienākumu nodrošināt, ka visas apmācību pabeiguš</w:t>
            </w:r>
            <w:r w:rsidR="000A0D09">
              <w:rPr>
                <w:rFonts w:ascii="Times New Roman" w:eastAsia="Times New Roman" w:hAnsi="Times New Roman"/>
                <w:sz w:val="24"/>
                <w:szCs w:val="24"/>
              </w:rPr>
              <w:t>ā</w:t>
            </w:r>
            <w:r>
              <w:rPr>
                <w:rFonts w:ascii="Times New Roman" w:eastAsia="Times New Roman" w:hAnsi="Times New Roman"/>
                <w:sz w:val="24"/>
                <w:szCs w:val="24"/>
              </w:rPr>
              <w:t>s personas kārto attiecīgu valsts pārbaudījumu. Sekmīgi nokārtojušo personu skaits tiek aprēķināts tikai n</w:t>
            </w:r>
            <w:r w:rsidR="00D611A1">
              <w:rPr>
                <w:rFonts w:ascii="Times New Roman" w:eastAsia="Times New Roman" w:hAnsi="Times New Roman"/>
                <w:sz w:val="24"/>
                <w:szCs w:val="24"/>
              </w:rPr>
              <w:t>o tām</w:t>
            </w:r>
            <w:r>
              <w:rPr>
                <w:rFonts w:ascii="Times New Roman" w:eastAsia="Times New Roman" w:hAnsi="Times New Roman"/>
                <w:sz w:val="24"/>
                <w:szCs w:val="24"/>
              </w:rPr>
              <w:t xml:space="preserve"> personām, kuras kārtoja valsts pārbaudījumu transportlīdzekļu vai traktortehnikas vadītāja kvalifikācijas iegūšanai.</w:t>
            </w:r>
            <w:r w:rsidR="00D611A1">
              <w:rPr>
                <w:rFonts w:ascii="Times New Roman" w:eastAsia="Times New Roman" w:hAnsi="Times New Roman"/>
                <w:sz w:val="24"/>
                <w:szCs w:val="24"/>
              </w:rPr>
              <w:t xml:space="preserve"> </w:t>
            </w:r>
            <w:r w:rsidR="00AF406C">
              <w:rPr>
                <w:rFonts w:ascii="Times New Roman" w:eastAsia="Times New Roman" w:hAnsi="Times New Roman"/>
                <w:sz w:val="24"/>
                <w:szCs w:val="24"/>
              </w:rPr>
              <w:t>Savukārt informācija par pretendenta atbilstību izvirzītajām prasībām tiek pārbaudīta attiecīgu iestāžu reģistros.</w:t>
            </w:r>
          </w:p>
          <w:p w14:paraId="2CE1CCA6"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6D74BFE3" w14:textId="49EA066B"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 </w:t>
            </w:r>
            <w:r>
              <w:t xml:space="preserve"> </w:t>
            </w:r>
            <w:r>
              <w:rPr>
                <w:rFonts w:ascii="Times New Roman" w:eastAsia="Times New Roman" w:hAnsi="Times New Roman"/>
                <w:sz w:val="24"/>
                <w:szCs w:val="24"/>
              </w:rPr>
              <w:t>MK noteikumu Nr.75 15.1.</w:t>
            </w:r>
            <w:r w:rsidR="00366CD0">
              <w:rPr>
                <w:rFonts w:ascii="Times New Roman" w:eastAsia="Times New Roman" w:hAnsi="Times New Roman"/>
                <w:sz w:val="24"/>
                <w:szCs w:val="24"/>
              </w:rPr>
              <w:t xml:space="preserve"> un </w:t>
            </w:r>
            <w:r w:rsidR="00366CD0" w:rsidRPr="00366CD0">
              <w:rPr>
                <w:rFonts w:ascii="Times New Roman" w:eastAsia="Times New Roman" w:hAnsi="Times New Roman"/>
                <w:sz w:val="24"/>
                <w:szCs w:val="24"/>
              </w:rPr>
              <w:t>15.</w:t>
            </w:r>
            <w:r w:rsidR="00366CD0" w:rsidRPr="00366CD0">
              <w:rPr>
                <w:rFonts w:ascii="Times New Roman" w:eastAsia="Times New Roman" w:hAnsi="Times New Roman"/>
                <w:sz w:val="24"/>
                <w:szCs w:val="24"/>
                <w:vertAlign w:val="superscript"/>
              </w:rPr>
              <w:t>2</w:t>
            </w:r>
            <w:r w:rsidR="00366CD0" w:rsidRPr="00366CD0">
              <w:rPr>
                <w:rFonts w:ascii="Times New Roman" w:eastAsia="Times New Roman" w:hAnsi="Times New Roman"/>
                <w:sz w:val="24"/>
                <w:szCs w:val="24"/>
              </w:rPr>
              <w:t xml:space="preserve">1. </w:t>
            </w:r>
            <w:r>
              <w:rPr>
                <w:rFonts w:ascii="Times New Roman" w:eastAsia="Times New Roman" w:hAnsi="Times New Roman"/>
                <w:sz w:val="24"/>
                <w:szCs w:val="24"/>
              </w:rPr>
              <w:t>apakšpunkts paredz, ka viens no kritērijiem, izvērtējot pretendentus pasākumu īstenošanai ir darbības reģistrācija saskaņā ar attiecīgo saimniecisko, profesionālo vai cita rakstura darbību regulējošo normatīvo aktu prasībām. Ja šo noteikumu 21.1., 21.2. un 21.3. apakšpunktā minētos pasākumus īsteno izglītības iestāde, tai jābūt reģistrētai Izglītības iestāžu reģistrā. Praksē Nodarbinātības valsts aģentūra (turpmāk – Aģentūra) pārbauda, vai izglītības iestāde ir reģistrēta izglītības iestāžu reģistrā, kā arī komercdarbības reģistrāciju Uzņēmumu reģistrā. Savukārt informācijas trūkuma  un katras darbības jomas specifikas dēļ Aģentūrai sagādā grūtības pārbaudīt pretendenta darbības atbilstību citu jomu regulējošo normatīvo aktu prasībām. Tādējādi, ievērojot, ka praksē tiesību normas piemērošana ir apgrūtināta, kā arī neietekmē pasākuma norises kvalitāti, turpmāk pretendenta atbilstība profesionālo vai cita rakstura darbību regulējošo normatīvo aktu prasībām, netiks noteikta kā vērtēšanas kritērijs.</w:t>
            </w:r>
          </w:p>
          <w:p w14:paraId="32F26186"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1794277A" w14:textId="652A441D" w:rsidR="008D68DB" w:rsidRDefault="00DF37EA">
            <w:pPr>
              <w:jc w:val="both"/>
            </w:pPr>
            <w:r>
              <w:t xml:space="preserve">6.  </w:t>
            </w:r>
            <w:r w:rsidR="00E53D63">
              <w:t>S</w:t>
            </w:r>
            <w:r w:rsidR="007410B4" w:rsidRPr="007410B4">
              <w:t>askaņā ar MK noteikumu Nr.75 11.punktu, ja pasākumu īstenotāju izvēlei nav piemērojamas normatīvajos aktos par publiskajiem iepirkumiem noteiktās prasības vai normatīvie akti par publiskajiem iepirkumiem neparedz iepirkuma procedūru piemērošanu, Aģentūra izveido pasākumu īstenotāju izvēles komisiju un saskaņā ar MK</w:t>
            </w:r>
            <w:r w:rsidR="00E53D63">
              <w:t xml:space="preserve"> Noteikumu</w:t>
            </w:r>
            <w:r w:rsidR="007410B4" w:rsidRPr="007410B4">
              <w:t xml:space="preserve"> Nr.75 13., 14., 15., 16. un 17. punktu izvēlas pasākumu īstenotājus. </w:t>
            </w:r>
            <w:r w:rsidR="00E53D63">
              <w:t xml:space="preserve">Šajā gadījumā saskaņā ar MK noteikumu Nr.75 15.5. un </w:t>
            </w:r>
            <w:r w:rsidR="00E53D63" w:rsidRPr="00E53D63">
              <w:t>15.</w:t>
            </w:r>
            <w:r w:rsidR="00E53D63" w:rsidRPr="00E53D63">
              <w:rPr>
                <w:vertAlign w:val="superscript"/>
              </w:rPr>
              <w:t>2 </w:t>
            </w:r>
            <w:r w:rsidR="00E53D63" w:rsidRPr="00E53D63">
              <w:t>3.</w:t>
            </w:r>
            <w:r w:rsidR="00E53D63">
              <w:t xml:space="preserve">apakšpunktu paredzēts izvērtēt pretendentu atbilstību, ievērojot atsevišķus Publisko iepirkumu likumā paredzētos izslēgšanas nosacījumus. </w:t>
            </w:r>
            <w:r w:rsidR="00E53D63" w:rsidRPr="00E53D63">
              <w:t> </w:t>
            </w:r>
            <w:r w:rsidR="007410B4" w:rsidRPr="007410B4">
              <w:t xml:space="preserve">Lai samazinātu administratīvo slogu Aģentūras darbiniekiem, potenciālajiem pasākumu īstenotājiem, Aģentūras sadarbības partneriem un citām valsts iestādēm (datu turētājiem), ievērojot Publisko iepirkumu likumā noteiktos nosacījumus Publisko iepirkumu likuma 2. pielikumā minēto pakalpojumu iepirkumiem, </w:t>
            </w:r>
            <w:r w:rsidR="007410B4">
              <w:t>paredzēts</w:t>
            </w:r>
            <w:r w:rsidR="007410B4" w:rsidRPr="007410B4">
              <w:t xml:space="preserve"> sašaurināt pretendentu izslēgšanas nosacījumus. Aģentūras organizētajiem aktīvajiem nodarbinātības un preventīvajiem bezdarba samazināšanas pasākumiem, līdzīgi kā Publisko iepirkuma likuma 2.pielikumā minēto pakalpojumu iepirkumiem, ir specifisks un reģionāls</w:t>
            </w:r>
            <w:r w:rsidR="007410B4">
              <w:t xml:space="preserve"> </w:t>
            </w:r>
            <w:r w:rsidR="007410B4" w:rsidRPr="007410B4">
              <w:t xml:space="preserve">raksturs, tāpēc </w:t>
            </w:r>
            <w:r w:rsidR="007410B4">
              <w:t>paredzēts</w:t>
            </w:r>
            <w:r w:rsidR="007410B4" w:rsidRPr="007410B4">
              <w:t xml:space="preserve"> sašaurināt prasības, tādējādi atvieglojot izvēles procesu. </w:t>
            </w:r>
            <w:r>
              <w:t xml:space="preserve">Ievērojot praktiskos apsvērumus un izvērtējot līdz šim piemērotos pretendentu izslēgšanas nosacījumus, turpmāk paredzēts atteikties no daļas </w:t>
            </w:r>
            <w:r w:rsidR="00A8166E">
              <w:t xml:space="preserve">MK noteikumu Nr.75 15.5. un </w:t>
            </w:r>
            <w:r w:rsidR="00A8166E" w:rsidRPr="00E53D63">
              <w:t>15.</w:t>
            </w:r>
            <w:r w:rsidR="00A8166E" w:rsidRPr="00E53D63">
              <w:rPr>
                <w:vertAlign w:val="superscript"/>
              </w:rPr>
              <w:t>2 </w:t>
            </w:r>
            <w:r w:rsidR="00A8166E" w:rsidRPr="00E53D63">
              <w:t>3.</w:t>
            </w:r>
            <w:r w:rsidR="00A8166E">
              <w:t xml:space="preserve">apakšpunktā norādīto </w:t>
            </w:r>
            <w:r>
              <w:t xml:space="preserve">izslēgšanas nosacījumu, kas ir minēti Publisko iepirkumu likuma 42.panta pirmās daļas 1., 2., 4., 5. un 6.punktā, attiecīgi precizējot </w:t>
            </w:r>
            <w:r>
              <w:br/>
              <w:t>MK noteikumu Nr.75 15.5. un 15.</w:t>
            </w:r>
            <w:r>
              <w:rPr>
                <w:vertAlign w:val="superscript"/>
              </w:rPr>
              <w:t>2</w:t>
            </w:r>
            <w:r>
              <w:t>3.apakšpunktu.</w:t>
            </w:r>
          </w:p>
          <w:p w14:paraId="29BB25F9" w14:textId="77777777" w:rsidR="008D68DB" w:rsidRDefault="008D68DB">
            <w:pPr>
              <w:jc w:val="both"/>
            </w:pPr>
          </w:p>
          <w:p w14:paraId="0BAC9335" w14:textId="77777777" w:rsidR="008D68DB" w:rsidRDefault="00DF37EA">
            <w:pPr>
              <w:jc w:val="both"/>
            </w:pPr>
            <w:r>
              <w:t xml:space="preserve">7. Īstenojot aktīvos nodarbinātības pasākumus, izglītības iestādes līdzdarbojas Bezdarbnieku un darba meklētāju atbalsta likumā Aģentūras noteiktā pienākuma īstenošanā. Patlaban MK noteikumu Nr.75 15.7.apakšpunkts paredz, ka apmācības laikā </w:t>
            </w:r>
            <w:r>
              <w:lastRenderedPageBreak/>
              <w:t xml:space="preserve">izglītības iestādei jānodrošina atbilstoši vides, piekļuves, materiāltehniskās bāzes, izdales materiālu un darbarīku pielāgojumi personām ar invaliditāti, ciktāl šādi pasākumi neuzliek pretendentam nesamērīgu slogu. Praksē paredzētā atkāpe apgrūtina personu ar invaliditāti iesaistīšanu bezdarbnieku apmācību pasākumos, proti, izmantojot dažādus formālus iemeslus, personām ar īpašām vajadzībām tiek atteikta iesaistīšana apmācību grupā. </w:t>
            </w:r>
          </w:p>
          <w:p w14:paraId="7698123F" w14:textId="77777777" w:rsidR="008D68DB" w:rsidRDefault="00DF37EA">
            <w:pPr>
              <w:jc w:val="both"/>
            </w:pPr>
            <w:r>
              <w:t>Ievērojot izvirzīto prioritāti personu ar invaliditāti iesaistīšanai darba tirgū, turpmāk nepieciešams noteikt, ka visām izglītības iestādēm, kas nodrošina bezdarbnieku un darba meklētāju apmācību, jānodrošina arī atbilstoši pielāgojumi personām ar invaliditāti. Vienlaikus paredzēts, ka minētais nosacījums tiks attiecināts tikai uz mācību iestādēm, kas tiks izvēlētas jauna izsludinājuma ietvaros sākot no 2020.gada maija.</w:t>
            </w:r>
          </w:p>
          <w:p w14:paraId="1551CE43" w14:textId="77777777" w:rsidR="008D68DB" w:rsidRDefault="008D68DB">
            <w:pPr>
              <w:jc w:val="both"/>
            </w:pPr>
          </w:p>
          <w:p w14:paraId="7E62AFC3" w14:textId="77777777" w:rsidR="008D68DB" w:rsidRDefault="00DF37EA">
            <w:pPr>
              <w:jc w:val="both"/>
            </w:pPr>
            <w:r>
              <w:t>8. 2018.gada 12.oktobrī stājās spēkā Ministru kabineta 2018.gada 9.oktobra noteikumi Nr.626 “Noteikumi par obligāti piemērojamo profesiju standartu un profesionālās kvalifikācijas prasību sarakstu un tajā iekļauto profesiju standartu un profesionālās kvalifikācijas prasību publiskošanas kārtību”. Minētajā sarakstā iekļauj profesiju standartus un profesionālās kvalifikācijas prasības, kas izstrādātas atbilstoši Izglītības likumā noteiktajai Latvijas kvalifikāciju ietvarstruktūrai un nozaru kvalifikāciju struktūrām un saskaņotas Nacionālās trīspusējās sadarbības padomes Profesionālās izglītības un nodarbinātības trīspusējās sadarbības apakšpadomē. Bezdarbnieku apmācību kvalitātes veicināšanas nolūkā MK noteikumu Nr.75 21.1.apakšpunktā plānots noteikt, ka  profesionālās tālākizglītības programmām tiks vērtēta atbilstība minēto Ministru kabineta noteikumu prasībām.</w:t>
            </w:r>
          </w:p>
          <w:p w14:paraId="2AFDBA5C" w14:textId="77777777" w:rsidR="008D68DB" w:rsidRDefault="008D68DB">
            <w:pPr>
              <w:jc w:val="both"/>
            </w:pPr>
          </w:p>
          <w:p w14:paraId="62E33243" w14:textId="53CED1B3" w:rsidR="008D68DB" w:rsidRDefault="00DF37EA">
            <w:pPr>
              <w:jc w:val="both"/>
            </w:pPr>
            <w:r>
              <w:t xml:space="preserve">9. Saskaņā ar Profesionālās izglītības likuma </w:t>
            </w:r>
            <w:r w:rsidRPr="007E07C2">
              <w:t>1.panta</w:t>
            </w:r>
            <w:r w:rsidRPr="007E07C2">
              <w:rPr>
                <w:rFonts w:eastAsia="Arial"/>
                <w:color w:val="414142"/>
                <w:sz w:val="20"/>
                <w:szCs w:val="20"/>
                <w:shd w:val="clear" w:color="000000" w:fill="FFFFFF"/>
              </w:rPr>
              <w:t xml:space="preserve"> </w:t>
            </w:r>
            <w:r w:rsidRPr="007E07C2">
              <w:rPr>
                <w:rFonts w:eastAsia="Arial"/>
                <w:color w:val="414142"/>
                <w:shd w:val="clear" w:color="000000" w:fill="FFFFFF"/>
              </w:rPr>
              <w:t>otrās daļas</w:t>
            </w:r>
            <w:r w:rsidRPr="007E07C2">
              <w:rPr>
                <w:rFonts w:eastAsia="Arial"/>
                <w:color w:val="414142"/>
                <w:sz w:val="20"/>
                <w:szCs w:val="20"/>
                <w:shd w:val="clear" w:color="000000" w:fill="FFFFFF"/>
              </w:rPr>
              <w:t xml:space="preserve"> </w:t>
            </w:r>
            <w:r w:rsidRPr="007E07C2">
              <w:t>2</w:t>
            </w:r>
            <w:r w:rsidRPr="007E07C2">
              <w:rPr>
                <w:vertAlign w:val="superscript"/>
              </w:rPr>
              <w:t>6</w:t>
            </w:r>
            <w:r w:rsidRPr="007E07C2">
              <w:t>) punktu izglītības sistēmas ietvaros tiek lietots termins</w:t>
            </w:r>
            <w:r>
              <w:t xml:space="preserve"> modulārā profesionālās izglītības programma, ar to saprotot profesionālās izglītības programmu, kuras profesionālo saturu atkarībā no izglītības programmai izvirzītā mērķa veido moduļu kopums un kuras apguves rezultātā var iegūt profesionālo kvalifikāciju. Lai savstarpēji saskaņotu normatīvajos aktos lietoto terminoloģiju, nepieciešams veikt attiecīgus precizējumus MK Noteikumu Nr.75  21.</w:t>
            </w:r>
            <w:r>
              <w:rPr>
                <w:vertAlign w:val="superscript"/>
              </w:rPr>
              <w:t>1</w:t>
            </w:r>
            <w:r>
              <w:t> punktā.</w:t>
            </w:r>
          </w:p>
          <w:p w14:paraId="410C222F" w14:textId="77777777" w:rsidR="008D68DB" w:rsidRDefault="008D68DB">
            <w:pPr>
              <w:jc w:val="both"/>
            </w:pPr>
          </w:p>
          <w:p w14:paraId="098849DB" w14:textId="47161A34" w:rsidR="008D68DB" w:rsidRDefault="00DF37EA">
            <w:pPr>
              <w:jc w:val="both"/>
            </w:pPr>
            <w:r>
              <w:t xml:space="preserve">10. MK Noteikumu Nr.75 26.punktā ir ietverti nosacījumi bezdarbnieka iesaistei profesionālās izglītības programmu apguvē. Lai pilnveidotu un precizētu iesaistes nosacījumus, MK Noteikumu Nr.75 26.2.apakšpunkts tiks papildināts ar skaidrojumu, ka tiek uzskatīts, ka bezdarbnieks ir zaudējis profesionālās prasmes, ja nav strādājis attiecīgajā profesijā vismaz trīs gadus. </w:t>
            </w:r>
            <w:r w:rsidR="004806B4">
              <w:t xml:space="preserve">Ievērojot profesionālo programmu apguves ilgumu, kā arī iegūto zināšu nostiprināšanu prakse un balstoties uz Aģentūras līdzšinējo praksi, ir secināts, ka trīs gadi ir samērīgs laika posms, kurā persona zaudē profesionālās prasmes. </w:t>
            </w:r>
          </w:p>
          <w:p w14:paraId="4EFF18A3" w14:textId="77777777" w:rsidR="008D68DB" w:rsidRDefault="00DF37EA">
            <w:pPr>
              <w:jc w:val="both"/>
            </w:pPr>
            <w:r>
              <w:lastRenderedPageBreak/>
              <w:t xml:space="preserve"> </w:t>
            </w:r>
          </w:p>
          <w:p w14:paraId="2B6103C7" w14:textId="49065614" w:rsidR="008D68DB" w:rsidRDefault="00DF37EA">
            <w:pPr>
              <w:jc w:val="both"/>
            </w:pPr>
            <w:r>
              <w:t>11. MK Noteikumu Nr.75 74.punkts paredz, ka pasākumus, kas paredz darba līguma slēgšanu, darba devēji var īstenot tikai no jauna izveidotajās darba vietās. Minētais ierobežojums bija ieviests ar mērķi novērst darba devēju negodprātīgu rīcību, aizstājot darbiniekus ar bezdarbniekiem un piesaistot papildu finansējumu. Vienlaikus, lai mazinātu negatīvu ietekmi uz citām situācijām, kurās darba vieta tiek atbrīvota no darba devēja neatkarīgu iemeslu dēļ, MK Noteikumu Nr.75 74.punktā paredzēts noteikt elastīgākas prasības.</w:t>
            </w:r>
          </w:p>
          <w:p w14:paraId="43DAA59C" w14:textId="77777777" w:rsidR="008D68DB" w:rsidRDefault="008D68DB">
            <w:pPr>
              <w:jc w:val="both"/>
            </w:pPr>
          </w:p>
          <w:p w14:paraId="361033FB" w14:textId="4C5DA4DB"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12. Pēdējo gadu laikā pakāpeniski tiek paaugstināts vecums, kad personai rodas tiesības uz valsts vecuma pensiju, un 2025.gadā tas sasniegs 65 gadu vecumu. 2020.gadā vecuma pensiju būs tiesīgas saņemt  63 gadus un 9 mēnešus sasniegušās personas. Paaugstinoties vecuma pensijas saņemšanas vecumam,  personām </w:t>
            </w:r>
            <w:proofErr w:type="spellStart"/>
            <w:r>
              <w:rPr>
                <w:rFonts w:ascii="Times New Roman" w:eastAsia="Times New Roman" w:hAnsi="Times New Roman"/>
                <w:sz w:val="24"/>
                <w:szCs w:val="24"/>
              </w:rPr>
              <w:t>pirmspensijas</w:t>
            </w:r>
            <w:proofErr w:type="spellEnd"/>
            <w:r>
              <w:rPr>
                <w:rFonts w:ascii="Times New Roman" w:eastAsia="Times New Roman" w:hAnsi="Times New Roman"/>
                <w:sz w:val="24"/>
                <w:szCs w:val="24"/>
              </w:rPr>
              <w:t xml:space="preserve"> vecumā, kurām dažādu iemeslu dēļ piešķirts bezdarbnieka statuss, ir arvien grūtāk iesaistīties darba tirgū. Lai nodrošinātu mērķētāku atbalstu minētajai grupai, paredzēts, ka, nodarbinot bezdarbniekus, kuriem līdz vecumam, kas dod tiesības saņemt vecuma pensiju, atlikuši ne vairāk kā 2 gadi, darba devējiem tiks nodrošināts lielāks atbalsts ikmēneša darba algai - 80% apmērā no algu izmaksām viena gada laika. Atbilstoši tiks precizēts un papildināts MK noteikumu Nr.75 80.2.apakšpunkts, 84. un 86.punkts.</w:t>
            </w:r>
          </w:p>
          <w:p w14:paraId="26A6E3A6" w14:textId="77777777"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Vienlaikus no MK noteikumu Nr.75 192.</w:t>
            </w:r>
            <w:r>
              <w:rPr>
                <w:rFonts w:ascii="Times New Roman" w:eastAsia="Times New Roman" w:hAnsi="Times New Roman"/>
                <w:sz w:val="24"/>
                <w:szCs w:val="24"/>
                <w:vertAlign w:val="superscript"/>
              </w:rPr>
              <w:t>8</w:t>
            </w:r>
            <w:r>
              <w:rPr>
                <w:rFonts w:ascii="Times New Roman" w:eastAsia="Times New Roman" w:hAnsi="Times New Roman"/>
                <w:sz w:val="24"/>
                <w:szCs w:val="24"/>
              </w:rPr>
              <w:t> punkta izriet, ka darba devējam ir iespēja izvēlēties saņemt finanšu atbalstu kā </w:t>
            </w:r>
            <w:r>
              <w:rPr>
                <w:rFonts w:ascii="Times New Roman" w:eastAsia="Times New Roman" w:hAnsi="Times New Roman"/>
                <w:i/>
                <w:sz w:val="24"/>
                <w:szCs w:val="24"/>
              </w:rPr>
              <w:t>de minimis</w:t>
            </w:r>
            <w:r>
              <w:rPr>
                <w:rFonts w:ascii="Times New Roman" w:eastAsia="Times New Roman" w:hAnsi="Times New Roman"/>
                <w:sz w:val="24"/>
                <w:szCs w:val="24"/>
              </w:rPr>
              <w:t> atbalstu vai atbalstu saskaņā ar Komisijas 2014. gada 17. jūnija Regulu (ES) Nr. </w:t>
            </w:r>
            <w:hyperlink r:id="rId8" w:history="1">
              <w:r>
                <w:rPr>
                  <w:rStyle w:val="Hyperlink"/>
                  <w:rFonts w:ascii="Times New Roman" w:eastAsia="Times New Roman" w:hAnsi="Times New Roman"/>
                  <w:sz w:val="24"/>
                  <w:szCs w:val="24"/>
                </w:rPr>
                <w:t>651/2014</w:t>
              </w:r>
            </w:hyperlink>
            <w:r>
              <w:rPr>
                <w:rFonts w:ascii="Times New Roman" w:eastAsia="Times New Roman" w:hAnsi="Times New Roman"/>
                <w:sz w:val="24"/>
                <w:szCs w:val="24"/>
              </w:rPr>
              <w:t>, ar ko noteiktas atbalsta kategorijas atzīst par saderīgām ar iekšējo tirgu, piemērojot Līguma </w:t>
            </w:r>
            <w:hyperlink r:id="rId9" w:anchor="p107" w:history="1">
              <w:r>
                <w:rPr>
                  <w:rStyle w:val="Hyperlink"/>
                  <w:rFonts w:ascii="Times New Roman" w:eastAsia="Times New Roman" w:hAnsi="Times New Roman"/>
                  <w:sz w:val="24"/>
                  <w:szCs w:val="24"/>
                </w:rPr>
                <w:t>107. </w:t>
              </w:r>
            </w:hyperlink>
            <w:r>
              <w:rPr>
                <w:rFonts w:ascii="Times New Roman" w:eastAsia="Times New Roman" w:hAnsi="Times New Roman"/>
                <w:sz w:val="24"/>
                <w:szCs w:val="24"/>
              </w:rPr>
              <w:t>un </w:t>
            </w:r>
            <w:hyperlink r:id="rId10" w:anchor="p108" w:history="1">
              <w:r>
                <w:rPr>
                  <w:rStyle w:val="Hyperlink"/>
                  <w:rFonts w:ascii="Times New Roman" w:eastAsia="Times New Roman" w:hAnsi="Times New Roman"/>
                  <w:sz w:val="24"/>
                  <w:szCs w:val="24"/>
                </w:rPr>
                <w:t>108. pantu</w:t>
              </w:r>
            </w:hyperlink>
            <w:r>
              <w:rPr>
                <w:rFonts w:ascii="Times New Roman" w:eastAsia="Times New Roman" w:hAnsi="Times New Roman"/>
                <w:sz w:val="24"/>
                <w:szCs w:val="24"/>
              </w:rPr>
              <w:t> (turpmāk – Komisijas regula Nr. </w:t>
            </w:r>
            <w:hyperlink r:id="rId11" w:history="1">
              <w:r>
                <w:rPr>
                  <w:rStyle w:val="Hyperlink"/>
                  <w:rFonts w:ascii="Times New Roman" w:eastAsia="Times New Roman" w:hAnsi="Times New Roman"/>
                  <w:sz w:val="24"/>
                  <w:szCs w:val="24"/>
                </w:rPr>
                <w:t>651/2014</w:t>
              </w:r>
            </w:hyperlink>
            <w:r>
              <w:rPr>
                <w:rFonts w:ascii="Times New Roman" w:eastAsia="Times New Roman" w:hAnsi="Times New Roman"/>
                <w:sz w:val="24"/>
                <w:szCs w:val="24"/>
              </w:rPr>
              <w:t>).</w:t>
            </w:r>
          </w:p>
          <w:p w14:paraId="6B782B5F" w14:textId="640088C6"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Ievērojot </w:t>
            </w:r>
            <w:r>
              <w:rPr>
                <w:rFonts w:ascii="Times New Roman" w:eastAsia="Times New Roman" w:hAnsi="Times New Roman"/>
                <w:i/>
                <w:sz w:val="24"/>
                <w:szCs w:val="24"/>
              </w:rPr>
              <w:t xml:space="preserve">de minimis </w:t>
            </w:r>
            <w:r>
              <w:rPr>
                <w:rFonts w:ascii="Times New Roman" w:eastAsia="Times New Roman" w:hAnsi="Times New Roman"/>
                <w:sz w:val="24"/>
                <w:szCs w:val="24"/>
              </w:rPr>
              <w:t xml:space="preserve">atbalstam noteikto 200 000 </w:t>
            </w:r>
            <w:r>
              <w:rPr>
                <w:rFonts w:ascii="Times New Roman" w:eastAsia="Times New Roman" w:hAnsi="Times New Roman"/>
                <w:i/>
                <w:sz w:val="24"/>
                <w:szCs w:val="24"/>
              </w:rPr>
              <w:t>euro</w:t>
            </w:r>
            <w:r>
              <w:rPr>
                <w:rFonts w:ascii="Times New Roman" w:eastAsia="Times New Roman" w:hAnsi="Times New Roman"/>
                <w:sz w:val="24"/>
                <w:szCs w:val="24"/>
              </w:rPr>
              <w:t xml:space="preserve"> ierobežojumu, ja darba devējs nekvalificēsies </w:t>
            </w:r>
            <w:r>
              <w:rPr>
                <w:rFonts w:ascii="Times New Roman" w:eastAsia="Times New Roman" w:hAnsi="Times New Roman"/>
                <w:i/>
                <w:sz w:val="24"/>
                <w:szCs w:val="24"/>
              </w:rPr>
              <w:t xml:space="preserve">de minimis </w:t>
            </w:r>
            <w:r>
              <w:rPr>
                <w:rFonts w:ascii="Times New Roman" w:eastAsia="Times New Roman" w:hAnsi="Times New Roman"/>
                <w:sz w:val="24"/>
                <w:szCs w:val="24"/>
              </w:rPr>
              <w:t>atbalstam izvirzītajām prasībām, saskaņā ar Komisijas regulas Nr.651/2014 32.pant</w:t>
            </w:r>
            <w:r w:rsidR="002A363A">
              <w:rPr>
                <w:rFonts w:ascii="Times New Roman" w:eastAsia="Times New Roman" w:hAnsi="Times New Roman"/>
                <w:sz w:val="24"/>
                <w:szCs w:val="24"/>
              </w:rPr>
              <w:t>ā</w:t>
            </w:r>
            <w:r>
              <w:rPr>
                <w:rFonts w:ascii="Times New Roman" w:eastAsia="Times New Roman" w:hAnsi="Times New Roman"/>
                <w:sz w:val="24"/>
                <w:szCs w:val="24"/>
              </w:rPr>
              <w:t xml:space="preserve"> noteikto</w:t>
            </w:r>
            <w:r w:rsidR="002A363A">
              <w:rPr>
                <w:rFonts w:ascii="Times New Roman" w:eastAsia="Times New Roman" w:hAnsi="Times New Roman"/>
                <w:sz w:val="24"/>
                <w:szCs w:val="24"/>
              </w:rPr>
              <w:t>,</w:t>
            </w:r>
            <w:r>
              <w:rPr>
                <w:rFonts w:ascii="Times New Roman" w:eastAsia="Times New Roman" w:hAnsi="Times New Roman"/>
                <w:sz w:val="24"/>
                <w:szCs w:val="24"/>
              </w:rPr>
              <w:t xml:space="preserve"> tas varēs pieteikties atbalstam tikai 50% apmērā. </w:t>
            </w:r>
          </w:p>
          <w:p w14:paraId="7C24D411" w14:textId="7A30998A"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Papildus, lai savstarpēji salāgotu atbalsta mērķgrupas, paredzēts, ka pasākuma “Algoti pagaidu sabiedriskie darbi” garākais iesaistīšanas termiņš (līdz sešiem mēnešiem) turpmāk arī tiks noteikts personām, kurām līdz vecumam, kas dod tiesības saņemt vecuma pensiju, atlikuši ne vairāk kā divi gadi, precizējot MK noteikumu Nr.75 141.</w:t>
            </w:r>
            <w:r>
              <w:rPr>
                <w:rFonts w:ascii="Times New Roman" w:eastAsia="Times New Roman" w:hAnsi="Times New Roman"/>
                <w:sz w:val="24"/>
                <w:szCs w:val="24"/>
                <w:vertAlign w:val="superscript"/>
              </w:rPr>
              <w:t>4</w:t>
            </w:r>
            <w:r>
              <w:rPr>
                <w:rFonts w:ascii="Times New Roman" w:eastAsia="Times New Roman" w:hAnsi="Times New Roman"/>
                <w:sz w:val="24"/>
                <w:szCs w:val="24"/>
              </w:rPr>
              <w:t> punktu.</w:t>
            </w:r>
          </w:p>
          <w:p w14:paraId="357F3F11" w14:textId="3533F8B0" w:rsidR="00AF406C" w:rsidRDefault="00AF406C">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Paredzētās izmaiņas tiks īstenotas esošo finanšu resursu ietvaros.</w:t>
            </w:r>
          </w:p>
          <w:p w14:paraId="2BE89A6C" w14:textId="77777777" w:rsidR="008D68DB" w:rsidRDefault="008D68DB">
            <w:pPr>
              <w:pStyle w:val="ListParagraph"/>
              <w:ind w:left="0" w:firstLine="567"/>
              <w:contextualSpacing/>
              <w:jc w:val="both"/>
              <w:rPr>
                <w:rFonts w:ascii="Times New Roman" w:eastAsia="Times New Roman" w:hAnsi="Times New Roman"/>
                <w:sz w:val="24"/>
                <w:szCs w:val="24"/>
              </w:rPr>
            </w:pPr>
          </w:p>
          <w:p w14:paraId="1578D9A9" w14:textId="2D924458" w:rsidR="008D68DB" w:rsidRDefault="00DF37EA">
            <w:pPr>
              <w:jc w:val="both"/>
            </w:pPr>
            <w:r>
              <w:t xml:space="preserve">13. Pasākuma noteiktām personu grupām ietvaros, nodarbinot nelabvēlīgākā situācijā esošos bezdarbniekus, darba devējam ir iespēja saņemt dotāciju bezdarbnieka darba algai, kas tiek izmaksāta divu gadu garumā un darba vadītāja darba algai vairāku mēnešu garumā. No valsts puses tiek ieguldīti ievērojami finanšu līdzekļi darbinieka sagatavošanai, tomēr saskaņā ar spēkā esošo regulējumu darba devējam nav noteikts pienākums turpināt </w:t>
            </w:r>
            <w:r>
              <w:lastRenderedPageBreak/>
              <w:t>darba tiesiskās attiecības pēc finanšu atbalsta noteiktā termiņa beigām, tādējādi piešķirtais atbalsts sniedz vien īstermiņa rezultātus. Ievērojot minēto, plānots, ka turpmāk darba devējam tiek noteikts pienākums nodarbināt personu vēl vismaz trīs mēnešus pēc finanšu atbalsta sniegšanas pabeigšanas.</w:t>
            </w:r>
          </w:p>
          <w:p w14:paraId="5842D341" w14:textId="3095E966" w:rsidR="008D68DB" w:rsidRDefault="00DF37EA">
            <w:pPr>
              <w:jc w:val="both"/>
            </w:pPr>
            <w:r>
              <w:t>Ja darba devējs izbeigs darba tiesiskās attiecības bez attaisnojoša iemesla  pirms iepriekš minētā termiņa, darba devējam tiks noteikta sankcija – pienākums atmaksāt saņemto finanšu līdzekļus trīs mēnešalgu dotāciju apmērā.</w:t>
            </w:r>
            <w:r w:rsidR="002A363A">
              <w:t xml:space="preserve"> </w:t>
            </w:r>
            <w:r w:rsidR="002A363A" w:rsidRPr="002A363A">
              <w:t>Attiecīgi</w:t>
            </w:r>
            <w:r w:rsidR="002A363A">
              <w:t xml:space="preserve"> </w:t>
            </w:r>
            <w:r>
              <w:t xml:space="preserve">MK </w:t>
            </w:r>
            <w:r w:rsidR="002A363A">
              <w:t>Noteikumi Nr.75 tiek papildināti ar 82.5.apakšpunktu un 83.</w:t>
            </w:r>
            <w:r w:rsidR="002A363A" w:rsidRPr="002A363A">
              <w:rPr>
                <w:vertAlign w:val="superscript"/>
              </w:rPr>
              <w:t>1</w:t>
            </w:r>
            <w:r w:rsidR="002A363A">
              <w:t xml:space="preserve"> punktu. </w:t>
            </w:r>
          </w:p>
          <w:p w14:paraId="5B664089" w14:textId="77777777" w:rsidR="008D68DB" w:rsidRDefault="00DF37EA">
            <w:pPr>
              <w:jc w:val="both"/>
            </w:pPr>
            <w:r>
              <w:t xml:space="preserve">    </w:t>
            </w:r>
          </w:p>
          <w:p w14:paraId="7CC6B7A2" w14:textId="59197E0D" w:rsidR="008D68DB" w:rsidRDefault="00DF37EA">
            <w:pPr>
              <w:jc w:val="both"/>
            </w:pPr>
            <w:r>
              <w:t>14. Atbilstoši Darba likuma 132.pantā noteiktajam personām, kuras ir jaunākas par 18 gadiem, ir noteikti darba laika ierobežojumi dienas un nedēļas ietvaros atkarībā no personas vecuma. Līdz ar to plānots precizēt MK Noteikumu Nr.75 109.1.apakšpunktu, nosakot, ka finanšu līdzekļus izlieto pasākumā iesaistīto izglītojamo darba algai proporcionāli izglītojamā nostrādātajām stundām.</w:t>
            </w:r>
          </w:p>
          <w:p w14:paraId="6E7FC952" w14:textId="77777777" w:rsidR="008D68DB" w:rsidRDefault="008D68DB">
            <w:pPr>
              <w:jc w:val="both"/>
            </w:pPr>
          </w:p>
          <w:p w14:paraId="70E0AE5A" w14:textId="539BD286" w:rsidR="002A363A" w:rsidRDefault="00DF37EA">
            <w:pPr>
              <w:jc w:val="both"/>
            </w:pPr>
            <w:r>
              <w:t xml:space="preserve">15.  Lai pilnveidotu aktīvā nodarbinātības pasākuma „Apmācība pie darba devēja” (turpmāk – praktiskā apmācība) nosacījumus, tiek papildināts </w:t>
            </w:r>
            <w:r w:rsidR="00A9088E">
              <w:t xml:space="preserve">MK </w:t>
            </w:r>
            <w:r>
              <w:t>Noteikumu Nr.75 109.</w:t>
            </w:r>
            <w:r>
              <w:rPr>
                <w:vertAlign w:val="superscript"/>
              </w:rPr>
              <w:t xml:space="preserve">12 </w:t>
            </w:r>
            <w:r>
              <w:t xml:space="preserve">punkts, nosakot, ka modulāro profesionālās izglītības programmu apguves laikā bezdarbnieks turpina saņemt tam noteikto darba algu. </w:t>
            </w:r>
          </w:p>
          <w:p w14:paraId="66BC01F6" w14:textId="7A02C337" w:rsidR="008D68DB" w:rsidRDefault="00B81E64" w:rsidP="00B81E64">
            <w:pPr>
              <w:jc w:val="both"/>
            </w:pPr>
            <w:r>
              <w:t xml:space="preserve">Modulāro programmu apguve praktiskās apmācības laikā ir saistīta ar darba vidē balstītu mācību pamatelementiem, ko veido teorija, prakse un darba samaksa. Gadījumos, kad </w:t>
            </w:r>
            <w:r w:rsidR="002A363A">
              <w:t xml:space="preserve"> bezdarbniekam praktisko apmācību ietvaros profesionālo pienākumu veikšanai nepieciešama papildu teorētiskā apmācība, bezdarbnieku praktisko apmācību laikā var iesaistīt modulāro profesionālās izglītības programmu apguvē atbilstoši praktisko apmācību ietvaros apgūstamajām profesionālajām kompetencēm. </w:t>
            </w:r>
            <w:r>
              <w:t>Attiecīgi m</w:t>
            </w:r>
            <w:r w:rsidR="00DF37EA">
              <w:t xml:space="preserve">odulāro profesionālās izglītības programmu apguves laiks </w:t>
            </w:r>
            <w:r>
              <w:t xml:space="preserve">būtu </w:t>
            </w:r>
            <w:r w:rsidR="00DF37EA">
              <w:t xml:space="preserve">ieskaitāms praktiskās apmācības īstenošanas termiņā, </w:t>
            </w:r>
            <w:r>
              <w:t xml:space="preserve">un </w:t>
            </w:r>
            <w:r w:rsidR="00DF37EA">
              <w:t xml:space="preserve">bezdarbniekam ir jādod iespēja turpināt saņemt tam pasākumā noteikto darba algu, jo iesaiste modulārās izglītības programmās pasākuma laikā notiek atbilstoši praktiskās apmācības ietvaram. </w:t>
            </w:r>
          </w:p>
          <w:p w14:paraId="55A43300" w14:textId="77777777" w:rsidR="008D68DB" w:rsidRDefault="008D68DB">
            <w:pPr>
              <w:jc w:val="both"/>
            </w:pPr>
          </w:p>
          <w:p w14:paraId="5AB3E393" w14:textId="77777777" w:rsidR="00C12974" w:rsidRDefault="00DF37EA" w:rsidP="001F4571">
            <w:pPr>
              <w:jc w:val="both"/>
            </w:pPr>
            <w:r>
              <w:t xml:space="preserve">16. Ņemot vērā to, ka stipendija ir vienīgais atbalsta veids pasākumā "Darbam nepieciešamo iemaņu attīstība nevalstiskajā sektorā" iesaistītajiem bezdarbniekiem (mobilitātes atbalsts pasākumā iesaistītajiem nav paredzēts), izvērtējot stipendijas apmēru kopsakarā ar citiem Aģentūras organizētajiem pasākumiem, plānots palielināt stipendijas apmēru no 5 </w:t>
            </w:r>
            <w:r>
              <w:rPr>
                <w:i/>
              </w:rPr>
              <w:t>euro</w:t>
            </w:r>
            <w:r>
              <w:t xml:space="preserve"> uz 10 </w:t>
            </w:r>
            <w:r>
              <w:rPr>
                <w:i/>
              </w:rPr>
              <w:t>euro</w:t>
            </w:r>
            <w:r>
              <w:t xml:space="preserve"> dienā, izmaksājot to proporcionāli mēnesī nostrādātajām dienām. </w:t>
            </w:r>
          </w:p>
          <w:p w14:paraId="527A2D19" w14:textId="24A915C9" w:rsidR="001F4571" w:rsidRDefault="001D7053" w:rsidP="001F4571">
            <w:pPr>
              <w:jc w:val="both"/>
            </w:pPr>
            <w:r>
              <w:t>Lai arī pēdējos gados personu ar invaliditāti nodarbinātības līmenis pieauga, tas joprojām ir zemāks kā citām iedzīvotāju grupām.</w:t>
            </w:r>
          </w:p>
          <w:p w14:paraId="13FD54DD" w14:textId="4CC5B66F" w:rsidR="00F370B5" w:rsidRDefault="001F4571" w:rsidP="001F4571">
            <w:pPr>
              <w:jc w:val="both"/>
            </w:pPr>
            <w:r>
              <w:lastRenderedPageBreak/>
              <w:t>Kopējais bezdarba rādītājs valstī ar katru gadu samazinās, savukārt personu ar invaliditāti īpatsvars bezdarbnieku skaitā pieaug, lai arī absolūtos skaitļos reģistrēto bezdarbnieku ar invaliditāti skaits samazinās - 2014.gadā bija reģistrētas bija 8 355 personas ar invaliditāti, kas bija 10,5 % no kopējā bezdarbnieku skaita, tad 2018.gadā - 8 179 personas, kas bija 13,7% no kopējā bezdarbnieku skaita. Minētās tendences liecina, ka personām ar invaliditāti ir nepieciešam</w:t>
            </w:r>
            <w:r w:rsidR="001D7053">
              <w:t>i</w:t>
            </w:r>
            <w:r>
              <w:t xml:space="preserve"> papildu nodarbinātības pakalpojumi</w:t>
            </w:r>
            <w:r w:rsidR="00C12974">
              <w:t xml:space="preserve">, tādējādi pasākumā “Darbam nepieciešamo iemaņu attīstība nevalstiskajā sektorā” turpmāks tiks iesaistītas ar personas ar invaliditāti, kas ļaus sagatavot minētās personas darbam brīvajā darba tirgū. </w:t>
            </w:r>
            <w:r>
              <w:t xml:space="preserve"> </w:t>
            </w:r>
            <w:r w:rsidR="00C12974">
              <w:t>I</w:t>
            </w:r>
            <w:r w:rsidR="00DF37EA">
              <w:t xml:space="preserve">evērojot, ka minētajā pasākumā tiks iesaistīti arī bezdarbnieki ar invaliditāti, var būt nepieciešamība nodrošināt arī surdotulka, ergoterapeita un citu speciālistu pakalpojumus. Attiecīgi tiek precizēts </w:t>
            </w:r>
            <w:r w:rsidR="00A9088E">
              <w:t xml:space="preserve">MK </w:t>
            </w:r>
            <w:r w:rsidR="00DF37EA">
              <w:t xml:space="preserve">Noteikumu Nr.75 136.1.apakšpunkts un </w:t>
            </w:r>
            <w:r w:rsidR="00A9088E">
              <w:t xml:space="preserve">MK </w:t>
            </w:r>
            <w:r w:rsidR="00DF37EA">
              <w:t>Noteikumi Nr.75 papildināti ar 136.4.apakšpunktu.</w:t>
            </w:r>
          </w:p>
          <w:p w14:paraId="5E2A8C8C" w14:textId="41BC3017" w:rsidR="008D68DB" w:rsidRDefault="00AF406C">
            <w:pPr>
              <w:jc w:val="both"/>
            </w:pPr>
            <w:r w:rsidRPr="00AF406C">
              <w:t>Paredzētās izmaiņas tiks īstenotas esošo finanšu resursu ietvaros.</w:t>
            </w:r>
          </w:p>
          <w:p w14:paraId="3AB0A402" w14:textId="77777777" w:rsidR="00AF406C" w:rsidRDefault="00AF406C">
            <w:pPr>
              <w:jc w:val="both"/>
            </w:pPr>
          </w:p>
          <w:p w14:paraId="24F387C8" w14:textId="00D1048A" w:rsidR="00A8514C" w:rsidRDefault="00A8514C">
            <w:pPr>
              <w:jc w:val="both"/>
            </w:pPr>
            <w:r w:rsidRPr="00CB7F04">
              <w:t xml:space="preserve">17. </w:t>
            </w:r>
            <w:r w:rsidR="00CE5CA6" w:rsidRPr="00CB7F04">
              <w:t>Aģentūras uzskaitē aptuveni 25% no visiem reģistrētajiem bezdarbniekiem ir ilgstošie bezdarbnieki, tas ir, bez darba ilgāk par gadu. Daudzi ilgstošie bezdarbnieki vienlaicīgi saskaras savā dzīvesvietā arī ar citām sociālā rakstura problēmām, kas reizēm ir jāatrisina vispirms, lai novērstu cēloņus</w:t>
            </w:r>
            <w:r w:rsidR="00294B5A" w:rsidRPr="00CB7F04">
              <w:t xml:space="preserve">, kas traucē </w:t>
            </w:r>
            <w:r w:rsidR="00CE5CA6" w:rsidRPr="00CB7F04">
              <w:t>Aģentūra</w:t>
            </w:r>
            <w:r w:rsidR="00294B5A" w:rsidRPr="00CB7F04">
              <w:t>i</w:t>
            </w:r>
            <w:r w:rsidR="00CE5CA6" w:rsidRPr="00CB7F04">
              <w:t xml:space="preserve"> pilnvērtīgi iesaistīt ilgstošos bezdarbniekus aktīvajos nodarbinātības pasākumos. </w:t>
            </w:r>
            <w:r w:rsidRPr="00CB7F04">
              <w:t>Attiecīgi MK Noteikumi Nr.75  tiek papildināti ar 141.</w:t>
            </w:r>
            <w:r w:rsidRPr="00CB7F04">
              <w:rPr>
                <w:vertAlign w:val="superscript"/>
              </w:rPr>
              <w:t>16</w:t>
            </w:r>
            <w:r w:rsidRPr="00CB7F04">
              <w:t xml:space="preserve">4.apakšpunktu, </w:t>
            </w:r>
            <w:r w:rsidR="00CE5CA6" w:rsidRPr="00CB7F04">
              <w:t xml:space="preserve">dodot Aģentūrai tiesības </w:t>
            </w:r>
            <w:r w:rsidRPr="00CB7F04">
              <w:t>iekļau</w:t>
            </w:r>
            <w:r w:rsidR="00CE5CA6" w:rsidRPr="00CB7F04">
              <w:t xml:space="preserve">t individuālajā darba meklēšanas plānā </w:t>
            </w:r>
            <w:r w:rsidRPr="00CB7F04">
              <w:t xml:space="preserve">pienākumu ilgstošajam bezdarbniekam līdzdarboties  </w:t>
            </w:r>
            <w:r w:rsidR="0096120B" w:rsidRPr="00CB7F04">
              <w:t xml:space="preserve">pašvaldības </w:t>
            </w:r>
            <w:r w:rsidRPr="00CB7F04">
              <w:t>sociālā dienesta izstrādātā individuālā sociālās rehabilitācijas plāna izpildē, ja tas ir priekšnosacījums sekmīgai iesaistei aktīvajos nodarbinātības pasākumos un darba meklēšanas pienākumu izpildē.</w:t>
            </w:r>
          </w:p>
          <w:p w14:paraId="5B9D641A" w14:textId="77777777" w:rsidR="00A8514C" w:rsidRDefault="00A8514C">
            <w:pPr>
              <w:jc w:val="both"/>
            </w:pPr>
          </w:p>
          <w:p w14:paraId="215ECBF9" w14:textId="38D6E6BD" w:rsidR="008D68DB" w:rsidRDefault="00DF37EA">
            <w:pPr>
              <w:jc w:val="both"/>
            </w:pPr>
            <w:r>
              <w:t>1</w:t>
            </w:r>
            <w:r w:rsidR="00A8514C">
              <w:t>8</w:t>
            </w:r>
            <w:r>
              <w:t>. Līdz šim ES fondu speciālā atbalsta mērķa 9.1.1.2. projekta “Atbalsts ilgstošajiem bezdarbniekiem” atbalsta pasākumā “Profesionālās piemērotības noteikšana” tika iesaistīti bezdarbnieki, kuri bijuši bez darba vismaz 12 mēnešus un šajā periodā nav bijuši uzskatāmi par darba ņēmēju vai pašnodarbināto atbilstoši likumam "Par valsts sociālo apdrošināšanu" ilgāk par diviem mēnešiem bez pārtraukuma un kuri vismaz vienu reizi atteikušies no piemērota darba piedāvājuma vai atteikušies iesaistīties atbilstoši bezdarbnieka individuālajā darba meklēšanas plānā piedāvātajiem aktīvajiem nodarbinātības pasākumiem. Nosūtījums uz atbalsta pasākumu tiek izsniegts personām, kuras atbilst mērķa grupai un kurām ir invaliditāte vai prognozējamā invaliditāte, garīga rakstura traucējumi vai atbalsta pasākuma “Veselības pārbaudes” ietvaros saņemta rekomendācija veikt profesionālās piemērotības noteikšanu.</w:t>
            </w:r>
          </w:p>
          <w:p w14:paraId="124D009F" w14:textId="7260419C" w:rsidR="008D68DB" w:rsidRDefault="00DF37EA" w:rsidP="00DF37EA">
            <w:pPr>
              <w:jc w:val="both"/>
            </w:pPr>
            <w:r>
              <w:t xml:space="preserve">Optimizējot atbalstu nelabvēlīgākā situācijā esošiem bezdarbniekiem, paredzēts pārtraukt atbalsta pasākumu </w:t>
            </w:r>
            <w:r>
              <w:lastRenderedPageBreak/>
              <w:t xml:space="preserve">“Veselības pārbaudes” 9.1.1.2. pasākuma projektā. Ņemot vērā iepriekšminēto, kā arī, lai nodrošinātu mērķtiecīgāku darbu ar bezdarbniekiem, kuriem dažādu apstākļu dēļ ir sarežģītāk atrast darba vietu un atgriezties darba tirgū vai uzsākt jaunas profesijas apguvi, plānots sašaurināt profesionālās piemērotības noteikšanas mērķa grupu, tādējādi noskaidrojot personas motivāciju iesaistīties darba tirgū un mācīties, iepriekš iegūto zināšanu novērtēšanu, prasmju un iemaņu apzināšanu, veselības stāvokļa un darbspēju izvērtēšanu, sniedzot ieteikumus par bezdarbniekam piemērotu darbu, kā arī ar to saistītajiem aktīvajiem nodarbinātības pasākumiem atbilstoši bezdarbnieka veselības stāvoklim. Attiecīgi nepieciešams papildināt </w:t>
            </w:r>
            <w:r w:rsidR="00A9088E">
              <w:t xml:space="preserve">MK </w:t>
            </w:r>
            <w:r>
              <w:t xml:space="preserve">Noteikumu </w:t>
            </w:r>
            <w:r w:rsidR="00A9088E">
              <w:t xml:space="preserve">Nr.75 </w:t>
            </w:r>
            <w:r>
              <w:t>163.</w:t>
            </w:r>
            <w:r>
              <w:rPr>
                <w:vertAlign w:val="superscript"/>
              </w:rPr>
              <w:t>3</w:t>
            </w:r>
            <w:r>
              <w:t xml:space="preserve"> 3.apakšpunktu, precizējot mērķa grupu.</w:t>
            </w:r>
          </w:p>
          <w:p w14:paraId="2F1D90E8" w14:textId="77777777" w:rsidR="008D68DB" w:rsidRDefault="008D68DB">
            <w:pPr>
              <w:jc w:val="both"/>
            </w:pPr>
          </w:p>
          <w:p w14:paraId="7E7439EE" w14:textId="28C59DF4" w:rsidR="008C6F7B" w:rsidRDefault="00DF37EA" w:rsidP="008C6F7B">
            <w:pPr>
              <w:jc w:val="both"/>
            </w:pPr>
            <w:r>
              <w:t>1</w:t>
            </w:r>
            <w:r w:rsidR="00A8514C">
              <w:t>9</w:t>
            </w:r>
            <w:r>
              <w:t xml:space="preserve">. </w:t>
            </w:r>
            <w:r w:rsidR="00A9088E">
              <w:t xml:space="preserve">MK </w:t>
            </w:r>
            <w:r>
              <w:t xml:space="preserve">Noteikumi Nr.75 paredz reģionālās mobilitātes atbalstu nodarbinātajiem, kā arī bezdarbniekiem, kuru darba, mācību vai prakses vieta atrodas vismaz 15 km attālumā no deklarētās dzīves vietas. Atbalsts tiek nodrošināts, kompensējot transporta izdevumu izmaksas vai dzīvojamās telpas īres maksu. Veicot līdzšinējās prakses analīzi, ir secināts, ka atsevišķos gadījumos pastāv negodprātīgas rīcības risks no atbalsta saņēmēju puses, norādot deklarēto dzīvesvietu, kas neatbilst faktiskajai dzīvesvietai, tādējādi nepamatoti palielinot attālumu līdz darba, mācību vai prakses vietai. Turklāt arī gadījumos, kad persona katru dienu pavada ceļā četras stundas un vairāk, tam varētu būt negatīva ietekme uz personas darba ražīgumu un mācīšanās spējām, kā arī dzīves kvalitāti kopumā. </w:t>
            </w:r>
            <w:r w:rsidR="008C6F7B">
              <w:t xml:space="preserve"> Vienlaikus saskaņā ar MK noteikumos Nr.75 174.punktā noteikto maksimālais reģionālās mobilitātes atbalsta apmērs nevar pārsniegt 150 </w:t>
            </w:r>
            <w:proofErr w:type="spellStart"/>
            <w:r w:rsidR="008C6F7B" w:rsidRPr="00674816">
              <w:rPr>
                <w:i/>
              </w:rPr>
              <w:t>euro</w:t>
            </w:r>
            <w:proofErr w:type="spellEnd"/>
            <w:r w:rsidR="008C6F7B">
              <w:t xml:space="preserve"> mēnesī. </w:t>
            </w:r>
            <w:r w:rsidR="001B498B">
              <w:t>A</w:t>
            </w:r>
            <w:r w:rsidR="008C6F7B">
              <w:t>tbilstoši piemērota</w:t>
            </w:r>
            <w:r w:rsidR="001B498B">
              <w:t>i</w:t>
            </w:r>
            <w:r w:rsidR="008C6F7B">
              <w:t xml:space="preserve"> vienas vienības izmaksa</w:t>
            </w:r>
            <w:r w:rsidR="001B498B">
              <w:t>i</w:t>
            </w:r>
            <w:r w:rsidR="008C6F7B">
              <w:t xml:space="preserve"> (0.112 </w:t>
            </w:r>
            <w:proofErr w:type="spellStart"/>
            <w:r w:rsidR="008C6F7B">
              <w:t>euro</w:t>
            </w:r>
            <w:proofErr w:type="spellEnd"/>
            <w:r w:rsidR="008C6F7B">
              <w:t>/km) gadījumā, ja persona katru dienu mēro vienā virzienā 1</w:t>
            </w:r>
            <w:r w:rsidR="00E53D63">
              <w:t>1</w:t>
            </w:r>
            <w:r w:rsidR="008C6F7B">
              <w:t xml:space="preserve">0 km attālumu, faktiskas izmaksas pārsniedz 150 </w:t>
            </w:r>
            <w:proofErr w:type="spellStart"/>
            <w:r w:rsidR="008C6F7B" w:rsidRPr="00674816">
              <w:rPr>
                <w:i/>
              </w:rPr>
              <w:t>euro</w:t>
            </w:r>
            <w:proofErr w:type="spellEnd"/>
            <w:r w:rsidR="008C6F7B">
              <w:t xml:space="preserve"> mēnesī, tādējādi paredzētais ierobežojums faktiski neietekmē potenciāli iespējamo atbalsta apmēru.</w:t>
            </w:r>
          </w:p>
          <w:p w14:paraId="1C4CD027" w14:textId="1D37B901" w:rsidR="008D68DB" w:rsidRDefault="00DF37EA">
            <w:pPr>
              <w:jc w:val="both"/>
            </w:pPr>
            <w:r>
              <w:t>Lai novērstu minētos riskus, paredzēts, ka turpmāk transporta izmaksas tiks segtas tikai, ja darba, mācību vai prakses vieta atrodas ne vairāk kā 1</w:t>
            </w:r>
            <w:r w:rsidR="00E53D63">
              <w:t>1</w:t>
            </w:r>
            <w:r>
              <w:t xml:space="preserve">0 km attālumā no personas deklarētās dzīvesvietas (citos gadījumos persona varēs saņemt dzīvojamās telpas īres kompensāciju), savukārt mobilitātes atbalsta saņēmējam būs jāsaglabā ceļa izdevumu apliecinošie dokumenti </w:t>
            </w:r>
            <w:r w:rsidR="00241086">
              <w:t>četrus mēnešus</w:t>
            </w:r>
            <w:r>
              <w:t xml:space="preserve"> un pēc Aģentūras pieprasījuma būs pienākums tos uzrādīt. Attiecīgi </w:t>
            </w:r>
            <w:r w:rsidR="00A9088E">
              <w:t>N</w:t>
            </w:r>
            <w:r>
              <w:t xml:space="preserve">oteikumu projekts paredz veikt precizējumus 165. un 171.  punktā, 174.4. un </w:t>
            </w:r>
            <w:r w:rsidRPr="00A9088E">
              <w:t>174.</w:t>
            </w:r>
            <w:r w:rsidRPr="00A9088E">
              <w:rPr>
                <w:vertAlign w:val="superscript"/>
              </w:rPr>
              <w:t>6</w:t>
            </w:r>
            <w:r w:rsidRPr="00A9088E">
              <w:t xml:space="preserve">7. apakšpunktos. </w:t>
            </w:r>
          </w:p>
          <w:p w14:paraId="092A5A56" w14:textId="336BAA3A" w:rsidR="005C4E5D" w:rsidRPr="00A9088E" w:rsidRDefault="005C4E5D">
            <w:pPr>
              <w:jc w:val="both"/>
            </w:pPr>
            <w:r>
              <w:t xml:space="preserve">Vienlaikus patlaban </w:t>
            </w:r>
            <w:r w:rsidRPr="005C4E5D">
              <w:t>jauni tehniski risinājumi izdevumu apliecinošu dokumentu iesniegšanai Aģentūrā nav plānoti.</w:t>
            </w:r>
          </w:p>
          <w:p w14:paraId="49DA20AA" w14:textId="77777777" w:rsidR="008D68DB" w:rsidRDefault="008D68DB">
            <w:pPr>
              <w:jc w:val="both"/>
            </w:pPr>
          </w:p>
          <w:p w14:paraId="5023F1F3" w14:textId="089E92AD" w:rsidR="008D68DB" w:rsidRDefault="00A8514C">
            <w:pPr>
              <w:jc w:val="both"/>
            </w:pPr>
            <w:r>
              <w:t>20</w:t>
            </w:r>
            <w:r w:rsidR="00DF37EA">
              <w:t>. Lai savstarpēji saskaņotu MK noteikumos Nr.75 lietoto terminoloģiju termiņu aprēķināšanai, 173.punktā vārds “diena” tiek aizstāts ar vārdu “darbdiena”.</w:t>
            </w:r>
          </w:p>
          <w:p w14:paraId="0E05C91A" w14:textId="77777777" w:rsidR="008D68DB" w:rsidRDefault="008D68DB">
            <w:pPr>
              <w:jc w:val="both"/>
            </w:pPr>
          </w:p>
          <w:p w14:paraId="0F00AB69" w14:textId="1C80D03B" w:rsidR="008D68DB" w:rsidRDefault="00A8514C">
            <w:pPr>
              <w:jc w:val="both"/>
            </w:pPr>
            <w:r>
              <w:lastRenderedPageBreak/>
              <w:t>21</w:t>
            </w:r>
            <w:r w:rsidR="00DF37EA">
              <w:t>. Saskaņā ar Komisijas 2013.gada 18.decembra regulas (ES)</w:t>
            </w:r>
            <w:r w:rsidR="00DF37EA">
              <w:br/>
              <w:t xml:space="preserve"> Nr. 1408/2013 par Līguma par Eiropas Savienības darbību 107. un 108. panta piemērošanu </w:t>
            </w:r>
            <w:r w:rsidR="00DF37EA">
              <w:rPr>
                <w:i/>
              </w:rPr>
              <w:t>de minimis</w:t>
            </w:r>
            <w:r w:rsidR="00DF37EA">
              <w:t xml:space="preserve"> atbalstam lauksaimniecības nozarē 3.panta 2.punktā noteikto kopējais </w:t>
            </w:r>
            <w:proofErr w:type="spellStart"/>
            <w:r w:rsidR="00DF37EA">
              <w:rPr>
                <w:i/>
              </w:rPr>
              <w:t>de</w:t>
            </w:r>
            <w:proofErr w:type="spellEnd"/>
            <w:r w:rsidR="00DF37EA">
              <w:rPr>
                <w:i/>
              </w:rPr>
              <w:t xml:space="preserve"> </w:t>
            </w:r>
            <w:proofErr w:type="spellStart"/>
            <w:r w:rsidR="00DF37EA">
              <w:rPr>
                <w:i/>
              </w:rPr>
              <w:t>minimis</w:t>
            </w:r>
            <w:proofErr w:type="spellEnd"/>
            <w:r w:rsidR="00DF37EA">
              <w:t xml:space="preserve"> atbalsts, ko viena dalībvalsts piešķīrusi vienam vienotam uzņēmumam, jebkurā triju fiskālo gadu periodā nepārsniedz 15 000 </w:t>
            </w:r>
            <w:r w:rsidR="00DF37EA">
              <w:rPr>
                <w:i/>
              </w:rPr>
              <w:t>euro</w:t>
            </w:r>
            <w:r w:rsidR="00DF37EA">
              <w:t xml:space="preserve">. Vienlaikus atbilstoši Komisijas 2019.gada 21.februāra Regulas (ES) 2019/316, ar ko groza Regulu (ES) </w:t>
            </w:r>
            <w:r w:rsidR="00DF37EA">
              <w:br/>
              <w:t xml:space="preserve">Nr. 1408/2013 par Līguma par Eiropas Savienības darbību 107. un 108. panta piemērošanu </w:t>
            </w:r>
            <w:r w:rsidR="00DF37EA">
              <w:rPr>
                <w:i/>
              </w:rPr>
              <w:t>de minimis</w:t>
            </w:r>
            <w:r w:rsidR="00DF37EA">
              <w:t xml:space="preserve"> atbalstam lauksaimniecības nozarē 3.panta 3.a punktā noteiktajam dalībvalsts var nolemt, ka vienam vienotam uzņēmumam piešķirtā </w:t>
            </w:r>
            <w:r w:rsidR="00DF37EA">
              <w:rPr>
                <w:i/>
              </w:rPr>
              <w:t>de minimis</w:t>
            </w:r>
            <w:r w:rsidR="00DF37EA">
              <w:t xml:space="preserve"> atbalsta kopējā summa jebkurā trīs fiskālo gadu periodā nepārsniedz 25 000 </w:t>
            </w:r>
            <w:r w:rsidR="00DF37EA">
              <w:rPr>
                <w:i/>
              </w:rPr>
              <w:t xml:space="preserve">euro. </w:t>
            </w:r>
            <w:r w:rsidR="00DF37EA">
              <w:t>Ievērojot minēto, lai nodrošinātu uzņēmumiem lauksaimniecības nozarē lielāka atbalsta iespējas, nepieciešams veikt grozījumus ar attiecīgu atsauci MK noteikumu Nr.75 192.</w:t>
            </w:r>
            <w:r w:rsidR="00DF37EA">
              <w:rPr>
                <w:vertAlign w:val="superscript"/>
              </w:rPr>
              <w:t xml:space="preserve">9 </w:t>
            </w:r>
            <w:r w:rsidR="00DF37EA">
              <w:t>apakšpunktā.</w:t>
            </w:r>
          </w:p>
          <w:p w14:paraId="27BCA121" w14:textId="77777777" w:rsidR="008D68DB" w:rsidRDefault="008D68DB">
            <w:pPr>
              <w:jc w:val="both"/>
            </w:pPr>
          </w:p>
          <w:p w14:paraId="0A7E3B7E" w14:textId="0FD7256F" w:rsidR="008D68DB" w:rsidRDefault="00A8514C">
            <w:pPr>
              <w:jc w:val="both"/>
            </w:pPr>
            <w:r>
              <w:t>22</w:t>
            </w:r>
            <w:r w:rsidR="00DF37EA">
              <w:t>. </w:t>
            </w:r>
            <w:r w:rsidR="00A27A59">
              <w:t>Normatīvie akti valsts atbalsta jomā</w:t>
            </w:r>
            <w:r w:rsidR="00DF37EA">
              <w:t xml:space="preserve"> </w:t>
            </w:r>
            <w:r w:rsidR="005178A5">
              <w:t xml:space="preserve">(tajā skaitā </w:t>
            </w:r>
            <w:proofErr w:type="spellStart"/>
            <w:r w:rsidR="005178A5" w:rsidRPr="005178A5">
              <w:rPr>
                <w:i/>
              </w:rPr>
              <w:t>de</w:t>
            </w:r>
            <w:proofErr w:type="spellEnd"/>
            <w:r w:rsidR="005178A5" w:rsidRPr="005178A5">
              <w:rPr>
                <w:i/>
              </w:rPr>
              <w:t xml:space="preserve"> </w:t>
            </w:r>
            <w:proofErr w:type="spellStart"/>
            <w:r w:rsidR="005178A5" w:rsidRPr="005178A5">
              <w:rPr>
                <w:i/>
              </w:rPr>
              <w:t>minimis</w:t>
            </w:r>
            <w:proofErr w:type="spellEnd"/>
            <w:r w:rsidR="005178A5">
              <w:t xml:space="preserve"> atbalsta piešķiršanu regulējošie normatīvie akti) </w:t>
            </w:r>
            <w:r w:rsidR="00DF37EA">
              <w:t xml:space="preserve">paredz, ka </w:t>
            </w:r>
            <w:r w:rsidR="00A27A59">
              <w:t xml:space="preserve">valsts </w:t>
            </w:r>
            <w:r w:rsidR="00DF37EA">
              <w:t>atbalstu uzskata par piešķirtu brīdī, kad uzņēmumam saskaņā ar piemērojamo valsts tiesisko regulējumu ir piešķirtas likumīgās tiesības saņemt atbalstu, neatkarīgi no datuma, kurā atbalsts uzņēmumam izmaksāts. Tiesiskās noteiktības veicināšanai paredzēts precīzi noteikt, ka par tiesību piešķiršanas brīdi ir uzskatāma līgumu par pasākumu noteiktām personu grupām īstenošanu,  par praktiskās apmācības īstenošanu vai par biznesa plāna īstenošanu noslēgšanas brīdis.</w:t>
            </w:r>
          </w:p>
          <w:p w14:paraId="27BD15B6" w14:textId="4E7FF656"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Ievērojot minēto, tiek papildināts MK noteikumu Nr.75 192.</w:t>
            </w:r>
            <w:r>
              <w:rPr>
                <w:rFonts w:ascii="Times New Roman" w:eastAsia="Times New Roman" w:hAnsi="Times New Roman"/>
                <w:sz w:val="24"/>
                <w:szCs w:val="24"/>
                <w:vertAlign w:val="superscript"/>
              </w:rPr>
              <w:t xml:space="preserve">20 </w:t>
            </w:r>
            <w:r>
              <w:rPr>
                <w:rFonts w:ascii="Times New Roman" w:eastAsia="Times New Roman" w:hAnsi="Times New Roman"/>
                <w:sz w:val="24"/>
                <w:szCs w:val="24"/>
              </w:rPr>
              <w:t xml:space="preserve">punkts. </w:t>
            </w:r>
          </w:p>
          <w:p w14:paraId="1BF69ECB"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5F3683A6" w14:textId="05C8197A" w:rsidR="008D68DB" w:rsidRDefault="00A8514C">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23</w:t>
            </w:r>
            <w:r w:rsidR="00DF37EA">
              <w:rPr>
                <w:rFonts w:ascii="Times New Roman" w:eastAsia="Times New Roman" w:hAnsi="Times New Roman"/>
                <w:sz w:val="24"/>
                <w:szCs w:val="24"/>
              </w:rPr>
              <w:t>. MK noteikumi Nr.75 tiek papildināti ar 192.</w:t>
            </w:r>
            <w:r w:rsidR="00DF37EA">
              <w:rPr>
                <w:rFonts w:ascii="Times New Roman" w:eastAsia="Times New Roman" w:hAnsi="Times New Roman"/>
                <w:sz w:val="24"/>
                <w:szCs w:val="24"/>
                <w:vertAlign w:val="superscript"/>
              </w:rPr>
              <w:t>2</w:t>
            </w:r>
            <w:r w:rsidR="00046C27">
              <w:rPr>
                <w:rFonts w:ascii="Times New Roman" w:eastAsia="Times New Roman" w:hAnsi="Times New Roman"/>
                <w:sz w:val="24"/>
                <w:szCs w:val="24"/>
                <w:vertAlign w:val="superscript"/>
              </w:rPr>
              <w:t>0</w:t>
            </w:r>
            <w:r w:rsidR="00DF37EA">
              <w:rPr>
                <w:rFonts w:ascii="Times New Roman" w:eastAsia="Times New Roman" w:hAnsi="Times New Roman"/>
                <w:sz w:val="24"/>
                <w:szCs w:val="24"/>
                <w:vertAlign w:val="superscript"/>
              </w:rPr>
              <w:t xml:space="preserve"> </w:t>
            </w:r>
            <w:r w:rsidR="00DF37EA">
              <w:rPr>
                <w:rFonts w:ascii="Times New Roman" w:eastAsia="Times New Roman" w:hAnsi="Times New Roman"/>
                <w:sz w:val="24"/>
                <w:szCs w:val="24"/>
              </w:rPr>
              <w:t xml:space="preserve">punktu, lai  precizētu nosacījumus attiecībā uz atbalsta saņēmēja pienākumu atmaksāt finansējuma saņēmējam saņemto </w:t>
            </w:r>
            <w:r w:rsidR="00DF37EA">
              <w:rPr>
                <w:rFonts w:ascii="Times New Roman" w:eastAsia="Times New Roman" w:hAnsi="Times New Roman"/>
                <w:i/>
                <w:sz w:val="24"/>
                <w:szCs w:val="24"/>
              </w:rPr>
              <w:t>de minimis</w:t>
            </w:r>
            <w:r w:rsidR="00DF37EA">
              <w:rPr>
                <w:rFonts w:ascii="Times New Roman" w:eastAsia="Times New Roman" w:hAnsi="Times New Roman"/>
                <w:sz w:val="24"/>
                <w:szCs w:val="24"/>
              </w:rPr>
              <w:t xml:space="preserve"> atbalstu, ja tas ir pārkāpis Komisijas regulas Nr.1407/2013, Komisijas regulas Nr.717/2014 vai Komisijas regulas Nr.1408/2013 prasības. </w:t>
            </w:r>
          </w:p>
          <w:p w14:paraId="397B66CF" w14:textId="4E23F62E" w:rsidR="00F370B5" w:rsidRDefault="00F370B5" w:rsidP="001833F1">
            <w:pPr>
              <w:jc w:val="both"/>
              <w:rPr>
                <w:lang w:eastAsia="en-US"/>
              </w:rPr>
            </w:pPr>
          </w:p>
          <w:p w14:paraId="54A81A87" w14:textId="02AEC6CD" w:rsidR="00F370B5" w:rsidRDefault="00F370B5" w:rsidP="001833F1">
            <w:pPr>
              <w:jc w:val="both"/>
              <w:rPr>
                <w:lang w:eastAsia="en-US"/>
              </w:rPr>
            </w:pPr>
            <w:r>
              <w:rPr>
                <w:lang w:eastAsia="en-US"/>
              </w:rPr>
              <w:t>2</w:t>
            </w:r>
            <w:r w:rsidR="00A61AB1">
              <w:rPr>
                <w:lang w:eastAsia="en-US"/>
              </w:rPr>
              <w:t>4</w:t>
            </w:r>
            <w:r>
              <w:rPr>
                <w:lang w:eastAsia="en-US"/>
              </w:rPr>
              <w:t>. Ministru kabineta 2012.gada 24.janvāra noteikumu Nr. 70 “</w:t>
            </w:r>
            <w:r w:rsidRPr="00F370B5">
              <w:rPr>
                <w:lang w:eastAsia="en-US"/>
              </w:rPr>
              <w:t>Alkohola, narkotisko, psihotropo, toksisko vielu, azartspēļu vai datorspēļu atkarības slimnieku ārstēšanas kārtība</w:t>
            </w:r>
            <w:r>
              <w:rPr>
                <w:lang w:eastAsia="en-US"/>
              </w:rPr>
              <w:t xml:space="preserve">” paredz nodrošināt specifiskus atbalsta pasākumus  personām ar dažādu veidu atkarībām, tādējādi paredzēts paplašināt </w:t>
            </w:r>
            <w:r w:rsidR="001F002D">
              <w:rPr>
                <w:lang w:eastAsia="en-US"/>
              </w:rPr>
              <w:t>MK noteikumu Nr.75 163.</w:t>
            </w:r>
            <w:r w:rsidR="001F002D">
              <w:rPr>
                <w:vertAlign w:val="superscript"/>
              </w:rPr>
              <w:t>2</w:t>
            </w:r>
            <w:r w:rsidR="001F002D">
              <w:rPr>
                <w:lang w:eastAsia="en-US"/>
              </w:rPr>
              <w:t xml:space="preserve">4.apakšpunktu paredzot atbalstu </w:t>
            </w:r>
            <w:r>
              <w:rPr>
                <w:lang w:eastAsia="en-US"/>
              </w:rPr>
              <w:t>ne tikai personām, kurām ir noteikta</w:t>
            </w:r>
            <w:r>
              <w:t xml:space="preserve"> </w:t>
            </w:r>
            <w:r w:rsidRPr="00F370B5">
              <w:rPr>
                <w:lang w:eastAsia="en-US"/>
              </w:rPr>
              <w:t>alkohola, narkotisko vai psihotropo vielu atkarība</w:t>
            </w:r>
            <w:r>
              <w:rPr>
                <w:lang w:eastAsia="en-US"/>
              </w:rPr>
              <w:t>, bet arī personām ar minētajos Ministru kabineta noteikumos noteiktajām uzvedības procesu atkarībām</w:t>
            </w:r>
            <w:r w:rsidR="001F002D">
              <w:rPr>
                <w:lang w:eastAsia="en-US"/>
              </w:rPr>
              <w:t xml:space="preserve">. Bezdarbniekiem ar atkarības problēmām </w:t>
            </w:r>
            <w:r w:rsidR="001F002D" w:rsidRPr="001F002D">
              <w:rPr>
                <w:lang w:eastAsia="en-US"/>
              </w:rPr>
              <w:t>tiks nodrošināt</w:t>
            </w:r>
            <w:r w:rsidR="000A0D09">
              <w:rPr>
                <w:lang w:eastAsia="en-US"/>
              </w:rPr>
              <w:t>i</w:t>
            </w:r>
            <w:r w:rsidR="001F002D" w:rsidRPr="001F002D">
              <w:rPr>
                <w:lang w:eastAsia="en-US"/>
              </w:rPr>
              <w:t xml:space="preserve"> atbalst</w:t>
            </w:r>
            <w:r w:rsidR="000A0D09">
              <w:rPr>
                <w:lang w:eastAsia="en-US"/>
              </w:rPr>
              <w:t>a</w:t>
            </w:r>
            <w:r w:rsidR="001F002D" w:rsidRPr="001F002D">
              <w:rPr>
                <w:lang w:eastAsia="en-US"/>
              </w:rPr>
              <w:t xml:space="preserve"> pasākumi, kas ietver Minesotas 12 soļu programmu, emocionālā stresa terapiju (kodēšanu), uzturošo terapiju, izmantojot </w:t>
            </w:r>
            <w:proofErr w:type="spellStart"/>
            <w:r w:rsidR="001F002D" w:rsidRPr="001F002D">
              <w:rPr>
                <w:lang w:eastAsia="en-US"/>
              </w:rPr>
              <w:t>psihoterapeitiskas</w:t>
            </w:r>
            <w:proofErr w:type="spellEnd"/>
            <w:r w:rsidR="001F002D" w:rsidRPr="001F002D">
              <w:rPr>
                <w:lang w:eastAsia="en-US"/>
              </w:rPr>
              <w:t xml:space="preserve"> un medikamentozas ārstēšanas metodes</w:t>
            </w:r>
            <w:r w:rsidR="000A0D09">
              <w:rPr>
                <w:lang w:eastAsia="en-US"/>
              </w:rPr>
              <w:t>,</w:t>
            </w:r>
            <w:r w:rsidR="001F002D" w:rsidRPr="001F002D">
              <w:rPr>
                <w:lang w:eastAsia="en-US"/>
              </w:rPr>
              <w:t xml:space="preserve"> un narkologa atzinuma saņemšanu.</w:t>
            </w:r>
          </w:p>
          <w:p w14:paraId="4086F925" w14:textId="006D2CD1" w:rsidR="008C6F7B" w:rsidRDefault="008C6F7B" w:rsidP="001833F1">
            <w:pPr>
              <w:jc w:val="both"/>
              <w:rPr>
                <w:lang w:eastAsia="en-US"/>
              </w:rPr>
            </w:pPr>
          </w:p>
          <w:p w14:paraId="0952C640" w14:textId="47AB4330" w:rsidR="008C6F7B" w:rsidRDefault="008C6F7B" w:rsidP="008C6F7B">
            <w:pPr>
              <w:jc w:val="both"/>
              <w:rPr>
                <w:lang w:eastAsia="en-US"/>
              </w:rPr>
            </w:pPr>
            <w:r>
              <w:rPr>
                <w:lang w:eastAsia="en-US"/>
              </w:rPr>
              <w:t>2</w:t>
            </w:r>
            <w:r w:rsidR="00A61AB1">
              <w:rPr>
                <w:lang w:eastAsia="en-US"/>
              </w:rPr>
              <w:t>5</w:t>
            </w:r>
            <w:r>
              <w:rPr>
                <w:lang w:eastAsia="en-US"/>
              </w:rPr>
              <w:t>. 2019.gada 5.decembrī stā</w:t>
            </w:r>
            <w:r w:rsidR="000A0D09">
              <w:rPr>
                <w:lang w:eastAsia="en-US"/>
              </w:rPr>
              <w:t>jās</w:t>
            </w:r>
            <w:r>
              <w:rPr>
                <w:lang w:eastAsia="en-US"/>
              </w:rPr>
              <w:t xml:space="preserve"> spēkā likums “Grozījumi Bezdarbnieku un darba meklētāju atbalsta likumā”. Saskaņā ar minētā likuma 1.punktu tiek papildināts Ministru kabinetam noteiktais deleģējums, paredzot, ka Ministru kabinets nosaka kārtību, kādā biedrības vai nodibinājumi tiek uzņemti par EURES partneriem, pārrauga to darbību, anulē to tiesības darboties kā EURES partnerim, kā arī to pienākumus atbilstoši regulas Nr. 2016/589 prasībām.</w:t>
            </w:r>
          </w:p>
          <w:p w14:paraId="775CEF91" w14:textId="28154748" w:rsidR="008C6F7B" w:rsidRDefault="008C6F7B" w:rsidP="008C6F7B">
            <w:pPr>
              <w:jc w:val="both"/>
              <w:rPr>
                <w:lang w:eastAsia="en-US"/>
              </w:rPr>
            </w:pPr>
            <w:r>
              <w:rPr>
                <w:lang w:eastAsia="en-US"/>
              </w:rPr>
              <w:t>Ievērojot</w:t>
            </w:r>
            <w:r w:rsidR="000A0D09">
              <w:rPr>
                <w:lang w:eastAsia="en-US"/>
              </w:rPr>
              <w:t xml:space="preserve"> </w:t>
            </w:r>
            <w:r>
              <w:rPr>
                <w:lang w:eastAsia="en-US"/>
              </w:rPr>
              <w:t>MK noteikumu Nr.75 6.3 nodaļā ietverto regulējumu, kas attiecas uz EURES partneriem, attiecīgi tiek papildināts MK noteikumu Nr.75 izdošanas pamatojums.</w:t>
            </w:r>
          </w:p>
          <w:p w14:paraId="5E30DA6B"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5AE0C5F2" w14:textId="1C68C50B" w:rsidR="008C7396" w:rsidRPr="00674816" w:rsidRDefault="008C7396" w:rsidP="00674816">
            <w:pPr>
              <w:shd w:val="clear" w:color="000000" w:fill="FFFFFF"/>
              <w:contextualSpacing/>
              <w:jc w:val="both"/>
            </w:pPr>
            <w:r w:rsidRPr="008C7396">
              <w:t>2</w:t>
            </w:r>
            <w:r w:rsidR="00A61AB1">
              <w:t>6</w:t>
            </w:r>
            <w:r w:rsidRPr="008C7396">
              <w:t>. </w:t>
            </w:r>
            <w:r>
              <w:t xml:space="preserve"> </w:t>
            </w:r>
            <w:r w:rsidRPr="008C7396">
              <w:t>MK noteikumu Nr. 75 20.7 punkts paredz, ka aktīvo nodarbinātības pasākumu u</w:t>
            </w:r>
            <w:r w:rsidRPr="003C199F">
              <w:t xml:space="preserve">n preventīvo bezdarba samazināšanas pasākumu ietvaros personām ar invaliditāti izglītības programmu apguvei un saskarsmes nodrošināšanai ar citām fiziskajām un juridiskajām personām nodrošina </w:t>
            </w:r>
            <w:proofErr w:type="spellStart"/>
            <w:r w:rsidRPr="003C199F">
              <w:t>surdotulka</w:t>
            </w:r>
            <w:proofErr w:type="spellEnd"/>
            <w:r w:rsidRPr="003C199F">
              <w:t xml:space="preserve"> pakalpojumus. Turklāt bezdarbniekiem ar invaliditāti </w:t>
            </w:r>
            <w:r w:rsidRPr="00674816">
              <w:t xml:space="preserve">var tikt nodrošināti arī citu speciālistu pakalpojumi. Aģentūrai ir noslēgti līgumi  ar attiecīgo pakalpojumu sniedzējiem un pēc nepieciešamības bezdarbniekiem ar invaliditāti tiek nodrošināts pakalpojumus mācību, prakses vai darba vietā. </w:t>
            </w:r>
          </w:p>
          <w:p w14:paraId="0EF7FD8F" w14:textId="48F87C61" w:rsidR="008C7396" w:rsidRPr="003C199F" w:rsidRDefault="008C7396" w:rsidP="00674816">
            <w:pPr>
              <w:shd w:val="clear" w:color="000000" w:fill="FFFFFF"/>
              <w:contextualSpacing/>
              <w:jc w:val="both"/>
            </w:pPr>
            <w:r w:rsidRPr="008C7396">
              <w:t xml:space="preserve">No MK noteikumu Nr.75 82., 109.13  un 134.punkta redakcijas izriet, ka darba devējs saskaņā ar noslēgto līgumu nodrošina darba tiesisko attiecību nodibināšanu ar bezdarbniekiem, kvalificētu darba vadītāju, darba vietas pielāgošanu bezdarbniekiem ar invaliditāti, kā arī bezdarbniekiem ar invaliditāti nepieciešamo </w:t>
            </w:r>
            <w:proofErr w:type="spellStart"/>
            <w:r w:rsidRPr="008C7396">
              <w:t>surdotulku</w:t>
            </w:r>
            <w:proofErr w:type="spellEnd"/>
            <w:r w:rsidRPr="008C7396">
              <w:t xml:space="preserve">, </w:t>
            </w:r>
            <w:proofErr w:type="spellStart"/>
            <w:r w:rsidRPr="008C7396">
              <w:t>ergoterapeitu</w:t>
            </w:r>
            <w:proofErr w:type="spellEnd"/>
            <w:r w:rsidRPr="008C7396">
              <w:t>, kā arī citu speciālistu pakalpojumus un izdevumus par bezdarbnieku veiktajām obligātajām veselības pārbaudēm   un attiecīgi tie būtu pielīdzināmi valsts atbalstam. Tomēr minētos pakalpojumus nodrošina Aģentūra un faktiski pasākumu īstenotājiem netiek piešķirts finansējums to nodrošināšanai</w:t>
            </w:r>
            <w:r w:rsidR="003A78AD">
              <w:t>.</w:t>
            </w:r>
          </w:p>
          <w:p w14:paraId="5AC7027B" w14:textId="530505A4" w:rsidR="008C7396" w:rsidRPr="00674816" w:rsidRDefault="008C7396" w:rsidP="00674816">
            <w:pPr>
              <w:shd w:val="clear" w:color="000000" w:fill="FFFFFF"/>
              <w:contextualSpacing/>
              <w:jc w:val="both"/>
            </w:pPr>
            <w:r w:rsidRPr="00674816">
              <w:t>Obligātās veselības pārbaudes tiek veikt</w:t>
            </w:r>
            <w:r w:rsidR="003A78AD">
              <w:t>as</w:t>
            </w:r>
            <w:r w:rsidRPr="00674816">
              <w:t xml:space="preserve"> pirms dalības pasākumā. Saskaņā ar Darba aizsardzības likuma 15.panta trešo daļu darba devējam nav noteikts pienākums segt izdevumus, kas saistīti ar obligātām veselības pārbaudēm pirms darba tiesisko attiecību uzsākšanas, tādējādi pasākuma ietvaros veikto obligāto veselības pārbaužu izdevumi tiek kompensēti bezdarbniekiem un nav uzskatām</w:t>
            </w:r>
            <w:r w:rsidR="003A78AD">
              <w:t>i</w:t>
            </w:r>
            <w:r w:rsidRPr="00674816">
              <w:t xml:space="preserve"> par darba devējam piešķirto atbalstu.</w:t>
            </w:r>
          </w:p>
          <w:p w14:paraId="1FB716FB" w14:textId="2D70DFB5" w:rsidR="008C7396" w:rsidRPr="00674816" w:rsidRDefault="008C7396" w:rsidP="00674816">
            <w:pPr>
              <w:shd w:val="clear" w:color="000000" w:fill="FFFFFF"/>
              <w:contextualSpacing/>
              <w:jc w:val="both"/>
            </w:pPr>
            <w:r w:rsidRPr="00674816">
              <w:t>Savukārt MK noteikumu Nr.75   192.6 punkts paredz valsts atbalsta nosacījumu piemērošanu pasākuma “Apmācība pie darba devēja”, pasākuma “Pasākumi noteiktām personu grupām” un pasākuma “Pirmā darba pieredze jaunietim” ie</w:t>
            </w:r>
            <w:r w:rsidR="00325ACA">
              <w:t>t</w:t>
            </w:r>
            <w:r w:rsidRPr="00674816">
              <w:t>varos īstenotājam piešķirtajam finanšu atbalstam</w:t>
            </w:r>
            <w:r w:rsidR="003A78AD">
              <w:t>.</w:t>
            </w:r>
            <w:r w:rsidRPr="00674816">
              <w:t xml:space="preserve">   </w:t>
            </w:r>
          </w:p>
          <w:p w14:paraId="56A77B19" w14:textId="7AA80A88" w:rsidR="008C7396" w:rsidRDefault="008C7396" w:rsidP="008C7396">
            <w:pPr>
              <w:pStyle w:val="ListParagraph"/>
              <w:shd w:val="clear" w:color="000000" w:fill="FFFFFF"/>
              <w:ind w:left="0"/>
              <w:contextualSpacing/>
              <w:jc w:val="both"/>
              <w:rPr>
                <w:rFonts w:ascii="Times New Roman" w:eastAsia="Times New Roman" w:hAnsi="Times New Roman"/>
                <w:sz w:val="24"/>
                <w:szCs w:val="24"/>
              </w:rPr>
            </w:pPr>
            <w:r w:rsidRPr="008C7396">
              <w:rPr>
                <w:rFonts w:ascii="Times New Roman" w:eastAsia="Times New Roman" w:hAnsi="Times New Roman"/>
                <w:sz w:val="24"/>
                <w:szCs w:val="24"/>
              </w:rPr>
              <w:t xml:space="preserve">Lai novērstu iespējamās pretrunas ar valsts atbalsta saņemšanu saistītā regulējuma piemērošanas interpretācijā, MK noteikumu Nr.75 3.4.2., 3.4.5.apakšnodaļā un 3.7.nodaļā nepieciešams veikt </w:t>
            </w:r>
            <w:r w:rsidR="003A78AD">
              <w:rPr>
                <w:rFonts w:ascii="Times New Roman" w:eastAsia="Times New Roman" w:hAnsi="Times New Roman"/>
                <w:sz w:val="24"/>
                <w:szCs w:val="24"/>
              </w:rPr>
              <w:t>tehniska</w:t>
            </w:r>
            <w:r w:rsidRPr="008C7396">
              <w:rPr>
                <w:rFonts w:ascii="Times New Roman" w:eastAsia="Times New Roman" w:hAnsi="Times New Roman"/>
                <w:sz w:val="24"/>
                <w:szCs w:val="24"/>
              </w:rPr>
              <w:t xml:space="preserve"> rakstura precizējumus.    </w:t>
            </w:r>
          </w:p>
          <w:p w14:paraId="5A5842F1" w14:textId="77777777" w:rsidR="00F27125" w:rsidRDefault="00F27125" w:rsidP="008C7396">
            <w:pPr>
              <w:pStyle w:val="ListParagraph"/>
              <w:shd w:val="clear" w:color="000000" w:fill="FFFFFF"/>
              <w:ind w:left="0"/>
              <w:contextualSpacing/>
              <w:jc w:val="both"/>
              <w:rPr>
                <w:rFonts w:ascii="Times New Roman" w:eastAsia="Times New Roman" w:hAnsi="Times New Roman"/>
                <w:sz w:val="24"/>
                <w:szCs w:val="24"/>
              </w:rPr>
            </w:pPr>
          </w:p>
          <w:p w14:paraId="4EBE8BEC" w14:textId="7A5BFF4C" w:rsidR="00F27125" w:rsidRDefault="00F27125" w:rsidP="008C7396">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2. 2018.gada 14.s</w:t>
            </w:r>
            <w:r w:rsidR="0094052C">
              <w:rPr>
                <w:rFonts w:ascii="Times New Roman" w:eastAsia="Times New Roman" w:hAnsi="Times New Roman"/>
                <w:sz w:val="24"/>
                <w:szCs w:val="24"/>
              </w:rPr>
              <w:t>e</w:t>
            </w:r>
            <w:r>
              <w:rPr>
                <w:rFonts w:ascii="Times New Roman" w:eastAsia="Times New Roman" w:hAnsi="Times New Roman"/>
                <w:sz w:val="24"/>
                <w:szCs w:val="24"/>
              </w:rPr>
              <w:t xml:space="preserve">ptembrī zaudēja spēku Ministru kabineta 2014.gada 28.oktobra noteikumi Nr.662 </w:t>
            </w:r>
            <w:r>
              <w:t>“</w:t>
            </w:r>
            <w:r w:rsidRPr="00F27125">
              <w:rPr>
                <w:rFonts w:ascii="Times New Roman" w:eastAsia="Times New Roman" w:hAnsi="Times New Roman"/>
                <w:sz w:val="24"/>
                <w:szCs w:val="24"/>
              </w:rPr>
              <w:t>Noteikumi par pedagogiem nepieciešamo izglītību un profesionālo kvalifikāciju un pedagogu profesionālās kompetences pilnveides kārtību</w:t>
            </w:r>
            <w:r>
              <w:rPr>
                <w:rFonts w:ascii="Times New Roman" w:eastAsia="Times New Roman" w:hAnsi="Times New Roman"/>
                <w:sz w:val="24"/>
                <w:szCs w:val="24"/>
              </w:rPr>
              <w:t>”, tādējādi nepieciešams veikt tehniska rakstura precizējumu MK noteikumu Nr.75 15.3.apakšpunktā.</w:t>
            </w:r>
          </w:p>
        </w:tc>
      </w:tr>
      <w:tr w:rsidR="008D68DB" w14:paraId="6E49567A" w14:textId="77777777">
        <w:tc>
          <w:tcPr>
            <w:tcW w:w="381" w:type="dxa"/>
            <w:shd w:val="clear" w:color="000000" w:fill="auto"/>
          </w:tcPr>
          <w:p w14:paraId="5BDF567C" w14:textId="77777777" w:rsidR="008D68DB" w:rsidRDefault="00DF37EA">
            <w:pPr>
              <w:rPr>
                <w:sz w:val="22"/>
                <w:szCs w:val="22"/>
              </w:rPr>
            </w:pPr>
            <w:r>
              <w:rPr>
                <w:sz w:val="22"/>
                <w:szCs w:val="22"/>
              </w:rPr>
              <w:lastRenderedPageBreak/>
              <w:t>3.</w:t>
            </w:r>
          </w:p>
        </w:tc>
        <w:tc>
          <w:tcPr>
            <w:tcW w:w="2419" w:type="dxa"/>
            <w:shd w:val="clear" w:color="000000" w:fill="auto"/>
          </w:tcPr>
          <w:p w14:paraId="2205A9E4" w14:textId="77777777" w:rsidR="008D68DB" w:rsidRDefault="00DF37EA">
            <w:r>
              <w:t>Projekta izstrādē iesaistītās institūcijas</w:t>
            </w:r>
          </w:p>
        </w:tc>
        <w:tc>
          <w:tcPr>
            <w:tcW w:w="6410" w:type="dxa"/>
            <w:shd w:val="clear" w:color="000000" w:fill="auto"/>
          </w:tcPr>
          <w:p w14:paraId="4E53574F" w14:textId="3CA914A8" w:rsidR="008D68DB" w:rsidRDefault="00D573A0">
            <w:pPr>
              <w:jc w:val="both"/>
              <w:rPr>
                <w:color w:val="000000"/>
              </w:rPr>
            </w:pPr>
            <w:r>
              <w:rPr>
                <w:color w:val="000000"/>
              </w:rPr>
              <w:t>Nodarbinātības valsts a</w:t>
            </w:r>
            <w:r w:rsidR="00DF37EA">
              <w:rPr>
                <w:color w:val="000000"/>
              </w:rPr>
              <w:t>ģentūra</w:t>
            </w:r>
            <w:r>
              <w:rPr>
                <w:color w:val="000000"/>
              </w:rPr>
              <w:t>.</w:t>
            </w:r>
          </w:p>
        </w:tc>
      </w:tr>
      <w:tr w:rsidR="008D68DB" w14:paraId="158A5463" w14:textId="77777777">
        <w:tc>
          <w:tcPr>
            <w:tcW w:w="381" w:type="dxa"/>
            <w:shd w:val="clear" w:color="000000" w:fill="auto"/>
          </w:tcPr>
          <w:p w14:paraId="0E876BED" w14:textId="77777777" w:rsidR="008D68DB" w:rsidRDefault="00DF37EA">
            <w:pPr>
              <w:rPr>
                <w:sz w:val="22"/>
                <w:szCs w:val="22"/>
              </w:rPr>
            </w:pPr>
            <w:r>
              <w:rPr>
                <w:sz w:val="22"/>
                <w:szCs w:val="22"/>
              </w:rPr>
              <w:t xml:space="preserve">4. </w:t>
            </w:r>
          </w:p>
        </w:tc>
        <w:tc>
          <w:tcPr>
            <w:tcW w:w="2419" w:type="dxa"/>
            <w:shd w:val="clear" w:color="000000" w:fill="auto"/>
          </w:tcPr>
          <w:p w14:paraId="7C442242" w14:textId="77777777" w:rsidR="008D68DB" w:rsidRDefault="00DF37EA">
            <w:r>
              <w:t>Cita informācija</w:t>
            </w:r>
          </w:p>
        </w:tc>
        <w:tc>
          <w:tcPr>
            <w:tcW w:w="6410" w:type="dxa"/>
            <w:shd w:val="clear" w:color="000000" w:fill="auto"/>
          </w:tcPr>
          <w:p w14:paraId="5CE342E6" w14:textId="65AF7F8F" w:rsidR="008D68DB" w:rsidRDefault="00D573A0">
            <w:pPr>
              <w:pStyle w:val="ListParagraph"/>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Nodarbinātības valsts a</w:t>
            </w:r>
            <w:r w:rsidR="00DF37EA">
              <w:rPr>
                <w:rFonts w:ascii="Times New Roman" w:eastAsia="Times New Roman" w:hAnsi="Times New Roman"/>
                <w:color w:val="000000"/>
                <w:sz w:val="24"/>
                <w:szCs w:val="24"/>
              </w:rPr>
              <w:t>ģentūra nodrošinās paredzēto bezdarbnieku iesaistes iznākuma radītāju sasniegšanu esošā finansējuma ietvaros.</w:t>
            </w:r>
          </w:p>
        </w:tc>
      </w:tr>
    </w:tbl>
    <w:p w14:paraId="76D423D7" w14:textId="70F0DC1E" w:rsidR="008D68DB" w:rsidRDefault="008D68DB">
      <w:pPr>
        <w:jc w:val="center"/>
      </w:pPr>
    </w:p>
    <w:p w14:paraId="63395332" w14:textId="77777777" w:rsidR="0056677F" w:rsidRDefault="0056677F">
      <w:pPr>
        <w:jc w:val="cente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14:paraId="0D19534F" w14:textId="77777777">
        <w:tc>
          <w:tcPr>
            <w:tcW w:w="9214" w:type="dxa"/>
            <w:gridSpan w:val="3"/>
            <w:shd w:val="clear" w:color="000000" w:fill="auto"/>
          </w:tcPr>
          <w:p w14:paraId="436FF30E" w14:textId="77777777" w:rsidR="008D68DB" w:rsidRDefault="00DF37EA">
            <w:pPr>
              <w:pStyle w:val="naisnod"/>
              <w:ind w:left="57" w:right="57"/>
              <w:rPr>
                <w:b w:val="0"/>
                <w:sz w:val="24"/>
                <w:szCs w:val="24"/>
              </w:rPr>
            </w:pPr>
            <w:r>
              <w:rPr>
                <w:sz w:val="24"/>
                <w:szCs w:val="24"/>
              </w:rPr>
              <w:t>II.</w:t>
            </w:r>
            <w:r>
              <w:rPr>
                <w:b w:val="0"/>
                <w:sz w:val="24"/>
                <w:szCs w:val="24"/>
              </w:rPr>
              <w:t xml:space="preserve"> </w:t>
            </w:r>
            <w:r>
              <w:rPr>
                <w:sz w:val="24"/>
                <w:szCs w:val="24"/>
              </w:rPr>
              <w:t>Tiesību akta projekta ietekme uz sabiedrību, tautsaimniecības attīstību</w:t>
            </w:r>
          </w:p>
          <w:p w14:paraId="38CC34FB" w14:textId="77777777" w:rsidR="008D68DB" w:rsidRDefault="00DF37EA">
            <w:pPr>
              <w:jc w:val="center"/>
              <w:rPr>
                <w:b/>
              </w:rPr>
            </w:pPr>
            <w:r>
              <w:rPr>
                <w:b/>
              </w:rPr>
              <w:t>un administratīvo slogu</w:t>
            </w:r>
          </w:p>
        </w:tc>
      </w:tr>
      <w:tr w:rsidR="008D68DB" w14:paraId="1C11A463" w14:textId="77777777">
        <w:tc>
          <w:tcPr>
            <w:tcW w:w="397" w:type="dxa"/>
            <w:shd w:val="clear" w:color="000000" w:fill="auto"/>
          </w:tcPr>
          <w:p w14:paraId="1F9DB42D" w14:textId="77777777" w:rsidR="008D68DB" w:rsidRDefault="00DF37EA">
            <w:pPr>
              <w:rPr>
                <w:sz w:val="22"/>
                <w:szCs w:val="22"/>
              </w:rPr>
            </w:pPr>
            <w:r>
              <w:rPr>
                <w:sz w:val="22"/>
                <w:szCs w:val="22"/>
              </w:rPr>
              <w:t>1.</w:t>
            </w:r>
          </w:p>
        </w:tc>
        <w:tc>
          <w:tcPr>
            <w:tcW w:w="2410" w:type="dxa"/>
            <w:shd w:val="clear" w:color="000000" w:fill="auto"/>
          </w:tcPr>
          <w:p w14:paraId="0015D7DA" w14:textId="77777777" w:rsidR="008D68DB" w:rsidRDefault="00DF37EA">
            <w:pPr>
              <w:rPr>
                <w:sz w:val="22"/>
                <w:szCs w:val="22"/>
              </w:rPr>
            </w:pPr>
            <w:r>
              <w:t>Sabiedrības mērķgrupas, kuras tiesiskais regulējums ietekmē vai varētu ietekmēt</w:t>
            </w:r>
          </w:p>
        </w:tc>
        <w:tc>
          <w:tcPr>
            <w:tcW w:w="6407" w:type="dxa"/>
            <w:shd w:val="clear" w:color="000000" w:fill="auto"/>
          </w:tcPr>
          <w:p w14:paraId="61066DD5" w14:textId="77777777" w:rsidR="008D68DB" w:rsidRDefault="00DF37EA">
            <w:pPr>
              <w:jc w:val="both"/>
              <w:rPr>
                <w:color w:val="000000"/>
              </w:rPr>
            </w:pPr>
            <w:r>
              <w:rPr>
                <w:color w:val="000000"/>
              </w:rPr>
              <w:t>Noteikumu projekts attiecas uz Aģentūrā reģistrētajiem bezdarbniekiem un darba meklētājiem, Aģentūru, Latvijas Republikā reģistrētām un akreditētām izglītības iestādēm, kā arī darba devējiem.</w:t>
            </w:r>
          </w:p>
          <w:p w14:paraId="4EB06197" w14:textId="14D2DEEB" w:rsidR="008D68DB" w:rsidRDefault="00DF37EA">
            <w:pPr>
              <w:jc w:val="both"/>
              <w:rPr>
                <w:color w:val="000000"/>
              </w:rPr>
            </w:pPr>
            <w:r>
              <w:rPr>
                <w:color w:val="000000"/>
              </w:rPr>
              <w:t xml:space="preserve">2019.gada </w:t>
            </w:r>
            <w:r w:rsidR="00BD282E">
              <w:rPr>
                <w:color w:val="000000"/>
              </w:rPr>
              <w:t>februārī</w:t>
            </w:r>
            <w:r>
              <w:rPr>
                <w:color w:val="000000"/>
              </w:rPr>
              <w:t xml:space="preserve"> bezdarbnieka statuss reģistrēts 5</w:t>
            </w:r>
            <w:r w:rsidR="00BD282E">
              <w:rPr>
                <w:color w:val="000000"/>
              </w:rPr>
              <w:t>8</w:t>
            </w:r>
            <w:r>
              <w:rPr>
                <w:color w:val="000000"/>
              </w:rPr>
              <w:t xml:space="preserve"> </w:t>
            </w:r>
            <w:r w:rsidR="00BD282E">
              <w:rPr>
                <w:color w:val="000000"/>
              </w:rPr>
              <w:t>832</w:t>
            </w:r>
            <w:r>
              <w:rPr>
                <w:color w:val="000000"/>
              </w:rPr>
              <w:t xml:space="preserve"> personām.</w:t>
            </w:r>
          </w:p>
          <w:p w14:paraId="5F9CC3D5" w14:textId="0E8E7455" w:rsidR="008D68DB" w:rsidRDefault="00DF37EA">
            <w:pPr>
              <w:jc w:val="both"/>
              <w:rPr>
                <w:color w:val="000000"/>
              </w:rPr>
            </w:pPr>
            <w:r>
              <w:rPr>
                <w:color w:val="000000"/>
              </w:rPr>
              <w:t>Lielākās mērķgrupas no bezdarbnieku kopskaita ir bezdarbnieki vecumā 5</w:t>
            </w:r>
            <w:r w:rsidR="00BD282E">
              <w:rPr>
                <w:color w:val="000000"/>
              </w:rPr>
              <w:t>0</w:t>
            </w:r>
            <w:r>
              <w:rPr>
                <w:color w:val="000000"/>
              </w:rPr>
              <w:t xml:space="preserve"> gadi un vairāk – </w:t>
            </w:r>
            <w:r w:rsidR="00BD282E">
              <w:rPr>
                <w:color w:val="000000"/>
              </w:rPr>
              <w:t>39</w:t>
            </w:r>
            <w:r>
              <w:rPr>
                <w:color w:val="000000"/>
              </w:rPr>
              <w:t>,</w:t>
            </w:r>
            <w:r w:rsidR="00BD282E">
              <w:rPr>
                <w:color w:val="000000"/>
              </w:rPr>
              <w:t>6</w:t>
            </w:r>
            <w:r>
              <w:rPr>
                <w:color w:val="000000"/>
              </w:rPr>
              <w:t>%, ilgstošie bezdarbnieki – 2</w:t>
            </w:r>
            <w:r w:rsidR="00BD282E">
              <w:rPr>
                <w:color w:val="000000"/>
              </w:rPr>
              <w:t>0</w:t>
            </w:r>
            <w:r>
              <w:rPr>
                <w:color w:val="000000"/>
              </w:rPr>
              <w:t>,</w:t>
            </w:r>
            <w:r w:rsidR="00BD282E">
              <w:rPr>
                <w:color w:val="000000"/>
              </w:rPr>
              <w:t>9</w:t>
            </w:r>
            <w:r>
              <w:rPr>
                <w:color w:val="000000"/>
              </w:rPr>
              <w:t>% un bezdarbnieki ar invaliditāti – 1</w:t>
            </w:r>
            <w:r w:rsidR="00BD282E">
              <w:rPr>
                <w:color w:val="000000"/>
              </w:rPr>
              <w:t>3</w:t>
            </w:r>
            <w:r>
              <w:rPr>
                <w:color w:val="000000"/>
              </w:rPr>
              <w:t>,</w:t>
            </w:r>
            <w:r w:rsidR="00BD282E">
              <w:rPr>
                <w:color w:val="000000"/>
              </w:rPr>
              <w:t>5</w:t>
            </w:r>
            <w:r>
              <w:rPr>
                <w:color w:val="000000"/>
              </w:rPr>
              <w:t>%.</w:t>
            </w:r>
          </w:p>
        </w:tc>
      </w:tr>
      <w:tr w:rsidR="008D68DB" w14:paraId="5610D374" w14:textId="77777777">
        <w:tc>
          <w:tcPr>
            <w:tcW w:w="397" w:type="dxa"/>
            <w:shd w:val="clear" w:color="000000" w:fill="auto"/>
          </w:tcPr>
          <w:p w14:paraId="6BDC33EB" w14:textId="77777777" w:rsidR="008D68DB" w:rsidRDefault="00DF37EA">
            <w:pPr>
              <w:rPr>
                <w:sz w:val="22"/>
                <w:szCs w:val="22"/>
              </w:rPr>
            </w:pPr>
            <w:r>
              <w:rPr>
                <w:sz w:val="22"/>
                <w:szCs w:val="22"/>
              </w:rPr>
              <w:t xml:space="preserve">2. </w:t>
            </w:r>
          </w:p>
        </w:tc>
        <w:tc>
          <w:tcPr>
            <w:tcW w:w="2410" w:type="dxa"/>
            <w:shd w:val="clear" w:color="000000" w:fill="auto"/>
          </w:tcPr>
          <w:p w14:paraId="79C0A2EC" w14:textId="77777777" w:rsidR="008D68DB" w:rsidRDefault="00DF37EA">
            <w:r>
              <w:t>Tiesiskā regulējuma ietekme uz tautsaimniecību un administratīvo slogu</w:t>
            </w:r>
          </w:p>
        </w:tc>
        <w:tc>
          <w:tcPr>
            <w:tcW w:w="6407" w:type="dxa"/>
            <w:shd w:val="clear" w:color="000000" w:fill="auto"/>
          </w:tcPr>
          <w:p w14:paraId="3525C92B" w14:textId="0AD2BEF1" w:rsidR="00264FF1" w:rsidRPr="00264FF1" w:rsidRDefault="00264FF1" w:rsidP="00264FF1">
            <w:pPr>
              <w:widowControl w:val="0"/>
              <w:tabs>
                <w:tab w:val="left" w:pos="1276"/>
              </w:tabs>
              <w:spacing w:after="240"/>
              <w:jc w:val="both"/>
              <w:rPr>
                <w:bCs/>
              </w:rPr>
            </w:pPr>
            <w:r w:rsidRPr="00264FF1">
              <w:rPr>
                <w:bCs/>
              </w:rPr>
              <w:t xml:space="preserve">Aktīvie nodarbinātības pasākumi un preventīvie bezdarba samazināšanas pasākumi atstāj labvēlīgu ietekmi uz darba tirgu -sekmē iedzīvotāju ekonomisko aktivitāti un konkurētspēju darba tirgū. Cita starpā pasākumu pilnveidošana veicinās nelabvēlīgākā situācijā esošo iedzīvotāju (piemēram, personu ar invaliditāti, </w:t>
            </w:r>
            <w:proofErr w:type="spellStart"/>
            <w:r w:rsidRPr="00264FF1">
              <w:rPr>
                <w:bCs/>
              </w:rPr>
              <w:t>pirmspensijas</w:t>
            </w:r>
            <w:proofErr w:type="spellEnd"/>
            <w:r w:rsidRPr="00264FF1">
              <w:rPr>
                <w:bCs/>
              </w:rPr>
              <w:t xml:space="preserve"> vecuma bezdarbnieku) ekonomiskās aktivitātes saglabāšanos un iekļaušanos darba tirgū.</w:t>
            </w:r>
          </w:p>
          <w:p w14:paraId="6E372EF1" w14:textId="351B7CC2" w:rsidR="008D68DB" w:rsidRDefault="008D68DB">
            <w:pPr>
              <w:jc w:val="both"/>
              <w:rPr>
                <w:color w:val="000000"/>
              </w:rPr>
            </w:pPr>
          </w:p>
        </w:tc>
      </w:tr>
      <w:tr w:rsidR="008D68DB" w14:paraId="02ACC8FF" w14:textId="77777777">
        <w:tc>
          <w:tcPr>
            <w:tcW w:w="397" w:type="dxa"/>
            <w:shd w:val="clear" w:color="000000" w:fill="auto"/>
          </w:tcPr>
          <w:p w14:paraId="5E8CE560" w14:textId="77777777" w:rsidR="008D68DB" w:rsidRDefault="00DF37EA">
            <w:pPr>
              <w:rPr>
                <w:sz w:val="22"/>
                <w:szCs w:val="22"/>
              </w:rPr>
            </w:pPr>
            <w:r>
              <w:rPr>
                <w:sz w:val="22"/>
                <w:szCs w:val="22"/>
              </w:rPr>
              <w:t>3.</w:t>
            </w:r>
          </w:p>
        </w:tc>
        <w:tc>
          <w:tcPr>
            <w:tcW w:w="2410" w:type="dxa"/>
            <w:shd w:val="clear" w:color="000000" w:fill="auto"/>
          </w:tcPr>
          <w:p w14:paraId="5E4884B7" w14:textId="77777777" w:rsidR="008D68DB" w:rsidRDefault="00DF37EA">
            <w:r>
              <w:t>Administratīvo izmaksu monetārs novērtējums</w:t>
            </w:r>
          </w:p>
        </w:tc>
        <w:tc>
          <w:tcPr>
            <w:tcW w:w="6407" w:type="dxa"/>
            <w:shd w:val="clear" w:color="000000" w:fill="auto"/>
          </w:tcPr>
          <w:p w14:paraId="1F184F74" w14:textId="77777777" w:rsidR="008D68DB" w:rsidRDefault="00DF37EA">
            <w:pPr>
              <w:jc w:val="both"/>
              <w:rPr>
                <w:i/>
                <w:color w:val="000000"/>
              </w:rPr>
            </w:pPr>
            <w:r>
              <w:rPr>
                <w:color w:val="000000"/>
              </w:rPr>
              <w:t>Noteikumu projekts šo jomu neskar.</w:t>
            </w:r>
          </w:p>
        </w:tc>
      </w:tr>
      <w:tr w:rsidR="008D68DB" w14:paraId="2B7256D5" w14:textId="77777777">
        <w:tc>
          <w:tcPr>
            <w:tcW w:w="397" w:type="dxa"/>
            <w:shd w:val="clear" w:color="000000" w:fill="auto"/>
          </w:tcPr>
          <w:p w14:paraId="39A7866D" w14:textId="77777777" w:rsidR="008D68DB" w:rsidRDefault="00DF37EA">
            <w:pPr>
              <w:rPr>
                <w:sz w:val="22"/>
                <w:szCs w:val="22"/>
              </w:rPr>
            </w:pPr>
            <w:r>
              <w:rPr>
                <w:sz w:val="22"/>
                <w:szCs w:val="22"/>
              </w:rPr>
              <w:t xml:space="preserve">4. </w:t>
            </w:r>
          </w:p>
        </w:tc>
        <w:tc>
          <w:tcPr>
            <w:tcW w:w="2410" w:type="dxa"/>
            <w:shd w:val="clear" w:color="000000" w:fill="auto"/>
          </w:tcPr>
          <w:p w14:paraId="6ADCC862" w14:textId="77777777" w:rsidR="008D68DB" w:rsidRDefault="00DF37EA">
            <w:r>
              <w:t>Cita informācija</w:t>
            </w:r>
          </w:p>
        </w:tc>
        <w:tc>
          <w:tcPr>
            <w:tcW w:w="6407" w:type="dxa"/>
            <w:shd w:val="clear" w:color="000000" w:fill="auto"/>
          </w:tcPr>
          <w:p w14:paraId="33003EB4" w14:textId="77777777" w:rsidR="008D68DB" w:rsidRDefault="00DF37EA">
            <w:pPr>
              <w:jc w:val="both"/>
              <w:rPr>
                <w:color w:val="000000"/>
              </w:rPr>
            </w:pPr>
            <w:r>
              <w:rPr>
                <w:color w:val="000000"/>
              </w:rPr>
              <w:t>Nav</w:t>
            </w:r>
          </w:p>
        </w:tc>
      </w:tr>
    </w:tbl>
    <w:p w14:paraId="5C7A023E" w14:textId="57EA036D" w:rsidR="008D68DB" w:rsidRDefault="008D68DB"/>
    <w:p w14:paraId="47925C2A" w14:textId="77777777" w:rsidR="000F0E16" w:rsidRDefault="000F0E16"/>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0F0E16" w:rsidRPr="00BC3F74" w14:paraId="792306EF"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091EC4D" w14:textId="460B5CD0" w:rsidR="000F0E16" w:rsidRDefault="000F0E16" w:rsidP="001F002D">
            <w:pPr>
              <w:spacing w:before="100" w:beforeAutospacing="1" w:after="100" w:afterAutospacing="1" w:line="293" w:lineRule="atLeast"/>
              <w:jc w:val="center"/>
              <w:rPr>
                <w:b/>
                <w:bCs/>
              </w:rPr>
            </w:pPr>
            <w:r w:rsidRPr="000F0E16">
              <w:rPr>
                <w:b/>
                <w:bCs/>
              </w:rPr>
              <w:t>III. Tiesību akta projekta ietekme uz valsts budžetu un pašvaldību budžetiem</w:t>
            </w:r>
          </w:p>
        </w:tc>
      </w:tr>
      <w:tr w:rsidR="000F0E16" w14:paraId="29C3CF07"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CDEB2C" w14:textId="77777777" w:rsidR="000F0E16" w:rsidRDefault="000F0E16" w:rsidP="001F002D">
            <w:pPr>
              <w:spacing w:before="100" w:beforeAutospacing="1" w:after="100" w:afterAutospacing="1" w:line="293" w:lineRule="atLeast"/>
              <w:jc w:val="center"/>
              <w:rPr>
                <w:b/>
                <w:bCs/>
                <w:color w:val="414142"/>
              </w:rPr>
            </w:pPr>
            <w:r>
              <w:t>Noteikumu projekts šo jomu neskar</w:t>
            </w:r>
          </w:p>
        </w:tc>
      </w:tr>
    </w:tbl>
    <w:p w14:paraId="6A644ACA" w14:textId="249627BD" w:rsidR="000F0E16" w:rsidRDefault="000F0E16"/>
    <w:p w14:paraId="2F7F36E8" w14:textId="77777777" w:rsidR="000F0E16" w:rsidRDefault="000F0E16"/>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993"/>
        <w:gridCol w:w="5820"/>
      </w:tblGrid>
      <w:tr w:rsidR="008D68DB" w14:paraId="6B360B43" w14:textId="77777777">
        <w:trPr>
          <w:trHeight w:val="461"/>
          <w:jc w:val="center"/>
        </w:trPr>
        <w:tc>
          <w:tcPr>
            <w:tcW w:w="9209" w:type="dxa"/>
            <w:gridSpan w:val="3"/>
            <w:vAlign w:val="center"/>
          </w:tcPr>
          <w:p w14:paraId="4FB4EEB2" w14:textId="77777777" w:rsidR="008D68DB" w:rsidRDefault="00DF37EA">
            <w:pPr>
              <w:jc w:val="center"/>
              <w:rPr>
                <w:rFonts w:eastAsia="Calibri" w:hAnsi="Calibri"/>
                <w:b/>
              </w:rPr>
            </w:pPr>
            <w:r>
              <w:rPr>
                <w:rFonts w:eastAsia="Calibri" w:hAnsi="Calibri"/>
                <w:b/>
              </w:rPr>
              <w:t>IV. Ties</w:t>
            </w:r>
            <w:r>
              <w:rPr>
                <w:rFonts w:eastAsia="Calibri" w:hAnsi="Calibri"/>
                <w:b/>
              </w:rPr>
              <w:t>ī</w:t>
            </w:r>
            <w:r>
              <w:rPr>
                <w:rFonts w:eastAsia="Calibri" w:hAnsi="Calibri"/>
                <w:b/>
              </w:rPr>
              <w:t>bu akta projekta ietekme uz sp</w:t>
            </w:r>
            <w:r>
              <w:rPr>
                <w:rFonts w:eastAsia="Calibri" w:hAnsi="Calibri"/>
                <w:b/>
              </w:rPr>
              <w:t>ē</w:t>
            </w:r>
            <w:r>
              <w:rPr>
                <w:rFonts w:eastAsia="Calibri" w:hAnsi="Calibri"/>
                <w:b/>
              </w:rPr>
              <w:t>k</w:t>
            </w:r>
            <w:r>
              <w:rPr>
                <w:rFonts w:eastAsia="Calibri" w:hAnsi="Calibri"/>
                <w:b/>
              </w:rPr>
              <w:t>ā</w:t>
            </w:r>
            <w:r>
              <w:rPr>
                <w:rFonts w:eastAsia="Calibri" w:hAnsi="Calibri"/>
                <w:b/>
              </w:rPr>
              <w:t xml:space="preserve"> eso</w:t>
            </w:r>
            <w:r>
              <w:rPr>
                <w:rFonts w:eastAsia="Calibri" w:hAnsi="Calibri"/>
                <w:b/>
              </w:rPr>
              <w:t>š</w:t>
            </w:r>
            <w:r>
              <w:rPr>
                <w:rFonts w:eastAsia="Calibri" w:hAnsi="Calibri"/>
                <w:b/>
              </w:rPr>
              <w:t>o ties</w:t>
            </w:r>
            <w:r>
              <w:rPr>
                <w:rFonts w:eastAsia="Calibri" w:hAnsi="Calibri"/>
                <w:b/>
              </w:rPr>
              <w:t>ī</w:t>
            </w:r>
            <w:r>
              <w:rPr>
                <w:rFonts w:eastAsia="Calibri" w:hAnsi="Calibri"/>
                <w:b/>
              </w:rPr>
              <w:t>bu normu sist</w:t>
            </w:r>
            <w:r>
              <w:rPr>
                <w:rFonts w:eastAsia="Calibri" w:hAnsi="Calibri"/>
                <w:b/>
              </w:rPr>
              <w:t>ē</w:t>
            </w:r>
            <w:r>
              <w:rPr>
                <w:rFonts w:eastAsia="Calibri" w:hAnsi="Calibri"/>
                <w:b/>
              </w:rPr>
              <w:t>mu</w:t>
            </w:r>
          </w:p>
        </w:tc>
      </w:tr>
      <w:tr w:rsidR="008D68DB" w14:paraId="0A75FFE2" w14:textId="77777777">
        <w:trPr>
          <w:jc w:val="center"/>
        </w:trPr>
        <w:tc>
          <w:tcPr>
            <w:tcW w:w="396" w:type="dxa"/>
          </w:tcPr>
          <w:p w14:paraId="135AF910" w14:textId="77777777" w:rsidR="008D68DB" w:rsidRDefault="00DF37EA">
            <w:pPr>
              <w:jc w:val="center"/>
              <w:rPr>
                <w:rFonts w:eastAsia="Calibri" w:hAnsi="Calibri"/>
              </w:rPr>
            </w:pPr>
            <w:r>
              <w:rPr>
                <w:rFonts w:eastAsia="Calibri" w:hAnsi="Calibri"/>
              </w:rPr>
              <w:t>1.</w:t>
            </w:r>
          </w:p>
        </w:tc>
        <w:tc>
          <w:tcPr>
            <w:tcW w:w="2993" w:type="dxa"/>
          </w:tcPr>
          <w:p w14:paraId="241187B2" w14:textId="77777777" w:rsidR="008D68DB" w:rsidRDefault="00DF37EA">
            <w:pPr>
              <w:rPr>
                <w:rFonts w:eastAsia="Calibri" w:hAnsi="Calibri"/>
              </w:rPr>
            </w:pPr>
            <w:r>
              <w:rPr>
                <w:rFonts w:eastAsia="Calibri" w:hAnsi="Calibri"/>
              </w:rPr>
              <w:t>Nepiecie</w:t>
            </w:r>
            <w:r>
              <w:rPr>
                <w:rFonts w:eastAsia="Calibri" w:hAnsi="Calibri"/>
              </w:rPr>
              <w:t>š</w:t>
            </w:r>
            <w:r>
              <w:rPr>
                <w:rFonts w:eastAsia="Calibri" w:hAnsi="Calibri"/>
              </w:rPr>
              <w:t>amie saist</w:t>
            </w:r>
            <w:r>
              <w:rPr>
                <w:rFonts w:eastAsia="Calibri" w:hAnsi="Calibri"/>
              </w:rPr>
              <w:t>ī</w:t>
            </w:r>
            <w:r>
              <w:rPr>
                <w:rFonts w:eastAsia="Calibri" w:hAnsi="Calibri"/>
              </w:rPr>
              <w:t>tie ties</w:t>
            </w:r>
            <w:r>
              <w:rPr>
                <w:rFonts w:eastAsia="Calibri" w:hAnsi="Calibri"/>
              </w:rPr>
              <w:t>ī</w:t>
            </w:r>
            <w:r>
              <w:rPr>
                <w:rFonts w:eastAsia="Calibri" w:hAnsi="Calibri"/>
              </w:rPr>
              <w:t>bu aktu projekti</w:t>
            </w:r>
          </w:p>
        </w:tc>
        <w:tc>
          <w:tcPr>
            <w:tcW w:w="5820" w:type="dxa"/>
          </w:tcPr>
          <w:p w14:paraId="4F8F89EF" w14:textId="77777777" w:rsidR="008D68DB" w:rsidRPr="00D573A0" w:rsidRDefault="00DF37EA">
            <w:pPr>
              <w:ind w:left="11"/>
              <w:jc w:val="both"/>
            </w:pPr>
            <w:r w:rsidRPr="00D573A0">
              <w:t>Atbilstoši Noteikumu projektā paredzētajām izmaiņām, tiks rosināti atbilstoši grozījumi arī Labklājības ministrijas pārziņā esošajos:</w:t>
            </w:r>
          </w:p>
          <w:p w14:paraId="50AB8099" w14:textId="77777777" w:rsidR="008D68DB" w:rsidRDefault="00DF37EA">
            <w:pPr>
              <w:pStyle w:val="ListParagraph"/>
              <w:numPr>
                <w:ilvl w:val="0"/>
                <w:numId w:val="1"/>
              </w:numPr>
              <w:ind w:left="368" w:hanging="357"/>
              <w:contextualSpacing/>
              <w:rPr>
                <w:rFonts w:ascii="Times New Roman" w:eastAsia="Times New Roman" w:hAnsi="Times New Roman"/>
                <w:sz w:val="24"/>
                <w:szCs w:val="24"/>
              </w:rPr>
            </w:pPr>
            <w:r>
              <w:rPr>
                <w:rFonts w:ascii="Times New Roman" w:eastAsia="Times New Roman" w:hAnsi="Times New Roman"/>
                <w:sz w:val="24"/>
                <w:szCs w:val="24"/>
              </w:rPr>
              <w:t xml:space="preserve">2014.gada 23. decembra MK noteikumos Nr.836 “Darbības programmas “Izaugsme un nodarbinātība” 7.1.1.specifiskā atbalsta mērķa “Paaugstināt </w:t>
            </w:r>
            <w:r>
              <w:rPr>
                <w:rFonts w:ascii="Times New Roman" w:eastAsia="Times New Roman" w:hAnsi="Times New Roman"/>
                <w:sz w:val="24"/>
                <w:szCs w:val="24"/>
              </w:rPr>
              <w:lastRenderedPageBreak/>
              <w:t>bezdarbnieku kvalifikāciju un prasmes atbilstoši darba tirgus pieprasījumam” īstenošanas noteikumi”;</w:t>
            </w:r>
          </w:p>
          <w:p w14:paraId="5E714133" w14:textId="35EC3105" w:rsidR="008D68DB" w:rsidRDefault="00DF37EA">
            <w:pPr>
              <w:pStyle w:val="ListParagraph"/>
              <w:numPr>
                <w:ilvl w:val="0"/>
                <w:numId w:val="1"/>
              </w:numPr>
              <w:ind w:left="368" w:hanging="357"/>
              <w:contextualSpacing/>
              <w:rPr>
                <w:rFonts w:ascii="Times New Roman" w:eastAsia="Times New Roman" w:hAnsi="Times New Roman"/>
                <w:sz w:val="24"/>
                <w:szCs w:val="24"/>
              </w:rPr>
            </w:pPr>
            <w:r>
              <w:rPr>
                <w:rFonts w:ascii="Times New Roman" w:eastAsia="Times New Roman" w:hAnsi="Times New Roman"/>
                <w:sz w:val="24"/>
                <w:szCs w:val="24"/>
              </w:rPr>
              <w:t xml:space="preserve">2014.gada 23.decembra MK noteikumos Nr.835 “Darbības programmas „Izaugsme un nodarbinātība” 9.1.1.specifiskā atbalsta mērķa „Palielināt nelabvēlīgākā situācijā esošu bezdarbnieku iekļaušanos darba tirgū” 9.1.1.1.pasākuma “Subsidētās darbavietas nelabvēlīgākā situācijā esošiem bezdarbniekiem” īstenošanas noteikumi” (grozījumi </w:t>
            </w:r>
            <w:r w:rsidR="000A0D09">
              <w:rPr>
                <w:rFonts w:ascii="Times New Roman" w:eastAsia="Times New Roman" w:hAnsi="Times New Roman"/>
                <w:sz w:val="24"/>
                <w:szCs w:val="24"/>
              </w:rPr>
              <w:t>stājās spēkā</w:t>
            </w:r>
            <w:r>
              <w:rPr>
                <w:rFonts w:ascii="Times New Roman" w:eastAsia="Times New Roman" w:hAnsi="Times New Roman"/>
                <w:sz w:val="24"/>
                <w:szCs w:val="24"/>
              </w:rPr>
              <w:t xml:space="preserve"> </w:t>
            </w:r>
            <w:r w:rsidR="000A0D09">
              <w:rPr>
                <w:rFonts w:ascii="Times New Roman" w:eastAsia="Times New Roman" w:hAnsi="Times New Roman"/>
                <w:sz w:val="24"/>
                <w:szCs w:val="24"/>
              </w:rPr>
              <w:t>20.12</w:t>
            </w:r>
            <w:r>
              <w:rPr>
                <w:rFonts w:ascii="Times New Roman" w:eastAsia="Times New Roman" w:hAnsi="Times New Roman"/>
                <w:sz w:val="24"/>
                <w:szCs w:val="24"/>
              </w:rPr>
              <w:t>.2019.);</w:t>
            </w:r>
          </w:p>
          <w:p w14:paraId="39DF36A4" w14:textId="64CF80E1" w:rsidR="008D68DB" w:rsidRDefault="00DF37EA">
            <w:pPr>
              <w:pStyle w:val="ListParagraph"/>
              <w:numPr>
                <w:ilvl w:val="0"/>
                <w:numId w:val="1"/>
              </w:numPr>
              <w:ind w:left="368" w:hanging="357"/>
              <w:contextualSpacing/>
              <w:rPr>
                <w:rFonts w:ascii="Times New Roman" w:eastAsia="Times New Roman" w:hAnsi="Times New Roman"/>
                <w:sz w:val="24"/>
                <w:szCs w:val="24"/>
              </w:rPr>
            </w:pPr>
            <w:r>
              <w:rPr>
                <w:rFonts w:ascii="Times New Roman" w:eastAsia="Times New Roman" w:hAnsi="Times New Roman"/>
                <w:sz w:val="24"/>
                <w:szCs w:val="24"/>
              </w:rPr>
              <w:t>2015.gada 11.augusta MK noteikumos Nr.468 “Darbības programmas “Izaugsme un nodarbinātība” 9.1.1. specifiskā atbalsta mērķa „Palielināt nelabvēlīgākā situācijā esošu bezdarbnieku iekļaušanos darba tirgū” 9.1.1.2. pasākuma “Ilgstošo bezdarbnieku aktivizācijas pasākumi” īstenošanas noteikumi” (grozījumi</w:t>
            </w:r>
            <w:r w:rsidR="000A0D09">
              <w:rPr>
                <w:rFonts w:ascii="Times New Roman" w:eastAsia="Times New Roman" w:hAnsi="Times New Roman"/>
                <w:sz w:val="24"/>
                <w:szCs w:val="24"/>
              </w:rPr>
              <w:t xml:space="preserve"> stājās spēkā 29.11.2019. </w:t>
            </w:r>
            <w:r>
              <w:rPr>
                <w:rFonts w:ascii="Times New Roman" w:eastAsia="Times New Roman" w:hAnsi="Times New Roman"/>
                <w:sz w:val="24"/>
                <w:szCs w:val="24"/>
              </w:rPr>
              <w:t>).</w:t>
            </w:r>
          </w:p>
          <w:p w14:paraId="434007BF" w14:textId="4E7EC683" w:rsidR="008D68DB" w:rsidRPr="00D573A0" w:rsidRDefault="008D68DB">
            <w:pPr>
              <w:ind w:left="11"/>
              <w:jc w:val="both"/>
            </w:pPr>
          </w:p>
        </w:tc>
      </w:tr>
      <w:tr w:rsidR="008D68DB" w14:paraId="584297E3" w14:textId="77777777">
        <w:trPr>
          <w:jc w:val="center"/>
        </w:trPr>
        <w:tc>
          <w:tcPr>
            <w:tcW w:w="396" w:type="dxa"/>
          </w:tcPr>
          <w:p w14:paraId="6BE63E3E" w14:textId="77777777" w:rsidR="008D68DB" w:rsidRDefault="00DF37EA">
            <w:pPr>
              <w:jc w:val="center"/>
              <w:rPr>
                <w:rFonts w:eastAsia="Calibri" w:hAnsi="Calibri"/>
              </w:rPr>
            </w:pPr>
            <w:r>
              <w:rPr>
                <w:rFonts w:eastAsia="Calibri" w:hAnsi="Calibri"/>
              </w:rPr>
              <w:lastRenderedPageBreak/>
              <w:t>2.</w:t>
            </w:r>
          </w:p>
        </w:tc>
        <w:tc>
          <w:tcPr>
            <w:tcW w:w="2993" w:type="dxa"/>
          </w:tcPr>
          <w:p w14:paraId="7AEEB2C0" w14:textId="77777777" w:rsidR="008D68DB" w:rsidRDefault="00DF37EA">
            <w:pPr>
              <w:rPr>
                <w:rFonts w:eastAsia="Calibri" w:hAnsi="Calibri"/>
              </w:rPr>
            </w:pPr>
            <w:r>
              <w:rPr>
                <w:rFonts w:eastAsia="Calibri" w:hAnsi="Calibri"/>
              </w:rPr>
              <w:t>Atbild</w:t>
            </w:r>
            <w:r>
              <w:rPr>
                <w:rFonts w:eastAsia="Calibri" w:hAnsi="Calibri"/>
              </w:rPr>
              <w:t>ī</w:t>
            </w:r>
            <w:r>
              <w:rPr>
                <w:rFonts w:eastAsia="Calibri" w:hAnsi="Calibri"/>
              </w:rPr>
              <w:t>g</w:t>
            </w:r>
            <w:r>
              <w:rPr>
                <w:rFonts w:eastAsia="Calibri" w:hAnsi="Calibri"/>
              </w:rPr>
              <w:t>ā</w:t>
            </w:r>
            <w:r>
              <w:rPr>
                <w:rFonts w:eastAsia="Calibri" w:hAnsi="Calibri"/>
              </w:rPr>
              <w:t xml:space="preserve"> instit</w:t>
            </w:r>
            <w:r>
              <w:rPr>
                <w:rFonts w:eastAsia="Calibri" w:hAnsi="Calibri"/>
              </w:rPr>
              <w:t>ū</w:t>
            </w:r>
            <w:r>
              <w:rPr>
                <w:rFonts w:eastAsia="Calibri" w:hAnsi="Calibri"/>
              </w:rPr>
              <w:t>cija</w:t>
            </w:r>
          </w:p>
        </w:tc>
        <w:tc>
          <w:tcPr>
            <w:tcW w:w="5820" w:type="dxa"/>
          </w:tcPr>
          <w:p w14:paraId="324C750C" w14:textId="77777777" w:rsidR="008D68DB" w:rsidRDefault="00DF37EA">
            <w:pPr>
              <w:rPr>
                <w:rFonts w:eastAsia="Calibri" w:hAnsi="Calibri"/>
              </w:rPr>
            </w:pPr>
            <w:r>
              <w:rPr>
                <w:rFonts w:eastAsia="Calibri" w:hAnsi="Calibri"/>
              </w:rPr>
              <w:t>Labkl</w:t>
            </w:r>
            <w:r>
              <w:rPr>
                <w:rFonts w:eastAsia="Calibri" w:hAnsi="Calibri"/>
              </w:rPr>
              <w:t>ā</w:t>
            </w:r>
            <w:r>
              <w:rPr>
                <w:rFonts w:eastAsia="Calibri" w:hAnsi="Calibri"/>
              </w:rPr>
              <w:t>j</w:t>
            </w:r>
            <w:r>
              <w:rPr>
                <w:rFonts w:eastAsia="Calibri" w:hAnsi="Calibri"/>
              </w:rPr>
              <w:t>ī</w:t>
            </w:r>
            <w:r>
              <w:rPr>
                <w:rFonts w:eastAsia="Calibri" w:hAnsi="Calibri"/>
              </w:rPr>
              <w:t>bas ministrija.</w:t>
            </w:r>
          </w:p>
        </w:tc>
      </w:tr>
      <w:tr w:rsidR="008D68DB" w14:paraId="43ED847C" w14:textId="77777777" w:rsidTr="0056677F">
        <w:trPr>
          <w:trHeight w:val="375"/>
          <w:jc w:val="center"/>
        </w:trPr>
        <w:tc>
          <w:tcPr>
            <w:tcW w:w="396" w:type="dxa"/>
          </w:tcPr>
          <w:p w14:paraId="0DC9C30C" w14:textId="77777777" w:rsidR="008D68DB" w:rsidRDefault="00DF37EA">
            <w:pPr>
              <w:jc w:val="center"/>
              <w:rPr>
                <w:rFonts w:eastAsia="Calibri" w:hAnsi="Calibri"/>
              </w:rPr>
            </w:pPr>
            <w:r>
              <w:rPr>
                <w:rFonts w:eastAsia="Calibri" w:hAnsi="Calibri"/>
              </w:rPr>
              <w:t>3.</w:t>
            </w:r>
          </w:p>
        </w:tc>
        <w:tc>
          <w:tcPr>
            <w:tcW w:w="2993" w:type="dxa"/>
          </w:tcPr>
          <w:p w14:paraId="104C6633" w14:textId="77777777" w:rsidR="008D68DB" w:rsidRDefault="00DF37EA">
            <w:pPr>
              <w:rPr>
                <w:rFonts w:eastAsia="Calibri" w:hAnsi="Calibri"/>
              </w:rPr>
            </w:pPr>
            <w:r>
              <w:rPr>
                <w:rFonts w:eastAsia="Calibri" w:hAnsi="Calibri"/>
              </w:rPr>
              <w:t>Cita inform</w:t>
            </w:r>
            <w:r>
              <w:rPr>
                <w:rFonts w:eastAsia="Calibri" w:hAnsi="Calibri"/>
              </w:rPr>
              <w:t>ā</w:t>
            </w:r>
            <w:r>
              <w:rPr>
                <w:rFonts w:eastAsia="Calibri" w:hAnsi="Calibri"/>
              </w:rPr>
              <w:t>cija</w:t>
            </w:r>
          </w:p>
        </w:tc>
        <w:tc>
          <w:tcPr>
            <w:tcW w:w="5820" w:type="dxa"/>
          </w:tcPr>
          <w:p w14:paraId="5DF966E7" w14:textId="77777777" w:rsidR="008D68DB" w:rsidRDefault="00DF37EA">
            <w:pPr>
              <w:jc w:val="both"/>
              <w:rPr>
                <w:rFonts w:eastAsia="Calibri" w:hAnsi="Calibri"/>
              </w:rPr>
            </w:pPr>
            <w:r>
              <w:rPr>
                <w:rFonts w:eastAsia="Calibri" w:hAnsi="Calibri"/>
              </w:rPr>
              <w:t>Nav.</w:t>
            </w:r>
            <w:bookmarkStart w:id="1" w:name="_GoBack"/>
            <w:bookmarkEnd w:id="1"/>
          </w:p>
        </w:tc>
      </w:tr>
    </w:tbl>
    <w:p w14:paraId="0A00575A" w14:textId="146DF0C7" w:rsidR="008D68DB" w:rsidRDefault="008D68DB"/>
    <w:p w14:paraId="58BAADFA" w14:textId="4F0EE908" w:rsidR="000F0E16" w:rsidRDefault="000F0E16"/>
    <w:p w14:paraId="0A0EB2DF" w14:textId="77777777" w:rsidR="0056677F" w:rsidRDefault="0056677F"/>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585"/>
        <w:gridCol w:w="6026"/>
      </w:tblGrid>
      <w:tr w:rsidR="001F002D" w:rsidRPr="001F002D" w14:paraId="402031F1" w14:textId="77777777" w:rsidTr="0056677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8D215" w14:textId="77777777" w:rsidR="001F002D" w:rsidRPr="001F002D" w:rsidRDefault="001F002D" w:rsidP="001F002D">
            <w:pPr>
              <w:spacing w:line="293" w:lineRule="atLeast"/>
              <w:jc w:val="center"/>
              <w:rPr>
                <w:b/>
                <w:bCs/>
              </w:rPr>
            </w:pPr>
            <w:r w:rsidRPr="001F002D">
              <w:rPr>
                <w:b/>
                <w:bCs/>
              </w:rPr>
              <w:t>V. Tiesību akta projekta atbilstība Latvijas Republikas starptautiskajām saistībām</w:t>
            </w:r>
          </w:p>
        </w:tc>
      </w:tr>
      <w:tr w:rsidR="001F002D" w:rsidRPr="001F002D" w14:paraId="0B5BC84C" w14:textId="77777777" w:rsidTr="0056677F">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2E28BAE0" w14:textId="77777777" w:rsidR="001F002D" w:rsidRPr="001F002D" w:rsidRDefault="001F002D" w:rsidP="001F002D">
            <w:r w:rsidRPr="001F002D">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B95F26C" w14:textId="77777777" w:rsidR="001F002D" w:rsidRPr="001F002D" w:rsidRDefault="001F002D" w:rsidP="001F002D">
            <w:r w:rsidRPr="001F002D">
              <w:t>Saistības pret Eiropas Savienību</w:t>
            </w:r>
          </w:p>
        </w:tc>
        <w:tc>
          <w:tcPr>
            <w:tcW w:w="3273" w:type="pct"/>
            <w:tcBorders>
              <w:top w:val="outset" w:sz="6" w:space="0" w:color="414142"/>
              <w:left w:val="outset" w:sz="6" w:space="0" w:color="414142"/>
              <w:bottom w:val="outset" w:sz="6" w:space="0" w:color="414142"/>
              <w:right w:val="outset" w:sz="6" w:space="0" w:color="414142"/>
            </w:tcBorders>
            <w:shd w:val="clear" w:color="auto" w:fill="FFFFFF"/>
            <w:hideMark/>
          </w:tcPr>
          <w:p w14:paraId="72820B46" w14:textId="3E7BE0AF" w:rsidR="001F002D" w:rsidRPr="001F002D" w:rsidRDefault="001F002D" w:rsidP="001F002D">
            <w:pPr>
              <w:jc w:val="both"/>
            </w:pPr>
            <w:r>
              <w:t>Komisijas</w:t>
            </w:r>
            <w:r w:rsidRPr="001F002D">
              <w:t xml:space="preserve"> regula Nr. </w:t>
            </w:r>
            <w:r>
              <w:t>1408</w:t>
            </w:r>
            <w:r w:rsidRPr="001F002D">
              <w:t>/</w:t>
            </w:r>
            <w:r>
              <w:t>2013</w:t>
            </w:r>
            <w:r w:rsidRPr="001F002D">
              <w:t xml:space="preserve">; </w:t>
            </w:r>
          </w:p>
          <w:p w14:paraId="7FEEECBA" w14:textId="77777777" w:rsidR="00A57DAC" w:rsidRDefault="00A57DAC" w:rsidP="001F002D">
            <w:pPr>
              <w:jc w:val="both"/>
            </w:pPr>
            <w:r>
              <w:t>Komisijas regula Nr. </w:t>
            </w:r>
            <w:r w:rsidRPr="00A57DAC">
              <w:t>1407/2013</w:t>
            </w:r>
            <w:r>
              <w:t>;</w:t>
            </w:r>
          </w:p>
          <w:p w14:paraId="01F767F5" w14:textId="492C078C" w:rsidR="00A57DAC" w:rsidRPr="001F002D" w:rsidRDefault="00A57DAC" w:rsidP="001F002D">
            <w:pPr>
              <w:jc w:val="both"/>
            </w:pPr>
            <w:r>
              <w:t>Komisijas 2004.gada 21.aprīļa regulas (EK) Nr.794/2004, ar ko īsteno Padomes Regulu (ES) 2015/1589, ar ko nosaka sīki izstrādātus noteikumus Līguma par Eiropas Savienības darbību 108.panta piemērošanai (turpmāk – Komisijas regula Nr.794/2004)</w:t>
            </w:r>
          </w:p>
        </w:tc>
      </w:tr>
      <w:tr w:rsidR="001F002D" w:rsidRPr="001F002D" w14:paraId="70251F7E" w14:textId="77777777" w:rsidTr="0056677F">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5B1FB81E" w14:textId="77777777" w:rsidR="001F002D" w:rsidRPr="001F002D" w:rsidRDefault="001F002D" w:rsidP="001F002D">
            <w:r w:rsidRPr="001F002D">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AE743AF" w14:textId="77777777" w:rsidR="001F002D" w:rsidRPr="001F002D" w:rsidRDefault="001F002D" w:rsidP="001F002D">
            <w:r w:rsidRPr="001F002D">
              <w:t>Citas starptautiskās saistības</w:t>
            </w:r>
          </w:p>
        </w:tc>
        <w:tc>
          <w:tcPr>
            <w:tcW w:w="3273" w:type="pct"/>
            <w:tcBorders>
              <w:top w:val="outset" w:sz="6" w:space="0" w:color="414142"/>
              <w:left w:val="outset" w:sz="6" w:space="0" w:color="414142"/>
              <w:bottom w:val="outset" w:sz="6" w:space="0" w:color="414142"/>
              <w:right w:val="outset" w:sz="6" w:space="0" w:color="414142"/>
            </w:tcBorders>
            <w:shd w:val="clear" w:color="auto" w:fill="FFFFFF"/>
            <w:hideMark/>
          </w:tcPr>
          <w:p w14:paraId="451C779A" w14:textId="77777777" w:rsidR="001F002D" w:rsidRPr="001F002D" w:rsidRDefault="001F002D" w:rsidP="001F002D">
            <w:r w:rsidRPr="001F002D">
              <w:t>Projekts šo jomu neskar</w:t>
            </w:r>
          </w:p>
        </w:tc>
      </w:tr>
      <w:tr w:rsidR="001F002D" w:rsidRPr="001F002D" w14:paraId="1E57FBD3" w14:textId="77777777" w:rsidTr="0056677F">
        <w:trPr>
          <w:trHeight w:val="376"/>
        </w:trPr>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14:paraId="5B3608BA" w14:textId="77777777" w:rsidR="001F002D" w:rsidRPr="001F002D" w:rsidRDefault="001F002D" w:rsidP="001F002D">
            <w:r w:rsidRPr="001F002D">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2F9AD66" w14:textId="77777777" w:rsidR="001F002D" w:rsidRPr="001F002D" w:rsidRDefault="001F002D" w:rsidP="001F002D">
            <w:r w:rsidRPr="001F002D">
              <w:t>Cita informācija</w:t>
            </w:r>
          </w:p>
        </w:tc>
        <w:tc>
          <w:tcPr>
            <w:tcW w:w="3273" w:type="pct"/>
            <w:tcBorders>
              <w:top w:val="outset" w:sz="6" w:space="0" w:color="414142"/>
              <w:left w:val="outset" w:sz="6" w:space="0" w:color="414142"/>
              <w:bottom w:val="outset" w:sz="6" w:space="0" w:color="414142"/>
              <w:right w:val="outset" w:sz="6" w:space="0" w:color="414142"/>
            </w:tcBorders>
            <w:shd w:val="clear" w:color="auto" w:fill="FFFFFF"/>
            <w:hideMark/>
          </w:tcPr>
          <w:p w14:paraId="7F7DF61F" w14:textId="77777777" w:rsidR="001F002D" w:rsidRPr="001F002D" w:rsidRDefault="001F002D" w:rsidP="001F002D">
            <w:pPr>
              <w:spacing w:line="293" w:lineRule="atLeast"/>
            </w:pPr>
            <w:r w:rsidRPr="001F002D">
              <w:t>Nav</w:t>
            </w:r>
          </w:p>
        </w:tc>
      </w:tr>
    </w:tbl>
    <w:p w14:paraId="341BF5A4" w14:textId="79627D8D" w:rsidR="008D68DB" w:rsidRDefault="008D68DB"/>
    <w:p w14:paraId="52778AA6" w14:textId="77777777" w:rsidR="0056677F" w:rsidRDefault="0056677F"/>
    <w:tbl>
      <w:tblPr>
        <w:tblW w:w="513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7"/>
        <w:gridCol w:w="2323"/>
        <w:gridCol w:w="2076"/>
        <w:gridCol w:w="2904"/>
      </w:tblGrid>
      <w:tr w:rsidR="001F002D" w:rsidRPr="001F002D" w14:paraId="279A742F" w14:textId="77777777" w:rsidTr="00AF53FF">
        <w:trPr>
          <w:jc w:val="center"/>
        </w:trPr>
        <w:tc>
          <w:tcPr>
            <w:tcW w:w="9290" w:type="dxa"/>
            <w:gridSpan w:val="4"/>
            <w:tcBorders>
              <w:top w:val="outset" w:sz="6" w:space="0" w:color="414142"/>
              <w:left w:val="outset" w:sz="6" w:space="0" w:color="414142"/>
              <w:bottom w:val="outset" w:sz="6" w:space="0" w:color="414142"/>
              <w:right w:val="outset" w:sz="6" w:space="0" w:color="414142"/>
            </w:tcBorders>
            <w:vAlign w:val="center"/>
            <w:hideMark/>
          </w:tcPr>
          <w:p w14:paraId="4160549A" w14:textId="77777777" w:rsidR="001F002D" w:rsidRPr="001F002D" w:rsidRDefault="001F002D" w:rsidP="001F002D">
            <w:pPr>
              <w:spacing w:line="293" w:lineRule="atLeast"/>
              <w:jc w:val="center"/>
              <w:rPr>
                <w:b/>
                <w:bCs/>
              </w:rPr>
            </w:pPr>
            <w:r w:rsidRPr="001F002D">
              <w:rPr>
                <w:b/>
                <w:bCs/>
              </w:rPr>
              <w:t>1.tabula</w:t>
            </w:r>
            <w:r w:rsidRPr="001F002D">
              <w:rPr>
                <w:b/>
                <w:bCs/>
              </w:rPr>
              <w:br/>
              <w:t>Tiesību akta projekta atbilstība ES tiesību aktiem</w:t>
            </w:r>
          </w:p>
        </w:tc>
      </w:tr>
      <w:tr w:rsidR="001F002D" w:rsidRPr="001F002D" w14:paraId="62F0DE79"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hideMark/>
          </w:tcPr>
          <w:p w14:paraId="6B67F98D" w14:textId="77777777" w:rsidR="001F002D" w:rsidRPr="001F002D" w:rsidRDefault="001F002D" w:rsidP="001F002D">
            <w:r w:rsidRPr="001F002D">
              <w:t>Attiecīgā ES tiesību akta datums, numurs un nosaukums</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0EDD8532" w14:textId="77777777" w:rsidR="001F002D" w:rsidRPr="001F002D" w:rsidRDefault="001F002D" w:rsidP="001F002D">
            <w:r w:rsidRPr="001F002D">
              <w:t xml:space="preserve">Padomes regula Nr. 2016/589; </w:t>
            </w:r>
          </w:p>
          <w:p w14:paraId="634B8316" w14:textId="77777777" w:rsidR="001F002D" w:rsidRPr="001F002D" w:rsidRDefault="001F002D" w:rsidP="001F002D">
            <w:r w:rsidRPr="001F002D">
              <w:t>Komisijas regula Nr. 651/2014.</w:t>
            </w:r>
          </w:p>
        </w:tc>
      </w:tr>
      <w:tr w:rsidR="001F002D" w:rsidRPr="001F002D" w14:paraId="2A088B31"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vAlign w:val="center"/>
            <w:hideMark/>
          </w:tcPr>
          <w:p w14:paraId="4D93AEFC" w14:textId="77777777" w:rsidR="001F002D" w:rsidRPr="001F002D" w:rsidRDefault="001F002D" w:rsidP="001F002D">
            <w:pPr>
              <w:spacing w:before="100" w:beforeAutospacing="1" w:after="100" w:afterAutospacing="1" w:line="293" w:lineRule="atLeast"/>
              <w:jc w:val="center"/>
            </w:pPr>
            <w:r w:rsidRPr="001F002D">
              <w:t>A</w:t>
            </w:r>
          </w:p>
        </w:tc>
        <w:tc>
          <w:tcPr>
            <w:tcW w:w="2323" w:type="dxa"/>
            <w:tcBorders>
              <w:top w:val="outset" w:sz="6" w:space="0" w:color="414142"/>
              <w:left w:val="outset" w:sz="6" w:space="0" w:color="414142"/>
              <w:bottom w:val="outset" w:sz="6" w:space="0" w:color="414142"/>
              <w:right w:val="outset" w:sz="6" w:space="0" w:color="414142"/>
            </w:tcBorders>
            <w:vAlign w:val="center"/>
            <w:hideMark/>
          </w:tcPr>
          <w:p w14:paraId="35ACCA05" w14:textId="77777777" w:rsidR="001F002D" w:rsidRPr="001F002D" w:rsidRDefault="001F002D" w:rsidP="001F002D">
            <w:pPr>
              <w:spacing w:before="100" w:beforeAutospacing="1" w:after="100" w:afterAutospacing="1" w:line="293" w:lineRule="atLeast"/>
              <w:jc w:val="center"/>
            </w:pPr>
            <w:r w:rsidRPr="001F002D">
              <w:t>B</w:t>
            </w:r>
          </w:p>
        </w:tc>
        <w:tc>
          <w:tcPr>
            <w:tcW w:w="2076" w:type="dxa"/>
            <w:tcBorders>
              <w:top w:val="outset" w:sz="6" w:space="0" w:color="414142"/>
              <w:left w:val="outset" w:sz="6" w:space="0" w:color="414142"/>
              <w:bottom w:val="outset" w:sz="6" w:space="0" w:color="414142"/>
              <w:right w:val="outset" w:sz="6" w:space="0" w:color="414142"/>
            </w:tcBorders>
            <w:vAlign w:val="center"/>
            <w:hideMark/>
          </w:tcPr>
          <w:p w14:paraId="40CEFECD" w14:textId="77777777" w:rsidR="001F002D" w:rsidRPr="001F002D" w:rsidRDefault="001F002D" w:rsidP="001F002D">
            <w:pPr>
              <w:spacing w:before="100" w:beforeAutospacing="1" w:after="100" w:afterAutospacing="1" w:line="293" w:lineRule="atLeast"/>
              <w:jc w:val="center"/>
            </w:pPr>
            <w:r w:rsidRPr="001F002D">
              <w:t>C</w:t>
            </w:r>
          </w:p>
        </w:tc>
        <w:tc>
          <w:tcPr>
            <w:tcW w:w="2904" w:type="dxa"/>
            <w:tcBorders>
              <w:top w:val="outset" w:sz="6" w:space="0" w:color="414142"/>
              <w:left w:val="outset" w:sz="6" w:space="0" w:color="414142"/>
              <w:bottom w:val="outset" w:sz="6" w:space="0" w:color="414142"/>
              <w:right w:val="outset" w:sz="6" w:space="0" w:color="414142"/>
            </w:tcBorders>
            <w:vAlign w:val="center"/>
            <w:hideMark/>
          </w:tcPr>
          <w:p w14:paraId="6011E845" w14:textId="77777777" w:rsidR="001F002D" w:rsidRPr="001F002D" w:rsidRDefault="001F002D" w:rsidP="001F002D">
            <w:pPr>
              <w:spacing w:before="100" w:beforeAutospacing="1" w:after="100" w:afterAutospacing="1" w:line="293" w:lineRule="atLeast"/>
              <w:jc w:val="center"/>
            </w:pPr>
            <w:r w:rsidRPr="001F002D">
              <w:t>D</w:t>
            </w:r>
          </w:p>
        </w:tc>
      </w:tr>
      <w:tr w:rsidR="001F002D" w:rsidRPr="001F002D" w14:paraId="7B6F299A"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hideMark/>
          </w:tcPr>
          <w:p w14:paraId="24D08E66" w14:textId="77777777" w:rsidR="001F002D" w:rsidRPr="001F002D" w:rsidRDefault="001F002D" w:rsidP="001F002D">
            <w:r w:rsidRPr="001F002D">
              <w:t xml:space="preserve">Attiecīgā ES tiesību akta panta numurs (uzskaitot katru tiesību akta vienību – pantu, daļu, </w:t>
            </w:r>
            <w:r w:rsidRPr="001F002D">
              <w:lastRenderedPageBreak/>
              <w:t>punktu, apakšpunktu)</w:t>
            </w:r>
          </w:p>
        </w:tc>
        <w:tc>
          <w:tcPr>
            <w:tcW w:w="2323" w:type="dxa"/>
            <w:tcBorders>
              <w:top w:val="outset" w:sz="6" w:space="0" w:color="414142"/>
              <w:left w:val="outset" w:sz="6" w:space="0" w:color="414142"/>
              <w:bottom w:val="outset" w:sz="6" w:space="0" w:color="414142"/>
              <w:right w:val="outset" w:sz="6" w:space="0" w:color="414142"/>
            </w:tcBorders>
            <w:hideMark/>
          </w:tcPr>
          <w:p w14:paraId="6FF3B059" w14:textId="77777777" w:rsidR="001F002D" w:rsidRPr="001F002D" w:rsidRDefault="001F002D" w:rsidP="001F002D">
            <w:r w:rsidRPr="001F002D">
              <w:lastRenderedPageBreak/>
              <w:t xml:space="preserve">Projekta vienība, kas pārņem vai ievieš katru šīs tabulas A ailē minēto ES tiesību akta vienību, vai tiesību </w:t>
            </w:r>
            <w:r w:rsidRPr="001F002D">
              <w:lastRenderedPageBreak/>
              <w:t>akts, kur attiecīgā ES tiesību akta vienība pārņemta vai ieviesta</w:t>
            </w:r>
          </w:p>
        </w:tc>
        <w:tc>
          <w:tcPr>
            <w:tcW w:w="2076" w:type="dxa"/>
            <w:tcBorders>
              <w:top w:val="outset" w:sz="6" w:space="0" w:color="414142"/>
              <w:left w:val="outset" w:sz="6" w:space="0" w:color="414142"/>
              <w:bottom w:val="outset" w:sz="6" w:space="0" w:color="414142"/>
              <w:right w:val="outset" w:sz="6" w:space="0" w:color="414142"/>
            </w:tcBorders>
            <w:hideMark/>
          </w:tcPr>
          <w:p w14:paraId="72C1499B" w14:textId="77777777" w:rsidR="001F002D" w:rsidRPr="001F002D" w:rsidRDefault="001F002D" w:rsidP="001F002D">
            <w:r w:rsidRPr="001F002D">
              <w:lastRenderedPageBreak/>
              <w:t xml:space="preserve">Informācija par to, vai šīs tabulas A ailē minētās ES tiesību akta vienības tiek pārņemtas vai </w:t>
            </w:r>
            <w:r w:rsidRPr="001F002D">
              <w:lastRenderedPageBreak/>
              <w:t>ieviestas pilnībā vai daļēji.</w:t>
            </w:r>
          </w:p>
          <w:p w14:paraId="7C31A223" w14:textId="77777777" w:rsidR="001F002D" w:rsidRPr="001F002D" w:rsidRDefault="001F002D" w:rsidP="001F002D">
            <w:pPr>
              <w:spacing w:before="100" w:beforeAutospacing="1" w:after="100" w:afterAutospacing="1" w:line="293" w:lineRule="atLeast"/>
            </w:pPr>
            <w:r w:rsidRPr="001F002D">
              <w:t>Ja attiecīgā ES tiesību akta vienība tiek pārņemta vai ieviesta daļēji, sniedz attiecīgu skaidrojumu, kā arī precīzi norāda, kad un kādā veidā ES tiesību akta vienība tiks pārņemta vai ieviesta pilnībā.</w:t>
            </w:r>
          </w:p>
          <w:p w14:paraId="17260909" w14:textId="77777777" w:rsidR="001F002D" w:rsidRPr="001F002D" w:rsidRDefault="001F002D" w:rsidP="001F002D">
            <w:pPr>
              <w:spacing w:before="100" w:beforeAutospacing="1" w:after="100" w:afterAutospacing="1" w:line="293" w:lineRule="atLeast"/>
            </w:pPr>
            <w:r w:rsidRPr="001F002D">
              <w:t>Norāda institūciju, kas ir atbildīga par šo saistību izpildi pilnībā</w:t>
            </w:r>
          </w:p>
        </w:tc>
        <w:tc>
          <w:tcPr>
            <w:tcW w:w="2904" w:type="dxa"/>
            <w:tcBorders>
              <w:top w:val="outset" w:sz="6" w:space="0" w:color="414142"/>
              <w:left w:val="outset" w:sz="6" w:space="0" w:color="414142"/>
              <w:bottom w:val="outset" w:sz="6" w:space="0" w:color="414142"/>
              <w:right w:val="outset" w:sz="6" w:space="0" w:color="414142"/>
            </w:tcBorders>
            <w:hideMark/>
          </w:tcPr>
          <w:p w14:paraId="29355C89" w14:textId="77777777" w:rsidR="001F002D" w:rsidRPr="001F002D" w:rsidRDefault="001F002D" w:rsidP="001F002D">
            <w:r w:rsidRPr="001F002D">
              <w:lastRenderedPageBreak/>
              <w:t xml:space="preserve">Informācija par to, vai šīs tabulas B ailē minētās projekta vienības paredz stingrākas prasības nekā šīs </w:t>
            </w:r>
            <w:r w:rsidRPr="001F002D">
              <w:lastRenderedPageBreak/>
              <w:t>tabulas A ailē minētās ES tiesību akta vienības.</w:t>
            </w:r>
          </w:p>
          <w:p w14:paraId="7F2BCB6F" w14:textId="77777777" w:rsidR="001F002D" w:rsidRPr="001F002D" w:rsidRDefault="001F002D" w:rsidP="001F002D">
            <w:r w:rsidRPr="001F002D">
              <w:t>Ja projekts satur stingrākas prasības nekā attiecīgais ES tiesību akts, norāda pamatojumu un samērīgumu.</w:t>
            </w:r>
          </w:p>
          <w:p w14:paraId="4E284F18" w14:textId="77777777" w:rsidR="001F002D" w:rsidRPr="001F002D" w:rsidRDefault="001F002D" w:rsidP="001F002D">
            <w:r w:rsidRPr="001F002D">
              <w:t>Norāda iespējamās alternatīvas (t.sk. alternatīvas, kas neparedz tiesiskā regulējuma izstrādi) – kādos gadījumos būtu iespējams izvairīties no stingrāku prasību noteikšanas, nekā paredzēts attiecīgajos ES tiesību aktos</w:t>
            </w:r>
          </w:p>
        </w:tc>
      </w:tr>
      <w:tr w:rsidR="001F002D" w:rsidRPr="001F002D" w14:paraId="4CE14561"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tcPr>
          <w:p w14:paraId="729BE9A2" w14:textId="7573564C" w:rsidR="001F002D" w:rsidRPr="001F002D" w:rsidRDefault="00A57DAC" w:rsidP="001F002D">
            <w:r>
              <w:lastRenderedPageBreak/>
              <w:t>Komisijas</w:t>
            </w:r>
            <w:r w:rsidR="001F002D" w:rsidRPr="001F002D">
              <w:t xml:space="preserve"> regulas Nr. </w:t>
            </w:r>
            <w:r w:rsidR="001F002D">
              <w:t>1408</w:t>
            </w:r>
            <w:r w:rsidR="001F002D" w:rsidRPr="001F002D">
              <w:t>/</w:t>
            </w:r>
            <w:r w:rsidR="001F002D">
              <w:t>2013</w:t>
            </w:r>
            <w:r w:rsidR="001F002D" w:rsidRPr="001F002D">
              <w:t xml:space="preserve"> </w:t>
            </w:r>
            <w:r w:rsidR="001F002D">
              <w:t>3</w:t>
            </w:r>
            <w:r w:rsidR="001F002D" w:rsidRPr="001F002D">
              <w:t xml:space="preserve">. panta </w:t>
            </w:r>
            <w:r w:rsidR="001F002D">
              <w:t>2</w:t>
            </w:r>
            <w:r w:rsidR="001F002D" w:rsidRPr="001F002D">
              <w:t>.punkts</w:t>
            </w:r>
          </w:p>
        </w:tc>
        <w:tc>
          <w:tcPr>
            <w:tcW w:w="2323" w:type="dxa"/>
            <w:tcBorders>
              <w:top w:val="outset" w:sz="6" w:space="0" w:color="414142"/>
              <w:left w:val="outset" w:sz="6" w:space="0" w:color="414142"/>
              <w:bottom w:val="outset" w:sz="6" w:space="0" w:color="414142"/>
              <w:right w:val="outset" w:sz="6" w:space="0" w:color="414142"/>
            </w:tcBorders>
          </w:tcPr>
          <w:p w14:paraId="625EF33F" w14:textId="4EF8917E" w:rsidR="001F002D" w:rsidRPr="00AF53FF" w:rsidRDefault="001F002D" w:rsidP="001F002D">
            <w:r w:rsidRPr="00AF53FF">
              <w:t xml:space="preserve">Noteikumu </w:t>
            </w:r>
            <w:r w:rsidRPr="00AF53FF">
              <w:br/>
              <w:t>192.</w:t>
            </w:r>
            <w:r w:rsidR="00A57DAC" w:rsidRPr="00AF53FF">
              <w:rPr>
                <w:vertAlign w:val="superscript"/>
              </w:rPr>
              <w:t>9</w:t>
            </w:r>
            <w:r w:rsidRPr="00AF53FF">
              <w:rPr>
                <w:vertAlign w:val="superscript"/>
              </w:rPr>
              <w:t xml:space="preserve"> </w:t>
            </w:r>
            <w:r w:rsidRPr="00AF53FF">
              <w:t xml:space="preserve">punkts (Noteikumu projekta </w:t>
            </w:r>
            <w:r w:rsidR="009408D6">
              <w:t>49</w:t>
            </w:r>
            <w:r w:rsidRPr="00AF53FF">
              <w:t>.punkts)</w:t>
            </w:r>
          </w:p>
        </w:tc>
        <w:tc>
          <w:tcPr>
            <w:tcW w:w="2076" w:type="dxa"/>
            <w:tcBorders>
              <w:top w:val="outset" w:sz="6" w:space="0" w:color="414142"/>
              <w:left w:val="outset" w:sz="6" w:space="0" w:color="414142"/>
              <w:bottom w:val="outset" w:sz="6" w:space="0" w:color="414142"/>
              <w:right w:val="outset" w:sz="6" w:space="0" w:color="414142"/>
            </w:tcBorders>
          </w:tcPr>
          <w:p w14:paraId="6FA69A6A" w14:textId="77777777" w:rsidR="001F002D" w:rsidRPr="001F002D" w:rsidRDefault="001F002D" w:rsidP="001F002D">
            <w:r w:rsidRPr="001F002D">
              <w:t>Ieviests pilnībā</w:t>
            </w:r>
          </w:p>
        </w:tc>
        <w:tc>
          <w:tcPr>
            <w:tcW w:w="2904" w:type="dxa"/>
            <w:tcBorders>
              <w:top w:val="outset" w:sz="6" w:space="0" w:color="414142"/>
              <w:left w:val="outset" w:sz="6" w:space="0" w:color="414142"/>
              <w:bottom w:val="outset" w:sz="6" w:space="0" w:color="414142"/>
              <w:right w:val="outset" w:sz="6" w:space="0" w:color="414142"/>
            </w:tcBorders>
          </w:tcPr>
          <w:p w14:paraId="657ECF3D" w14:textId="77777777" w:rsidR="001F002D" w:rsidRPr="001F002D" w:rsidRDefault="001F002D" w:rsidP="001F002D">
            <w:r w:rsidRPr="001F002D">
              <w:t>Noteikumu projekts neparedz stingrākas prasības</w:t>
            </w:r>
          </w:p>
        </w:tc>
      </w:tr>
      <w:tr w:rsidR="001F002D" w:rsidRPr="001F002D" w14:paraId="12BFD273"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tcPr>
          <w:p w14:paraId="792F7B7E" w14:textId="7D1F00A5" w:rsidR="001F002D" w:rsidRPr="001F002D" w:rsidRDefault="00A57DAC" w:rsidP="001F002D">
            <w:r>
              <w:t>Komisijas</w:t>
            </w:r>
            <w:r w:rsidR="001F002D" w:rsidRPr="001F002D">
              <w:t xml:space="preserve"> regulas Nr. </w:t>
            </w:r>
            <w:r>
              <w:t>1407</w:t>
            </w:r>
            <w:r w:rsidR="001F002D" w:rsidRPr="001F002D">
              <w:t>/</w:t>
            </w:r>
            <w:r>
              <w:t>2013</w:t>
            </w:r>
            <w:r w:rsidR="001F002D" w:rsidRPr="001F002D">
              <w:t xml:space="preserve"> </w:t>
            </w:r>
            <w:r>
              <w:t>3</w:t>
            </w:r>
            <w:r w:rsidR="001F002D" w:rsidRPr="001F002D">
              <w:t xml:space="preserve">. panta </w:t>
            </w:r>
            <w:r>
              <w:t>4</w:t>
            </w:r>
            <w:r w:rsidR="001F002D" w:rsidRPr="001F002D">
              <w:t>.punkts</w:t>
            </w:r>
          </w:p>
        </w:tc>
        <w:tc>
          <w:tcPr>
            <w:tcW w:w="2323" w:type="dxa"/>
            <w:tcBorders>
              <w:top w:val="outset" w:sz="6" w:space="0" w:color="414142"/>
              <w:left w:val="outset" w:sz="6" w:space="0" w:color="414142"/>
              <w:bottom w:val="outset" w:sz="6" w:space="0" w:color="414142"/>
              <w:right w:val="outset" w:sz="6" w:space="0" w:color="414142"/>
            </w:tcBorders>
          </w:tcPr>
          <w:p w14:paraId="2DA18823" w14:textId="1A146E02" w:rsidR="001F002D" w:rsidRPr="00AF53FF" w:rsidRDefault="001F002D" w:rsidP="001F002D">
            <w:r w:rsidRPr="00AF53FF">
              <w:t>Noteikumu</w:t>
            </w:r>
            <w:r w:rsidRPr="00AF53FF">
              <w:br/>
            </w:r>
            <w:r w:rsidRPr="00AF53FF">
              <w:rPr>
                <w:bCs/>
              </w:rPr>
              <w:t>192.</w:t>
            </w:r>
            <w:r w:rsidRPr="00AF53FF">
              <w:rPr>
                <w:bCs/>
                <w:vertAlign w:val="superscript"/>
              </w:rPr>
              <w:t>2</w:t>
            </w:r>
            <w:r w:rsidR="00A57DAC" w:rsidRPr="00AF53FF">
              <w:rPr>
                <w:bCs/>
                <w:vertAlign w:val="superscript"/>
              </w:rPr>
              <w:t>0</w:t>
            </w:r>
            <w:r w:rsidRPr="00AF53FF">
              <w:rPr>
                <w:bCs/>
                <w:vertAlign w:val="superscript"/>
              </w:rPr>
              <w:t xml:space="preserve"> </w:t>
            </w:r>
            <w:r w:rsidRPr="00AF53FF">
              <w:rPr>
                <w:bCs/>
              </w:rPr>
              <w:t>punkts</w:t>
            </w:r>
            <w:r w:rsidRPr="00AF53FF">
              <w:rPr>
                <w:bCs/>
                <w:vertAlign w:val="superscript"/>
              </w:rPr>
              <w:t xml:space="preserve"> </w:t>
            </w:r>
            <w:r w:rsidRPr="00264FF1">
              <w:t xml:space="preserve">(Noteikumu projekta </w:t>
            </w:r>
            <w:r w:rsidR="00933FFC">
              <w:t>5</w:t>
            </w:r>
            <w:r w:rsidR="009408D6">
              <w:t>0</w:t>
            </w:r>
            <w:r w:rsidRPr="00AF53FF">
              <w:t>.punkts)</w:t>
            </w:r>
          </w:p>
        </w:tc>
        <w:tc>
          <w:tcPr>
            <w:tcW w:w="2076" w:type="dxa"/>
            <w:tcBorders>
              <w:top w:val="outset" w:sz="6" w:space="0" w:color="414142"/>
              <w:left w:val="outset" w:sz="6" w:space="0" w:color="414142"/>
              <w:bottom w:val="outset" w:sz="6" w:space="0" w:color="414142"/>
              <w:right w:val="outset" w:sz="6" w:space="0" w:color="414142"/>
            </w:tcBorders>
          </w:tcPr>
          <w:p w14:paraId="28F067D4" w14:textId="77777777" w:rsidR="001F002D" w:rsidRPr="001F002D" w:rsidRDefault="001F002D" w:rsidP="001F002D">
            <w:r w:rsidRPr="001F002D">
              <w:t>Ieviests pilnībā</w:t>
            </w:r>
          </w:p>
        </w:tc>
        <w:tc>
          <w:tcPr>
            <w:tcW w:w="2904" w:type="dxa"/>
            <w:tcBorders>
              <w:top w:val="outset" w:sz="6" w:space="0" w:color="414142"/>
              <w:left w:val="outset" w:sz="6" w:space="0" w:color="414142"/>
              <w:bottom w:val="outset" w:sz="6" w:space="0" w:color="414142"/>
              <w:right w:val="outset" w:sz="6" w:space="0" w:color="414142"/>
            </w:tcBorders>
          </w:tcPr>
          <w:p w14:paraId="29CC03F0" w14:textId="77777777" w:rsidR="001F002D" w:rsidRPr="001F002D" w:rsidRDefault="001F002D" w:rsidP="001F002D">
            <w:r w:rsidRPr="001F002D">
              <w:t>Noteikumu projekts neparedz stingrākas prasības</w:t>
            </w:r>
          </w:p>
        </w:tc>
      </w:tr>
      <w:tr w:rsidR="001F002D" w:rsidRPr="001F002D" w14:paraId="3B6C3F04"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tcPr>
          <w:p w14:paraId="63F94B75" w14:textId="5F0714E9" w:rsidR="001F002D" w:rsidRPr="001F002D" w:rsidRDefault="00A57DAC" w:rsidP="001F002D">
            <w:r>
              <w:t>Komisijas</w:t>
            </w:r>
            <w:r w:rsidR="001F002D" w:rsidRPr="001F002D">
              <w:t xml:space="preserve"> regulas Nr. </w:t>
            </w:r>
            <w:r>
              <w:t>794</w:t>
            </w:r>
            <w:r w:rsidR="001F002D" w:rsidRPr="001F002D">
              <w:t>/</w:t>
            </w:r>
            <w:r>
              <w:t>2004</w:t>
            </w:r>
            <w:r w:rsidR="001F002D" w:rsidRPr="001F002D">
              <w:t xml:space="preserve"> </w:t>
            </w:r>
            <w:r>
              <w:t>11.pants</w:t>
            </w:r>
          </w:p>
        </w:tc>
        <w:tc>
          <w:tcPr>
            <w:tcW w:w="2323" w:type="dxa"/>
            <w:tcBorders>
              <w:top w:val="outset" w:sz="6" w:space="0" w:color="414142"/>
              <w:left w:val="outset" w:sz="6" w:space="0" w:color="414142"/>
              <w:bottom w:val="outset" w:sz="6" w:space="0" w:color="414142"/>
              <w:right w:val="outset" w:sz="6" w:space="0" w:color="414142"/>
            </w:tcBorders>
          </w:tcPr>
          <w:p w14:paraId="6DD0C4DB" w14:textId="24DC9D67" w:rsidR="001F002D" w:rsidRPr="00AF53FF" w:rsidRDefault="001F002D" w:rsidP="001F002D">
            <w:pPr>
              <w:rPr>
                <w:bCs/>
              </w:rPr>
            </w:pPr>
            <w:r w:rsidRPr="00AF53FF">
              <w:rPr>
                <w:bCs/>
              </w:rPr>
              <w:t>Noteikumu 192.</w:t>
            </w:r>
            <w:r w:rsidRPr="00AF53FF">
              <w:rPr>
                <w:bCs/>
                <w:vertAlign w:val="superscript"/>
              </w:rPr>
              <w:t>2</w:t>
            </w:r>
            <w:r w:rsidR="00933FFC">
              <w:rPr>
                <w:bCs/>
                <w:vertAlign w:val="superscript"/>
              </w:rPr>
              <w:t>0</w:t>
            </w:r>
            <w:r w:rsidRPr="00AF53FF">
              <w:rPr>
                <w:bCs/>
                <w:vertAlign w:val="superscript"/>
              </w:rPr>
              <w:t xml:space="preserve"> </w:t>
            </w:r>
            <w:r w:rsidRPr="00AF53FF">
              <w:rPr>
                <w:bCs/>
              </w:rPr>
              <w:t xml:space="preserve">punkts </w:t>
            </w:r>
            <w:r w:rsidRPr="00AF53FF">
              <w:t xml:space="preserve">(Noteikumu projekta </w:t>
            </w:r>
            <w:r w:rsidR="00933FFC">
              <w:t>5</w:t>
            </w:r>
            <w:r w:rsidR="009408D6">
              <w:t>0</w:t>
            </w:r>
            <w:r w:rsidRPr="00AF53FF">
              <w:t>.punkts)</w:t>
            </w:r>
          </w:p>
          <w:p w14:paraId="7D1D0156" w14:textId="77777777" w:rsidR="001F002D" w:rsidRPr="00264FF1" w:rsidRDefault="001F002D" w:rsidP="001F002D"/>
        </w:tc>
        <w:tc>
          <w:tcPr>
            <w:tcW w:w="2076" w:type="dxa"/>
            <w:tcBorders>
              <w:top w:val="outset" w:sz="6" w:space="0" w:color="414142"/>
              <w:left w:val="outset" w:sz="6" w:space="0" w:color="414142"/>
              <w:bottom w:val="outset" w:sz="6" w:space="0" w:color="414142"/>
              <w:right w:val="outset" w:sz="6" w:space="0" w:color="414142"/>
            </w:tcBorders>
          </w:tcPr>
          <w:p w14:paraId="5CC94324" w14:textId="77777777" w:rsidR="001F002D" w:rsidRPr="001F002D" w:rsidRDefault="001F002D" w:rsidP="001F002D">
            <w:r w:rsidRPr="001F002D">
              <w:t>Ieviests pilnībā</w:t>
            </w:r>
          </w:p>
        </w:tc>
        <w:tc>
          <w:tcPr>
            <w:tcW w:w="2904" w:type="dxa"/>
            <w:tcBorders>
              <w:top w:val="outset" w:sz="6" w:space="0" w:color="414142"/>
              <w:left w:val="outset" w:sz="6" w:space="0" w:color="414142"/>
              <w:bottom w:val="outset" w:sz="6" w:space="0" w:color="414142"/>
              <w:right w:val="outset" w:sz="6" w:space="0" w:color="414142"/>
            </w:tcBorders>
          </w:tcPr>
          <w:p w14:paraId="3021A282" w14:textId="77777777" w:rsidR="001F002D" w:rsidRPr="001F002D" w:rsidRDefault="001F002D" w:rsidP="001F002D">
            <w:r w:rsidRPr="001F002D">
              <w:t xml:space="preserve">Noteikumu projekts neparedz stingrākas prasības. </w:t>
            </w:r>
          </w:p>
          <w:p w14:paraId="15641452" w14:textId="77777777" w:rsidR="001F002D" w:rsidRPr="001F002D" w:rsidRDefault="001F002D" w:rsidP="001F002D"/>
        </w:tc>
      </w:tr>
      <w:tr w:rsidR="001F002D" w:rsidRPr="001F002D" w14:paraId="00D3B4D0" w14:textId="77777777" w:rsidTr="00AF53FF">
        <w:trPr>
          <w:jc w:val="center"/>
        </w:trPr>
        <w:tc>
          <w:tcPr>
            <w:tcW w:w="1987" w:type="dxa"/>
            <w:tcBorders>
              <w:top w:val="outset" w:sz="6" w:space="0" w:color="414142"/>
              <w:left w:val="outset" w:sz="6" w:space="0" w:color="414142"/>
              <w:bottom w:val="outset" w:sz="6" w:space="0" w:color="414142"/>
              <w:right w:val="outset" w:sz="6" w:space="0" w:color="414142"/>
            </w:tcBorders>
            <w:hideMark/>
          </w:tcPr>
          <w:p w14:paraId="7123A3C4" w14:textId="77777777" w:rsidR="001F002D" w:rsidRPr="001F002D" w:rsidRDefault="001F002D" w:rsidP="001F002D">
            <w:r w:rsidRPr="001F002D">
              <w:t>Kā ir izmantota ES tiesību aktā paredzētā rīcības brīvība dalībvalstij pārņemt vai ieviest noteiktas ES tiesību akta normas?</w:t>
            </w:r>
            <w:r w:rsidRPr="001F002D">
              <w:br/>
              <w:t>Kādēļ?</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7F4E7B0E" w14:textId="4BE57100" w:rsidR="001F002D" w:rsidRPr="001F002D" w:rsidRDefault="00A57DAC" w:rsidP="001F002D">
            <w:pPr>
              <w:jc w:val="both"/>
            </w:pPr>
            <w:r>
              <w:t>Projekts šo jomu neskar.</w:t>
            </w:r>
          </w:p>
        </w:tc>
      </w:tr>
      <w:tr w:rsidR="001F002D" w:rsidRPr="001F002D" w14:paraId="6AB9F996" w14:textId="77777777" w:rsidTr="0056677F">
        <w:trPr>
          <w:trHeight w:val="2222"/>
          <w:jc w:val="center"/>
        </w:trPr>
        <w:tc>
          <w:tcPr>
            <w:tcW w:w="1987" w:type="dxa"/>
            <w:tcBorders>
              <w:top w:val="outset" w:sz="6" w:space="0" w:color="414142"/>
              <w:left w:val="outset" w:sz="6" w:space="0" w:color="414142"/>
              <w:bottom w:val="outset" w:sz="6" w:space="0" w:color="414142"/>
              <w:right w:val="outset" w:sz="6" w:space="0" w:color="414142"/>
            </w:tcBorders>
            <w:hideMark/>
          </w:tcPr>
          <w:p w14:paraId="54CC3241" w14:textId="77777777" w:rsidR="001F002D" w:rsidRPr="001F002D" w:rsidRDefault="001F002D" w:rsidP="001F002D">
            <w:r w:rsidRPr="001F002D">
              <w:t xml:space="preserve">Saistības sniegt paziņojumu ES institūcijām un ES dalībvalstīm atbilstoši normatīvajiem aktiem, kas regulē informācijas sniegšanu par tehnisko </w:t>
            </w:r>
            <w:r w:rsidRPr="001F002D">
              <w:lastRenderedPageBreak/>
              <w:t>noteikumu, valsts atbalsta piešķiršanas un finanšu noteikumu (attiecībā uz monetāro politiku) projektiem</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38B0C547" w14:textId="3C2CECFC" w:rsidR="001F002D" w:rsidRPr="001F002D" w:rsidRDefault="00A57DAC" w:rsidP="001F002D">
            <w:pPr>
              <w:jc w:val="both"/>
            </w:pPr>
            <w:r>
              <w:lastRenderedPageBreak/>
              <w:t>Projekts šo jomu neskar.</w:t>
            </w:r>
          </w:p>
          <w:p w14:paraId="708CF5AE" w14:textId="77777777" w:rsidR="001F002D" w:rsidRPr="001F002D" w:rsidRDefault="001F002D" w:rsidP="001F002D">
            <w:pPr>
              <w:jc w:val="both"/>
            </w:pPr>
          </w:p>
        </w:tc>
      </w:tr>
      <w:tr w:rsidR="001F002D" w:rsidRPr="001F002D" w14:paraId="68AEB2F8" w14:textId="77777777" w:rsidTr="0056677F">
        <w:trPr>
          <w:trHeight w:val="492"/>
          <w:jc w:val="center"/>
        </w:trPr>
        <w:tc>
          <w:tcPr>
            <w:tcW w:w="1987" w:type="dxa"/>
            <w:tcBorders>
              <w:top w:val="outset" w:sz="6" w:space="0" w:color="414142"/>
              <w:left w:val="outset" w:sz="6" w:space="0" w:color="414142"/>
              <w:bottom w:val="outset" w:sz="6" w:space="0" w:color="414142"/>
              <w:right w:val="outset" w:sz="6" w:space="0" w:color="414142"/>
            </w:tcBorders>
            <w:hideMark/>
          </w:tcPr>
          <w:p w14:paraId="7BA8E68D" w14:textId="77777777" w:rsidR="001F002D" w:rsidRPr="001F002D" w:rsidRDefault="001F002D" w:rsidP="001F002D">
            <w:r w:rsidRPr="001F002D">
              <w:t>Cita informācija</w:t>
            </w:r>
          </w:p>
        </w:tc>
        <w:tc>
          <w:tcPr>
            <w:tcW w:w="7303" w:type="dxa"/>
            <w:gridSpan w:val="3"/>
            <w:tcBorders>
              <w:top w:val="outset" w:sz="6" w:space="0" w:color="414142"/>
              <w:left w:val="outset" w:sz="6" w:space="0" w:color="414142"/>
              <w:bottom w:val="outset" w:sz="6" w:space="0" w:color="414142"/>
              <w:right w:val="outset" w:sz="6" w:space="0" w:color="414142"/>
            </w:tcBorders>
            <w:hideMark/>
          </w:tcPr>
          <w:p w14:paraId="19A1A11E" w14:textId="77777777" w:rsidR="001F002D" w:rsidRPr="001F002D" w:rsidRDefault="001F002D" w:rsidP="001F002D">
            <w:pPr>
              <w:spacing w:before="100" w:beforeAutospacing="1" w:after="100" w:afterAutospacing="1" w:line="293" w:lineRule="atLeast"/>
            </w:pPr>
            <w:r w:rsidRPr="001F002D">
              <w:t>Nav.</w:t>
            </w:r>
          </w:p>
        </w:tc>
      </w:tr>
      <w:tr w:rsidR="001F002D" w:rsidRPr="001F002D" w14:paraId="6449FA00" w14:textId="77777777" w:rsidTr="00AF53FF">
        <w:trPr>
          <w:jc w:val="center"/>
        </w:trPr>
        <w:tc>
          <w:tcPr>
            <w:tcW w:w="9290" w:type="dxa"/>
            <w:gridSpan w:val="4"/>
            <w:tcBorders>
              <w:top w:val="outset" w:sz="6" w:space="0" w:color="414142"/>
              <w:left w:val="outset" w:sz="6" w:space="0" w:color="414142"/>
              <w:bottom w:val="outset" w:sz="6" w:space="0" w:color="414142"/>
              <w:right w:val="outset" w:sz="6" w:space="0" w:color="414142"/>
            </w:tcBorders>
            <w:vAlign w:val="center"/>
            <w:hideMark/>
          </w:tcPr>
          <w:p w14:paraId="1114C158" w14:textId="77777777" w:rsidR="001F002D" w:rsidRPr="001F002D" w:rsidRDefault="001F002D" w:rsidP="001F002D">
            <w:pPr>
              <w:spacing w:before="100" w:beforeAutospacing="1" w:after="100" w:afterAutospacing="1" w:line="293" w:lineRule="atLeast"/>
              <w:jc w:val="center"/>
              <w:rPr>
                <w:b/>
                <w:bCs/>
              </w:rPr>
            </w:pPr>
            <w:r w:rsidRPr="001F002D">
              <w:rPr>
                <w:b/>
                <w:bCs/>
              </w:rPr>
              <w:t>2.tabula</w:t>
            </w:r>
            <w:r w:rsidRPr="001F002D">
              <w:rPr>
                <w:b/>
                <w:bCs/>
              </w:rPr>
              <w:br/>
              <w:t>Ar tiesību akta projektu izpildītās vai uzņemtās saistības, kas izriet no starptautiskajiem tiesību aktiem vai starptautiskas institūcijas vai organizācijas dokumentiem.</w:t>
            </w:r>
            <w:r w:rsidRPr="001F002D">
              <w:rPr>
                <w:b/>
                <w:bCs/>
              </w:rPr>
              <w:br/>
              <w:t>Pasākumi šo saistību izpildei</w:t>
            </w:r>
          </w:p>
        </w:tc>
      </w:tr>
      <w:tr w:rsidR="001F002D" w:rsidRPr="001F002D" w14:paraId="39A97DC9" w14:textId="77777777" w:rsidTr="00AF53FF">
        <w:trPr>
          <w:trHeight w:val="369"/>
          <w:jc w:val="center"/>
        </w:trPr>
        <w:tc>
          <w:tcPr>
            <w:tcW w:w="9290" w:type="dxa"/>
            <w:gridSpan w:val="4"/>
            <w:tcBorders>
              <w:top w:val="outset" w:sz="6" w:space="0" w:color="414142"/>
              <w:left w:val="outset" w:sz="6" w:space="0" w:color="414142"/>
              <w:right w:val="outset" w:sz="6" w:space="0" w:color="414142"/>
            </w:tcBorders>
            <w:vAlign w:val="center"/>
          </w:tcPr>
          <w:p w14:paraId="0508B236" w14:textId="77777777" w:rsidR="001F002D" w:rsidRPr="001F002D" w:rsidRDefault="001F002D" w:rsidP="001F002D">
            <w:pPr>
              <w:jc w:val="center"/>
            </w:pPr>
            <w:r w:rsidRPr="001F002D">
              <w:t>Projekts šo jomu neskar</w:t>
            </w:r>
          </w:p>
        </w:tc>
      </w:tr>
    </w:tbl>
    <w:p w14:paraId="2E7C4FAA" w14:textId="77777777" w:rsidR="001F002D" w:rsidRDefault="001F002D"/>
    <w:p w14:paraId="3CF03EEF" w14:textId="69147937" w:rsidR="001F002D" w:rsidRDefault="001F002D"/>
    <w:p w14:paraId="517B11B0" w14:textId="77777777" w:rsidR="0056677F" w:rsidRDefault="0056677F"/>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675"/>
      </w:tblGrid>
      <w:tr w:rsidR="008D68DB" w14:paraId="5DD4BAC2" w14:textId="77777777">
        <w:trPr>
          <w:trHeight w:val="281"/>
        </w:trPr>
        <w:tc>
          <w:tcPr>
            <w:tcW w:w="9356" w:type="dxa"/>
            <w:gridSpan w:val="3"/>
            <w:shd w:val="clear" w:color="000000" w:fill="auto"/>
          </w:tcPr>
          <w:p w14:paraId="2FAB6880" w14:textId="77777777" w:rsidR="008D68DB" w:rsidRDefault="00DF37EA">
            <w:pPr>
              <w:jc w:val="center"/>
              <w:rPr>
                <w:b/>
              </w:rPr>
            </w:pPr>
            <w:r>
              <w:rPr>
                <w:b/>
              </w:rPr>
              <w:t>VI. Sabiedrības līdzdalība un komunikācijas aktivitātes</w:t>
            </w:r>
          </w:p>
        </w:tc>
      </w:tr>
      <w:tr w:rsidR="008D68DB" w14:paraId="4377747E" w14:textId="77777777">
        <w:trPr>
          <w:trHeight w:val="1141"/>
        </w:trPr>
        <w:tc>
          <w:tcPr>
            <w:tcW w:w="651" w:type="dxa"/>
            <w:shd w:val="clear" w:color="000000" w:fill="auto"/>
          </w:tcPr>
          <w:p w14:paraId="450D9086" w14:textId="77777777" w:rsidR="008D68DB" w:rsidRDefault="00DF37EA">
            <w:r>
              <w:t xml:space="preserve">1. </w:t>
            </w:r>
          </w:p>
        </w:tc>
        <w:tc>
          <w:tcPr>
            <w:tcW w:w="3030" w:type="dxa"/>
            <w:shd w:val="clear" w:color="000000" w:fill="auto"/>
          </w:tcPr>
          <w:p w14:paraId="346E3BAC" w14:textId="77777777" w:rsidR="008D68DB" w:rsidRDefault="00DF37EA">
            <w:pPr>
              <w:pStyle w:val="naiskr"/>
              <w:ind w:left="57" w:right="57"/>
            </w:pPr>
            <w:r>
              <w:t>Plānotās sabiedrības līdzdalības un komunikācijas aktivitātes saistībā ar projektu</w:t>
            </w:r>
          </w:p>
        </w:tc>
        <w:tc>
          <w:tcPr>
            <w:tcW w:w="5675" w:type="dxa"/>
            <w:shd w:val="clear" w:color="000000" w:fill="auto"/>
          </w:tcPr>
          <w:p w14:paraId="03F40AE8" w14:textId="3CC9684A" w:rsidR="008D68DB" w:rsidRDefault="00DF37EA">
            <w:pPr>
              <w:jc w:val="both"/>
            </w:pPr>
            <w:r>
              <w:t xml:space="preserve">Sabiedrības līdzdalība Noteikumu projekta izstrādē tika nodrošināta, 2019.gada 4.septembrī ievietojot Noteikumu projektu Labklājības ministrijas tīmekļa vietnē </w:t>
            </w:r>
            <w:hyperlink r:id="rId12" w:history="1">
              <w:r>
                <w:rPr>
                  <w:rStyle w:val="Hyperlink"/>
                  <w:color w:val="auto"/>
                  <w:sz w:val="24"/>
                  <w:szCs w:val="24"/>
                </w:rPr>
                <w:t>www.lm.gov.lv</w:t>
              </w:r>
            </w:hyperlink>
            <w:r>
              <w:t xml:space="preserve"> (</w:t>
            </w:r>
            <w:hyperlink r:id="rId13" w:history="1">
              <w:r>
                <w:rPr>
                  <w:rStyle w:val="Hyperlink"/>
                  <w:sz w:val="24"/>
                  <w:szCs w:val="24"/>
                </w:rPr>
                <w:t>http://www.lm.gov.lv/lv/aktuali/lm-dokumentu-projekti</w:t>
              </w:r>
            </w:hyperlink>
            <w:r>
              <w:t>) un aicinot sabiedrības pārstāvjus sniegt viedokli.</w:t>
            </w:r>
          </w:p>
          <w:p w14:paraId="44531C74" w14:textId="77777777" w:rsidR="008D68DB" w:rsidRDefault="008D68DB">
            <w:pPr>
              <w:jc w:val="both"/>
              <w:rPr>
                <w:color w:val="FF0000"/>
              </w:rPr>
            </w:pPr>
          </w:p>
        </w:tc>
      </w:tr>
      <w:tr w:rsidR="008D68DB" w14:paraId="1772AE3E" w14:textId="77777777">
        <w:trPr>
          <w:trHeight w:val="681"/>
        </w:trPr>
        <w:tc>
          <w:tcPr>
            <w:tcW w:w="651" w:type="dxa"/>
            <w:shd w:val="clear" w:color="000000" w:fill="auto"/>
          </w:tcPr>
          <w:p w14:paraId="58BCE442" w14:textId="77777777" w:rsidR="008D68DB" w:rsidRDefault="00DF37EA">
            <w:r>
              <w:t xml:space="preserve">2. </w:t>
            </w:r>
          </w:p>
        </w:tc>
        <w:tc>
          <w:tcPr>
            <w:tcW w:w="3030" w:type="dxa"/>
            <w:shd w:val="clear" w:color="000000" w:fill="auto"/>
          </w:tcPr>
          <w:p w14:paraId="618D93B0" w14:textId="77777777" w:rsidR="008D68DB" w:rsidRDefault="00DF37EA">
            <w:pPr>
              <w:pStyle w:val="naiskr"/>
              <w:ind w:left="57" w:right="57"/>
            </w:pPr>
            <w:r>
              <w:t xml:space="preserve">Sabiedrības līdzdalība projekta izstrādē </w:t>
            </w:r>
          </w:p>
        </w:tc>
        <w:tc>
          <w:tcPr>
            <w:tcW w:w="5675" w:type="dxa"/>
            <w:shd w:val="clear" w:color="000000" w:fill="auto"/>
          </w:tcPr>
          <w:p w14:paraId="0F67AD5E" w14:textId="77777777" w:rsidR="008D68DB" w:rsidRDefault="00DF37EA">
            <w:pPr>
              <w:jc w:val="both"/>
              <w:rPr>
                <w:i/>
                <w:color w:val="FF0000"/>
              </w:rPr>
            </w:pPr>
            <w:r>
              <w:t>Sabiedrības līdzdalības rezultātā iebildumi/komentāri netika saņemti.</w:t>
            </w:r>
          </w:p>
        </w:tc>
      </w:tr>
      <w:tr w:rsidR="008D68DB" w14:paraId="409485A1" w14:textId="77777777">
        <w:trPr>
          <w:trHeight w:val="1720"/>
        </w:trPr>
        <w:tc>
          <w:tcPr>
            <w:tcW w:w="651" w:type="dxa"/>
            <w:shd w:val="clear" w:color="000000" w:fill="auto"/>
          </w:tcPr>
          <w:p w14:paraId="259331C1" w14:textId="77777777" w:rsidR="008D68DB" w:rsidRDefault="00DF37EA">
            <w:r>
              <w:t>3.</w:t>
            </w:r>
          </w:p>
        </w:tc>
        <w:tc>
          <w:tcPr>
            <w:tcW w:w="3030" w:type="dxa"/>
            <w:shd w:val="clear" w:color="000000" w:fill="auto"/>
          </w:tcPr>
          <w:p w14:paraId="1AE8798E" w14:textId="77777777" w:rsidR="008D68DB" w:rsidRDefault="00DF37EA">
            <w:pPr>
              <w:pStyle w:val="naiskr"/>
              <w:ind w:left="57" w:right="57"/>
            </w:pPr>
            <w:r>
              <w:t xml:space="preserve">Sabiedrības līdzdalības rezultāti </w:t>
            </w:r>
          </w:p>
        </w:tc>
        <w:tc>
          <w:tcPr>
            <w:tcW w:w="5675" w:type="dxa"/>
            <w:shd w:val="clear" w:color="000000" w:fill="auto"/>
          </w:tcPr>
          <w:p w14:paraId="638BF827" w14:textId="77777777" w:rsidR="008D68DB" w:rsidRDefault="00DF37EA">
            <w:pPr>
              <w:ind w:right="57"/>
              <w:jc w:val="both"/>
            </w:pPr>
            <w:r>
              <w:t>Individuālie sabiedrības</w:t>
            </w:r>
            <w:r>
              <w:rPr>
                <w:b/>
              </w:rPr>
              <w:t xml:space="preserve"> </w:t>
            </w:r>
            <w:r>
              <w:t>locekļu vērtējumi par Noteikumu projektu nav saņemti.</w:t>
            </w:r>
          </w:p>
          <w:p w14:paraId="0BBBD985" w14:textId="77777777" w:rsidR="008D68DB" w:rsidRDefault="008D68DB">
            <w:pPr>
              <w:ind w:right="57"/>
              <w:jc w:val="both"/>
            </w:pPr>
          </w:p>
        </w:tc>
      </w:tr>
      <w:tr w:rsidR="008D68DB" w14:paraId="761CC269" w14:textId="77777777">
        <w:trPr>
          <w:trHeight w:val="578"/>
        </w:trPr>
        <w:tc>
          <w:tcPr>
            <w:tcW w:w="651" w:type="dxa"/>
            <w:shd w:val="clear" w:color="000000" w:fill="auto"/>
          </w:tcPr>
          <w:p w14:paraId="1CD741D0" w14:textId="77777777" w:rsidR="008D68DB" w:rsidRDefault="00DF37EA">
            <w:r>
              <w:t>4.</w:t>
            </w:r>
          </w:p>
        </w:tc>
        <w:tc>
          <w:tcPr>
            <w:tcW w:w="3030" w:type="dxa"/>
            <w:shd w:val="clear" w:color="000000" w:fill="auto"/>
          </w:tcPr>
          <w:p w14:paraId="0904979E" w14:textId="77777777" w:rsidR="008D68DB" w:rsidRDefault="00DF37EA">
            <w:pPr>
              <w:pStyle w:val="naiskr"/>
              <w:ind w:left="57" w:right="57"/>
            </w:pPr>
            <w:r>
              <w:t>Cita informācija</w:t>
            </w:r>
          </w:p>
          <w:p w14:paraId="10392DB7" w14:textId="77777777" w:rsidR="008D68DB" w:rsidRDefault="008D68DB">
            <w:pPr>
              <w:pStyle w:val="naiskr"/>
              <w:ind w:left="57" w:right="57"/>
            </w:pPr>
          </w:p>
        </w:tc>
        <w:tc>
          <w:tcPr>
            <w:tcW w:w="5675" w:type="dxa"/>
            <w:shd w:val="clear" w:color="000000" w:fill="auto"/>
          </w:tcPr>
          <w:p w14:paraId="7C9B8A7C" w14:textId="77777777" w:rsidR="008D68DB" w:rsidRDefault="00DF37EA">
            <w:pPr>
              <w:jc w:val="both"/>
              <w:rPr>
                <w:color w:val="000000"/>
              </w:rPr>
            </w:pPr>
            <w:r>
              <w:rPr>
                <w:color w:val="000000"/>
              </w:rPr>
              <w:t>Nav.</w:t>
            </w:r>
          </w:p>
        </w:tc>
      </w:tr>
    </w:tbl>
    <w:p w14:paraId="485B30A7" w14:textId="29399F60" w:rsidR="008D68DB" w:rsidRDefault="008D68DB">
      <w:pPr>
        <w:jc w:val="center"/>
      </w:pPr>
    </w:p>
    <w:p w14:paraId="22A3E32B" w14:textId="77777777" w:rsidR="0056677F" w:rsidRDefault="0056677F">
      <w:pPr>
        <w:jc w:val="cente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985"/>
        <w:gridCol w:w="5720"/>
      </w:tblGrid>
      <w:tr w:rsidR="008D68DB" w14:paraId="09145DF0" w14:textId="77777777">
        <w:tc>
          <w:tcPr>
            <w:tcW w:w="9356" w:type="dxa"/>
            <w:gridSpan w:val="3"/>
            <w:shd w:val="clear" w:color="000000" w:fill="auto"/>
          </w:tcPr>
          <w:p w14:paraId="6D664FE8" w14:textId="77777777" w:rsidR="008D68DB" w:rsidRDefault="00DF37EA">
            <w:pPr>
              <w:jc w:val="center"/>
              <w:rPr>
                <w:b/>
              </w:rPr>
            </w:pPr>
            <w:r>
              <w:rPr>
                <w:b/>
              </w:rPr>
              <w:t>VII. Tiesību akta projekta izpildes nodrošināšana un tās ietekme uz institūcijām</w:t>
            </w:r>
          </w:p>
        </w:tc>
      </w:tr>
      <w:tr w:rsidR="008D68DB" w14:paraId="45FC3E40" w14:textId="77777777">
        <w:tc>
          <w:tcPr>
            <w:tcW w:w="651" w:type="dxa"/>
            <w:shd w:val="clear" w:color="000000" w:fill="auto"/>
          </w:tcPr>
          <w:p w14:paraId="6D646DF7" w14:textId="77777777" w:rsidR="008D68DB" w:rsidRDefault="00DF37EA">
            <w:r>
              <w:t xml:space="preserve">1. </w:t>
            </w:r>
          </w:p>
        </w:tc>
        <w:tc>
          <w:tcPr>
            <w:tcW w:w="2985" w:type="dxa"/>
            <w:shd w:val="clear" w:color="000000" w:fill="auto"/>
          </w:tcPr>
          <w:p w14:paraId="40DB9C42" w14:textId="77777777" w:rsidR="008D68DB" w:rsidRDefault="00DF37EA">
            <w:r>
              <w:t>Projekta izpildē iesaistītās institūcijas</w:t>
            </w:r>
          </w:p>
        </w:tc>
        <w:tc>
          <w:tcPr>
            <w:tcW w:w="5720" w:type="dxa"/>
            <w:shd w:val="clear" w:color="000000" w:fill="auto"/>
          </w:tcPr>
          <w:p w14:paraId="44066FCF" w14:textId="77777777" w:rsidR="008D68DB" w:rsidRDefault="00DF37EA">
            <w:pPr>
              <w:jc w:val="both"/>
              <w:rPr>
                <w:color w:val="000000"/>
              </w:rPr>
            </w:pPr>
            <w:r>
              <w:rPr>
                <w:color w:val="000000"/>
              </w:rPr>
              <w:t>Noteikuma projekta izpildi nodrošinās Aģentūra.</w:t>
            </w:r>
          </w:p>
        </w:tc>
      </w:tr>
      <w:tr w:rsidR="008D68DB" w14:paraId="027E3A04" w14:textId="77777777">
        <w:tc>
          <w:tcPr>
            <w:tcW w:w="651" w:type="dxa"/>
            <w:shd w:val="clear" w:color="000000" w:fill="auto"/>
          </w:tcPr>
          <w:p w14:paraId="78ED0639" w14:textId="77777777" w:rsidR="008D68DB" w:rsidRDefault="00DF37EA">
            <w:r>
              <w:t xml:space="preserve">2. </w:t>
            </w:r>
          </w:p>
        </w:tc>
        <w:tc>
          <w:tcPr>
            <w:tcW w:w="2985" w:type="dxa"/>
            <w:shd w:val="clear" w:color="000000" w:fill="auto"/>
          </w:tcPr>
          <w:p w14:paraId="3814A4E7" w14:textId="77777777" w:rsidR="008D68DB" w:rsidRDefault="00DF37EA">
            <w:r>
              <w:t>Projekta izpildes ietekme uz pārvaldes funkcijām un institucionālo struktūru.</w:t>
            </w:r>
          </w:p>
          <w:p w14:paraId="0B0716DA" w14:textId="77777777" w:rsidR="008D68DB" w:rsidRDefault="00DF37EA">
            <w:r>
              <w:t xml:space="preserve">Jaunu institūciju izveide, esošu institūciju likvidācija vai reorganizācija, to </w:t>
            </w:r>
            <w:r>
              <w:lastRenderedPageBreak/>
              <w:t>ietekme uz institūcijas cilvēkresursiem</w:t>
            </w:r>
          </w:p>
        </w:tc>
        <w:tc>
          <w:tcPr>
            <w:tcW w:w="5720" w:type="dxa"/>
            <w:shd w:val="clear" w:color="000000" w:fill="auto"/>
          </w:tcPr>
          <w:p w14:paraId="2A045003" w14:textId="77777777" w:rsidR="008D68DB" w:rsidRDefault="00DF37EA">
            <w:pPr>
              <w:jc w:val="both"/>
              <w:rPr>
                <w:color w:val="000000"/>
              </w:rPr>
            </w:pPr>
            <w:r>
              <w:rPr>
                <w:color w:val="000000"/>
              </w:rPr>
              <w:lastRenderedPageBreak/>
              <w:t xml:space="preserve">Noteikumu projekts neparedz Aģentūras funkciju paplašināšanu vai sašaurināšanu, kā arī neietekmē pieejamos cilvēkresursus. </w:t>
            </w:r>
          </w:p>
        </w:tc>
      </w:tr>
      <w:tr w:rsidR="008D68DB" w14:paraId="584C5D59" w14:textId="77777777">
        <w:tc>
          <w:tcPr>
            <w:tcW w:w="651" w:type="dxa"/>
            <w:shd w:val="clear" w:color="000000" w:fill="auto"/>
          </w:tcPr>
          <w:p w14:paraId="3F846466" w14:textId="77777777" w:rsidR="008D68DB" w:rsidRDefault="00DF37EA">
            <w:r>
              <w:t xml:space="preserve">3. </w:t>
            </w:r>
          </w:p>
        </w:tc>
        <w:tc>
          <w:tcPr>
            <w:tcW w:w="2985" w:type="dxa"/>
            <w:shd w:val="clear" w:color="000000" w:fill="auto"/>
          </w:tcPr>
          <w:p w14:paraId="550C78B2" w14:textId="77777777" w:rsidR="008D68DB" w:rsidRDefault="00DF37EA">
            <w:r>
              <w:t>Cita informācija</w:t>
            </w:r>
          </w:p>
        </w:tc>
        <w:tc>
          <w:tcPr>
            <w:tcW w:w="5720" w:type="dxa"/>
            <w:shd w:val="clear" w:color="000000" w:fill="auto"/>
          </w:tcPr>
          <w:p w14:paraId="5A7F14C3" w14:textId="77777777" w:rsidR="008D68DB" w:rsidRDefault="00DF37EA">
            <w:pPr>
              <w:jc w:val="both"/>
              <w:rPr>
                <w:color w:val="000000"/>
              </w:rPr>
            </w:pPr>
            <w:r>
              <w:rPr>
                <w:color w:val="000000"/>
              </w:rPr>
              <w:t>Nav.</w:t>
            </w:r>
          </w:p>
        </w:tc>
      </w:tr>
    </w:tbl>
    <w:p w14:paraId="04A5F760" w14:textId="77777777" w:rsidR="008D68DB" w:rsidRDefault="008D68DB">
      <w:pPr>
        <w:rPr>
          <w:i/>
        </w:rPr>
      </w:pPr>
    </w:p>
    <w:p w14:paraId="6E0FE1C2" w14:textId="77777777" w:rsidR="008D68DB" w:rsidRDefault="008D68DB">
      <w:pPr>
        <w:jc w:val="center"/>
        <w:rPr>
          <w:i/>
        </w:rPr>
      </w:pPr>
    </w:p>
    <w:p w14:paraId="7254BF0B" w14:textId="77777777" w:rsidR="008D68DB" w:rsidRDefault="008D68DB"/>
    <w:p w14:paraId="3831F4AB" w14:textId="77777777" w:rsidR="008D68DB" w:rsidRDefault="008D68DB">
      <w:pPr>
        <w:jc w:val="center"/>
      </w:pPr>
    </w:p>
    <w:p w14:paraId="6F841EB5" w14:textId="77777777" w:rsidR="008D68DB" w:rsidRDefault="00DF37EA">
      <w:pPr>
        <w:ind w:firstLine="720"/>
      </w:pPr>
      <w:r>
        <w:t>Labklājības ministre</w:t>
      </w:r>
      <w:r>
        <w:tab/>
      </w:r>
      <w:r>
        <w:tab/>
      </w:r>
      <w:r>
        <w:tab/>
      </w:r>
      <w:r>
        <w:tab/>
      </w:r>
      <w:r>
        <w:tab/>
      </w:r>
      <w:r>
        <w:tab/>
        <w:t>R.Petraviča</w:t>
      </w:r>
      <w:r>
        <w:tab/>
      </w:r>
      <w:r>
        <w:tab/>
      </w:r>
    </w:p>
    <w:p w14:paraId="3A9AF6BF" w14:textId="77777777" w:rsidR="008D68DB" w:rsidRDefault="008D68DB"/>
    <w:p w14:paraId="65F8D3ED" w14:textId="77777777" w:rsidR="008D68DB" w:rsidRDefault="008D68DB"/>
    <w:p w14:paraId="15E7236F" w14:textId="77777777" w:rsidR="008D68DB" w:rsidRDefault="008D68DB"/>
    <w:p w14:paraId="5F472839" w14:textId="77777777" w:rsidR="008D68DB" w:rsidRDefault="00DF37EA">
      <w:r>
        <w:tab/>
        <w:t xml:space="preserve">                  </w:t>
      </w:r>
    </w:p>
    <w:p w14:paraId="47DEF6D0" w14:textId="77777777" w:rsidR="008D68DB" w:rsidRDefault="00DF37EA">
      <w:pPr>
        <w:rPr>
          <w:rFonts w:eastAsia="Arial" w:hAnsi="Arial"/>
          <w:sz w:val="20"/>
          <w:szCs w:val="20"/>
        </w:rPr>
      </w:pPr>
      <w:r>
        <w:rPr>
          <w:rFonts w:eastAsia="Arial" w:hAnsi="Arial"/>
          <w:sz w:val="20"/>
          <w:szCs w:val="20"/>
        </w:rPr>
        <w:t>Iljina, 67021616</w:t>
      </w:r>
    </w:p>
    <w:p w14:paraId="4FAF56D0" w14:textId="0518DA0A" w:rsidR="00CB7F04" w:rsidRDefault="00DF37EA">
      <w:pPr>
        <w:rPr>
          <w:sz w:val="20"/>
          <w:szCs w:val="20"/>
        </w:rPr>
      </w:pPr>
      <w:r>
        <w:rPr>
          <w:sz w:val="20"/>
          <w:szCs w:val="20"/>
        </w:rPr>
        <w:t xml:space="preserve">e-pasts: </w:t>
      </w:r>
      <w:hyperlink r:id="rId14" w:history="1">
        <w:r>
          <w:rPr>
            <w:rStyle w:val="Hyperlink"/>
          </w:rPr>
          <w:t>Olga.Iljina@lm.gov.lv</w:t>
        </w:r>
      </w:hyperlink>
    </w:p>
    <w:p w14:paraId="3980D668" w14:textId="77777777" w:rsidR="00CB7F04" w:rsidRPr="00CB7F04" w:rsidRDefault="00CB7F04" w:rsidP="00CB7F04">
      <w:pPr>
        <w:rPr>
          <w:sz w:val="20"/>
          <w:szCs w:val="20"/>
        </w:rPr>
      </w:pPr>
    </w:p>
    <w:p w14:paraId="1823907A" w14:textId="77777777" w:rsidR="00CB7F04" w:rsidRPr="00CB7F04" w:rsidRDefault="00CB7F04" w:rsidP="00CB7F04">
      <w:pPr>
        <w:rPr>
          <w:sz w:val="20"/>
          <w:szCs w:val="20"/>
        </w:rPr>
      </w:pPr>
    </w:p>
    <w:p w14:paraId="35159555" w14:textId="77777777" w:rsidR="00CB7F04" w:rsidRPr="00CB7F04" w:rsidRDefault="00CB7F04" w:rsidP="00CB7F04">
      <w:pPr>
        <w:rPr>
          <w:sz w:val="20"/>
          <w:szCs w:val="20"/>
        </w:rPr>
      </w:pPr>
    </w:p>
    <w:p w14:paraId="069CABAD" w14:textId="77777777" w:rsidR="00CB7F04" w:rsidRPr="00CB7F04" w:rsidRDefault="00CB7F04" w:rsidP="00CB7F04">
      <w:pPr>
        <w:rPr>
          <w:sz w:val="20"/>
          <w:szCs w:val="20"/>
        </w:rPr>
      </w:pPr>
    </w:p>
    <w:p w14:paraId="24A11F23" w14:textId="77777777" w:rsidR="00CB7F04" w:rsidRPr="00CB7F04" w:rsidRDefault="00CB7F04" w:rsidP="00CB7F04">
      <w:pPr>
        <w:rPr>
          <w:sz w:val="20"/>
          <w:szCs w:val="20"/>
        </w:rPr>
      </w:pPr>
    </w:p>
    <w:p w14:paraId="736A9924" w14:textId="77777777" w:rsidR="00CB7F04" w:rsidRPr="00CB7F04" w:rsidRDefault="00CB7F04" w:rsidP="00CB7F04">
      <w:pPr>
        <w:rPr>
          <w:sz w:val="20"/>
          <w:szCs w:val="20"/>
        </w:rPr>
      </w:pPr>
    </w:p>
    <w:p w14:paraId="221588CE" w14:textId="77777777" w:rsidR="00CB7F04" w:rsidRPr="00CB7F04" w:rsidRDefault="00CB7F04" w:rsidP="00CB7F04">
      <w:pPr>
        <w:rPr>
          <w:sz w:val="20"/>
          <w:szCs w:val="20"/>
        </w:rPr>
      </w:pPr>
    </w:p>
    <w:p w14:paraId="14DC9EB9" w14:textId="77777777" w:rsidR="00CB7F04" w:rsidRPr="00CB7F04" w:rsidRDefault="00CB7F04" w:rsidP="00CB7F04">
      <w:pPr>
        <w:rPr>
          <w:sz w:val="20"/>
          <w:szCs w:val="20"/>
        </w:rPr>
      </w:pPr>
    </w:p>
    <w:p w14:paraId="20F8047E" w14:textId="77777777" w:rsidR="00CB7F04" w:rsidRPr="00CB7F04" w:rsidRDefault="00CB7F04" w:rsidP="00CB7F04">
      <w:pPr>
        <w:rPr>
          <w:sz w:val="20"/>
          <w:szCs w:val="20"/>
        </w:rPr>
      </w:pPr>
    </w:p>
    <w:p w14:paraId="22310D55" w14:textId="77777777" w:rsidR="00CB7F04" w:rsidRPr="00CB7F04" w:rsidRDefault="00CB7F04" w:rsidP="00CB7F04">
      <w:pPr>
        <w:rPr>
          <w:sz w:val="20"/>
          <w:szCs w:val="20"/>
        </w:rPr>
      </w:pPr>
    </w:p>
    <w:p w14:paraId="015B5CF4" w14:textId="77777777" w:rsidR="00CB7F04" w:rsidRPr="00CB7F04" w:rsidRDefault="00CB7F04" w:rsidP="00CB7F04">
      <w:pPr>
        <w:rPr>
          <w:sz w:val="20"/>
          <w:szCs w:val="20"/>
        </w:rPr>
      </w:pPr>
    </w:p>
    <w:p w14:paraId="70D661AD" w14:textId="77777777" w:rsidR="00CB7F04" w:rsidRPr="00CB7F04" w:rsidRDefault="00CB7F04" w:rsidP="00CB7F04">
      <w:pPr>
        <w:rPr>
          <w:sz w:val="20"/>
          <w:szCs w:val="20"/>
        </w:rPr>
      </w:pPr>
    </w:p>
    <w:p w14:paraId="7B182489" w14:textId="77777777" w:rsidR="00CB7F04" w:rsidRPr="00CB7F04" w:rsidRDefault="00CB7F04" w:rsidP="00CB7F04">
      <w:pPr>
        <w:rPr>
          <w:sz w:val="20"/>
          <w:szCs w:val="20"/>
        </w:rPr>
      </w:pPr>
    </w:p>
    <w:p w14:paraId="4479B6A3" w14:textId="77777777" w:rsidR="00CB7F04" w:rsidRPr="00CB7F04" w:rsidRDefault="00CB7F04" w:rsidP="00CB7F04">
      <w:pPr>
        <w:rPr>
          <w:sz w:val="20"/>
          <w:szCs w:val="20"/>
        </w:rPr>
      </w:pPr>
    </w:p>
    <w:p w14:paraId="673D10D6" w14:textId="77777777" w:rsidR="00CB7F04" w:rsidRPr="00CB7F04" w:rsidRDefault="00CB7F04" w:rsidP="00CB7F04">
      <w:pPr>
        <w:rPr>
          <w:sz w:val="20"/>
          <w:szCs w:val="20"/>
        </w:rPr>
      </w:pPr>
    </w:p>
    <w:p w14:paraId="3BF513D3" w14:textId="77777777" w:rsidR="00CB7F04" w:rsidRPr="00CB7F04" w:rsidRDefault="00CB7F04" w:rsidP="00CB7F04">
      <w:pPr>
        <w:rPr>
          <w:sz w:val="20"/>
          <w:szCs w:val="20"/>
        </w:rPr>
      </w:pPr>
    </w:p>
    <w:p w14:paraId="41373137" w14:textId="77777777" w:rsidR="00CB7F04" w:rsidRPr="00CB7F04" w:rsidRDefault="00CB7F04" w:rsidP="00CB7F04">
      <w:pPr>
        <w:rPr>
          <w:sz w:val="20"/>
          <w:szCs w:val="20"/>
        </w:rPr>
      </w:pPr>
    </w:p>
    <w:p w14:paraId="170CAF17" w14:textId="77777777" w:rsidR="00CB7F04" w:rsidRPr="00CB7F04" w:rsidRDefault="00CB7F04" w:rsidP="00CB7F04">
      <w:pPr>
        <w:rPr>
          <w:sz w:val="20"/>
          <w:szCs w:val="20"/>
        </w:rPr>
      </w:pPr>
    </w:p>
    <w:p w14:paraId="6059AAE4" w14:textId="77777777" w:rsidR="00CB7F04" w:rsidRPr="00CB7F04" w:rsidRDefault="00CB7F04" w:rsidP="00CB7F04">
      <w:pPr>
        <w:rPr>
          <w:sz w:val="20"/>
          <w:szCs w:val="20"/>
        </w:rPr>
      </w:pPr>
    </w:p>
    <w:p w14:paraId="248D61DD" w14:textId="77777777" w:rsidR="00CB7F04" w:rsidRPr="00CB7F04" w:rsidRDefault="00CB7F04" w:rsidP="00CB7F04">
      <w:pPr>
        <w:rPr>
          <w:sz w:val="20"/>
          <w:szCs w:val="20"/>
        </w:rPr>
      </w:pPr>
    </w:p>
    <w:p w14:paraId="3E897170" w14:textId="77777777" w:rsidR="00CB7F04" w:rsidRPr="00CB7F04" w:rsidRDefault="00CB7F04" w:rsidP="00CB7F04">
      <w:pPr>
        <w:rPr>
          <w:sz w:val="20"/>
          <w:szCs w:val="20"/>
        </w:rPr>
      </w:pPr>
    </w:p>
    <w:p w14:paraId="25716E8E" w14:textId="39D1AB2E" w:rsidR="00CB7F04" w:rsidRDefault="00CB7F04" w:rsidP="00CB7F04">
      <w:pPr>
        <w:rPr>
          <w:sz w:val="20"/>
          <w:szCs w:val="20"/>
        </w:rPr>
      </w:pPr>
    </w:p>
    <w:p w14:paraId="0961F57B" w14:textId="77777777" w:rsidR="00CB7F04" w:rsidRPr="00CB7F04" w:rsidRDefault="00CB7F04" w:rsidP="00CB7F04">
      <w:pPr>
        <w:rPr>
          <w:sz w:val="20"/>
          <w:szCs w:val="20"/>
        </w:rPr>
      </w:pPr>
    </w:p>
    <w:p w14:paraId="3BA0E737" w14:textId="0E132184" w:rsidR="008D68DB" w:rsidRPr="00CB7F04" w:rsidRDefault="00CB7F04" w:rsidP="00CB7F04">
      <w:pPr>
        <w:tabs>
          <w:tab w:val="left" w:pos="1087"/>
        </w:tabs>
        <w:rPr>
          <w:sz w:val="20"/>
          <w:szCs w:val="20"/>
        </w:rPr>
      </w:pPr>
      <w:r>
        <w:rPr>
          <w:sz w:val="20"/>
          <w:szCs w:val="20"/>
        </w:rPr>
        <w:tab/>
      </w:r>
    </w:p>
    <w:sectPr w:rsidR="008D68DB" w:rsidRPr="00CB7F0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701" w:header="709"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8A28" w14:textId="77777777" w:rsidR="007144DB" w:rsidRDefault="007144DB">
      <w:r>
        <w:separator/>
      </w:r>
    </w:p>
  </w:endnote>
  <w:endnote w:type="continuationSeparator" w:id="0">
    <w:p w14:paraId="0EAFCA67" w14:textId="77777777" w:rsidR="007144DB" w:rsidRDefault="0071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A00002EF" w:usb1="4000207B" w:usb2="00000000" w:usb3="00000000" w:csb0="FFFFFF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HelveticaL-Book">
    <w:altName w:val="Arial Unicode MS"/>
    <w:charset w:val="00"/>
    <w:family w:val="auto"/>
    <w:pitch w:val="variable"/>
    <w:sig w:usb0="A00002EF" w:usb1="4000207B" w:usb2="00000000" w:usb3="00000000" w:csb0="FFFFFF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0498" w14:textId="77777777" w:rsidR="00607597" w:rsidRDefault="0060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5E99" w14:textId="7E4DCA19" w:rsidR="001F002D" w:rsidRDefault="001F002D">
    <w:pPr>
      <w:pStyle w:val="NormalWeb"/>
      <w:jc w:val="both"/>
    </w:pPr>
    <w:r>
      <w:t>LM</w:t>
    </w:r>
    <w:r w:rsidR="00674816">
      <w:t>a</w:t>
    </w:r>
    <w:r>
      <w:t>not_</w:t>
    </w:r>
    <w:r w:rsidR="00607597">
      <w:t>10</w:t>
    </w:r>
    <w:r>
      <w:t>0</w:t>
    </w:r>
    <w:r w:rsidR="00607597">
      <w:t>3</w:t>
    </w:r>
    <w:r w:rsidR="00674816">
      <w:t>20</w:t>
    </w:r>
    <w:r>
      <w:t>_75; Grozījumi Ministru kabineta 2011. gada 25. janvāra noteikumos Nr. 75 „Noteikumi par aktīvo nodarbinātības pasākumu un preventīvo bezdarba samazināšanas pasākumu organizēšanas un finansēšanas kārtību un pasākumu īstenotāju izvēles principiem”</w:t>
    </w:r>
  </w:p>
  <w:p w14:paraId="67BA047F" w14:textId="77777777" w:rsidR="001F002D" w:rsidRDefault="001F002D">
    <w:pPr>
      <w:pStyle w:val="Footer"/>
      <w:tabs>
        <w:tab w:val="left" w:pos="263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8FE" w14:textId="5E5FAD08" w:rsidR="001F002D" w:rsidRDefault="001F002D">
    <w:pPr>
      <w:pStyle w:val="NormalWeb"/>
      <w:jc w:val="both"/>
    </w:pPr>
    <w:r>
      <w:t>LM</w:t>
    </w:r>
    <w:r w:rsidR="00674816">
      <w:t>a</w:t>
    </w:r>
    <w:r>
      <w:t>not_</w:t>
    </w:r>
    <w:r w:rsidR="00607597">
      <w:t>10</w:t>
    </w:r>
    <w:r>
      <w:t>0</w:t>
    </w:r>
    <w:r w:rsidR="00607597">
      <w:t>3</w:t>
    </w:r>
    <w:r w:rsidR="00674816">
      <w:t>20</w:t>
    </w:r>
    <w:r>
      <w:t>_75; Grozījumi Ministru kabineta 2011. gada 25. janvāra noteikumos Nr. 75 „Noteikumi par aktīvo nodarbinātības pasākumu un preventīvo bezdarba samazināšanas pasākumu organizēšanas un finansēšanas kārtību un pasākumu īstenotāju izvēles principiem”</w:t>
    </w:r>
  </w:p>
  <w:p w14:paraId="561FBD29" w14:textId="77777777" w:rsidR="001F002D" w:rsidRDefault="001F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67DB" w14:textId="77777777" w:rsidR="007144DB" w:rsidRDefault="007144DB">
      <w:r>
        <w:separator/>
      </w:r>
    </w:p>
  </w:footnote>
  <w:footnote w:type="continuationSeparator" w:id="0">
    <w:p w14:paraId="7B6E2532" w14:textId="77777777" w:rsidR="007144DB" w:rsidRDefault="0071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61D" w14:textId="77777777"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1F002D" w:rsidRDefault="001F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715" w14:textId="77777777"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9</w:t>
    </w:r>
    <w:r>
      <w:rPr>
        <w:rStyle w:val="PageNumber"/>
      </w:rPr>
      <w:fldChar w:fldCharType="end"/>
    </w:r>
  </w:p>
  <w:p w14:paraId="679C6A5B" w14:textId="77777777" w:rsidR="001F002D" w:rsidRDefault="001F0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9C73" w14:textId="77777777" w:rsidR="00607597" w:rsidRDefault="00607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2" w15:restartNumberingAfterBreak="1">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B"/>
    <w:rsid w:val="00046C27"/>
    <w:rsid w:val="00060FD0"/>
    <w:rsid w:val="0008259D"/>
    <w:rsid w:val="000A0D09"/>
    <w:rsid w:val="000C6DDD"/>
    <w:rsid w:val="000D1041"/>
    <w:rsid w:val="000F0E16"/>
    <w:rsid w:val="00135FC1"/>
    <w:rsid w:val="001833F1"/>
    <w:rsid w:val="00195271"/>
    <w:rsid w:val="001A3EE0"/>
    <w:rsid w:val="001B498B"/>
    <w:rsid w:val="001D7053"/>
    <w:rsid w:val="001E1EA6"/>
    <w:rsid w:val="001F002D"/>
    <w:rsid w:val="001F4571"/>
    <w:rsid w:val="0020071E"/>
    <w:rsid w:val="00202E67"/>
    <w:rsid w:val="00215875"/>
    <w:rsid w:val="00241086"/>
    <w:rsid w:val="002621C3"/>
    <w:rsid w:val="00264FF1"/>
    <w:rsid w:val="00294B5A"/>
    <w:rsid w:val="002A363A"/>
    <w:rsid w:val="002B2966"/>
    <w:rsid w:val="002D51D9"/>
    <w:rsid w:val="002F3154"/>
    <w:rsid w:val="0030338D"/>
    <w:rsid w:val="00325ACA"/>
    <w:rsid w:val="003356DB"/>
    <w:rsid w:val="00351C14"/>
    <w:rsid w:val="00355E20"/>
    <w:rsid w:val="00366CD0"/>
    <w:rsid w:val="00395E92"/>
    <w:rsid w:val="00397B10"/>
    <w:rsid w:val="003A78AD"/>
    <w:rsid w:val="003C199F"/>
    <w:rsid w:val="003F224C"/>
    <w:rsid w:val="004806B4"/>
    <w:rsid w:val="004875CD"/>
    <w:rsid w:val="004940C6"/>
    <w:rsid w:val="005178A5"/>
    <w:rsid w:val="0056677F"/>
    <w:rsid w:val="005C4E5D"/>
    <w:rsid w:val="00607597"/>
    <w:rsid w:val="00615883"/>
    <w:rsid w:val="00674816"/>
    <w:rsid w:val="006820C7"/>
    <w:rsid w:val="006C1684"/>
    <w:rsid w:val="007144DB"/>
    <w:rsid w:val="007410B4"/>
    <w:rsid w:val="0077306F"/>
    <w:rsid w:val="007E07C2"/>
    <w:rsid w:val="007F5018"/>
    <w:rsid w:val="0088509C"/>
    <w:rsid w:val="008C6F7B"/>
    <w:rsid w:val="008C7396"/>
    <w:rsid w:val="008D68DB"/>
    <w:rsid w:val="008E34E9"/>
    <w:rsid w:val="00933FFC"/>
    <w:rsid w:val="0093409F"/>
    <w:rsid w:val="0094052C"/>
    <w:rsid w:val="009408D6"/>
    <w:rsid w:val="0096120B"/>
    <w:rsid w:val="00980295"/>
    <w:rsid w:val="009B3EE7"/>
    <w:rsid w:val="009F0A5D"/>
    <w:rsid w:val="00A27A59"/>
    <w:rsid w:val="00A41EEC"/>
    <w:rsid w:val="00A47E93"/>
    <w:rsid w:val="00A47FE1"/>
    <w:rsid w:val="00A54020"/>
    <w:rsid w:val="00A57DAC"/>
    <w:rsid w:val="00A61AB1"/>
    <w:rsid w:val="00A73A43"/>
    <w:rsid w:val="00A8166E"/>
    <w:rsid w:val="00A8514C"/>
    <w:rsid w:val="00A9088E"/>
    <w:rsid w:val="00AF406C"/>
    <w:rsid w:val="00AF53FF"/>
    <w:rsid w:val="00B81E64"/>
    <w:rsid w:val="00BD282E"/>
    <w:rsid w:val="00C12974"/>
    <w:rsid w:val="00C82668"/>
    <w:rsid w:val="00CB5359"/>
    <w:rsid w:val="00CB7F04"/>
    <w:rsid w:val="00CE5CA6"/>
    <w:rsid w:val="00D401E7"/>
    <w:rsid w:val="00D54EE1"/>
    <w:rsid w:val="00D573A0"/>
    <w:rsid w:val="00D611A1"/>
    <w:rsid w:val="00D82785"/>
    <w:rsid w:val="00DF37EA"/>
    <w:rsid w:val="00E52BB4"/>
    <w:rsid w:val="00E53D63"/>
    <w:rsid w:val="00E909F7"/>
    <w:rsid w:val="00EE0E83"/>
    <w:rsid w:val="00F27125"/>
    <w:rsid w:val="00F370B5"/>
    <w:rsid w:val="00F4272D"/>
    <w:rsid w:val="00F95B78"/>
    <w:rsid w:val="00FF0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13445"/>
  <w15:docId w15:val="{44E6C003-B558-4DBE-B311-BF5F470B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
    <w:name w:val="Virsraksts 1"/>
    <w:rPr>
      <w:b/>
      <w:i/>
      <w:sz w:val="24"/>
      <w:szCs w:val="24"/>
    </w:rPr>
  </w:style>
  <w:style w:type="paragraph" w:customStyle="1" w:styleId="Virsraksts2">
    <w:name w:val="Virsraksts 2"/>
    <w:rPr>
      <w:b/>
      <w:i/>
      <w:sz w:val="22"/>
      <w:szCs w:val="22"/>
    </w:rPr>
  </w:style>
  <w:style w:type="paragraph" w:customStyle="1" w:styleId="Virsraksts3">
    <w:name w:val="Virsraksts 3"/>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styleId="UnresolvedMention">
    <w:name w:val="Unresolved Mention"/>
    <w:basedOn w:val="DefaultParagraphFont"/>
    <w:semiHidden/>
    <w:unhideWhenUsed/>
    <w:rPr>
      <w:color w:val="605E5C"/>
      <w:w w:val="100"/>
      <w:sz w:val="20"/>
      <w:szCs w:val="20"/>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www.lm.gov.lv/lv/aktuali/lm-dokumentu-projekt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2542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225425" TargetMode="External"/><Relationship Id="rId14" Type="http://schemas.openxmlformats.org/officeDocument/2006/relationships/hyperlink" Target="mailto:Olga.Iljina@l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8B18-82ED-4712-A2CB-BF16E2E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30446</Words>
  <Characters>17355</Characters>
  <Application>Microsoft Office Word</Application>
  <DocSecurity>0</DocSecurity>
  <Lines>144</Lines>
  <Paragraphs>95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lastModifiedBy>Olga Iljina</cp:lastModifiedBy>
  <cp:revision>10</cp:revision>
  <cp:lastPrinted>2020-03-11T12:23:00Z</cp:lastPrinted>
  <dcterms:created xsi:type="dcterms:W3CDTF">2020-03-04T12:23:00Z</dcterms:created>
  <dcterms:modified xsi:type="dcterms:W3CDTF">2020-03-11T12:23:00Z</dcterms:modified>
</cp:coreProperties>
</file>