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36" w:rsidRPr="00C930A2" w:rsidRDefault="00A15F36" w:rsidP="00A15F36">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Ministru kabineta rīkojuma projekta “Par finanšu līdzekļu piešķiršanu no valsts budžeta programmas “Līdzekļi neparedzētiem gadījumiem”” sākotnējās ietekmes novērtējuma ziņojums (anotācija)</w:t>
      </w:r>
    </w:p>
    <w:p w:rsidR="00A15F36" w:rsidRPr="00C930A2" w:rsidRDefault="00A15F36" w:rsidP="00A15F36">
      <w:pPr>
        <w:pStyle w:val="NoSpacing"/>
        <w:jc w:val="center"/>
        <w:rPr>
          <w:rFonts w:ascii="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6"/>
        <w:gridCol w:w="6238"/>
      </w:tblGrid>
      <w:tr w:rsidR="00A15F36" w:rsidRPr="00C930A2" w:rsidTr="005E33F0">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A15F36" w:rsidRPr="00C930A2" w:rsidRDefault="00A15F36" w:rsidP="00E9621B">
            <w:pPr>
              <w:spacing w:before="100" w:beforeAutospacing="1" w:after="100" w:afterAutospacing="1" w:line="293" w:lineRule="atLeast"/>
              <w:jc w:val="center"/>
              <w:rPr>
                <w:b/>
                <w:bCs/>
              </w:rPr>
            </w:pPr>
            <w:r w:rsidRPr="00C930A2">
              <w:rPr>
                <w:b/>
                <w:bCs/>
              </w:rPr>
              <w:t>Tiesību akta projekta anotācijas kopsavilkums</w:t>
            </w:r>
          </w:p>
        </w:tc>
      </w:tr>
      <w:tr w:rsidR="00A15F36" w:rsidRPr="00C930A2" w:rsidTr="005E33F0">
        <w:trPr>
          <w:trHeight w:val="324"/>
        </w:trPr>
        <w:tc>
          <w:tcPr>
            <w:tcW w:w="1615" w:type="pct"/>
            <w:tcBorders>
              <w:top w:val="outset" w:sz="6" w:space="0" w:color="414142"/>
              <w:left w:val="outset" w:sz="6" w:space="0" w:color="414142"/>
              <w:bottom w:val="outset" w:sz="6" w:space="0" w:color="414142"/>
              <w:right w:val="outset" w:sz="6" w:space="0" w:color="414142"/>
            </w:tcBorders>
            <w:hideMark/>
          </w:tcPr>
          <w:p w:rsidR="00A15F36" w:rsidRPr="00C930A2" w:rsidRDefault="00A15F36" w:rsidP="00E9621B">
            <w:pPr>
              <w:spacing w:before="100" w:beforeAutospacing="1" w:after="100" w:afterAutospacing="1" w:line="293" w:lineRule="atLeast"/>
              <w:rPr>
                <w:iCs/>
              </w:rPr>
            </w:pPr>
            <w:r w:rsidRPr="00C930A2">
              <w:rPr>
                <w:iCs/>
              </w:rPr>
              <w:t>Mērķis, risinājums un projekta spēkā stāšanās laiks (500 zīmes bez atstarpēm)</w:t>
            </w:r>
          </w:p>
        </w:tc>
        <w:tc>
          <w:tcPr>
            <w:tcW w:w="3385" w:type="pct"/>
            <w:tcBorders>
              <w:top w:val="outset" w:sz="6" w:space="0" w:color="414142"/>
              <w:left w:val="outset" w:sz="6" w:space="0" w:color="414142"/>
              <w:bottom w:val="outset" w:sz="6" w:space="0" w:color="414142"/>
              <w:right w:val="outset" w:sz="6" w:space="0" w:color="414142"/>
            </w:tcBorders>
          </w:tcPr>
          <w:p w:rsidR="00A15F36" w:rsidRPr="00C930A2" w:rsidRDefault="00A15F36" w:rsidP="00E9621B">
            <w:pPr>
              <w:pStyle w:val="tv213"/>
              <w:tabs>
                <w:tab w:val="left" w:pos="0"/>
              </w:tabs>
              <w:spacing w:before="0" w:beforeAutospacing="0" w:after="0" w:afterAutospacing="0"/>
              <w:ind w:left="57"/>
              <w:jc w:val="both"/>
              <w:rPr>
                <w:iCs/>
              </w:rPr>
            </w:pPr>
            <w:r w:rsidRPr="00C930A2">
              <w:rPr>
                <w:iCs/>
              </w:rPr>
              <w:t>Saskaņā ar Ministru kabineta 2009.gada 15</w:t>
            </w:r>
            <w:r>
              <w:rPr>
                <w:iCs/>
              </w:rPr>
              <w:t>.</w:t>
            </w:r>
            <w:r w:rsidRPr="00C930A2">
              <w:rPr>
                <w:iCs/>
              </w:rPr>
              <w:t>decembra instrukcijas Nr.19 "Tiesību akta projekta sākotnējās ietekmes izvērtēšanas kārtība" 5.1 apakšpunktu anotācijas kopsavilkums nav aizpildāms.</w:t>
            </w:r>
          </w:p>
        </w:tc>
      </w:tr>
    </w:tbl>
    <w:p w:rsidR="00A15F36" w:rsidRPr="00C930A2" w:rsidRDefault="00A15F36" w:rsidP="00A15F36">
      <w:pPr>
        <w:pStyle w:val="NoSpacing"/>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426"/>
        <w:gridCol w:w="3118"/>
        <w:gridCol w:w="5670"/>
      </w:tblGrid>
      <w:tr w:rsidR="00A15F36" w:rsidRPr="00C930A2" w:rsidTr="004A3EF6">
        <w:tc>
          <w:tcPr>
            <w:tcW w:w="9214" w:type="dxa"/>
            <w:gridSpan w:val="3"/>
          </w:tcPr>
          <w:p w:rsidR="00A15F36" w:rsidRPr="00C930A2" w:rsidRDefault="00A15F36" w:rsidP="00E9621B">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A15F36" w:rsidRPr="00C930A2" w:rsidTr="004A3EF6">
        <w:tc>
          <w:tcPr>
            <w:tcW w:w="426" w:type="dxa"/>
          </w:tcPr>
          <w:p w:rsidR="00A15F36" w:rsidRPr="00C930A2" w:rsidRDefault="00A15F36" w:rsidP="004A3EF6">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118"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5670" w:type="dxa"/>
          </w:tcPr>
          <w:p w:rsidR="00A15F36" w:rsidRPr="00C930A2" w:rsidRDefault="00A15F36" w:rsidP="00E9621B">
            <w:pPr>
              <w:pStyle w:val="NoSpacing"/>
              <w:ind w:left="33"/>
              <w:jc w:val="both"/>
              <w:rPr>
                <w:rFonts w:ascii="Times New Roman" w:eastAsia="Times New Roman" w:hAnsi="Times New Roman" w:cs="Times New Roman"/>
                <w:sz w:val="24"/>
                <w:szCs w:val="24"/>
                <w:shd w:val="clear" w:color="auto" w:fill="FFFFFF"/>
                <w:lang w:eastAsia="lv-LV"/>
              </w:rPr>
            </w:pPr>
            <w:r w:rsidRPr="00F11E9C">
              <w:rPr>
                <w:rFonts w:ascii="Times New Roman" w:eastAsia="Times New Roman" w:hAnsi="Times New Roman" w:cs="Times New Roman"/>
                <w:iCs/>
                <w:sz w:val="24"/>
                <w:szCs w:val="24"/>
                <w:lang w:eastAsia="lv-LV"/>
              </w:rPr>
              <w:t xml:space="preserve">2020.gada </w:t>
            </w:r>
            <w:r>
              <w:rPr>
                <w:rFonts w:ascii="Times New Roman" w:eastAsia="Times New Roman" w:hAnsi="Times New Roman" w:cs="Times New Roman"/>
                <w:iCs/>
                <w:sz w:val="24"/>
                <w:szCs w:val="24"/>
                <w:lang w:eastAsia="lv-LV"/>
              </w:rPr>
              <w:t xml:space="preserve">14.maija </w:t>
            </w:r>
            <w:r w:rsidRPr="00F11E9C">
              <w:rPr>
                <w:rFonts w:ascii="Times New Roman" w:eastAsia="Times New Roman" w:hAnsi="Times New Roman" w:cs="Times New Roman"/>
                <w:iCs/>
                <w:sz w:val="24"/>
                <w:szCs w:val="24"/>
                <w:lang w:eastAsia="lv-LV"/>
              </w:rPr>
              <w:t>Ministru kabinetā pieņemti</w:t>
            </w:r>
            <w:r>
              <w:rPr>
                <w:rFonts w:ascii="Times New Roman" w:eastAsia="Times New Roman" w:hAnsi="Times New Roman" w:cs="Times New Roman"/>
                <w:iCs/>
                <w:sz w:val="24"/>
                <w:szCs w:val="24"/>
                <w:lang w:eastAsia="lv-LV"/>
              </w:rPr>
              <w:t>e</w:t>
            </w:r>
            <w:r w:rsidRPr="00F11E9C">
              <w:rPr>
                <w:rFonts w:ascii="Times New Roman" w:eastAsia="Times New Roman" w:hAnsi="Times New Roman" w:cs="Times New Roman"/>
                <w:iCs/>
                <w:sz w:val="24"/>
                <w:szCs w:val="24"/>
                <w:lang w:eastAsia="lv-LV"/>
              </w:rPr>
              <w:t xml:space="preserve"> Ministru kabineta noteikumi </w:t>
            </w:r>
            <w:r>
              <w:rPr>
                <w:rFonts w:ascii="Times New Roman" w:eastAsia="Times New Roman" w:hAnsi="Times New Roman" w:cs="Times New Roman"/>
                <w:iCs/>
                <w:sz w:val="24"/>
                <w:szCs w:val="24"/>
                <w:lang w:eastAsia="lv-LV"/>
              </w:rPr>
              <w:t>“</w:t>
            </w:r>
            <w:r w:rsidRPr="00907C7F">
              <w:rPr>
                <w:rFonts w:ascii="Times New Roman" w:eastAsia="Times New Roman" w:hAnsi="Times New Roman" w:cs="Times New Roman"/>
                <w:iCs/>
                <w:sz w:val="24"/>
                <w:szCs w:val="24"/>
                <w:lang w:eastAsia="lv-LV"/>
              </w:rPr>
              <w:t>Grozījums Ministru kabineta 2009.gada 22.decembra noteikumos Nr.1517 "Noteikumi par ģimenes valsts pabalstu un piemaksām pie ģimenes valsts pabalsta</w:t>
            </w:r>
            <w:r>
              <w:rPr>
                <w:rFonts w:ascii="Times New Roman" w:eastAsia="Times New Roman" w:hAnsi="Times New Roman" w:cs="Times New Roman"/>
                <w:iCs/>
                <w:sz w:val="24"/>
                <w:szCs w:val="24"/>
                <w:lang w:eastAsia="lv-LV"/>
              </w:rPr>
              <w:t>””.</w:t>
            </w:r>
          </w:p>
        </w:tc>
      </w:tr>
      <w:tr w:rsidR="00A15F36" w:rsidRPr="00C930A2" w:rsidTr="004A3EF6">
        <w:tc>
          <w:tcPr>
            <w:tcW w:w="426" w:type="dxa"/>
          </w:tcPr>
          <w:p w:rsidR="00A15F36" w:rsidRPr="00C930A2" w:rsidRDefault="00A15F36" w:rsidP="004A3EF6">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118"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A15F36" w:rsidRPr="00C930A2" w:rsidRDefault="00A15F36" w:rsidP="00E9621B">
            <w:pPr>
              <w:jc w:val="center"/>
            </w:pPr>
          </w:p>
          <w:p w:rsidR="00A15F36" w:rsidRDefault="00A15F36" w:rsidP="00E9621B"/>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Pr="00A15F36" w:rsidRDefault="00A15F36" w:rsidP="00A15F36"/>
          <w:p w:rsidR="00A15F36" w:rsidRDefault="00A15F36" w:rsidP="00A15F36"/>
          <w:p w:rsidR="00A15F36" w:rsidRPr="00A15F36" w:rsidRDefault="00A15F36" w:rsidP="00A15F36"/>
          <w:p w:rsidR="00A15F36" w:rsidRPr="00A15F36" w:rsidRDefault="00A15F36" w:rsidP="00A15F36">
            <w:pPr>
              <w:ind w:firstLine="720"/>
            </w:pPr>
          </w:p>
        </w:tc>
        <w:tc>
          <w:tcPr>
            <w:tcW w:w="5670" w:type="dxa"/>
          </w:tcPr>
          <w:p w:rsidR="002A7510" w:rsidRDefault="00A15F36" w:rsidP="00A15F36">
            <w:pPr>
              <w:pStyle w:val="tv213"/>
              <w:tabs>
                <w:tab w:val="left" w:pos="709"/>
                <w:tab w:val="left" w:pos="993"/>
              </w:tabs>
              <w:spacing w:before="0" w:beforeAutospacing="0" w:after="120" w:afterAutospacing="0"/>
              <w:jc w:val="both"/>
              <w:rPr>
                <w:iCs/>
              </w:rPr>
            </w:pPr>
            <w:r w:rsidRPr="00957442">
              <w:t>Šī gada 14.maij</w:t>
            </w:r>
            <w:r w:rsidR="00EC43F4">
              <w:t xml:space="preserve">a </w:t>
            </w:r>
            <w:r w:rsidRPr="00957442">
              <w:t>Ministru kabinet</w:t>
            </w:r>
            <w:r w:rsidR="00EC43F4">
              <w:t xml:space="preserve">a sēdē </w:t>
            </w:r>
            <w:r w:rsidR="00F96C77">
              <w:t xml:space="preserve">pieņemti </w:t>
            </w:r>
            <w:r w:rsidRPr="00957442">
              <w:t>Ministru kabineta noteikum</w:t>
            </w:r>
            <w:r w:rsidR="00F96C77">
              <w:t>i</w:t>
            </w:r>
            <w:r w:rsidR="00C15A93">
              <w:t xml:space="preserve"> </w:t>
            </w:r>
            <w:r w:rsidRPr="00957442">
              <w:rPr>
                <w:iCs/>
              </w:rPr>
              <w:t>“Grozījums Ministru kabineta 2009.gada 22.decembra noteikumos Nr.1517 "Noteikumi par ģimenes valsts pabalstu un piemaksām pie ģimenes valsts pabalsta””</w:t>
            </w:r>
            <w:r w:rsidR="002A7510">
              <w:rPr>
                <w:iCs/>
              </w:rPr>
              <w:t xml:space="preserve"> (turpmāk – MK noteikumi </w:t>
            </w:r>
            <w:r w:rsidR="00EB69BB">
              <w:rPr>
                <w:iCs/>
              </w:rPr>
              <w:t>N</w:t>
            </w:r>
            <w:r w:rsidR="002A7510">
              <w:rPr>
                <w:iCs/>
              </w:rPr>
              <w:t>r.1517</w:t>
            </w:r>
            <w:r w:rsidR="00EB69BB">
              <w:rPr>
                <w:iCs/>
              </w:rPr>
              <w:t>)</w:t>
            </w:r>
            <w:r w:rsidRPr="00957442">
              <w:rPr>
                <w:iCs/>
              </w:rPr>
              <w:t>, k</w:t>
            </w:r>
            <w:r w:rsidR="00C15A93">
              <w:rPr>
                <w:iCs/>
              </w:rPr>
              <w:t>ur</w:t>
            </w:r>
            <w:r w:rsidR="00054614">
              <w:rPr>
                <w:iCs/>
              </w:rPr>
              <w:t>i</w:t>
            </w:r>
            <w:r w:rsidRPr="00957442">
              <w:rPr>
                <w:iCs/>
              </w:rPr>
              <w:t xml:space="preserve"> tika izstrādāt</w:t>
            </w:r>
            <w:r w:rsidR="00682DA5">
              <w:rPr>
                <w:iCs/>
              </w:rPr>
              <w:t>i</w:t>
            </w:r>
            <w:bookmarkStart w:id="0" w:name="_GoBack"/>
            <w:bookmarkEnd w:id="0"/>
            <w:r w:rsidRPr="00957442">
              <w:rPr>
                <w:iCs/>
              </w:rPr>
              <w:t>,</w:t>
            </w:r>
            <w:r w:rsidRPr="00957442">
              <w:rPr>
                <w:bCs/>
                <w:shd w:val="clear" w:color="auto" w:fill="FFFFFF"/>
              </w:rPr>
              <w:t xml:space="preserve"> </w:t>
            </w:r>
            <w:r w:rsidR="002A7510" w:rsidRPr="002A7510">
              <w:rPr>
                <w:iCs/>
              </w:rPr>
              <w:t xml:space="preserve">lai sniegtu  papildu finansiālo atbalstu ģimenēm, kuras audzina bērnu ar invaliditāti, laikā, kad visā valstī izsludinātās ārkārtējās situācijas dēļ sakarā ar Covid-19 izplatību ir noteikti vairāki valsts līmeņa ierobežojumi, t.sk. slēgtas izglītības iestādes, dienas aprūpes centri, kā arī ir ierobežota ārstniecības pakalpojumu pieejamība. </w:t>
            </w:r>
            <w:r w:rsidR="002A7510">
              <w:rPr>
                <w:iCs/>
              </w:rPr>
              <w:t>MK noteikum</w:t>
            </w:r>
            <w:r w:rsidR="00C15A93">
              <w:rPr>
                <w:iCs/>
              </w:rPr>
              <w:t>u</w:t>
            </w:r>
            <w:r w:rsidR="002A7510">
              <w:rPr>
                <w:iCs/>
              </w:rPr>
              <w:t xml:space="preserve"> Nr.1517</w:t>
            </w:r>
            <w:r w:rsidR="002A7510" w:rsidRPr="002A7510">
              <w:rPr>
                <w:iCs/>
              </w:rPr>
              <w:t xml:space="preserve"> </w:t>
            </w:r>
            <w:r w:rsidR="00C15A93">
              <w:rPr>
                <w:iCs/>
              </w:rPr>
              <w:t xml:space="preserve">grozījums </w:t>
            </w:r>
            <w:r w:rsidR="002A7510" w:rsidRPr="002A7510">
              <w:rPr>
                <w:iCs/>
              </w:rPr>
              <w:t xml:space="preserve">paredz personām, kurām </w:t>
            </w:r>
            <w:r w:rsidR="002A7510">
              <w:rPr>
                <w:iCs/>
              </w:rPr>
              <w:t xml:space="preserve">ārkārtējās situācijas laikā </w:t>
            </w:r>
            <w:r w:rsidR="002A7510" w:rsidRPr="002A7510">
              <w:rPr>
                <w:iCs/>
              </w:rPr>
              <w:t>ir tiesības uz piemaksu pie ģimenes valsts pabalsta par bērnu invalīdu, izmaksāt vienreizēju piemaksu</w:t>
            </w:r>
            <w:r w:rsidR="00C15A93">
              <w:rPr>
                <w:iCs/>
              </w:rPr>
              <w:t xml:space="preserve"> 150 </w:t>
            </w:r>
            <w:r w:rsidR="00C15A93" w:rsidRPr="00C15A93">
              <w:rPr>
                <w:i/>
                <w:iCs/>
              </w:rPr>
              <w:t xml:space="preserve">euro </w:t>
            </w:r>
            <w:r w:rsidR="00C15A93">
              <w:rPr>
                <w:iCs/>
              </w:rPr>
              <w:t>apmērā.</w:t>
            </w:r>
            <w:r w:rsidR="002A7510">
              <w:rPr>
                <w:iCs/>
              </w:rPr>
              <w:t xml:space="preserve"> </w:t>
            </w:r>
          </w:p>
          <w:p w:rsidR="003630F5" w:rsidRPr="003630F5" w:rsidRDefault="00A15F36" w:rsidP="003630F5">
            <w:pPr>
              <w:shd w:val="clear" w:color="auto" w:fill="FFFFFF" w:themeFill="background1"/>
              <w:spacing w:before="60"/>
              <w:jc w:val="both"/>
              <w:rPr>
                <w:rFonts w:eastAsiaTheme="minorHAnsi"/>
                <w:lang w:eastAsia="en-US"/>
              </w:rPr>
            </w:pPr>
            <w:r>
              <w:rPr>
                <w:iCs/>
              </w:rPr>
              <w:t xml:space="preserve">Vienreizējās piemaksas izmaksu nodrošinās </w:t>
            </w:r>
            <w:r w:rsidRPr="00957442">
              <w:rPr>
                <w:iCs/>
              </w:rPr>
              <w:t xml:space="preserve"> Valsts sociālās apdrošināšanas aģentūra.</w:t>
            </w:r>
            <w:r w:rsidR="003630F5" w:rsidRPr="003630F5">
              <w:rPr>
                <w:rFonts w:eastAsiaTheme="minorHAnsi"/>
                <w:lang w:eastAsia="en-US"/>
              </w:rPr>
              <w:t xml:space="preserve"> </w:t>
            </w:r>
            <w:r w:rsidR="003630F5">
              <w:rPr>
                <w:rFonts w:eastAsiaTheme="minorHAnsi"/>
                <w:lang w:eastAsia="en-US"/>
              </w:rPr>
              <w:t>V</w:t>
            </w:r>
            <w:r w:rsidR="003630F5" w:rsidRPr="003630F5">
              <w:rPr>
                <w:rFonts w:eastAsiaTheme="minorHAnsi"/>
                <w:lang w:eastAsia="en-US"/>
              </w:rPr>
              <w:t>ienreizējās piemaksas izmaksa tiks nodrošināta līdz 2020.gada 30.jūnijam, bet gadījumos, kad bērnam invaliditāte noteikta ārkārtējās situācijas laikā, bet informācija no Veselības un darbspēju ekspertīzes valsts komisijas par invaliditātes noteikšanu bērnam VSAA saņemta pēc 2020.gada 30.jūnija, lēmumu par vienreizējās piemaksas piešķiršanu VSAA pieņems 10 darbdienu laikā pēc informācijas saņemšanas.</w:t>
            </w:r>
          </w:p>
          <w:p w:rsidR="00A15F36" w:rsidRDefault="00A15F36" w:rsidP="004A3EF6">
            <w:pPr>
              <w:pStyle w:val="tv213"/>
              <w:tabs>
                <w:tab w:val="left" w:pos="709"/>
                <w:tab w:val="left" w:pos="993"/>
              </w:tabs>
              <w:spacing w:before="120" w:beforeAutospacing="0" w:after="120" w:afterAutospacing="0"/>
              <w:jc w:val="both"/>
            </w:pPr>
            <w:r w:rsidRPr="00957442">
              <w:t xml:space="preserve">Līdz ar to, lai nodrošinātu minētās vienreizējās piemaksas  izmaksu, ir izstrādāts projekts par līdzekļu piešķiršanu Labklājības ministrijai (VSAA), lai segtu sociālās apdrošināšanas informācijas sistēmas (SAIS) </w:t>
            </w:r>
            <w:proofErr w:type="spellStart"/>
            <w:r w:rsidRPr="00957442">
              <w:t>funkcionaliātes</w:t>
            </w:r>
            <w:proofErr w:type="spellEnd"/>
            <w:r w:rsidRPr="00957442">
              <w:t xml:space="preserve"> nodrošināšanai vienreizējo piemaksu izmaksas nodrošināšanai.</w:t>
            </w:r>
          </w:p>
          <w:p w:rsidR="00A15F36" w:rsidRPr="00957442" w:rsidRDefault="00A15F36" w:rsidP="00A15F36">
            <w:pPr>
              <w:pStyle w:val="tv213"/>
              <w:tabs>
                <w:tab w:val="left" w:pos="709"/>
                <w:tab w:val="left" w:pos="993"/>
              </w:tabs>
              <w:spacing w:before="0" w:beforeAutospacing="0" w:after="0" w:afterAutospacing="0"/>
              <w:jc w:val="both"/>
            </w:pPr>
            <w:r w:rsidRPr="00957442">
              <w:lastRenderedPageBreak/>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23 595</w:t>
            </w:r>
            <w:r w:rsidRPr="00957442">
              <w:rPr>
                <w:color w:val="000000" w:themeColor="text1"/>
              </w:rPr>
              <w:t xml:space="preserve">  </w:t>
            </w:r>
            <w:r w:rsidRPr="00957442">
              <w:rPr>
                <w:bCs/>
                <w:i/>
              </w:rPr>
              <w:t>euro</w:t>
            </w:r>
            <w:r w:rsidRPr="00957442">
              <w:t>, lai nodrošinātu Valsts sociālās apdrošināšanas aģentūras informācijas sistēmas SAIS funkcionalitāti.</w:t>
            </w:r>
          </w:p>
        </w:tc>
      </w:tr>
      <w:tr w:rsidR="00A15F36" w:rsidRPr="00C930A2" w:rsidTr="004A3EF6">
        <w:tc>
          <w:tcPr>
            <w:tcW w:w="426"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3118"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5670" w:type="dxa"/>
          </w:tcPr>
          <w:p w:rsidR="00A15F36" w:rsidRPr="00C930A2" w:rsidRDefault="00A15F36" w:rsidP="00E9621B">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r w:rsidR="00A15F36" w:rsidRPr="00C930A2" w:rsidTr="004A3EF6">
        <w:tc>
          <w:tcPr>
            <w:tcW w:w="426"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3118"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670" w:type="dxa"/>
          </w:tcPr>
          <w:p w:rsidR="00A15F36" w:rsidRPr="00C930A2" w:rsidRDefault="00A15F36" w:rsidP="00E9621B">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Pr>
                <w:rFonts w:ascii="Times New Roman" w:hAnsi="Times New Roman" w:cs="Times New Roman"/>
                <w:sz w:val="24"/>
                <w:szCs w:val="24"/>
                <w:lang w:eastAsia="lv-LV"/>
              </w:rPr>
              <w:t>.</w:t>
            </w:r>
          </w:p>
          <w:p w:rsidR="00A15F36" w:rsidRPr="00C930A2" w:rsidRDefault="00A15F36" w:rsidP="00E9621B"/>
        </w:tc>
      </w:tr>
    </w:tbl>
    <w:p w:rsidR="00A15F36" w:rsidRPr="00C930A2" w:rsidRDefault="00A15F36" w:rsidP="00A15F36">
      <w:pPr>
        <w:pStyle w:val="NoSpacing"/>
        <w:jc w:val="center"/>
        <w:rPr>
          <w:rFonts w:ascii="Times New Roman" w:hAnsi="Times New Roman" w:cs="Times New Roman"/>
          <w:sz w:val="24"/>
          <w:szCs w:val="24"/>
          <w:lang w:eastAsia="lv-LV"/>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87"/>
        <w:gridCol w:w="2194"/>
        <w:gridCol w:w="6204"/>
      </w:tblGrid>
      <w:tr w:rsidR="00A15F36" w:rsidRPr="00C930A2" w:rsidTr="004A3EF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A15F36" w:rsidRPr="00C930A2" w:rsidRDefault="00A15F36" w:rsidP="00E9621B">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A15F36" w:rsidRPr="00C930A2" w:rsidTr="004A3EF6">
        <w:trPr>
          <w:tblCellSpacing w:w="15" w:type="dxa"/>
        </w:trPr>
        <w:tc>
          <w:tcPr>
            <w:tcW w:w="370"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218" w:type="pct"/>
            <w:gridSpan w:val="2"/>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347" w:type="pct"/>
            <w:tcBorders>
              <w:top w:val="outset" w:sz="6" w:space="0" w:color="auto"/>
              <w:left w:val="outset" w:sz="6" w:space="0" w:color="auto"/>
              <w:bottom w:val="outset" w:sz="6" w:space="0" w:color="auto"/>
              <w:right w:val="outset" w:sz="6" w:space="0" w:color="auto"/>
            </w:tcBorders>
            <w:hideMark/>
          </w:tcPr>
          <w:p w:rsidR="00A15F36" w:rsidRPr="00EF2702" w:rsidRDefault="00A15F36" w:rsidP="00E9621B">
            <w:pPr>
              <w:pStyle w:val="NoSpacing"/>
              <w:jc w:val="both"/>
              <w:rPr>
                <w:rFonts w:ascii="Times New Roman" w:hAnsi="Times New Roman" w:cs="Times New Roman"/>
                <w:sz w:val="24"/>
                <w:szCs w:val="24"/>
              </w:rPr>
            </w:pPr>
            <w:r>
              <w:rPr>
                <w:rFonts w:ascii="Times New Roman" w:hAnsi="Times New Roman" w:cs="Times New Roman"/>
                <w:sz w:val="24"/>
                <w:szCs w:val="24"/>
              </w:rPr>
              <w:t>Personas</w:t>
            </w:r>
            <w:r w:rsidRPr="00957442">
              <w:rPr>
                <w:rFonts w:ascii="Times New Roman" w:hAnsi="Times New Roman" w:cs="Times New Roman"/>
                <w:sz w:val="24"/>
                <w:szCs w:val="24"/>
              </w:rPr>
              <w:t>, kur</w:t>
            </w:r>
            <w:r>
              <w:rPr>
                <w:rFonts w:ascii="Times New Roman" w:hAnsi="Times New Roman" w:cs="Times New Roman"/>
                <w:sz w:val="24"/>
                <w:szCs w:val="24"/>
              </w:rPr>
              <w:t xml:space="preserve">ām ārkārtējās situācijas laikā saistībā ar Covid-19 izplatību </w:t>
            </w:r>
            <w:r w:rsidRPr="00957442">
              <w:rPr>
                <w:rFonts w:ascii="Times New Roman" w:hAnsi="Times New Roman" w:cs="Times New Roman"/>
                <w:sz w:val="24"/>
                <w:szCs w:val="24"/>
              </w:rPr>
              <w:t>ir</w:t>
            </w:r>
            <w:r>
              <w:rPr>
                <w:rFonts w:ascii="Times New Roman" w:hAnsi="Times New Roman" w:cs="Times New Roman"/>
                <w:sz w:val="24"/>
                <w:szCs w:val="24"/>
              </w:rPr>
              <w:t xml:space="preserve"> vai bija</w:t>
            </w:r>
            <w:r w:rsidRPr="00957442">
              <w:rPr>
                <w:rFonts w:ascii="Times New Roman" w:hAnsi="Times New Roman" w:cs="Times New Roman"/>
                <w:sz w:val="24"/>
                <w:szCs w:val="24"/>
              </w:rPr>
              <w:t xml:space="preserve"> tiesības uz piemaksu pie ģimenes valsts pabalsta par bērnu invalīdu</w:t>
            </w:r>
            <w:r>
              <w:rPr>
                <w:rFonts w:ascii="Times New Roman" w:hAnsi="Times New Roman" w:cs="Times New Roman"/>
                <w:sz w:val="24"/>
                <w:szCs w:val="24"/>
              </w:rPr>
              <w:t>.</w:t>
            </w:r>
          </w:p>
        </w:tc>
      </w:tr>
      <w:tr w:rsidR="00A15F36" w:rsidRPr="00C930A2" w:rsidTr="004A3EF6">
        <w:trPr>
          <w:tblCellSpacing w:w="15" w:type="dxa"/>
        </w:trPr>
        <w:tc>
          <w:tcPr>
            <w:tcW w:w="401" w:type="pct"/>
            <w:gridSpan w:val="2"/>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186"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347"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rsidR="00A15F36" w:rsidRPr="00C930A2" w:rsidRDefault="00A15F36" w:rsidP="00E9621B">
            <w:pPr>
              <w:pStyle w:val="NoSpacing"/>
              <w:rPr>
                <w:rFonts w:ascii="Times New Roman" w:hAnsi="Times New Roman" w:cs="Times New Roman"/>
                <w:sz w:val="24"/>
                <w:szCs w:val="24"/>
              </w:rPr>
            </w:pPr>
          </w:p>
        </w:tc>
      </w:tr>
      <w:tr w:rsidR="00A15F36" w:rsidRPr="00C930A2" w:rsidTr="004A3EF6">
        <w:trPr>
          <w:tblCellSpacing w:w="15" w:type="dxa"/>
        </w:trPr>
        <w:tc>
          <w:tcPr>
            <w:tcW w:w="401" w:type="pct"/>
            <w:gridSpan w:val="2"/>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186"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347"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rsidR="00A15F36" w:rsidRPr="00C930A2" w:rsidRDefault="00A15F36" w:rsidP="00E9621B">
            <w:pPr>
              <w:pStyle w:val="NoSpacing"/>
              <w:rPr>
                <w:rFonts w:ascii="Times New Roman" w:hAnsi="Times New Roman" w:cs="Times New Roman"/>
                <w:sz w:val="24"/>
                <w:szCs w:val="24"/>
              </w:rPr>
            </w:pPr>
          </w:p>
        </w:tc>
      </w:tr>
      <w:tr w:rsidR="00A15F36" w:rsidRPr="00C930A2" w:rsidTr="004A3EF6">
        <w:trPr>
          <w:tblCellSpacing w:w="15" w:type="dxa"/>
        </w:trPr>
        <w:tc>
          <w:tcPr>
            <w:tcW w:w="401" w:type="pct"/>
            <w:gridSpan w:val="2"/>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186"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347"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A15F36" w:rsidRPr="00C930A2" w:rsidTr="004A3EF6">
        <w:trPr>
          <w:tblCellSpacing w:w="15" w:type="dxa"/>
        </w:trPr>
        <w:tc>
          <w:tcPr>
            <w:tcW w:w="401" w:type="pct"/>
            <w:gridSpan w:val="2"/>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186"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347" w:type="pct"/>
            <w:tcBorders>
              <w:top w:val="outset" w:sz="6" w:space="0" w:color="auto"/>
              <w:left w:val="outset" w:sz="6" w:space="0" w:color="auto"/>
              <w:bottom w:val="outset" w:sz="6" w:space="0" w:color="auto"/>
              <w:right w:val="outset" w:sz="6" w:space="0" w:color="auto"/>
            </w:tcBorders>
            <w:hideMark/>
          </w:tcPr>
          <w:p w:rsidR="00A15F36" w:rsidRPr="00C930A2" w:rsidRDefault="00A15F36" w:rsidP="00E9621B">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rsidR="00A15F36" w:rsidRPr="00C930A2" w:rsidRDefault="00A15F36" w:rsidP="00A15F36">
      <w:pPr>
        <w:pStyle w:val="NoSpacing"/>
        <w:jc w:val="center"/>
        <w:rPr>
          <w:rFonts w:ascii="Times New Roman" w:hAnsi="Times New Roman" w:cs="Times New Roman"/>
          <w:sz w:val="24"/>
          <w:szCs w:val="24"/>
          <w:lang w:eastAsia="lv-LV"/>
        </w:rPr>
      </w:pPr>
    </w:p>
    <w:p w:rsidR="00A15F36" w:rsidRPr="00C930A2" w:rsidRDefault="00A15F36" w:rsidP="00A15F36">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866"/>
        <w:gridCol w:w="1115"/>
        <w:gridCol w:w="868"/>
        <w:gridCol w:w="852"/>
        <w:gridCol w:w="882"/>
        <w:gridCol w:w="867"/>
        <w:gridCol w:w="1654"/>
      </w:tblGrid>
      <w:tr w:rsidR="00A15F36" w:rsidRPr="00925C92" w:rsidTr="00E9621B">
        <w:trPr>
          <w:cantSplit/>
        </w:trPr>
        <w:tc>
          <w:tcPr>
            <w:tcW w:w="9103" w:type="dxa"/>
            <w:gridSpan w:val="8"/>
            <w:shd w:val="clear" w:color="auto" w:fill="auto"/>
            <w:vAlign w:val="center"/>
            <w:hideMark/>
          </w:tcPr>
          <w:p w:rsidR="00A15F36" w:rsidRPr="00925C92" w:rsidRDefault="00A15F36" w:rsidP="00E9621B">
            <w:pPr>
              <w:jc w:val="center"/>
              <w:rPr>
                <w:rFonts w:eastAsiaTheme="minorHAnsi" w:cstheme="minorBidi"/>
                <w:b/>
                <w:lang w:eastAsia="en-US"/>
              </w:rPr>
            </w:pPr>
            <w:r w:rsidRPr="00925C92">
              <w:rPr>
                <w:rFonts w:eastAsiaTheme="minorHAnsi" w:cstheme="minorBidi"/>
                <w:b/>
                <w:lang w:eastAsia="en-US"/>
              </w:rPr>
              <w:t>III. Tiesību akta projekta ietekme uz valsts budžetu un pašvaldību budžetiem</w:t>
            </w:r>
          </w:p>
        </w:tc>
      </w:tr>
      <w:tr w:rsidR="00A15F36" w:rsidRPr="00925C92" w:rsidTr="00E9621B">
        <w:trPr>
          <w:cantSplit/>
        </w:trPr>
        <w:tc>
          <w:tcPr>
            <w:tcW w:w="1999" w:type="dxa"/>
            <w:vMerge w:val="restart"/>
            <w:shd w:val="clear" w:color="auto" w:fill="FFFFFF"/>
            <w:vAlign w:val="center"/>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Rādītāji</w:t>
            </w:r>
          </w:p>
        </w:tc>
        <w:tc>
          <w:tcPr>
            <w:tcW w:w="1981" w:type="dxa"/>
            <w:gridSpan w:val="2"/>
            <w:vMerge w:val="restart"/>
            <w:shd w:val="clear" w:color="auto" w:fill="FFFFFF"/>
            <w:vAlign w:val="center"/>
            <w:hideMark/>
          </w:tcPr>
          <w:p w:rsidR="00A15F36" w:rsidRPr="00925C92" w:rsidRDefault="00A15F36" w:rsidP="00E9621B">
            <w:pPr>
              <w:jc w:val="center"/>
              <w:rPr>
                <w:rFonts w:eastAsiaTheme="minorHAnsi" w:cstheme="minorBidi"/>
                <w:sz w:val="20"/>
                <w:szCs w:val="20"/>
                <w:lang w:eastAsia="en-US"/>
              </w:rPr>
            </w:pPr>
            <w:r w:rsidRPr="00925C92">
              <w:rPr>
                <w:rFonts w:eastAsiaTheme="minorHAnsi" w:cstheme="minorBidi"/>
                <w:sz w:val="20"/>
                <w:szCs w:val="20"/>
                <w:lang w:eastAsia="en-US"/>
              </w:rPr>
              <w:t>2020.gads</w:t>
            </w:r>
          </w:p>
        </w:tc>
        <w:tc>
          <w:tcPr>
            <w:tcW w:w="5123" w:type="dxa"/>
            <w:gridSpan w:val="5"/>
            <w:shd w:val="clear" w:color="auto" w:fill="FFFFFF"/>
            <w:vAlign w:val="center"/>
            <w:hideMark/>
          </w:tcPr>
          <w:p w:rsidR="00A15F36" w:rsidRPr="00925C92" w:rsidRDefault="00A15F36" w:rsidP="00E9621B">
            <w:pPr>
              <w:jc w:val="center"/>
              <w:rPr>
                <w:rFonts w:eastAsiaTheme="minorHAnsi" w:cstheme="minorBidi"/>
                <w:sz w:val="20"/>
                <w:szCs w:val="20"/>
                <w:lang w:eastAsia="en-US"/>
              </w:rPr>
            </w:pPr>
            <w:r w:rsidRPr="00925C92">
              <w:rPr>
                <w:rFonts w:eastAsiaTheme="minorHAnsi" w:cstheme="minorBidi"/>
                <w:sz w:val="20"/>
                <w:szCs w:val="20"/>
                <w:lang w:eastAsia="en-US"/>
              </w:rPr>
              <w:t>Turpmākie trīs gadi (</w:t>
            </w:r>
            <w:r w:rsidRPr="00925C92">
              <w:rPr>
                <w:rFonts w:eastAsiaTheme="minorHAnsi" w:cstheme="minorBidi"/>
                <w:i/>
                <w:sz w:val="20"/>
                <w:szCs w:val="20"/>
                <w:lang w:eastAsia="en-US"/>
              </w:rPr>
              <w:t>euro</w:t>
            </w:r>
            <w:r w:rsidRPr="00925C92">
              <w:rPr>
                <w:rFonts w:eastAsiaTheme="minorHAnsi" w:cstheme="minorBidi"/>
                <w:sz w:val="20"/>
                <w:szCs w:val="20"/>
                <w:lang w:eastAsia="en-US"/>
              </w:rPr>
              <w:t>)</w:t>
            </w:r>
          </w:p>
        </w:tc>
      </w:tr>
      <w:tr w:rsidR="00A15F36" w:rsidRPr="00925C92" w:rsidTr="00E9621B">
        <w:trPr>
          <w:cantSplit/>
        </w:trPr>
        <w:tc>
          <w:tcPr>
            <w:tcW w:w="1999" w:type="dxa"/>
            <w:vMerge/>
            <w:shd w:val="clear" w:color="auto" w:fill="auto"/>
            <w:vAlign w:val="center"/>
            <w:hideMark/>
          </w:tcPr>
          <w:p w:rsidR="00A15F36" w:rsidRPr="00925C92" w:rsidRDefault="00A15F36" w:rsidP="00E9621B">
            <w:pPr>
              <w:jc w:val="both"/>
              <w:rPr>
                <w:rFonts w:eastAsiaTheme="minorHAnsi" w:cstheme="minorBidi"/>
                <w:sz w:val="20"/>
                <w:szCs w:val="20"/>
                <w:lang w:eastAsia="en-US"/>
              </w:rPr>
            </w:pPr>
          </w:p>
        </w:tc>
        <w:tc>
          <w:tcPr>
            <w:tcW w:w="1981" w:type="dxa"/>
            <w:gridSpan w:val="2"/>
            <w:vMerge/>
            <w:shd w:val="clear" w:color="auto" w:fill="auto"/>
            <w:vAlign w:val="center"/>
            <w:hideMark/>
          </w:tcPr>
          <w:p w:rsidR="00A15F36" w:rsidRPr="00925C92" w:rsidRDefault="00A15F36" w:rsidP="00E9621B">
            <w:pPr>
              <w:jc w:val="both"/>
              <w:rPr>
                <w:rFonts w:eastAsiaTheme="minorHAnsi" w:cstheme="minorBidi"/>
                <w:sz w:val="20"/>
                <w:szCs w:val="20"/>
                <w:lang w:eastAsia="en-US"/>
              </w:rPr>
            </w:pPr>
          </w:p>
        </w:tc>
        <w:tc>
          <w:tcPr>
            <w:tcW w:w="1720" w:type="dxa"/>
            <w:gridSpan w:val="2"/>
            <w:shd w:val="clear" w:color="auto" w:fill="FFFFFF"/>
            <w:vAlign w:val="center"/>
            <w:hideMark/>
          </w:tcPr>
          <w:p w:rsidR="00A15F36" w:rsidRPr="00925C92" w:rsidRDefault="00A15F36" w:rsidP="00E9621B">
            <w:pPr>
              <w:jc w:val="center"/>
              <w:rPr>
                <w:rFonts w:eastAsiaTheme="minorHAnsi" w:cstheme="minorBidi"/>
                <w:sz w:val="20"/>
                <w:szCs w:val="20"/>
                <w:lang w:eastAsia="en-US"/>
              </w:rPr>
            </w:pPr>
            <w:r w:rsidRPr="00925C92">
              <w:rPr>
                <w:rFonts w:eastAsiaTheme="minorHAnsi" w:cstheme="minorBidi"/>
                <w:sz w:val="20"/>
                <w:szCs w:val="20"/>
                <w:lang w:eastAsia="en-US"/>
              </w:rPr>
              <w:t>2021</w:t>
            </w:r>
          </w:p>
        </w:tc>
        <w:tc>
          <w:tcPr>
            <w:tcW w:w="1749" w:type="dxa"/>
            <w:gridSpan w:val="2"/>
            <w:shd w:val="clear" w:color="auto" w:fill="FFFFFF"/>
            <w:vAlign w:val="center"/>
            <w:hideMark/>
          </w:tcPr>
          <w:p w:rsidR="00A15F36" w:rsidRPr="00925C92" w:rsidRDefault="00A15F36" w:rsidP="00E9621B">
            <w:pPr>
              <w:jc w:val="center"/>
              <w:rPr>
                <w:rFonts w:eastAsiaTheme="minorHAnsi" w:cstheme="minorBidi"/>
                <w:sz w:val="20"/>
                <w:szCs w:val="20"/>
                <w:lang w:eastAsia="en-US"/>
              </w:rPr>
            </w:pPr>
            <w:r w:rsidRPr="00925C92">
              <w:rPr>
                <w:rFonts w:eastAsiaTheme="minorHAnsi" w:cstheme="minorBidi"/>
                <w:sz w:val="20"/>
                <w:szCs w:val="20"/>
                <w:lang w:eastAsia="en-US"/>
              </w:rPr>
              <w:t>2022</w:t>
            </w:r>
          </w:p>
        </w:tc>
        <w:tc>
          <w:tcPr>
            <w:tcW w:w="1654" w:type="dxa"/>
            <w:shd w:val="clear" w:color="auto" w:fill="FFFFFF"/>
            <w:vAlign w:val="center"/>
            <w:hideMark/>
          </w:tcPr>
          <w:p w:rsidR="00A15F36" w:rsidRPr="00925C92" w:rsidRDefault="00A15F36" w:rsidP="00E9621B">
            <w:pPr>
              <w:jc w:val="center"/>
              <w:rPr>
                <w:rFonts w:eastAsiaTheme="minorHAnsi" w:cstheme="minorBidi"/>
                <w:sz w:val="20"/>
                <w:szCs w:val="20"/>
                <w:lang w:eastAsia="en-US"/>
              </w:rPr>
            </w:pPr>
            <w:r w:rsidRPr="00925C92">
              <w:rPr>
                <w:rFonts w:eastAsiaTheme="minorHAnsi" w:cstheme="minorBidi"/>
                <w:sz w:val="20"/>
                <w:szCs w:val="20"/>
                <w:lang w:eastAsia="en-US"/>
              </w:rPr>
              <w:t>2023</w:t>
            </w:r>
          </w:p>
        </w:tc>
      </w:tr>
      <w:tr w:rsidR="00A15F36" w:rsidRPr="00925C92" w:rsidTr="00E9621B">
        <w:trPr>
          <w:cantSplit/>
        </w:trPr>
        <w:tc>
          <w:tcPr>
            <w:tcW w:w="1999" w:type="dxa"/>
            <w:vMerge/>
            <w:shd w:val="clear" w:color="auto" w:fill="auto"/>
            <w:vAlign w:val="center"/>
            <w:hideMark/>
          </w:tcPr>
          <w:p w:rsidR="00A15F36" w:rsidRPr="00925C92" w:rsidRDefault="00A15F36" w:rsidP="00E9621B">
            <w:pPr>
              <w:jc w:val="both"/>
              <w:rPr>
                <w:rFonts w:eastAsiaTheme="minorHAnsi" w:cstheme="minorBidi"/>
                <w:sz w:val="20"/>
                <w:szCs w:val="20"/>
                <w:lang w:eastAsia="en-US"/>
              </w:rPr>
            </w:pPr>
          </w:p>
        </w:tc>
        <w:tc>
          <w:tcPr>
            <w:tcW w:w="866"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saskaņā ar valsts budžetu kārtējam gadam</w:t>
            </w:r>
          </w:p>
        </w:tc>
        <w:tc>
          <w:tcPr>
            <w:tcW w:w="1115"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saskaņā ar vidēja termiņa budžeta ietvaru</w:t>
            </w:r>
          </w:p>
        </w:tc>
        <w:tc>
          <w:tcPr>
            <w:tcW w:w="85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izmaiņas, salīdzinot ar vidēja termiņa budžeta ietvaru 2021. gadam</w:t>
            </w:r>
          </w:p>
        </w:tc>
        <w:tc>
          <w:tcPr>
            <w:tcW w:w="88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saskaņā ar vidēja termiņa budžeta ietvaru</w:t>
            </w:r>
          </w:p>
        </w:tc>
        <w:tc>
          <w:tcPr>
            <w:tcW w:w="867"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izmaiņas, salīdzinot ar vidēja termiņa budžeta ietvaru 2022. gadam</w:t>
            </w:r>
          </w:p>
        </w:tc>
        <w:tc>
          <w:tcPr>
            <w:tcW w:w="1654"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 xml:space="preserve">izmaiņas, salīdzinot ar vidēja termiņa budžeta ietvaru </w:t>
            </w:r>
            <w:r w:rsidRPr="00925C92">
              <w:rPr>
                <w:rFonts w:eastAsiaTheme="minorHAnsi" w:cstheme="minorBidi"/>
                <w:sz w:val="20"/>
                <w:szCs w:val="20"/>
                <w:lang w:eastAsia="en-US"/>
              </w:rPr>
              <w:br/>
              <w:t>2022. gadam</w:t>
            </w:r>
          </w:p>
        </w:tc>
      </w:tr>
      <w:tr w:rsidR="00A15F36" w:rsidRPr="00925C92" w:rsidTr="00E9621B">
        <w:trPr>
          <w:cantSplit/>
        </w:trPr>
        <w:tc>
          <w:tcPr>
            <w:tcW w:w="1999"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1</w:t>
            </w:r>
          </w:p>
        </w:tc>
        <w:tc>
          <w:tcPr>
            <w:tcW w:w="866"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2</w:t>
            </w:r>
          </w:p>
        </w:tc>
        <w:tc>
          <w:tcPr>
            <w:tcW w:w="1115"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3</w:t>
            </w:r>
          </w:p>
        </w:tc>
        <w:tc>
          <w:tcPr>
            <w:tcW w:w="868"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4</w:t>
            </w:r>
          </w:p>
        </w:tc>
        <w:tc>
          <w:tcPr>
            <w:tcW w:w="85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5</w:t>
            </w:r>
          </w:p>
        </w:tc>
        <w:tc>
          <w:tcPr>
            <w:tcW w:w="88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6</w:t>
            </w:r>
          </w:p>
        </w:tc>
        <w:tc>
          <w:tcPr>
            <w:tcW w:w="867"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7</w:t>
            </w:r>
          </w:p>
        </w:tc>
        <w:tc>
          <w:tcPr>
            <w:tcW w:w="1654"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8</w:t>
            </w:r>
          </w:p>
        </w:tc>
      </w:tr>
      <w:tr w:rsidR="00A15F36" w:rsidRPr="00925C92" w:rsidTr="00E9621B">
        <w:trPr>
          <w:cantSplit/>
        </w:trPr>
        <w:tc>
          <w:tcPr>
            <w:tcW w:w="1999" w:type="dxa"/>
            <w:shd w:val="clear" w:color="auto" w:fill="FFFFFF"/>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1. Budžeta ieņēmumi</w:t>
            </w:r>
          </w:p>
        </w:tc>
        <w:tc>
          <w:tcPr>
            <w:tcW w:w="866"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FFFFFF"/>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lastRenderedPageBreak/>
              <w:t>1.1. valsts pamatbudžets, tai skaitā ieņēmumi no maksas pakalpojumiem un citi pašu ieņēmumi</w:t>
            </w:r>
          </w:p>
        </w:tc>
        <w:tc>
          <w:tcPr>
            <w:tcW w:w="866"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rsidR="00A15F36" w:rsidRPr="00925C92" w:rsidRDefault="00A15F36" w:rsidP="00E9621B">
            <w:pPr>
              <w:jc w:val="both"/>
              <w:rPr>
                <w:rFonts w:eastAsiaTheme="minorHAnsi" w:cstheme="minorBidi"/>
                <w:sz w:val="20"/>
                <w:szCs w:val="20"/>
                <w:lang w:eastAsia="en-US"/>
              </w:rPr>
            </w:pPr>
            <w:r w:rsidRPr="00BE0476">
              <w:rPr>
                <w:color w:val="000000" w:themeColor="text1"/>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1.2. valsts speciālais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1.3. pašvaldību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2. Budžeta izdevumi</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hideMark/>
          </w:tcPr>
          <w:p w:rsidR="00A15F36" w:rsidRPr="00EB69BB" w:rsidRDefault="00DE41BB" w:rsidP="00E9621B">
            <w:pPr>
              <w:jc w:val="both"/>
              <w:rPr>
                <w:rFonts w:eastAsiaTheme="minorHAnsi" w:cstheme="minorBidi"/>
                <w:sz w:val="20"/>
                <w:szCs w:val="20"/>
                <w:lang w:eastAsia="en-US"/>
              </w:rPr>
            </w:pPr>
            <w:r w:rsidRPr="00EB69BB">
              <w:rPr>
                <w:sz w:val="20"/>
                <w:szCs w:val="20"/>
              </w:rPr>
              <w:t>23 595</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2.1. valsts pamatbudžets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hideMark/>
          </w:tcPr>
          <w:p w:rsidR="00A15F36" w:rsidRPr="00EB69BB" w:rsidRDefault="00DE41BB" w:rsidP="00E9621B">
            <w:pPr>
              <w:jc w:val="both"/>
              <w:rPr>
                <w:rFonts w:eastAsiaTheme="minorHAnsi" w:cstheme="minorBidi"/>
                <w:sz w:val="20"/>
                <w:szCs w:val="20"/>
                <w:lang w:eastAsia="en-US"/>
              </w:rPr>
            </w:pPr>
            <w:r w:rsidRPr="00EB69BB">
              <w:rPr>
                <w:sz w:val="20"/>
                <w:szCs w:val="20"/>
              </w:rPr>
              <w:t>23 595</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2.2. valsts speciālais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2.3. pašvaldību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3. Finansiālā ietekme</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w:t>
            </w:r>
            <w:r w:rsidR="00DE41BB" w:rsidRPr="00EB69BB">
              <w:rPr>
                <w:sz w:val="20"/>
                <w:szCs w:val="20"/>
              </w:rPr>
              <w:t>23 595</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3.1. valsts pamatbudžets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w:t>
            </w:r>
            <w:r w:rsidR="00DE41BB" w:rsidRPr="00EB69BB">
              <w:rPr>
                <w:sz w:val="20"/>
                <w:szCs w:val="20"/>
              </w:rPr>
              <w:t>23 595</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3.2. speciālais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3.3. pašvaldību budžets</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4. Finanšu līdzekļi papildu izdevumu finansēšanai (kompensējošu izdevumu samazinājumu norāda ar "+" zīmi)</w:t>
            </w:r>
          </w:p>
        </w:tc>
        <w:tc>
          <w:tcPr>
            <w:tcW w:w="866"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115" w:type="dxa"/>
            <w:shd w:val="clear" w:color="auto" w:fill="auto"/>
            <w:vAlign w:val="center"/>
            <w:hideMark/>
          </w:tcPr>
          <w:p w:rsidR="00A15F36" w:rsidRPr="00EB69BB" w:rsidRDefault="00DE41BB" w:rsidP="00E9621B">
            <w:pPr>
              <w:jc w:val="both"/>
              <w:rPr>
                <w:rFonts w:eastAsiaTheme="minorHAnsi" w:cstheme="minorBidi"/>
                <w:sz w:val="20"/>
                <w:szCs w:val="20"/>
                <w:lang w:eastAsia="en-US"/>
              </w:rPr>
            </w:pPr>
            <w:r w:rsidRPr="00EB69BB">
              <w:rPr>
                <w:sz w:val="20"/>
                <w:szCs w:val="20"/>
              </w:rPr>
              <w:t>23 595</w:t>
            </w:r>
          </w:p>
        </w:tc>
        <w:tc>
          <w:tcPr>
            <w:tcW w:w="868"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5. Precizēta finansiālā ietekme</w:t>
            </w:r>
          </w:p>
        </w:tc>
        <w:tc>
          <w:tcPr>
            <w:tcW w:w="866" w:type="dxa"/>
            <w:vMerge w:val="restart"/>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x</w:t>
            </w: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vMerge w:val="restart"/>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x</w:t>
            </w: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vMerge w:val="restart"/>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x</w:t>
            </w: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5.1. valsts pamatbudžets</w:t>
            </w:r>
          </w:p>
        </w:tc>
        <w:tc>
          <w:tcPr>
            <w:tcW w:w="866"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5.2. speciālais budžets</w:t>
            </w:r>
          </w:p>
        </w:tc>
        <w:tc>
          <w:tcPr>
            <w:tcW w:w="866"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5.3. pašvaldību budžets</w:t>
            </w:r>
          </w:p>
        </w:tc>
        <w:tc>
          <w:tcPr>
            <w:tcW w:w="866"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1115"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68"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52"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882" w:type="dxa"/>
            <w:vMerge/>
            <w:shd w:val="clear" w:color="auto" w:fill="auto"/>
            <w:vAlign w:val="center"/>
            <w:hideMark/>
          </w:tcPr>
          <w:p w:rsidR="00A15F36" w:rsidRPr="00EB69BB" w:rsidRDefault="00A15F36" w:rsidP="00E9621B">
            <w:pPr>
              <w:jc w:val="both"/>
              <w:rPr>
                <w:rFonts w:eastAsiaTheme="minorHAnsi" w:cstheme="minorBidi"/>
                <w:sz w:val="20"/>
                <w:szCs w:val="20"/>
                <w:lang w:eastAsia="en-US"/>
              </w:rPr>
            </w:pPr>
          </w:p>
        </w:tc>
        <w:tc>
          <w:tcPr>
            <w:tcW w:w="867"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c>
          <w:tcPr>
            <w:tcW w:w="1654" w:type="dxa"/>
            <w:shd w:val="clear" w:color="auto" w:fill="auto"/>
            <w:vAlign w:val="center"/>
            <w:hideMark/>
          </w:tcPr>
          <w:p w:rsidR="00A15F36" w:rsidRPr="00EB69BB" w:rsidRDefault="00A15F36" w:rsidP="00E9621B">
            <w:pPr>
              <w:jc w:val="both"/>
              <w:rPr>
                <w:rFonts w:eastAsiaTheme="minorHAnsi" w:cstheme="minorBidi"/>
                <w:sz w:val="20"/>
                <w:szCs w:val="20"/>
                <w:lang w:eastAsia="en-US"/>
              </w:rPr>
            </w:pPr>
            <w:r w:rsidRPr="00EB69BB">
              <w:rPr>
                <w:sz w:val="20"/>
                <w:szCs w:val="20"/>
              </w:rPr>
              <w:t>0</w:t>
            </w: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rsidR="00A15F36" w:rsidRPr="00EB69BB" w:rsidRDefault="00DE41BB" w:rsidP="00DE41BB">
            <w:pPr>
              <w:tabs>
                <w:tab w:val="left" w:pos="631"/>
              </w:tabs>
              <w:jc w:val="both"/>
              <w:rPr>
                <w:sz w:val="22"/>
                <w:szCs w:val="22"/>
              </w:rPr>
            </w:pPr>
            <w:r w:rsidRPr="00EB69BB">
              <w:rPr>
                <w:iCs/>
                <w:sz w:val="22"/>
                <w:szCs w:val="22"/>
              </w:rPr>
              <w:t>2020.gada 14.maija Ministru kabinetā pieņemtie Ministru kabineta noteikumi “Grozījums Ministru kabineta 2009.gada 22.decembra noteikumos Nr.1517 "Noteikumi par ģimenes valsts pabalstu un piemaksām pie ģimenes valsts pabalsta”” paredz</w:t>
            </w:r>
            <w:r w:rsidRPr="00EB69BB">
              <w:rPr>
                <w:sz w:val="22"/>
                <w:szCs w:val="22"/>
              </w:rPr>
              <w:t>, personām, kurām ārkārtējās situācijas laikā ir tiesības uz piemaksu pie ģimenes valsts pabalsta par bērnu invalīdu, izmaksāt vienreizēju piemaksu 150 euro apmērā. Minētā piemaksa tiks nodrošināta Labklājības ministrijas budžeta apakšprogrammas 20.01.00 “Valsts sociālie pabalsti” ietvaros.</w:t>
            </w:r>
          </w:p>
          <w:p w:rsidR="00DE41BB" w:rsidRPr="00EB69BB" w:rsidRDefault="00DE41BB" w:rsidP="00DE41BB">
            <w:pPr>
              <w:tabs>
                <w:tab w:val="left" w:pos="631"/>
              </w:tabs>
              <w:jc w:val="both"/>
              <w:rPr>
                <w:sz w:val="22"/>
                <w:szCs w:val="22"/>
              </w:rPr>
            </w:pPr>
          </w:p>
          <w:p w:rsidR="00DE41BB" w:rsidRPr="00EB69BB" w:rsidRDefault="00DE41BB" w:rsidP="00DE41BB">
            <w:pPr>
              <w:jc w:val="both"/>
              <w:rPr>
                <w:rFonts w:eastAsiaTheme="minorHAnsi"/>
                <w:sz w:val="22"/>
                <w:szCs w:val="22"/>
                <w:lang w:eastAsia="en-US"/>
              </w:rPr>
            </w:pPr>
            <w:r w:rsidRPr="00EB69BB">
              <w:rPr>
                <w:sz w:val="22"/>
                <w:szCs w:val="22"/>
              </w:rPr>
              <w:t xml:space="preserve">Savukārt, lai </w:t>
            </w:r>
            <w:r w:rsidRPr="00EB69BB">
              <w:rPr>
                <w:rFonts w:eastAsiaTheme="minorHAnsi"/>
                <w:sz w:val="22"/>
                <w:szCs w:val="22"/>
                <w:lang w:eastAsia="en-US"/>
              </w:rPr>
              <w:t>Valsts sociālās apdrošināšanas aģentūra nodrošinātu minētās vienreizējās piemaksas izmaksas, datu atlases un vienreizējās piemaksas piešķiršanas un izmaksas funkcionalitātes izstrādei nepieciešami papildu līdzekļi: 50 cilvēkdienas*471,90 euro/cd=23 595 euro.</w:t>
            </w:r>
          </w:p>
          <w:p w:rsidR="00DE41BB" w:rsidRPr="00EB69BB" w:rsidRDefault="00DE41BB" w:rsidP="00DE41BB">
            <w:pPr>
              <w:tabs>
                <w:tab w:val="left" w:pos="631"/>
              </w:tabs>
              <w:rPr>
                <w:sz w:val="22"/>
                <w:szCs w:val="22"/>
              </w:rPr>
            </w:pPr>
            <w:r w:rsidRPr="00EB69BB">
              <w:rPr>
                <w:rFonts w:eastAsiaTheme="minorHAnsi"/>
                <w:sz w:val="22"/>
                <w:szCs w:val="22"/>
                <w:lang w:eastAsia="en-US"/>
              </w:rPr>
              <w:t>Līdz ar to VSAA informācijas sistēmas SAIS funkcionalitātes nodrošināšanai nepieciešam</w:t>
            </w:r>
            <w:r w:rsidR="00704A28" w:rsidRPr="00EB69BB">
              <w:rPr>
                <w:rFonts w:eastAsiaTheme="minorHAnsi"/>
                <w:sz w:val="22"/>
                <w:szCs w:val="22"/>
                <w:lang w:eastAsia="en-US"/>
              </w:rPr>
              <w:t xml:space="preserve">s </w:t>
            </w:r>
            <w:r w:rsidRPr="00EB69BB">
              <w:rPr>
                <w:rFonts w:eastAsiaTheme="minorHAnsi"/>
                <w:sz w:val="22"/>
                <w:szCs w:val="22"/>
                <w:lang w:eastAsia="en-US"/>
              </w:rPr>
              <w:t>papildu</w:t>
            </w:r>
            <w:r w:rsidR="00704A28" w:rsidRPr="00EB69BB">
              <w:rPr>
                <w:rFonts w:eastAsiaTheme="minorHAnsi"/>
                <w:sz w:val="22"/>
                <w:szCs w:val="22"/>
                <w:lang w:eastAsia="en-US"/>
              </w:rPr>
              <w:t xml:space="preserve"> finansējums </w:t>
            </w:r>
            <w:r w:rsidRPr="00EB69BB">
              <w:rPr>
                <w:rFonts w:eastAsiaTheme="minorHAnsi"/>
                <w:sz w:val="22"/>
                <w:szCs w:val="22"/>
                <w:lang w:eastAsia="en-US"/>
              </w:rPr>
              <w:t>23 595 euro apmērā.</w:t>
            </w:r>
          </w:p>
          <w:p w:rsidR="00A15F36" w:rsidRPr="00EB69BB" w:rsidRDefault="00A15F36" w:rsidP="00E9621B">
            <w:pPr>
              <w:tabs>
                <w:tab w:val="left" w:pos="631"/>
              </w:tabs>
              <w:jc w:val="both"/>
              <w:rPr>
                <w:i/>
                <w:iCs/>
                <w:sz w:val="22"/>
                <w:szCs w:val="22"/>
              </w:rPr>
            </w:pPr>
          </w:p>
          <w:p w:rsidR="00A15F36" w:rsidRPr="00EB69BB" w:rsidRDefault="00A15F36" w:rsidP="00E9621B">
            <w:pPr>
              <w:ind w:firstLine="604"/>
              <w:jc w:val="both"/>
              <w:rPr>
                <w:rFonts w:eastAsiaTheme="minorHAnsi" w:cstheme="minorBidi"/>
                <w:sz w:val="22"/>
                <w:szCs w:val="22"/>
                <w:lang w:eastAsia="en-US"/>
              </w:rPr>
            </w:pP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rsidR="00A15F36" w:rsidRPr="00925C92" w:rsidRDefault="00A15F36" w:rsidP="00E9621B">
            <w:pPr>
              <w:jc w:val="both"/>
              <w:rPr>
                <w:rFonts w:eastAsiaTheme="minorHAnsi" w:cstheme="minorBidi"/>
                <w:sz w:val="20"/>
                <w:szCs w:val="20"/>
                <w:lang w:eastAsia="en-US"/>
              </w:rPr>
            </w:pPr>
          </w:p>
        </w:tc>
      </w:tr>
      <w:tr w:rsidR="00A15F36" w:rsidRPr="00925C92" w:rsidTr="00E9621B">
        <w:trPr>
          <w:cantSplit/>
        </w:trPr>
        <w:tc>
          <w:tcPr>
            <w:tcW w:w="1999" w:type="dxa"/>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6.2. detalizēts izdevumu aprēķins</w:t>
            </w:r>
          </w:p>
        </w:tc>
        <w:tc>
          <w:tcPr>
            <w:tcW w:w="7104" w:type="dxa"/>
            <w:gridSpan w:val="7"/>
            <w:vMerge/>
            <w:shd w:val="clear" w:color="auto" w:fill="auto"/>
            <w:vAlign w:val="center"/>
            <w:hideMark/>
          </w:tcPr>
          <w:p w:rsidR="00A15F36" w:rsidRPr="00925C92" w:rsidRDefault="00A15F36" w:rsidP="00E9621B">
            <w:pPr>
              <w:jc w:val="both"/>
              <w:rPr>
                <w:rFonts w:eastAsiaTheme="minorHAnsi" w:cstheme="minorBidi"/>
                <w:sz w:val="20"/>
                <w:szCs w:val="20"/>
                <w:lang w:eastAsia="en-US"/>
              </w:rPr>
            </w:pPr>
          </w:p>
        </w:tc>
      </w:tr>
      <w:tr w:rsidR="00A15F36" w:rsidRPr="00925C92" w:rsidTr="00E9621B">
        <w:trPr>
          <w:cantSplit/>
        </w:trPr>
        <w:tc>
          <w:tcPr>
            <w:tcW w:w="1999" w:type="dxa"/>
            <w:tcBorders>
              <w:bottom w:val="single" w:sz="4" w:space="0" w:color="auto"/>
            </w:tcBorders>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rsidR="00A15F36" w:rsidRPr="00925C92" w:rsidRDefault="00A15F36" w:rsidP="00E9621B">
            <w:pPr>
              <w:jc w:val="both"/>
              <w:rPr>
                <w:rFonts w:eastAsiaTheme="minorHAnsi" w:cstheme="minorBidi"/>
                <w:sz w:val="20"/>
                <w:szCs w:val="20"/>
                <w:lang w:eastAsia="en-US"/>
              </w:rPr>
            </w:pPr>
            <w:r w:rsidRPr="00925C92">
              <w:rPr>
                <w:rFonts w:eastAsiaTheme="minorHAnsi" w:cstheme="minorBidi"/>
                <w:sz w:val="20"/>
                <w:szCs w:val="20"/>
                <w:lang w:eastAsia="en-US"/>
              </w:rPr>
              <w:t>Nav</w:t>
            </w:r>
          </w:p>
        </w:tc>
      </w:tr>
      <w:tr w:rsidR="00A15F36" w:rsidRPr="00C930A2" w:rsidTr="00E9621B">
        <w:trPr>
          <w:cantSplit/>
        </w:trPr>
        <w:tc>
          <w:tcPr>
            <w:tcW w:w="1999" w:type="dxa"/>
            <w:tcBorders>
              <w:bottom w:val="single" w:sz="4" w:space="0" w:color="auto"/>
            </w:tcBorders>
            <w:shd w:val="clear" w:color="auto" w:fill="auto"/>
            <w:hideMark/>
          </w:tcPr>
          <w:p w:rsidR="00A15F36" w:rsidRPr="00925C92" w:rsidRDefault="00A15F36" w:rsidP="00E9621B">
            <w:pPr>
              <w:jc w:val="both"/>
              <w:rPr>
                <w:rFonts w:eastAsiaTheme="minorHAnsi" w:cstheme="minorBidi"/>
                <w:lang w:eastAsia="en-US"/>
              </w:rPr>
            </w:pPr>
            <w:r w:rsidRPr="00925C92">
              <w:rPr>
                <w:rFonts w:eastAsiaTheme="minorHAnsi" w:cstheme="minorBidi"/>
                <w:lang w:eastAsia="en-US"/>
              </w:rPr>
              <w:t>8. Cita informācija</w:t>
            </w:r>
          </w:p>
        </w:tc>
        <w:tc>
          <w:tcPr>
            <w:tcW w:w="7104" w:type="dxa"/>
            <w:gridSpan w:val="7"/>
            <w:tcBorders>
              <w:bottom w:val="single" w:sz="4" w:space="0" w:color="auto"/>
            </w:tcBorders>
            <w:shd w:val="clear" w:color="auto" w:fill="auto"/>
            <w:vAlign w:val="center"/>
          </w:tcPr>
          <w:p w:rsidR="00A15F36" w:rsidRPr="00925C92" w:rsidRDefault="00A15F36" w:rsidP="00E9621B">
            <w:pPr>
              <w:jc w:val="both"/>
              <w:rPr>
                <w:rFonts w:eastAsiaTheme="minorHAnsi" w:cstheme="minorBidi"/>
                <w:lang w:eastAsia="en-US"/>
              </w:rPr>
            </w:pPr>
            <w:r w:rsidRPr="006055BE">
              <w:rPr>
                <w:color w:val="000000" w:themeColor="text1"/>
              </w:rPr>
              <w:t xml:space="preserve">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w:t>
            </w:r>
          </w:p>
        </w:tc>
      </w:tr>
    </w:tbl>
    <w:p w:rsidR="00A15F36" w:rsidRPr="00C930A2" w:rsidRDefault="00A15F36" w:rsidP="00A15F36">
      <w:pPr>
        <w:pStyle w:val="NoSpacing"/>
        <w:rPr>
          <w:rFonts w:ascii="Times New Roman" w:hAnsi="Times New Roman" w:cs="Times New Roman"/>
          <w:iCs/>
          <w:sz w:val="24"/>
          <w:szCs w:val="24"/>
          <w:lang w:eastAsia="lv-LV"/>
        </w:rPr>
      </w:pPr>
    </w:p>
    <w:p w:rsidR="00A15F36" w:rsidRPr="00C930A2" w:rsidRDefault="00A15F36" w:rsidP="00A15F36">
      <w:pPr>
        <w:pStyle w:val="NoSpacing"/>
        <w:rPr>
          <w:rFonts w:ascii="Times New Roman" w:hAnsi="Times New Roman" w:cs="Times New Roman"/>
          <w:iCs/>
          <w:sz w:val="24"/>
          <w:szCs w:val="24"/>
          <w:lang w:eastAsia="lv-LV"/>
        </w:rPr>
      </w:pPr>
    </w:p>
    <w:p w:rsidR="00A15F36" w:rsidRPr="00C930A2" w:rsidRDefault="00A15F36" w:rsidP="00A15F36">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p>
        </w:tc>
      </w:tr>
    </w:tbl>
    <w:p w:rsidR="00A15F36" w:rsidRPr="00C930A2" w:rsidRDefault="00A15F36" w:rsidP="00A15F36">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p>
        </w:tc>
      </w:tr>
    </w:tbl>
    <w:p w:rsidR="00A15F36" w:rsidRPr="00C930A2" w:rsidRDefault="00A15F36" w:rsidP="00A15F36">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A15F36" w:rsidRPr="00C930A2" w:rsidTr="00E9621B">
        <w:tc>
          <w:tcPr>
            <w:tcW w:w="9356"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p>
        </w:tc>
      </w:tr>
    </w:tbl>
    <w:p w:rsidR="00A15F36" w:rsidRPr="00C930A2" w:rsidRDefault="00A15F36" w:rsidP="00A15F36">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A15F36" w:rsidRPr="00C930A2" w:rsidTr="00E9621B">
        <w:tc>
          <w:tcPr>
            <w:tcW w:w="9356" w:type="dxa"/>
            <w:gridSpan w:val="3"/>
          </w:tcPr>
          <w:p w:rsidR="00A15F36" w:rsidRPr="00C930A2" w:rsidRDefault="00A15F36" w:rsidP="00E9621B">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A15F36" w:rsidRPr="00C930A2" w:rsidTr="00E9621B">
        <w:tc>
          <w:tcPr>
            <w:tcW w:w="568"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rsidR="00A15F36" w:rsidRPr="00C930A2" w:rsidRDefault="00A15F36" w:rsidP="00E9621B">
            <w:pPr>
              <w:jc w:val="both"/>
            </w:pPr>
            <w:r w:rsidRPr="00C930A2">
              <w:t>Nav</w:t>
            </w:r>
          </w:p>
        </w:tc>
      </w:tr>
      <w:tr w:rsidR="00A15F36" w:rsidRPr="00C930A2" w:rsidTr="00E9621B">
        <w:tc>
          <w:tcPr>
            <w:tcW w:w="568"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rsidR="00A15F36" w:rsidRPr="00C930A2" w:rsidRDefault="00A15F36" w:rsidP="00E9621B">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A15F36" w:rsidRPr="00C930A2" w:rsidRDefault="00A15F36" w:rsidP="00E9621B">
            <w:r w:rsidRPr="00C930A2">
              <w:t>Projekta izpildes rezultātā nav paredzēta esoš</w:t>
            </w:r>
            <w:r w:rsidR="00EB69BB">
              <w:t xml:space="preserve">o </w:t>
            </w:r>
            <w:r w:rsidRPr="00C930A2">
              <w:t>institūciju likvidācija vai reorganizācija.</w:t>
            </w:r>
          </w:p>
        </w:tc>
      </w:tr>
      <w:tr w:rsidR="00A15F36" w:rsidRPr="00C930A2" w:rsidTr="00E9621B">
        <w:tc>
          <w:tcPr>
            <w:tcW w:w="568" w:type="dxa"/>
          </w:tcPr>
          <w:p w:rsidR="00A15F36" w:rsidRPr="00C930A2" w:rsidRDefault="00A15F36" w:rsidP="00E9621B">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rsidR="00A15F36" w:rsidRPr="00C930A2" w:rsidRDefault="00A15F36" w:rsidP="00E9621B">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rsidR="00A15F36" w:rsidRPr="00C930A2" w:rsidRDefault="00A15F36" w:rsidP="00E9621B">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rsidR="00A15F36" w:rsidRPr="00C930A2" w:rsidRDefault="00A15F36" w:rsidP="00A15F36">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rsidR="00A15F36" w:rsidRPr="00C930A2" w:rsidRDefault="00A15F36" w:rsidP="00A15F36">
      <w:pPr>
        <w:pStyle w:val="NoSpacing"/>
        <w:rPr>
          <w:rFonts w:ascii="Times New Roman" w:hAnsi="Times New Roman" w:cs="Times New Roman"/>
          <w:iCs/>
          <w:sz w:val="24"/>
          <w:szCs w:val="24"/>
          <w:lang w:eastAsia="lv-LV"/>
        </w:rPr>
      </w:pPr>
    </w:p>
    <w:p w:rsidR="00A15F36" w:rsidRPr="00C930A2" w:rsidRDefault="00A15F36" w:rsidP="00A15F36">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rsidR="00A15F36" w:rsidRPr="00C930A2" w:rsidRDefault="00A15F36" w:rsidP="00A15F36">
      <w:pPr>
        <w:pStyle w:val="NormalWeb"/>
        <w:spacing w:before="0" w:beforeAutospacing="0" w:after="0"/>
        <w:rPr>
          <w:rFonts w:eastAsia="Calibri"/>
          <w:sz w:val="28"/>
          <w:szCs w:val="28"/>
          <w:lang w:eastAsia="en-US"/>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pPr>
    </w:p>
    <w:p w:rsidR="00A15F36" w:rsidRPr="00C930A2" w:rsidRDefault="00A15F36" w:rsidP="00A15F36">
      <w:pPr>
        <w:pStyle w:val="NormalWeb"/>
        <w:spacing w:before="0" w:beforeAutospacing="0" w:after="0" w:afterAutospacing="0"/>
      </w:pPr>
    </w:p>
    <w:p w:rsidR="00A15F36" w:rsidRPr="00C930A2" w:rsidRDefault="00A15F36" w:rsidP="00A15F36">
      <w:pPr>
        <w:pStyle w:val="NormalWeb"/>
        <w:spacing w:before="0" w:beforeAutospacing="0" w:after="0" w:afterAutospacing="0"/>
      </w:pPr>
    </w:p>
    <w:p w:rsidR="00A15F36" w:rsidRPr="00FD5BD8" w:rsidRDefault="00A15F36" w:rsidP="00A15F36">
      <w:pPr>
        <w:pStyle w:val="NormalWeb"/>
        <w:spacing w:before="0" w:beforeAutospacing="0" w:after="0" w:afterAutospacing="0"/>
      </w:pPr>
    </w:p>
    <w:p w:rsidR="00A15F36" w:rsidRPr="00C930A2" w:rsidRDefault="00A15F36" w:rsidP="00A15F36">
      <w:pPr>
        <w:pStyle w:val="NormalWeb"/>
        <w:spacing w:before="0" w:beforeAutospacing="0" w:after="0" w:afterAutospacing="0"/>
      </w:pPr>
    </w:p>
    <w:p w:rsidR="00A15F36" w:rsidRPr="00C930A2" w:rsidRDefault="00A15F36" w:rsidP="00A15F36">
      <w:pPr>
        <w:pStyle w:val="NormalWeb"/>
        <w:spacing w:before="0" w:beforeAutospacing="0" w:after="0" w:afterAutospacing="0"/>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A15F36" w:rsidRPr="00C930A2" w:rsidRDefault="00A15F36" w:rsidP="00A15F36">
      <w:pPr>
        <w:pStyle w:val="NormalWeb"/>
        <w:spacing w:before="0" w:beforeAutospacing="0" w:after="0" w:afterAutospacing="0"/>
        <w:rPr>
          <w:sz w:val="20"/>
          <w:szCs w:val="20"/>
        </w:rPr>
      </w:pPr>
    </w:p>
    <w:p w:rsidR="00FE3314" w:rsidRPr="00FE3314" w:rsidRDefault="00FE3314" w:rsidP="00FE3314">
      <w:pPr>
        <w:spacing w:before="60" w:line="259" w:lineRule="auto"/>
        <w:rPr>
          <w:rFonts w:eastAsiaTheme="minorHAnsi"/>
          <w:lang w:eastAsia="en-US"/>
        </w:rPr>
      </w:pPr>
      <w:proofErr w:type="spellStart"/>
      <w:r w:rsidRPr="00FE3314">
        <w:rPr>
          <w:rFonts w:eastAsiaTheme="minorHAnsi"/>
          <w:lang w:eastAsia="en-US"/>
        </w:rPr>
        <w:t>D.Grabe</w:t>
      </w:r>
      <w:proofErr w:type="spellEnd"/>
      <w:r w:rsidR="002672B2">
        <w:rPr>
          <w:rFonts w:eastAsiaTheme="minorHAnsi"/>
          <w:lang w:eastAsia="en-US"/>
        </w:rPr>
        <w:t>,</w:t>
      </w:r>
      <w:r w:rsidRPr="00FE3314">
        <w:rPr>
          <w:rFonts w:eastAsiaTheme="minorHAnsi"/>
          <w:lang w:eastAsia="en-US"/>
        </w:rPr>
        <w:t xml:space="preserve"> 67021594</w:t>
      </w:r>
    </w:p>
    <w:p w:rsidR="00FE3314" w:rsidRPr="00FE3314" w:rsidRDefault="00FE3314" w:rsidP="00FE3314">
      <w:pPr>
        <w:spacing w:before="60" w:line="259" w:lineRule="auto"/>
        <w:rPr>
          <w:rFonts w:asciiTheme="minorHAnsi" w:eastAsiaTheme="minorHAnsi" w:hAnsiTheme="minorHAnsi" w:cstheme="minorBidi"/>
          <w:lang w:eastAsia="en-US"/>
        </w:rPr>
      </w:pPr>
      <w:r w:rsidRPr="00FE3314">
        <w:rPr>
          <w:rFonts w:eastAsiaTheme="minorHAnsi"/>
          <w:lang w:eastAsia="en-US"/>
        </w:rPr>
        <w:t>Daina.Grabe@lm.gov.lv</w:t>
      </w:r>
    </w:p>
    <w:p w:rsidR="00A507EB" w:rsidRDefault="00A507EB"/>
    <w:sectPr w:rsidR="00A507EB"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36" w:rsidRDefault="00A15F36" w:rsidP="00A15F36">
      <w:r>
        <w:separator/>
      </w:r>
    </w:p>
  </w:endnote>
  <w:endnote w:type="continuationSeparator" w:id="0">
    <w:p w:rsidR="00A15F36" w:rsidRDefault="00A15F36" w:rsidP="00A1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A4" w:rsidRPr="00770E96" w:rsidRDefault="00FE3314" w:rsidP="00770E96">
    <w:pPr>
      <w:pStyle w:val="Footer"/>
    </w:pPr>
    <w:r>
      <w:rPr>
        <w:rFonts w:ascii="Times New Roman" w:hAnsi="Times New Roman" w:cs="Times New Roman"/>
        <w:sz w:val="20"/>
        <w:szCs w:val="20"/>
      </w:rPr>
      <w:t>LManot_</w:t>
    </w:r>
    <w:r w:rsidR="00A15F36">
      <w:rPr>
        <w:rFonts w:ascii="Times New Roman" w:hAnsi="Times New Roman" w:cs="Times New Roman"/>
        <w:sz w:val="20"/>
        <w:szCs w:val="20"/>
      </w:rPr>
      <w:t>12052020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1F" w:rsidRPr="00770E96" w:rsidRDefault="00FE3314" w:rsidP="00005B1F">
    <w:pPr>
      <w:pStyle w:val="Footer"/>
    </w:pPr>
    <w:r>
      <w:rPr>
        <w:rFonts w:ascii="Times New Roman" w:hAnsi="Times New Roman" w:cs="Times New Roman"/>
        <w:sz w:val="20"/>
        <w:szCs w:val="20"/>
      </w:rPr>
      <w:t>LManot</w:t>
    </w:r>
    <w:r w:rsidR="00A15F36">
      <w:rPr>
        <w:rFonts w:ascii="Times New Roman" w:hAnsi="Times New Roman" w:cs="Times New Roman"/>
        <w:sz w:val="20"/>
        <w:szCs w:val="20"/>
      </w:rPr>
      <w:t>_12052020</w:t>
    </w:r>
  </w:p>
  <w:p w:rsidR="002074A4" w:rsidRPr="00005B1F" w:rsidRDefault="00682DA5"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36" w:rsidRDefault="00A15F36" w:rsidP="00A15F36">
      <w:r>
        <w:separator/>
      </w:r>
    </w:p>
  </w:footnote>
  <w:footnote w:type="continuationSeparator" w:id="0">
    <w:p w:rsidR="00A15F36" w:rsidRDefault="00A15F36" w:rsidP="00A1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FE33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36"/>
    <w:rsid w:val="00054614"/>
    <w:rsid w:val="002672B2"/>
    <w:rsid w:val="002A7510"/>
    <w:rsid w:val="003630F5"/>
    <w:rsid w:val="004A3EF6"/>
    <w:rsid w:val="004F214C"/>
    <w:rsid w:val="005E33F0"/>
    <w:rsid w:val="00682DA5"/>
    <w:rsid w:val="00704A28"/>
    <w:rsid w:val="00A15F36"/>
    <w:rsid w:val="00A507EB"/>
    <w:rsid w:val="00C15A93"/>
    <w:rsid w:val="00DE41BB"/>
    <w:rsid w:val="00EB69BB"/>
    <w:rsid w:val="00EC43F4"/>
    <w:rsid w:val="00F96C77"/>
    <w:rsid w:val="00FE3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088A"/>
  <w15:chartTrackingRefBased/>
  <w15:docId w15:val="{87DE033C-D7BF-4DA9-9DB4-2A19C80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F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3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5F36"/>
  </w:style>
  <w:style w:type="paragraph" w:styleId="Footer">
    <w:name w:val="footer"/>
    <w:basedOn w:val="Normal"/>
    <w:link w:val="FooterChar"/>
    <w:uiPriority w:val="99"/>
    <w:unhideWhenUsed/>
    <w:rsid w:val="00A15F3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5F36"/>
  </w:style>
  <w:style w:type="paragraph" w:styleId="NoSpacing">
    <w:name w:val="No Spacing"/>
    <w:link w:val="NoSpacingChar"/>
    <w:uiPriority w:val="1"/>
    <w:qFormat/>
    <w:rsid w:val="00A15F36"/>
    <w:pPr>
      <w:spacing w:after="0" w:line="240" w:lineRule="auto"/>
    </w:pPr>
  </w:style>
  <w:style w:type="table" w:styleId="TableGrid">
    <w:name w:val="Table Grid"/>
    <w:basedOn w:val="TableNormal"/>
    <w:uiPriority w:val="59"/>
    <w:rsid w:val="00A1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15F36"/>
  </w:style>
  <w:style w:type="paragraph" w:styleId="NormalWeb">
    <w:name w:val="Normal (Web)"/>
    <w:basedOn w:val="Normal"/>
    <w:link w:val="NormalWebChar"/>
    <w:uiPriority w:val="99"/>
    <w:rsid w:val="00A15F36"/>
    <w:pPr>
      <w:spacing w:before="100" w:beforeAutospacing="1" w:after="100" w:afterAutospacing="1"/>
    </w:pPr>
  </w:style>
  <w:style w:type="character" w:customStyle="1" w:styleId="NormalWebChar">
    <w:name w:val="Normal (Web) Char"/>
    <w:link w:val="NormalWeb"/>
    <w:uiPriority w:val="99"/>
    <w:rsid w:val="00A15F36"/>
    <w:rPr>
      <w:rFonts w:ascii="Times New Roman" w:eastAsia="Times New Roman" w:hAnsi="Times New Roman" w:cs="Times New Roman"/>
      <w:sz w:val="24"/>
      <w:szCs w:val="24"/>
      <w:lang w:eastAsia="lv-LV"/>
    </w:rPr>
  </w:style>
  <w:style w:type="paragraph" w:customStyle="1" w:styleId="tv213">
    <w:name w:val="tv213"/>
    <w:basedOn w:val="Normal"/>
    <w:rsid w:val="00A15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4856</Words>
  <Characters>2769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
  <dc:creator>Daina Grabe</dc:creator>
  <cp:keywords/>
  <dc:description>Daina.Grabe@lm.gov.lv
67021594</dc:description>
  <cp:lastModifiedBy>Daina Grabe</cp:lastModifiedBy>
  <cp:revision>13</cp:revision>
  <dcterms:created xsi:type="dcterms:W3CDTF">2020-05-12T13:07:00Z</dcterms:created>
  <dcterms:modified xsi:type="dcterms:W3CDTF">2020-05-13T06:21:00Z</dcterms:modified>
</cp:coreProperties>
</file>