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0DD" w:rsidRPr="00B750DD" w:rsidRDefault="00B750DD" w:rsidP="00B750DD">
      <w:pPr>
        <w:pStyle w:val="VPBody"/>
        <w:numPr>
          <w:ilvl w:val="0"/>
          <w:numId w:val="1"/>
        </w:numPr>
        <w:spacing w:after="0" w:line="240" w:lineRule="auto"/>
        <w:ind w:left="0" w:firstLine="709"/>
        <w:jc w:val="right"/>
        <w:rPr>
          <w:sz w:val="28"/>
          <w:szCs w:val="28"/>
        </w:rPr>
      </w:pPr>
      <w:r w:rsidRPr="00B750DD">
        <w:rPr>
          <w:sz w:val="28"/>
          <w:szCs w:val="28"/>
          <w:shd w:val="clear" w:color="auto" w:fill="FFFFFF"/>
        </w:rPr>
        <w:t>Pielikums</w:t>
      </w:r>
    </w:p>
    <w:p w:rsidR="00B750DD" w:rsidRPr="00B750DD" w:rsidRDefault="00B750DD" w:rsidP="00B750DD">
      <w:pPr>
        <w:pStyle w:val="VPBody"/>
        <w:numPr>
          <w:ilvl w:val="0"/>
          <w:numId w:val="1"/>
        </w:numPr>
        <w:spacing w:after="0" w:line="240" w:lineRule="auto"/>
        <w:jc w:val="right"/>
        <w:rPr>
          <w:sz w:val="28"/>
          <w:szCs w:val="28"/>
        </w:rPr>
      </w:pPr>
      <w:r w:rsidRPr="00B750DD">
        <w:rPr>
          <w:sz w:val="28"/>
          <w:szCs w:val="28"/>
          <w:shd w:val="clear" w:color="auto" w:fill="FFFFFF"/>
        </w:rPr>
        <w:t>Ministru kabineta</w:t>
      </w:r>
    </w:p>
    <w:p w:rsidR="00B750DD" w:rsidRPr="00B750DD" w:rsidRDefault="00B750DD" w:rsidP="00B750DD">
      <w:pPr>
        <w:pStyle w:val="VPBody"/>
        <w:numPr>
          <w:ilvl w:val="0"/>
          <w:numId w:val="1"/>
        </w:numPr>
        <w:spacing w:after="0" w:line="240" w:lineRule="auto"/>
        <w:jc w:val="right"/>
        <w:rPr>
          <w:sz w:val="28"/>
          <w:szCs w:val="28"/>
        </w:rPr>
      </w:pPr>
      <w:r w:rsidRPr="00B750DD">
        <w:rPr>
          <w:sz w:val="28"/>
          <w:szCs w:val="28"/>
          <w:shd w:val="clear" w:color="auto" w:fill="FFFFFF"/>
        </w:rPr>
        <w:t>2020.</w:t>
      </w:r>
      <w:r w:rsidRPr="00B750DD">
        <w:rPr>
          <w:sz w:val="28"/>
          <w:szCs w:val="28"/>
        </w:rPr>
        <w:t> </w:t>
      </w:r>
      <w:r w:rsidRPr="00B750DD">
        <w:rPr>
          <w:sz w:val="28"/>
          <w:szCs w:val="28"/>
          <w:shd w:val="clear" w:color="auto" w:fill="FFFFFF"/>
        </w:rPr>
        <w:t xml:space="preserve">gada </w:t>
      </w:r>
      <w:r w:rsidR="009A3EB4">
        <w:rPr>
          <w:sz w:val="28"/>
          <w:szCs w:val="28"/>
          <w:shd w:val="clear" w:color="auto" w:fill="FFFFFF"/>
        </w:rPr>
        <w:t>20</w:t>
      </w:r>
      <w:r w:rsidRPr="00B750DD">
        <w:rPr>
          <w:sz w:val="28"/>
          <w:szCs w:val="28"/>
          <w:shd w:val="clear" w:color="auto" w:fill="FFFFFF"/>
        </w:rPr>
        <w:t>.</w:t>
      </w:r>
      <w:r w:rsidRPr="00B750DD">
        <w:rPr>
          <w:sz w:val="28"/>
          <w:szCs w:val="28"/>
        </w:rPr>
        <w:t> </w:t>
      </w:r>
      <w:r w:rsidRPr="00B750DD">
        <w:rPr>
          <w:sz w:val="28"/>
          <w:szCs w:val="28"/>
          <w:shd w:val="clear" w:color="auto" w:fill="FFFFFF"/>
        </w:rPr>
        <w:t>maija</w:t>
      </w:r>
    </w:p>
    <w:p w:rsidR="0049474A" w:rsidRPr="00B750DD" w:rsidRDefault="00B750DD" w:rsidP="00B750DD">
      <w:pPr>
        <w:suppressAutoHyphens/>
        <w:spacing w:after="0" w:line="240" w:lineRule="auto"/>
        <w:jc w:val="right"/>
        <w:rPr>
          <w:rFonts w:ascii="Times New Roman" w:eastAsia="Times New Roman" w:hAnsi="Times New Roman" w:cs="Times New Roman"/>
          <w:sz w:val="28"/>
          <w:szCs w:val="28"/>
          <w:shd w:val="clear" w:color="auto" w:fill="FFFFFF"/>
          <w:lang w:eastAsia="zh-CN"/>
        </w:rPr>
      </w:pPr>
      <w:r w:rsidRPr="00B750DD">
        <w:rPr>
          <w:rFonts w:ascii="Times New Roman" w:hAnsi="Times New Roman" w:cs="Times New Roman"/>
          <w:sz w:val="28"/>
          <w:szCs w:val="28"/>
          <w:shd w:val="clear" w:color="auto" w:fill="FFFFFF"/>
        </w:rPr>
        <w:t>rīkojumam Nr.</w:t>
      </w:r>
      <w:r w:rsidRPr="00B750DD">
        <w:rPr>
          <w:rFonts w:ascii="Times New Roman" w:hAnsi="Times New Roman" w:cs="Times New Roman"/>
          <w:sz w:val="28"/>
          <w:szCs w:val="28"/>
        </w:rPr>
        <w:t> </w:t>
      </w:r>
      <w:r w:rsidR="009A3EB4">
        <w:rPr>
          <w:rFonts w:ascii="Times New Roman" w:hAnsi="Times New Roman" w:cs="Times New Roman"/>
          <w:sz w:val="28"/>
          <w:szCs w:val="28"/>
        </w:rPr>
        <w:t>275</w:t>
      </w:r>
      <w:bookmarkStart w:id="0" w:name="_GoBack"/>
      <w:bookmarkEnd w:id="0"/>
    </w:p>
    <w:p w:rsidR="0049474A" w:rsidRPr="0049474A" w:rsidRDefault="0049474A" w:rsidP="0049474A">
      <w:pPr>
        <w:pStyle w:val="VPBody"/>
        <w:numPr>
          <w:ilvl w:val="0"/>
          <w:numId w:val="1"/>
        </w:numPr>
        <w:spacing w:after="0" w:line="240" w:lineRule="auto"/>
        <w:ind w:left="0" w:firstLine="709"/>
        <w:jc w:val="right"/>
        <w:rPr>
          <w:sz w:val="28"/>
          <w:szCs w:val="28"/>
        </w:rPr>
      </w:pPr>
    </w:p>
    <w:p w:rsidR="0049474A" w:rsidRPr="00A9448D" w:rsidRDefault="0049474A" w:rsidP="0049474A">
      <w:pPr>
        <w:pStyle w:val="VPBody"/>
        <w:numPr>
          <w:ilvl w:val="0"/>
          <w:numId w:val="1"/>
        </w:numPr>
        <w:spacing w:after="0" w:line="240" w:lineRule="auto"/>
        <w:ind w:left="0" w:firstLine="709"/>
        <w:jc w:val="right"/>
        <w:rPr>
          <w:sz w:val="28"/>
          <w:szCs w:val="28"/>
        </w:rPr>
      </w:pPr>
      <w:r w:rsidRPr="00A9448D">
        <w:rPr>
          <w:sz w:val="28"/>
          <w:szCs w:val="28"/>
          <w:shd w:val="clear" w:color="auto" w:fill="FFFFFF"/>
        </w:rPr>
        <w:t>"</w:t>
      </w:r>
      <w:proofErr w:type="gramStart"/>
      <w:r w:rsidRPr="00A9448D">
        <w:rPr>
          <w:sz w:val="28"/>
          <w:szCs w:val="28"/>
          <w:shd w:val="clear" w:color="auto" w:fill="FFFFFF"/>
        </w:rPr>
        <w:t>(</w:t>
      </w:r>
      <w:proofErr w:type="gramEnd"/>
      <w:r w:rsidRPr="00A9448D">
        <w:rPr>
          <w:sz w:val="28"/>
          <w:szCs w:val="28"/>
          <w:shd w:val="clear" w:color="auto" w:fill="FFFFFF"/>
        </w:rPr>
        <w:t>Apstiprināts ar</w:t>
      </w:r>
    </w:p>
    <w:p w:rsidR="0049474A" w:rsidRPr="00A9448D" w:rsidRDefault="0049474A" w:rsidP="0049474A">
      <w:pPr>
        <w:pStyle w:val="VPBody"/>
        <w:numPr>
          <w:ilvl w:val="0"/>
          <w:numId w:val="1"/>
        </w:numPr>
        <w:spacing w:after="0" w:line="240" w:lineRule="auto"/>
        <w:jc w:val="right"/>
        <w:rPr>
          <w:sz w:val="28"/>
          <w:szCs w:val="28"/>
        </w:rPr>
      </w:pPr>
      <w:r w:rsidRPr="00A9448D">
        <w:rPr>
          <w:sz w:val="28"/>
          <w:szCs w:val="28"/>
          <w:shd w:val="clear" w:color="auto" w:fill="FFFFFF"/>
        </w:rPr>
        <w:t>Ministru kabineta</w:t>
      </w:r>
    </w:p>
    <w:p w:rsidR="0049474A" w:rsidRPr="00A9448D" w:rsidRDefault="0049474A" w:rsidP="0049474A">
      <w:pPr>
        <w:pStyle w:val="VPBody"/>
        <w:numPr>
          <w:ilvl w:val="0"/>
          <w:numId w:val="1"/>
        </w:numPr>
        <w:spacing w:after="0" w:line="240" w:lineRule="auto"/>
        <w:jc w:val="right"/>
        <w:rPr>
          <w:sz w:val="28"/>
          <w:szCs w:val="28"/>
        </w:rPr>
      </w:pPr>
      <w:r w:rsidRPr="00A9448D">
        <w:rPr>
          <w:sz w:val="28"/>
          <w:szCs w:val="28"/>
          <w:shd w:val="clear" w:color="auto" w:fill="FFFFFF"/>
        </w:rPr>
        <w:t>2017.</w:t>
      </w:r>
      <w:r w:rsidRPr="00A9448D">
        <w:rPr>
          <w:sz w:val="28"/>
          <w:szCs w:val="28"/>
        </w:rPr>
        <w:t> </w:t>
      </w:r>
      <w:r w:rsidRPr="00A9448D">
        <w:rPr>
          <w:sz w:val="28"/>
          <w:szCs w:val="28"/>
          <w:shd w:val="clear" w:color="auto" w:fill="FFFFFF"/>
        </w:rPr>
        <w:t>gada 27.</w:t>
      </w:r>
      <w:r w:rsidRPr="00A9448D">
        <w:rPr>
          <w:sz w:val="28"/>
          <w:szCs w:val="28"/>
        </w:rPr>
        <w:t> </w:t>
      </w:r>
      <w:r w:rsidRPr="00A9448D">
        <w:rPr>
          <w:sz w:val="28"/>
          <w:szCs w:val="28"/>
          <w:shd w:val="clear" w:color="auto" w:fill="FFFFFF"/>
        </w:rPr>
        <w:t>februāra</w:t>
      </w:r>
    </w:p>
    <w:p w:rsidR="0049474A" w:rsidRPr="00A9448D" w:rsidRDefault="0049474A" w:rsidP="0049474A">
      <w:pPr>
        <w:pStyle w:val="VPBody"/>
        <w:numPr>
          <w:ilvl w:val="0"/>
          <w:numId w:val="1"/>
        </w:numPr>
        <w:spacing w:after="0" w:line="240" w:lineRule="auto"/>
        <w:jc w:val="right"/>
        <w:rPr>
          <w:sz w:val="28"/>
          <w:szCs w:val="28"/>
        </w:rPr>
      </w:pPr>
      <w:r w:rsidRPr="00A9448D">
        <w:rPr>
          <w:sz w:val="28"/>
          <w:szCs w:val="28"/>
          <w:shd w:val="clear" w:color="auto" w:fill="FFFFFF"/>
        </w:rPr>
        <w:t>rīkojumu Nr.</w:t>
      </w:r>
      <w:r w:rsidRPr="00A9448D">
        <w:rPr>
          <w:sz w:val="28"/>
          <w:szCs w:val="28"/>
        </w:rPr>
        <w:t> </w:t>
      </w:r>
      <w:r w:rsidRPr="00A9448D">
        <w:rPr>
          <w:sz w:val="28"/>
          <w:szCs w:val="28"/>
          <w:shd w:val="clear" w:color="auto" w:fill="FFFFFF"/>
        </w:rPr>
        <w:t>94)</w:t>
      </w:r>
    </w:p>
    <w:p w:rsidR="0049474A" w:rsidRPr="00A9448D" w:rsidRDefault="0049474A" w:rsidP="0049474A">
      <w:pPr>
        <w:spacing w:after="0" w:line="240" w:lineRule="auto"/>
        <w:jc w:val="both"/>
        <w:rPr>
          <w:rFonts w:ascii="Times New Roman" w:hAnsi="Times New Roman" w:cs="Times New Roman"/>
          <w:sz w:val="28"/>
          <w:szCs w:val="28"/>
        </w:rPr>
      </w:pPr>
    </w:p>
    <w:p w:rsidR="0049474A" w:rsidRPr="00A9448D" w:rsidRDefault="0049474A" w:rsidP="000F3C69">
      <w:pPr>
        <w:spacing w:after="0" w:line="240" w:lineRule="auto"/>
        <w:jc w:val="center"/>
        <w:rPr>
          <w:rFonts w:ascii="Times New Roman" w:hAnsi="Times New Roman" w:cs="Times New Roman"/>
          <w:b/>
          <w:bCs/>
          <w:sz w:val="28"/>
          <w:szCs w:val="28"/>
        </w:rPr>
      </w:pPr>
      <w:r w:rsidRPr="00A9448D">
        <w:rPr>
          <w:rFonts w:ascii="Times New Roman" w:hAnsi="Times New Roman" w:cs="Times New Roman"/>
          <w:b/>
          <w:bCs/>
          <w:sz w:val="28"/>
          <w:szCs w:val="28"/>
        </w:rPr>
        <w:t>Labklājības nozares informācijas un komunikācijas</w:t>
      </w:r>
    </w:p>
    <w:p w:rsidR="0049474A" w:rsidRPr="00A9448D" w:rsidRDefault="0049474A" w:rsidP="000F3C69">
      <w:pPr>
        <w:spacing w:after="0" w:line="240" w:lineRule="auto"/>
        <w:jc w:val="center"/>
        <w:rPr>
          <w:rFonts w:ascii="Times New Roman" w:hAnsi="Times New Roman" w:cs="Times New Roman"/>
          <w:b/>
          <w:bCs/>
          <w:sz w:val="28"/>
          <w:szCs w:val="28"/>
        </w:rPr>
      </w:pPr>
      <w:r w:rsidRPr="00A9448D">
        <w:rPr>
          <w:rFonts w:ascii="Times New Roman" w:hAnsi="Times New Roman" w:cs="Times New Roman"/>
          <w:b/>
          <w:bCs/>
          <w:sz w:val="28"/>
          <w:szCs w:val="28"/>
        </w:rPr>
        <w:t>tehnoloģiju centralizācija</w:t>
      </w:r>
    </w:p>
    <w:p w:rsidR="0049474A" w:rsidRDefault="0049474A" w:rsidP="000F3C69">
      <w:pPr>
        <w:spacing w:after="0" w:line="240" w:lineRule="auto"/>
        <w:jc w:val="center"/>
        <w:rPr>
          <w:rFonts w:ascii="Times New Roman" w:hAnsi="Times New Roman" w:cs="Times New Roman"/>
          <w:b/>
          <w:bCs/>
          <w:sz w:val="28"/>
          <w:szCs w:val="28"/>
        </w:rPr>
      </w:pPr>
      <w:bookmarkStart w:id="1" w:name="_Toc465333697"/>
    </w:p>
    <w:p w:rsidR="0049474A" w:rsidRPr="00A9448D" w:rsidRDefault="00FD1B57" w:rsidP="000F3C6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Projekta apraksts </w:t>
      </w:r>
      <w:r w:rsidR="0049474A" w:rsidRPr="00A9448D">
        <w:rPr>
          <w:rFonts w:ascii="Times New Roman" w:hAnsi="Times New Roman" w:cs="Times New Roman"/>
          <w:b/>
          <w:bCs/>
          <w:sz w:val="28"/>
          <w:szCs w:val="28"/>
        </w:rPr>
        <w:t>(kopsavilkums)</w:t>
      </w:r>
      <w:bookmarkEnd w:id="1"/>
    </w:p>
    <w:p w:rsidR="0049474A" w:rsidRDefault="0049474A" w:rsidP="000F3C69">
      <w:pPr>
        <w:pStyle w:val="VPBody"/>
        <w:spacing w:after="0" w:line="240" w:lineRule="auto"/>
        <w:jc w:val="center"/>
        <w:rPr>
          <w:sz w:val="28"/>
          <w:szCs w:val="28"/>
        </w:rPr>
      </w:pPr>
    </w:p>
    <w:p w:rsidR="0049474A" w:rsidRPr="00A9448D" w:rsidRDefault="0049474A" w:rsidP="0049474A">
      <w:pPr>
        <w:pStyle w:val="VPBody"/>
        <w:spacing w:after="0" w:line="240" w:lineRule="auto"/>
        <w:ind w:firstLine="720"/>
        <w:jc w:val="both"/>
        <w:rPr>
          <w:sz w:val="28"/>
          <w:szCs w:val="28"/>
        </w:rPr>
      </w:pPr>
      <w:r w:rsidRPr="00A9448D">
        <w:rPr>
          <w:sz w:val="28"/>
          <w:szCs w:val="28"/>
        </w:rPr>
        <w:t xml:space="preserve">Koplietošanas informācijas un komunikācijas tehnoloģiju (turpmāk – IKT) infrastruktūras pakalpojumu attīstības projekta (turpmāk </w:t>
      </w:r>
      <w:r w:rsidR="00BE491A">
        <w:rPr>
          <w:sz w:val="28"/>
          <w:szCs w:val="28"/>
        </w:rPr>
        <w:t>–</w:t>
      </w:r>
      <w:r w:rsidRPr="00A9448D">
        <w:rPr>
          <w:sz w:val="28"/>
          <w:szCs w:val="28"/>
        </w:rPr>
        <w:t xml:space="preserve"> projekts) virsmērķis ir veicināt darbības programmas </w:t>
      </w:r>
      <w:r>
        <w:rPr>
          <w:sz w:val="28"/>
          <w:szCs w:val="28"/>
        </w:rPr>
        <w:t>"</w:t>
      </w:r>
      <w:r w:rsidRPr="00A9448D">
        <w:rPr>
          <w:sz w:val="28"/>
          <w:szCs w:val="28"/>
        </w:rPr>
        <w:t>Izaugsme un nodarbinātība</w:t>
      </w:r>
      <w:r>
        <w:rPr>
          <w:sz w:val="28"/>
          <w:szCs w:val="28"/>
        </w:rPr>
        <w:t>"</w:t>
      </w:r>
      <w:r w:rsidRPr="00A9448D">
        <w:rPr>
          <w:sz w:val="28"/>
          <w:szCs w:val="28"/>
        </w:rPr>
        <w:t xml:space="preserve"> 2.2.1. specifiskā atbalsta mērķa </w:t>
      </w:r>
      <w:r>
        <w:rPr>
          <w:sz w:val="28"/>
          <w:szCs w:val="28"/>
        </w:rPr>
        <w:t>"</w:t>
      </w:r>
      <w:r w:rsidRPr="00A9448D">
        <w:rPr>
          <w:sz w:val="28"/>
          <w:szCs w:val="28"/>
        </w:rPr>
        <w:t>Nodrošināt publisko datu atkalizmantošanas pieaugumu un efektīvu publiskās pārvaldes un privātā sektora mijiedarbību</w:t>
      </w:r>
      <w:r>
        <w:rPr>
          <w:sz w:val="28"/>
          <w:szCs w:val="28"/>
        </w:rPr>
        <w:t>"</w:t>
      </w:r>
      <w:r w:rsidRPr="00A9448D">
        <w:rPr>
          <w:sz w:val="28"/>
          <w:szCs w:val="28"/>
        </w:rPr>
        <w:t xml:space="preserve"> </w:t>
      </w:r>
      <w:proofErr w:type="gramStart"/>
      <w:r w:rsidRPr="00A9448D">
        <w:rPr>
          <w:sz w:val="28"/>
          <w:szCs w:val="28"/>
        </w:rPr>
        <w:t>(</w:t>
      </w:r>
      <w:proofErr w:type="gramEnd"/>
      <w:r w:rsidRPr="00A9448D">
        <w:rPr>
          <w:sz w:val="28"/>
          <w:szCs w:val="28"/>
        </w:rPr>
        <w:t xml:space="preserve">turpmāk – SAM) sasniegšanu, </w:t>
      </w:r>
      <w:r w:rsidR="00AA7656">
        <w:rPr>
          <w:sz w:val="28"/>
          <w:szCs w:val="28"/>
        </w:rPr>
        <w:t>īstenojot</w:t>
      </w:r>
      <w:r w:rsidRPr="00A9448D">
        <w:rPr>
          <w:sz w:val="28"/>
          <w:szCs w:val="28"/>
        </w:rPr>
        <w:t xml:space="preserve"> pasākumus aktivitātes </w:t>
      </w:r>
      <w:r>
        <w:rPr>
          <w:sz w:val="28"/>
          <w:szCs w:val="28"/>
        </w:rPr>
        <w:t>"</w:t>
      </w:r>
      <w:r w:rsidRPr="00A9448D">
        <w:rPr>
          <w:sz w:val="28"/>
          <w:szCs w:val="28"/>
        </w:rPr>
        <w:t>2.2.1.1. Centralizētu publiskās pārvaldes IKT platformu izveide, publiskās pārvaldes procesu optimizēšana un attīstība</w:t>
      </w:r>
      <w:r>
        <w:rPr>
          <w:sz w:val="28"/>
          <w:szCs w:val="28"/>
        </w:rPr>
        <w:t>"</w:t>
      </w:r>
      <w:r w:rsidRPr="00A9448D">
        <w:rPr>
          <w:sz w:val="28"/>
          <w:szCs w:val="28"/>
        </w:rPr>
        <w:t xml:space="preserve"> ietvaros. Projekta virsmērķi iecerēts sasniegt, optimizējot un uzlabojot IKT pārvaldības procesu, centralizētu platformu izmantošanu, kā arī veicinot datu kvalitātes uzlabošanu un pieejamību. </w:t>
      </w:r>
    </w:p>
    <w:p w:rsidR="0049474A" w:rsidRDefault="0049474A" w:rsidP="0049474A">
      <w:pPr>
        <w:pStyle w:val="VPBody"/>
        <w:spacing w:after="0" w:line="240" w:lineRule="auto"/>
        <w:jc w:val="both"/>
        <w:rPr>
          <w:sz w:val="28"/>
          <w:szCs w:val="28"/>
        </w:rPr>
      </w:pPr>
    </w:p>
    <w:p w:rsidR="0049474A" w:rsidRPr="00A9448D" w:rsidRDefault="0049474A" w:rsidP="00AA7656">
      <w:pPr>
        <w:pStyle w:val="VPBody"/>
        <w:spacing w:after="0" w:line="240" w:lineRule="auto"/>
        <w:ind w:firstLine="709"/>
        <w:jc w:val="both"/>
        <w:rPr>
          <w:sz w:val="28"/>
          <w:szCs w:val="28"/>
        </w:rPr>
      </w:pPr>
      <w:r w:rsidRPr="00A9448D">
        <w:rPr>
          <w:sz w:val="28"/>
          <w:szCs w:val="28"/>
        </w:rPr>
        <w:t xml:space="preserve">Projekta rezultāts sniegs ieguldījumu 2.2.1. SAM iznākuma rādītāja </w:t>
      </w:r>
      <w:r>
        <w:rPr>
          <w:sz w:val="28"/>
          <w:szCs w:val="28"/>
        </w:rPr>
        <w:t>"</w:t>
      </w:r>
      <w:r w:rsidRPr="00A9448D">
        <w:rPr>
          <w:sz w:val="28"/>
          <w:szCs w:val="28"/>
        </w:rPr>
        <w:t>Pilnveidoti darbības procesi</w:t>
      </w:r>
      <w:r>
        <w:rPr>
          <w:sz w:val="28"/>
          <w:szCs w:val="28"/>
        </w:rPr>
        <w:t>"</w:t>
      </w:r>
      <w:r w:rsidRPr="00A9448D">
        <w:rPr>
          <w:sz w:val="28"/>
          <w:szCs w:val="28"/>
        </w:rPr>
        <w:t xml:space="preserve"> sasniegšanā</w:t>
      </w:r>
      <w:r w:rsidR="00AA7656">
        <w:rPr>
          <w:sz w:val="28"/>
          <w:szCs w:val="28"/>
        </w:rPr>
        <w:t>,</w:t>
      </w:r>
      <w:r w:rsidRPr="00A9448D">
        <w:rPr>
          <w:sz w:val="28"/>
          <w:szCs w:val="28"/>
        </w:rPr>
        <w:t xml:space="preserve"> </w:t>
      </w:r>
      <w:r w:rsidR="00AA7656">
        <w:rPr>
          <w:sz w:val="28"/>
          <w:szCs w:val="28"/>
        </w:rPr>
        <w:t>efektivizējot</w:t>
      </w:r>
      <w:r w:rsidRPr="00A9448D">
        <w:rPr>
          <w:sz w:val="28"/>
          <w:szCs w:val="28"/>
        </w:rPr>
        <w:t xml:space="preserve"> publiskā sektora darbīb</w:t>
      </w:r>
      <w:r w:rsidR="00AA7656">
        <w:rPr>
          <w:sz w:val="28"/>
          <w:szCs w:val="28"/>
        </w:rPr>
        <w:t>u</w:t>
      </w:r>
      <w:r w:rsidRPr="00A9448D">
        <w:rPr>
          <w:sz w:val="28"/>
          <w:szCs w:val="28"/>
        </w:rPr>
        <w:t xml:space="preserve">, kā arī ļaus izveidot un </w:t>
      </w:r>
      <w:r w:rsidR="00AA7656">
        <w:rPr>
          <w:sz w:val="28"/>
          <w:szCs w:val="28"/>
        </w:rPr>
        <w:t>īstenot</w:t>
      </w:r>
      <w:r w:rsidRPr="00A9448D">
        <w:rPr>
          <w:sz w:val="28"/>
          <w:szCs w:val="28"/>
        </w:rPr>
        <w:t xml:space="preserve"> procesus, kas nākotnē paver iespēju sniegt IKT pakalpojumus iestādēm arī ārpus Labklājības ministrijas (turpmāk – LM) resora.</w:t>
      </w:r>
    </w:p>
    <w:p w:rsidR="0049474A" w:rsidRDefault="0049474A" w:rsidP="0049474A">
      <w:pPr>
        <w:rPr>
          <w:rFonts w:ascii="Times New Roman" w:hAnsi="Times New Roman" w:cs="Times New Roman"/>
          <w:b/>
          <w:sz w:val="28"/>
          <w:szCs w:val="28"/>
        </w:rPr>
      </w:pPr>
      <w:bookmarkStart w:id="2" w:name="_Toc256000005"/>
      <w:bookmarkStart w:id="3" w:name="_Toc465333698"/>
    </w:p>
    <w:p w:rsidR="0049474A" w:rsidRPr="009A11AB" w:rsidRDefault="0049474A" w:rsidP="0049474A">
      <w:pPr>
        <w:rPr>
          <w:rFonts w:ascii="Times New Roman" w:hAnsi="Times New Roman" w:cs="Times New Roman"/>
          <w:sz w:val="28"/>
          <w:szCs w:val="28"/>
        </w:rPr>
      </w:pPr>
      <w:r w:rsidRPr="009A11AB">
        <w:rPr>
          <w:rFonts w:ascii="Times New Roman" w:hAnsi="Times New Roman" w:cs="Times New Roman"/>
          <w:b/>
          <w:sz w:val="28"/>
          <w:szCs w:val="28"/>
        </w:rPr>
        <w:t>Projekta mērķi</w:t>
      </w:r>
      <w:bookmarkEnd w:id="2"/>
      <w:bookmarkEnd w:id="3"/>
    </w:p>
    <w:p w:rsidR="0049474A" w:rsidRPr="00A9448D" w:rsidRDefault="0049474A" w:rsidP="0049474A">
      <w:pPr>
        <w:pStyle w:val="VPBody"/>
        <w:spacing w:after="0" w:line="240" w:lineRule="auto"/>
        <w:rPr>
          <w:sz w:val="28"/>
          <w:szCs w:val="28"/>
        </w:rPr>
      </w:pPr>
      <w:r w:rsidRPr="00A9448D">
        <w:rPr>
          <w:sz w:val="28"/>
          <w:szCs w:val="28"/>
        </w:rPr>
        <w:tab/>
        <w:t>1. Uzlabot un sakārtot IKT pārvaldības jomu</w:t>
      </w:r>
      <w:r>
        <w:rPr>
          <w:sz w:val="28"/>
          <w:szCs w:val="28"/>
        </w:rPr>
        <w:t>.</w:t>
      </w:r>
    </w:p>
    <w:p w:rsidR="0049474A" w:rsidRPr="00A9448D" w:rsidRDefault="0049474A" w:rsidP="0049474A">
      <w:pPr>
        <w:pStyle w:val="VPBody"/>
        <w:spacing w:after="0" w:line="240" w:lineRule="auto"/>
        <w:rPr>
          <w:sz w:val="28"/>
          <w:szCs w:val="28"/>
        </w:rPr>
      </w:pPr>
      <w:r w:rsidRPr="00A9448D">
        <w:rPr>
          <w:sz w:val="28"/>
          <w:szCs w:val="28"/>
        </w:rPr>
        <w:tab/>
        <w:t>2. Attīstīt centralizētus koplietošanas IKT pakalpojumus</w:t>
      </w:r>
      <w:r>
        <w:rPr>
          <w:sz w:val="28"/>
          <w:szCs w:val="28"/>
        </w:rPr>
        <w:t>.</w:t>
      </w:r>
    </w:p>
    <w:p w:rsidR="0049474A" w:rsidRPr="00A9448D" w:rsidRDefault="0049474A" w:rsidP="0049474A">
      <w:pPr>
        <w:pStyle w:val="VPBody"/>
        <w:spacing w:after="0" w:line="240" w:lineRule="auto"/>
        <w:rPr>
          <w:sz w:val="28"/>
          <w:szCs w:val="28"/>
        </w:rPr>
      </w:pPr>
      <w:r w:rsidRPr="00A9448D">
        <w:rPr>
          <w:sz w:val="28"/>
          <w:szCs w:val="28"/>
        </w:rPr>
        <w:tab/>
        <w:t>3. Uzlabot datu kvalitāti un pieejamību</w:t>
      </w:r>
      <w:r>
        <w:rPr>
          <w:sz w:val="28"/>
          <w:szCs w:val="28"/>
        </w:rPr>
        <w:t>.</w:t>
      </w:r>
    </w:p>
    <w:p w:rsidR="0049474A" w:rsidRPr="00A9448D" w:rsidRDefault="0049474A" w:rsidP="0049474A">
      <w:pPr>
        <w:pStyle w:val="VPBody"/>
        <w:spacing w:after="0" w:line="240" w:lineRule="auto"/>
        <w:ind w:firstLine="720"/>
        <w:rPr>
          <w:sz w:val="24"/>
          <w:szCs w:val="24"/>
        </w:rPr>
      </w:pPr>
      <w:r w:rsidRPr="00A9448D">
        <w:rPr>
          <w:sz w:val="28"/>
          <w:szCs w:val="28"/>
        </w:rPr>
        <w:t>4</w:t>
      </w:r>
      <w:r>
        <w:rPr>
          <w:sz w:val="28"/>
          <w:szCs w:val="28"/>
        </w:rPr>
        <w:t>.</w:t>
      </w:r>
      <w:r w:rsidRPr="00A9448D">
        <w:rPr>
          <w:sz w:val="28"/>
          <w:szCs w:val="28"/>
        </w:rPr>
        <w:t xml:space="preserve"> Uzlabot nozares dokumentu vadības un darba plūsmu procesus</w:t>
      </w:r>
      <w:r w:rsidRPr="00A9448D">
        <w:rPr>
          <w:sz w:val="24"/>
          <w:szCs w:val="24"/>
        </w:rPr>
        <w:t>.</w:t>
      </w:r>
    </w:p>
    <w:p w:rsidR="0049474A" w:rsidRPr="00A9448D" w:rsidRDefault="0049474A" w:rsidP="0049474A">
      <w:pPr>
        <w:pStyle w:val="VPBody"/>
        <w:spacing w:after="0"/>
        <w:ind w:firstLine="720"/>
        <w:rPr>
          <w:sz w:val="24"/>
          <w:szCs w:val="24"/>
        </w:rPr>
      </w:pPr>
    </w:p>
    <w:p w:rsidR="0049474A" w:rsidRPr="009A11AB" w:rsidRDefault="0049474A" w:rsidP="0049474A">
      <w:pPr>
        <w:rPr>
          <w:rFonts w:ascii="Times New Roman" w:hAnsi="Times New Roman" w:cs="Times New Roman"/>
          <w:sz w:val="28"/>
          <w:szCs w:val="28"/>
        </w:rPr>
      </w:pPr>
      <w:bookmarkStart w:id="4" w:name="_Toc256000006"/>
      <w:bookmarkStart w:id="5" w:name="_Toc465333699"/>
      <w:bookmarkStart w:id="6" w:name="_Hlk31189440"/>
      <w:r w:rsidRPr="009A11AB">
        <w:rPr>
          <w:rFonts w:ascii="Times New Roman" w:hAnsi="Times New Roman" w:cs="Times New Roman"/>
          <w:b/>
          <w:sz w:val="28"/>
          <w:szCs w:val="28"/>
        </w:rPr>
        <w:t>Darbības projekta mērķu sasniegšanai</w:t>
      </w:r>
      <w:bookmarkEnd w:id="4"/>
      <w:bookmarkEnd w:id="5"/>
    </w:p>
    <w:p w:rsidR="0049474A" w:rsidRPr="00A9448D" w:rsidRDefault="0049474A" w:rsidP="0049474A">
      <w:pPr>
        <w:pStyle w:val="VPBullet1"/>
        <w:spacing w:before="0" w:after="0"/>
        <w:ind w:left="0" w:firstLine="709"/>
        <w:rPr>
          <w:rFonts w:ascii="Times New Roman" w:hAnsi="Times New Roman" w:cs="Times New Roman"/>
          <w:sz w:val="28"/>
          <w:szCs w:val="28"/>
        </w:rPr>
      </w:pPr>
      <w:r w:rsidRPr="00A9448D">
        <w:rPr>
          <w:rFonts w:ascii="Times New Roman" w:hAnsi="Times New Roman" w:cs="Times New Roman"/>
          <w:sz w:val="28"/>
          <w:szCs w:val="28"/>
        </w:rPr>
        <w:t>1. IKT pārvaldīšanas jomas uzlabošanā un sakārtošanā:</w:t>
      </w:r>
    </w:p>
    <w:p w:rsidR="0049474A" w:rsidRPr="00A9448D" w:rsidRDefault="0049474A" w:rsidP="007D4874">
      <w:pPr>
        <w:pStyle w:val="VPBullet1"/>
        <w:numPr>
          <w:ilvl w:val="1"/>
          <w:numId w:val="2"/>
        </w:numPr>
        <w:tabs>
          <w:tab w:val="left" w:pos="1276"/>
        </w:tabs>
        <w:spacing w:before="0" w:after="0"/>
        <w:ind w:left="0" w:firstLine="709"/>
        <w:rPr>
          <w:rFonts w:ascii="Times New Roman" w:hAnsi="Times New Roman" w:cs="Times New Roman"/>
          <w:sz w:val="28"/>
          <w:szCs w:val="28"/>
        </w:rPr>
      </w:pPr>
      <w:r w:rsidRPr="00A9448D">
        <w:rPr>
          <w:rFonts w:ascii="Times New Roman" w:hAnsi="Times New Roman" w:cs="Times New Roman"/>
          <w:sz w:val="28"/>
          <w:szCs w:val="28"/>
        </w:rPr>
        <w:t>IKT pārvaldības jomas apmācības;</w:t>
      </w:r>
    </w:p>
    <w:p w:rsidR="0049474A" w:rsidRPr="00A9448D" w:rsidRDefault="0049474A" w:rsidP="0049474A">
      <w:pPr>
        <w:pStyle w:val="VPBullet1"/>
        <w:spacing w:before="0" w:after="0"/>
        <w:ind w:left="0" w:firstLine="709"/>
        <w:rPr>
          <w:rFonts w:ascii="Times New Roman" w:hAnsi="Times New Roman" w:cs="Times New Roman"/>
          <w:sz w:val="28"/>
          <w:szCs w:val="28"/>
        </w:rPr>
      </w:pPr>
      <w:r>
        <w:rPr>
          <w:rFonts w:ascii="Times New Roman" w:hAnsi="Times New Roman" w:cs="Times New Roman"/>
          <w:sz w:val="28"/>
          <w:szCs w:val="28"/>
        </w:rPr>
        <w:t xml:space="preserve">1.2. </w:t>
      </w:r>
      <w:r w:rsidRPr="00A9448D">
        <w:rPr>
          <w:rFonts w:ascii="Times New Roman" w:hAnsi="Times New Roman" w:cs="Times New Roman"/>
          <w:sz w:val="28"/>
          <w:szCs w:val="28"/>
        </w:rPr>
        <w:t>IKT pārvaldības vadlīniju izstrāde;</w:t>
      </w:r>
    </w:p>
    <w:p w:rsidR="0049474A" w:rsidRPr="00A9448D" w:rsidRDefault="0049474A" w:rsidP="0049474A">
      <w:pPr>
        <w:pStyle w:val="VPBullet1"/>
        <w:spacing w:before="0" w:after="0"/>
        <w:ind w:left="0" w:firstLine="709"/>
        <w:rPr>
          <w:rFonts w:ascii="Times New Roman" w:hAnsi="Times New Roman" w:cs="Times New Roman"/>
          <w:sz w:val="28"/>
          <w:szCs w:val="28"/>
        </w:rPr>
      </w:pPr>
      <w:r>
        <w:rPr>
          <w:rFonts w:ascii="Times New Roman" w:hAnsi="Times New Roman" w:cs="Times New Roman"/>
          <w:sz w:val="28"/>
          <w:szCs w:val="28"/>
        </w:rPr>
        <w:t xml:space="preserve">1.3. </w:t>
      </w:r>
      <w:r w:rsidRPr="00A9448D">
        <w:rPr>
          <w:rFonts w:ascii="Times New Roman" w:hAnsi="Times New Roman" w:cs="Times New Roman"/>
          <w:sz w:val="28"/>
          <w:szCs w:val="28"/>
        </w:rPr>
        <w:t>Valsts sociālās apdrošināšanas aģentūras sniegto IKT pakalpojumu kataloga definēšana LM padotībā esošajām iestādēm;</w:t>
      </w:r>
    </w:p>
    <w:p w:rsidR="0049474A" w:rsidRPr="00A9448D" w:rsidRDefault="0049474A" w:rsidP="0049474A">
      <w:pPr>
        <w:pStyle w:val="VPBullet1"/>
        <w:spacing w:before="0" w:after="0"/>
        <w:ind w:left="0" w:firstLine="709"/>
        <w:rPr>
          <w:rFonts w:ascii="Times New Roman" w:hAnsi="Times New Roman" w:cs="Times New Roman"/>
          <w:sz w:val="28"/>
          <w:szCs w:val="28"/>
          <w:u w:val="single"/>
        </w:rPr>
      </w:pPr>
      <w:r>
        <w:rPr>
          <w:rFonts w:ascii="Times New Roman" w:hAnsi="Times New Roman" w:cs="Times New Roman"/>
          <w:sz w:val="28"/>
          <w:szCs w:val="28"/>
          <w:lang w:eastAsia="en-US"/>
        </w:rPr>
        <w:lastRenderedPageBreak/>
        <w:t>1.4. s</w:t>
      </w:r>
      <w:r w:rsidRPr="00A9448D">
        <w:rPr>
          <w:rFonts w:ascii="Times New Roman" w:hAnsi="Times New Roman" w:cs="Times New Roman"/>
          <w:sz w:val="28"/>
          <w:szCs w:val="28"/>
          <w:lang w:eastAsia="en-US"/>
        </w:rPr>
        <w:t xml:space="preserve">tandartizētas </w:t>
      </w:r>
      <w:r w:rsidRPr="00A9448D">
        <w:rPr>
          <w:rFonts w:ascii="Times New Roman" w:hAnsi="Times New Roman" w:cs="Times New Roman"/>
          <w:sz w:val="28"/>
          <w:szCs w:val="28"/>
        </w:rPr>
        <w:t>IKT</w:t>
      </w:r>
      <w:r w:rsidRPr="00A9448D">
        <w:rPr>
          <w:rFonts w:ascii="Times New Roman" w:hAnsi="Times New Roman" w:cs="Times New Roman"/>
          <w:sz w:val="28"/>
          <w:szCs w:val="28"/>
          <w:lang w:eastAsia="en-US"/>
        </w:rPr>
        <w:t xml:space="preserve"> infrastruktūras drošības tehniskās uzraudzības dokumentācijas izstrāde visām nozares iestādēm;</w:t>
      </w:r>
    </w:p>
    <w:p w:rsidR="0049474A" w:rsidRPr="00A9448D" w:rsidRDefault="0049474A" w:rsidP="0049474A">
      <w:pPr>
        <w:pStyle w:val="VPBullet1"/>
        <w:spacing w:before="0" w:after="0"/>
        <w:ind w:left="0" w:firstLine="709"/>
        <w:rPr>
          <w:rFonts w:ascii="Times New Roman" w:hAnsi="Times New Roman" w:cs="Times New Roman"/>
          <w:sz w:val="28"/>
          <w:szCs w:val="28"/>
          <w:lang w:eastAsia="en-US"/>
        </w:rPr>
      </w:pPr>
      <w:r>
        <w:rPr>
          <w:rFonts w:ascii="Times New Roman" w:hAnsi="Times New Roman" w:cs="Times New Roman"/>
          <w:sz w:val="28"/>
          <w:szCs w:val="28"/>
        </w:rPr>
        <w:t>1.5. </w:t>
      </w:r>
      <w:r w:rsidRPr="00A9448D">
        <w:rPr>
          <w:rFonts w:ascii="Times New Roman" w:hAnsi="Times New Roman" w:cs="Times New Roman"/>
          <w:sz w:val="28"/>
          <w:szCs w:val="28"/>
        </w:rPr>
        <w:t xml:space="preserve">IKT </w:t>
      </w:r>
      <w:r w:rsidRPr="00A9448D">
        <w:rPr>
          <w:rFonts w:ascii="Times New Roman" w:hAnsi="Times New Roman" w:cs="Times New Roman"/>
          <w:sz w:val="28"/>
          <w:szCs w:val="28"/>
          <w:lang w:eastAsia="en-US"/>
        </w:rPr>
        <w:t>infrastruktūras drošības tehniskās uzraudzības speciālistu – ekspertu</w:t>
      </w:r>
      <w:r w:rsidR="007D4874">
        <w:rPr>
          <w:rFonts w:ascii="Times New Roman" w:hAnsi="Times New Roman" w:cs="Times New Roman"/>
          <w:sz w:val="28"/>
          <w:szCs w:val="28"/>
          <w:lang w:eastAsia="en-US"/>
        </w:rPr>
        <w:t xml:space="preserve"> un</w:t>
      </w:r>
      <w:r>
        <w:rPr>
          <w:rFonts w:ascii="Times New Roman" w:hAnsi="Times New Roman" w:cs="Times New Roman"/>
          <w:sz w:val="28"/>
          <w:szCs w:val="28"/>
          <w:lang w:eastAsia="en-US"/>
        </w:rPr>
        <w:t xml:space="preserve"> </w:t>
      </w:r>
      <w:r w:rsidRPr="00A9448D">
        <w:rPr>
          <w:rFonts w:ascii="Times New Roman" w:hAnsi="Times New Roman" w:cs="Times New Roman"/>
          <w:sz w:val="28"/>
          <w:szCs w:val="28"/>
          <w:lang w:eastAsia="en-US"/>
        </w:rPr>
        <w:t>analītiķu</w:t>
      </w:r>
      <w:r w:rsidR="007D4874">
        <w:rPr>
          <w:rFonts w:ascii="Times New Roman" w:hAnsi="Times New Roman" w:cs="Times New Roman"/>
          <w:sz w:val="28"/>
          <w:szCs w:val="28"/>
          <w:lang w:eastAsia="en-US"/>
        </w:rPr>
        <w:t xml:space="preserve"> –</w:t>
      </w:r>
      <w:r w:rsidRPr="00A9448D">
        <w:rPr>
          <w:rFonts w:ascii="Times New Roman" w:hAnsi="Times New Roman" w:cs="Times New Roman"/>
          <w:sz w:val="28"/>
          <w:szCs w:val="28"/>
          <w:lang w:eastAsia="en-US"/>
        </w:rPr>
        <w:t xml:space="preserve"> apmācības.</w:t>
      </w:r>
    </w:p>
    <w:p w:rsidR="0049474A" w:rsidRDefault="0049474A" w:rsidP="0049474A">
      <w:pPr>
        <w:pStyle w:val="VPBullet1"/>
        <w:spacing w:before="0" w:after="0"/>
        <w:ind w:left="0" w:firstLine="709"/>
        <w:rPr>
          <w:rFonts w:ascii="Times New Roman" w:hAnsi="Times New Roman" w:cs="Times New Roman"/>
          <w:sz w:val="28"/>
          <w:szCs w:val="28"/>
        </w:rPr>
      </w:pPr>
    </w:p>
    <w:p w:rsidR="0049474A" w:rsidRPr="00A9448D" w:rsidRDefault="0049474A" w:rsidP="0049474A">
      <w:pPr>
        <w:pStyle w:val="VPBullet1"/>
        <w:spacing w:before="0" w:after="0"/>
        <w:ind w:left="0" w:firstLine="709"/>
        <w:rPr>
          <w:rFonts w:ascii="Times New Roman" w:hAnsi="Times New Roman" w:cs="Times New Roman"/>
          <w:sz w:val="28"/>
          <w:szCs w:val="28"/>
        </w:rPr>
      </w:pPr>
      <w:r w:rsidRPr="00A9448D">
        <w:rPr>
          <w:rFonts w:ascii="Times New Roman" w:hAnsi="Times New Roman" w:cs="Times New Roman"/>
          <w:sz w:val="28"/>
          <w:szCs w:val="28"/>
        </w:rPr>
        <w:t>2. Centralizēti koplietošanas risinājumi IKT pakalpojumu attīstībai:</w:t>
      </w:r>
    </w:p>
    <w:p w:rsidR="0049474A" w:rsidRPr="00A9448D" w:rsidRDefault="0049474A" w:rsidP="0049474A">
      <w:pPr>
        <w:pStyle w:val="VPBullet1"/>
        <w:spacing w:before="0" w:after="0"/>
        <w:ind w:left="0" w:firstLine="709"/>
        <w:rPr>
          <w:rFonts w:ascii="Times New Roman" w:hAnsi="Times New Roman" w:cs="Times New Roman"/>
          <w:sz w:val="28"/>
          <w:szCs w:val="28"/>
        </w:rPr>
      </w:pPr>
      <w:r w:rsidRPr="003620E0">
        <w:rPr>
          <w:rFonts w:ascii="Times New Roman" w:hAnsi="Times New Roman" w:cs="Times New Roman"/>
          <w:sz w:val="28"/>
          <w:szCs w:val="28"/>
        </w:rPr>
        <w:t>2.1.</w:t>
      </w:r>
      <w:r>
        <w:rPr>
          <w:rFonts w:ascii="Times New Roman" w:hAnsi="Times New Roman" w:cs="Times New Roman"/>
          <w:i/>
          <w:sz w:val="28"/>
          <w:szCs w:val="28"/>
        </w:rPr>
        <w:t xml:space="preserve"> </w:t>
      </w:r>
      <w:proofErr w:type="spellStart"/>
      <w:r w:rsidRPr="00A9448D">
        <w:rPr>
          <w:rFonts w:ascii="Times New Roman" w:hAnsi="Times New Roman" w:cs="Times New Roman"/>
          <w:i/>
          <w:sz w:val="28"/>
          <w:szCs w:val="28"/>
        </w:rPr>
        <w:t>Active</w:t>
      </w:r>
      <w:proofErr w:type="spellEnd"/>
      <w:r w:rsidRPr="00A9448D">
        <w:rPr>
          <w:rFonts w:ascii="Times New Roman" w:hAnsi="Times New Roman" w:cs="Times New Roman"/>
          <w:i/>
          <w:sz w:val="28"/>
          <w:szCs w:val="28"/>
        </w:rPr>
        <w:t xml:space="preserve"> </w:t>
      </w:r>
      <w:proofErr w:type="spellStart"/>
      <w:r w:rsidRPr="00A9448D">
        <w:rPr>
          <w:rFonts w:ascii="Times New Roman" w:hAnsi="Times New Roman" w:cs="Times New Roman"/>
          <w:i/>
          <w:sz w:val="28"/>
          <w:szCs w:val="28"/>
        </w:rPr>
        <w:t>Directory</w:t>
      </w:r>
      <w:proofErr w:type="spellEnd"/>
      <w:r w:rsidRPr="00A9448D">
        <w:rPr>
          <w:rFonts w:ascii="Times New Roman" w:hAnsi="Times New Roman" w:cs="Times New Roman"/>
          <w:sz w:val="28"/>
          <w:szCs w:val="28"/>
        </w:rPr>
        <w:t xml:space="preserve"> visās resora iestādēs;</w:t>
      </w:r>
    </w:p>
    <w:p w:rsidR="0049474A" w:rsidRPr="00A9448D" w:rsidRDefault="0049474A" w:rsidP="0049474A">
      <w:pPr>
        <w:pStyle w:val="VPBullet1"/>
        <w:spacing w:before="0" w:after="0"/>
        <w:ind w:left="0" w:firstLine="709"/>
        <w:rPr>
          <w:rFonts w:ascii="Times New Roman" w:hAnsi="Times New Roman" w:cs="Times New Roman"/>
          <w:sz w:val="28"/>
          <w:szCs w:val="28"/>
        </w:rPr>
      </w:pPr>
      <w:r>
        <w:rPr>
          <w:rFonts w:ascii="Times New Roman" w:hAnsi="Times New Roman" w:cs="Times New Roman"/>
          <w:sz w:val="28"/>
          <w:szCs w:val="28"/>
        </w:rPr>
        <w:t>2.2. v</w:t>
      </w:r>
      <w:r w:rsidRPr="00A9448D">
        <w:rPr>
          <w:rFonts w:ascii="Times New Roman" w:hAnsi="Times New Roman" w:cs="Times New Roman"/>
          <w:sz w:val="28"/>
          <w:szCs w:val="28"/>
        </w:rPr>
        <w:t>ienots e-pasta risinājums;</w:t>
      </w:r>
    </w:p>
    <w:p w:rsidR="0049474A" w:rsidRPr="00A9448D" w:rsidRDefault="0049474A" w:rsidP="0049474A">
      <w:pPr>
        <w:pStyle w:val="VPBullet1"/>
        <w:spacing w:before="0" w:after="0"/>
        <w:ind w:left="0" w:firstLine="709"/>
        <w:rPr>
          <w:rFonts w:ascii="Times New Roman" w:hAnsi="Times New Roman" w:cs="Times New Roman"/>
          <w:sz w:val="28"/>
          <w:szCs w:val="28"/>
        </w:rPr>
      </w:pPr>
      <w:r>
        <w:rPr>
          <w:rFonts w:ascii="Times New Roman" w:hAnsi="Times New Roman" w:cs="Times New Roman"/>
          <w:sz w:val="28"/>
          <w:szCs w:val="28"/>
        </w:rPr>
        <w:t>2.3. c</w:t>
      </w:r>
      <w:r w:rsidRPr="00A9448D">
        <w:rPr>
          <w:rFonts w:ascii="Times New Roman" w:hAnsi="Times New Roman" w:cs="Times New Roman"/>
          <w:sz w:val="28"/>
          <w:szCs w:val="28"/>
        </w:rPr>
        <w:t>entralizēts IKT monitoringa risinājums;</w:t>
      </w:r>
    </w:p>
    <w:p w:rsidR="0049474A" w:rsidRPr="00A9448D" w:rsidRDefault="0049474A" w:rsidP="0049474A">
      <w:pPr>
        <w:pStyle w:val="VPBullet1"/>
        <w:spacing w:before="0" w:after="0"/>
        <w:ind w:left="0" w:firstLine="709"/>
        <w:rPr>
          <w:rFonts w:ascii="Times New Roman" w:hAnsi="Times New Roman" w:cs="Times New Roman"/>
          <w:sz w:val="28"/>
          <w:szCs w:val="28"/>
        </w:rPr>
      </w:pPr>
      <w:r>
        <w:rPr>
          <w:rFonts w:ascii="Times New Roman" w:hAnsi="Times New Roman" w:cs="Times New Roman"/>
          <w:sz w:val="28"/>
          <w:szCs w:val="28"/>
        </w:rPr>
        <w:t>2.4. c</w:t>
      </w:r>
      <w:r w:rsidRPr="00A9448D">
        <w:rPr>
          <w:rFonts w:ascii="Times New Roman" w:hAnsi="Times New Roman" w:cs="Times New Roman"/>
          <w:sz w:val="28"/>
          <w:szCs w:val="28"/>
        </w:rPr>
        <w:t>entralizēta lietotāju darbstaciju pārvaldība;</w:t>
      </w:r>
    </w:p>
    <w:p w:rsidR="0049474A" w:rsidRPr="00A9448D" w:rsidRDefault="0049474A" w:rsidP="0049474A">
      <w:pPr>
        <w:pStyle w:val="VPBullet1"/>
        <w:spacing w:before="0" w:after="0"/>
        <w:ind w:left="0" w:firstLine="709"/>
        <w:rPr>
          <w:rFonts w:ascii="Times New Roman" w:hAnsi="Times New Roman" w:cs="Times New Roman"/>
          <w:sz w:val="28"/>
          <w:szCs w:val="28"/>
        </w:rPr>
      </w:pPr>
      <w:r>
        <w:rPr>
          <w:rFonts w:ascii="Times New Roman" w:hAnsi="Times New Roman" w:cs="Times New Roman"/>
          <w:sz w:val="28"/>
          <w:szCs w:val="28"/>
        </w:rPr>
        <w:t>2.5. c</w:t>
      </w:r>
      <w:r w:rsidRPr="00A9448D">
        <w:rPr>
          <w:rFonts w:ascii="Times New Roman" w:hAnsi="Times New Roman" w:cs="Times New Roman"/>
          <w:sz w:val="28"/>
          <w:szCs w:val="28"/>
        </w:rPr>
        <w:t xml:space="preserve">entralizēts </w:t>
      </w:r>
      <w:r>
        <w:rPr>
          <w:rFonts w:ascii="Times New Roman" w:hAnsi="Times New Roman" w:cs="Times New Roman"/>
          <w:sz w:val="28"/>
          <w:szCs w:val="28"/>
        </w:rPr>
        <w:t>"</w:t>
      </w:r>
      <w:r w:rsidRPr="00A9448D">
        <w:rPr>
          <w:rFonts w:ascii="Times New Roman" w:hAnsi="Times New Roman" w:cs="Times New Roman"/>
          <w:sz w:val="28"/>
          <w:szCs w:val="28"/>
        </w:rPr>
        <w:t>mākoņskaitļošanas</w:t>
      </w:r>
      <w:r>
        <w:rPr>
          <w:rFonts w:ascii="Times New Roman" w:hAnsi="Times New Roman" w:cs="Times New Roman"/>
          <w:sz w:val="28"/>
          <w:szCs w:val="28"/>
        </w:rPr>
        <w:t>"</w:t>
      </w:r>
      <w:r w:rsidRPr="00A9448D">
        <w:rPr>
          <w:rFonts w:ascii="Times New Roman" w:hAnsi="Times New Roman" w:cs="Times New Roman"/>
          <w:sz w:val="28"/>
          <w:szCs w:val="28"/>
        </w:rPr>
        <w:t xml:space="preserve"> infrastruktūras</w:t>
      </w:r>
      <w:r w:rsidRPr="00A9448D">
        <w:rPr>
          <w:rFonts w:ascii="Times New Roman" w:hAnsi="Times New Roman" w:cs="Times New Roman"/>
          <w:color w:val="FF0000"/>
          <w:sz w:val="28"/>
          <w:szCs w:val="28"/>
        </w:rPr>
        <w:t xml:space="preserve"> </w:t>
      </w:r>
      <w:r w:rsidRPr="00A9448D">
        <w:rPr>
          <w:rFonts w:ascii="Times New Roman" w:hAnsi="Times New Roman" w:cs="Times New Roman"/>
          <w:sz w:val="28"/>
          <w:szCs w:val="28"/>
        </w:rPr>
        <w:t>risinājums;</w:t>
      </w:r>
    </w:p>
    <w:p w:rsidR="0049474A" w:rsidRPr="00A9448D" w:rsidRDefault="0049474A" w:rsidP="0049474A">
      <w:pPr>
        <w:pStyle w:val="VPBullet1"/>
        <w:spacing w:before="0" w:after="0"/>
        <w:ind w:left="0" w:firstLine="709"/>
        <w:rPr>
          <w:rFonts w:ascii="Times New Roman" w:hAnsi="Times New Roman" w:cs="Times New Roman"/>
          <w:sz w:val="28"/>
          <w:szCs w:val="28"/>
        </w:rPr>
      </w:pPr>
      <w:r>
        <w:rPr>
          <w:rFonts w:ascii="Times New Roman" w:hAnsi="Times New Roman" w:cs="Times New Roman"/>
          <w:sz w:val="28"/>
          <w:szCs w:val="28"/>
        </w:rPr>
        <w:t>2.6. c</w:t>
      </w:r>
      <w:r w:rsidRPr="00A9448D">
        <w:rPr>
          <w:rFonts w:ascii="Times New Roman" w:hAnsi="Times New Roman" w:cs="Times New Roman"/>
          <w:sz w:val="28"/>
          <w:szCs w:val="28"/>
        </w:rPr>
        <w:t>entralizēts IKT infrastruktūras drošības tehniskās uzraudzības risinājums.</w:t>
      </w:r>
    </w:p>
    <w:p w:rsidR="0049474A" w:rsidRDefault="0049474A" w:rsidP="0049474A">
      <w:pPr>
        <w:pStyle w:val="VPBullet1"/>
        <w:spacing w:before="0" w:after="0"/>
        <w:ind w:left="0" w:firstLine="709"/>
        <w:rPr>
          <w:rFonts w:ascii="Times New Roman" w:hAnsi="Times New Roman" w:cs="Times New Roman"/>
          <w:sz w:val="28"/>
          <w:szCs w:val="28"/>
        </w:rPr>
      </w:pPr>
    </w:p>
    <w:p w:rsidR="0049474A" w:rsidRPr="00A9448D" w:rsidRDefault="0049474A" w:rsidP="0049474A">
      <w:pPr>
        <w:pStyle w:val="VPBullet1"/>
        <w:spacing w:before="0" w:after="0"/>
        <w:ind w:left="0" w:firstLine="709"/>
        <w:rPr>
          <w:rFonts w:ascii="Times New Roman" w:hAnsi="Times New Roman" w:cs="Times New Roman"/>
          <w:sz w:val="28"/>
          <w:szCs w:val="28"/>
        </w:rPr>
      </w:pPr>
      <w:r w:rsidRPr="00A9448D">
        <w:rPr>
          <w:rFonts w:ascii="Times New Roman" w:hAnsi="Times New Roman" w:cs="Times New Roman"/>
          <w:sz w:val="28"/>
          <w:szCs w:val="28"/>
        </w:rPr>
        <w:t>3. Datu kvalitātes un pieejamības uzlabošana:</w:t>
      </w:r>
    </w:p>
    <w:p w:rsidR="0049474A" w:rsidRPr="00A9448D" w:rsidRDefault="0049474A" w:rsidP="0049474A">
      <w:pPr>
        <w:pStyle w:val="VPBullet1"/>
        <w:spacing w:before="0" w:after="0"/>
        <w:ind w:left="0" w:firstLine="709"/>
        <w:rPr>
          <w:rFonts w:ascii="Times New Roman" w:hAnsi="Times New Roman" w:cs="Times New Roman"/>
          <w:sz w:val="28"/>
          <w:szCs w:val="28"/>
        </w:rPr>
      </w:pPr>
      <w:r>
        <w:rPr>
          <w:rFonts w:ascii="Times New Roman" w:hAnsi="Times New Roman" w:cs="Times New Roman"/>
          <w:sz w:val="28"/>
          <w:szCs w:val="28"/>
        </w:rPr>
        <w:t>3.1. l</w:t>
      </w:r>
      <w:r w:rsidRPr="00A9448D">
        <w:rPr>
          <w:rFonts w:ascii="Times New Roman" w:hAnsi="Times New Roman" w:cs="Times New Roman"/>
          <w:sz w:val="28"/>
          <w:szCs w:val="28"/>
        </w:rPr>
        <w:t>abklājības nozares datu ticamības un pietiekamības analīze;</w:t>
      </w:r>
    </w:p>
    <w:p w:rsidR="0049474A" w:rsidRPr="00A9448D" w:rsidRDefault="0049474A" w:rsidP="0049474A">
      <w:pPr>
        <w:pStyle w:val="VPBullet1"/>
        <w:spacing w:before="0" w:after="0"/>
        <w:ind w:left="0" w:firstLine="709"/>
        <w:rPr>
          <w:rFonts w:ascii="Times New Roman" w:hAnsi="Times New Roman" w:cs="Times New Roman"/>
          <w:sz w:val="28"/>
          <w:szCs w:val="28"/>
        </w:rPr>
      </w:pPr>
      <w:r>
        <w:rPr>
          <w:rFonts w:ascii="Times New Roman" w:hAnsi="Times New Roman" w:cs="Times New Roman"/>
          <w:sz w:val="28"/>
          <w:szCs w:val="28"/>
        </w:rPr>
        <w:t>3.2. d</w:t>
      </w:r>
      <w:r w:rsidRPr="00A9448D">
        <w:rPr>
          <w:rFonts w:ascii="Times New Roman" w:hAnsi="Times New Roman" w:cs="Times New Roman"/>
          <w:sz w:val="28"/>
          <w:szCs w:val="28"/>
        </w:rPr>
        <w:t>atu ticamības un pietiekamības uzlabošana;</w:t>
      </w:r>
    </w:p>
    <w:p w:rsidR="0049474A" w:rsidRPr="00A9448D" w:rsidRDefault="0049474A" w:rsidP="0049474A">
      <w:pPr>
        <w:pStyle w:val="VPBullet1"/>
        <w:spacing w:before="0" w:after="0"/>
        <w:ind w:left="0" w:firstLine="709"/>
        <w:rPr>
          <w:rFonts w:ascii="Times New Roman" w:hAnsi="Times New Roman" w:cs="Times New Roman"/>
          <w:sz w:val="28"/>
          <w:szCs w:val="28"/>
        </w:rPr>
      </w:pPr>
      <w:r>
        <w:rPr>
          <w:rFonts w:ascii="Times New Roman" w:hAnsi="Times New Roman" w:cs="Times New Roman"/>
          <w:sz w:val="28"/>
          <w:szCs w:val="28"/>
        </w:rPr>
        <w:t>3.3. </w:t>
      </w:r>
      <w:r w:rsidRPr="00A9448D">
        <w:rPr>
          <w:rFonts w:ascii="Times New Roman" w:hAnsi="Times New Roman" w:cs="Times New Roman"/>
          <w:sz w:val="28"/>
          <w:szCs w:val="28"/>
        </w:rPr>
        <w:t>Sociālās integrācijas valsts aģentūras (turpmāk – SIVA) informācijas sistēmas uzlabošana;</w:t>
      </w:r>
    </w:p>
    <w:p w:rsidR="0049474A" w:rsidRPr="00A9448D" w:rsidRDefault="0049474A" w:rsidP="0049474A">
      <w:pPr>
        <w:pStyle w:val="VPBullet1"/>
        <w:spacing w:before="0" w:after="0"/>
        <w:ind w:left="0" w:firstLine="709"/>
        <w:rPr>
          <w:rFonts w:ascii="Times New Roman" w:hAnsi="Times New Roman" w:cs="Times New Roman"/>
          <w:sz w:val="28"/>
          <w:szCs w:val="28"/>
        </w:rPr>
      </w:pPr>
      <w:r>
        <w:rPr>
          <w:rFonts w:ascii="Times New Roman" w:hAnsi="Times New Roman" w:cs="Times New Roman"/>
          <w:sz w:val="28"/>
          <w:szCs w:val="28"/>
        </w:rPr>
        <w:t>3.4. j</w:t>
      </w:r>
      <w:r w:rsidRPr="00A9448D">
        <w:rPr>
          <w:rFonts w:ascii="Times New Roman" w:hAnsi="Times New Roman" w:cs="Times New Roman"/>
          <w:sz w:val="28"/>
          <w:szCs w:val="28"/>
        </w:rPr>
        <w:t>aunas Valsts darba inspekcijas (turpmāk – VDI) informācijas sistēma</w:t>
      </w:r>
      <w:r w:rsidR="007D4874">
        <w:rPr>
          <w:rFonts w:ascii="Times New Roman" w:hAnsi="Times New Roman" w:cs="Times New Roman"/>
          <w:sz w:val="28"/>
          <w:szCs w:val="28"/>
        </w:rPr>
        <w:t>s</w:t>
      </w:r>
      <w:r w:rsidRPr="00A9448D">
        <w:rPr>
          <w:rFonts w:ascii="Times New Roman" w:hAnsi="Times New Roman" w:cs="Times New Roman"/>
          <w:sz w:val="28"/>
          <w:szCs w:val="28"/>
        </w:rPr>
        <w:t xml:space="preserve"> izstrāde un ieviešana</w:t>
      </w:r>
      <w:r w:rsidR="007D4874">
        <w:rPr>
          <w:rFonts w:ascii="Times New Roman" w:hAnsi="Times New Roman" w:cs="Times New Roman"/>
          <w:sz w:val="28"/>
          <w:szCs w:val="28"/>
        </w:rPr>
        <w:t>:</w:t>
      </w:r>
    </w:p>
    <w:p w:rsidR="0049474A" w:rsidRPr="00A9448D" w:rsidRDefault="0049474A" w:rsidP="0049474A">
      <w:pPr>
        <w:pStyle w:val="VPBullet1"/>
        <w:spacing w:before="0" w:after="0"/>
        <w:ind w:left="0" w:firstLine="709"/>
        <w:rPr>
          <w:rFonts w:ascii="Times New Roman" w:hAnsi="Times New Roman" w:cs="Times New Roman"/>
          <w:sz w:val="28"/>
          <w:szCs w:val="28"/>
        </w:rPr>
      </w:pPr>
      <w:r>
        <w:rPr>
          <w:rFonts w:ascii="Times New Roman" w:hAnsi="Times New Roman" w:cs="Times New Roman"/>
          <w:sz w:val="28"/>
          <w:szCs w:val="28"/>
        </w:rPr>
        <w:t>3.4.1. </w:t>
      </w:r>
      <w:r w:rsidRPr="00A9448D">
        <w:rPr>
          <w:rFonts w:ascii="Times New Roman" w:hAnsi="Times New Roman" w:cs="Times New Roman"/>
          <w:sz w:val="28"/>
          <w:szCs w:val="28"/>
        </w:rPr>
        <w:t>VDI elektronisko pakalpojumu kvalitātes uzlabošana un migrācija saderība</w:t>
      </w:r>
      <w:r w:rsidR="007D4874">
        <w:rPr>
          <w:rFonts w:ascii="Times New Roman" w:hAnsi="Times New Roman" w:cs="Times New Roman"/>
          <w:sz w:val="28"/>
          <w:szCs w:val="28"/>
        </w:rPr>
        <w:t>s radīšanai</w:t>
      </w:r>
      <w:r w:rsidRPr="00A9448D">
        <w:rPr>
          <w:rFonts w:ascii="Times New Roman" w:hAnsi="Times New Roman" w:cs="Times New Roman"/>
          <w:sz w:val="28"/>
          <w:szCs w:val="28"/>
        </w:rPr>
        <w:t xml:space="preserve"> ar jauno informatīvo sistēmu;</w:t>
      </w:r>
    </w:p>
    <w:p w:rsidR="0049474A" w:rsidRPr="00A9448D" w:rsidRDefault="0049474A" w:rsidP="0049474A">
      <w:pPr>
        <w:pStyle w:val="VPBullet1"/>
        <w:spacing w:before="0" w:after="0"/>
        <w:ind w:left="0" w:firstLine="709"/>
        <w:rPr>
          <w:rFonts w:ascii="Times New Roman" w:hAnsi="Times New Roman" w:cs="Times New Roman"/>
          <w:sz w:val="28"/>
          <w:szCs w:val="28"/>
        </w:rPr>
      </w:pPr>
      <w:r>
        <w:rPr>
          <w:rFonts w:ascii="Times New Roman" w:hAnsi="Times New Roman" w:cs="Times New Roman"/>
          <w:sz w:val="28"/>
          <w:szCs w:val="28"/>
        </w:rPr>
        <w:t>3.4.2. </w:t>
      </w:r>
      <w:r w:rsidRPr="00A9448D">
        <w:rPr>
          <w:rFonts w:ascii="Times New Roman" w:hAnsi="Times New Roman" w:cs="Times New Roman"/>
          <w:sz w:val="28"/>
          <w:szCs w:val="28"/>
        </w:rPr>
        <w:t>VDI atvērto datu kopu publiskošana.</w:t>
      </w:r>
    </w:p>
    <w:p w:rsidR="0049474A" w:rsidRDefault="0049474A" w:rsidP="0049474A">
      <w:pPr>
        <w:pStyle w:val="VPBullet1"/>
        <w:spacing w:before="0" w:after="0"/>
        <w:ind w:left="0" w:firstLine="709"/>
        <w:rPr>
          <w:rFonts w:ascii="Times New Roman" w:hAnsi="Times New Roman" w:cs="Times New Roman"/>
          <w:sz w:val="28"/>
          <w:szCs w:val="28"/>
        </w:rPr>
      </w:pPr>
    </w:p>
    <w:p w:rsidR="0049474A" w:rsidRPr="00A9448D" w:rsidRDefault="0049474A" w:rsidP="0049474A">
      <w:pPr>
        <w:pStyle w:val="VPBullet1"/>
        <w:spacing w:before="0" w:after="0"/>
        <w:ind w:left="0" w:firstLine="709"/>
        <w:rPr>
          <w:rFonts w:ascii="Times New Roman" w:hAnsi="Times New Roman" w:cs="Times New Roman"/>
          <w:sz w:val="28"/>
          <w:szCs w:val="28"/>
        </w:rPr>
      </w:pPr>
      <w:r w:rsidRPr="00A9448D">
        <w:rPr>
          <w:rFonts w:ascii="Times New Roman" w:hAnsi="Times New Roman" w:cs="Times New Roman"/>
          <w:sz w:val="28"/>
          <w:szCs w:val="28"/>
        </w:rPr>
        <w:t>4. Nozares dokumentu vadības un darba plūsmu procesu optimizācija:</w:t>
      </w:r>
    </w:p>
    <w:p w:rsidR="0049474A" w:rsidRPr="00A9448D" w:rsidRDefault="0049474A" w:rsidP="0049474A">
      <w:pPr>
        <w:pStyle w:val="VPBullet1"/>
        <w:spacing w:before="0" w:after="0"/>
        <w:ind w:left="0" w:firstLine="709"/>
        <w:rPr>
          <w:rFonts w:ascii="Times New Roman" w:hAnsi="Times New Roman" w:cs="Times New Roman"/>
          <w:sz w:val="28"/>
          <w:szCs w:val="28"/>
        </w:rPr>
      </w:pPr>
      <w:r>
        <w:rPr>
          <w:rFonts w:ascii="Times New Roman" w:hAnsi="Times New Roman" w:cs="Times New Roman"/>
          <w:sz w:val="28"/>
          <w:szCs w:val="28"/>
        </w:rPr>
        <w:t>4.1. v</w:t>
      </w:r>
      <w:r w:rsidRPr="00A9448D">
        <w:rPr>
          <w:rFonts w:ascii="Times New Roman" w:hAnsi="Times New Roman" w:cs="Times New Roman"/>
          <w:sz w:val="28"/>
          <w:szCs w:val="28"/>
        </w:rPr>
        <w:t>ienotas dokumentu vadības sistēmas ieviešana nozarē.</w:t>
      </w:r>
    </w:p>
    <w:bookmarkEnd w:id="6"/>
    <w:p w:rsidR="0049474A" w:rsidRPr="00A9448D" w:rsidRDefault="0049474A" w:rsidP="0049474A">
      <w:pPr>
        <w:pStyle w:val="VPBullet1"/>
        <w:spacing w:after="0"/>
        <w:rPr>
          <w:rFonts w:ascii="Times New Roman" w:hAnsi="Times New Roman" w:cs="Times New Roman"/>
          <w:sz w:val="28"/>
          <w:szCs w:val="28"/>
        </w:rPr>
      </w:pPr>
    </w:p>
    <w:p w:rsidR="0049474A" w:rsidRPr="00F0620C" w:rsidRDefault="0049474A" w:rsidP="0049474A">
      <w:pPr>
        <w:spacing w:line="240" w:lineRule="auto"/>
        <w:rPr>
          <w:rFonts w:ascii="Times New Roman" w:hAnsi="Times New Roman" w:cs="Times New Roman"/>
          <w:sz w:val="28"/>
          <w:szCs w:val="28"/>
        </w:rPr>
      </w:pPr>
      <w:bookmarkStart w:id="7" w:name="_Toc256000007"/>
      <w:bookmarkStart w:id="8" w:name="_Toc465333700"/>
      <w:r w:rsidRPr="00F0620C">
        <w:rPr>
          <w:rFonts w:ascii="Times New Roman" w:hAnsi="Times New Roman" w:cs="Times New Roman"/>
          <w:b/>
          <w:sz w:val="28"/>
          <w:szCs w:val="28"/>
        </w:rPr>
        <w:t>Projekta rezultāt</w:t>
      </w:r>
      <w:r w:rsidR="000F3C69">
        <w:rPr>
          <w:rFonts w:ascii="Times New Roman" w:hAnsi="Times New Roman" w:cs="Times New Roman"/>
          <w:b/>
          <w:sz w:val="28"/>
          <w:szCs w:val="28"/>
        </w:rPr>
        <w:t>a</w:t>
      </w:r>
      <w:r w:rsidRPr="00F0620C">
        <w:rPr>
          <w:rFonts w:ascii="Times New Roman" w:hAnsi="Times New Roman" w:cs="Times New Roman"/>
          <w:b/>
          <w:sz w:val="28"/>
          <w:szCs w:val="28"/>
        </w:rPr>
        <w:t xml:space="preserve"> rādītāji</w:t>
      </w:r>
      <w:bookmarkEnd w:id="7"/>
      <w:bookmarkEnd w:id="8"/>
    </w:p>
    <w:p w:rsidR="0049474A" w:rsidRPr="00F0620C" w:rsidRDefault="0049474A" w:rsidP="0049474A">
      <w:pPr>
        <w:pStyle w:val="VPBody"/>
        <w:spacing w:after="120" w:line="240" w:lineRule="auto"/>
        <w:ind w:firstLine="720"/>
        <w:jc w:val="both"/>
        <w:rPr>
          <w:sz w:val="28"/>
          <w:szCs w:val="28"/>
        </w:rPr>
      </w:pPr>
      <w:r w:rsidRPr="00A9448D">
        <w:rPr>
          <w:sz w:val="28"/>
          <w:szCs w:val="28"/>
        </w:rPr>
        <w:t>Tā kā projektā paredzētās aktivitātes ir vērstas uz LM resora iestāžu darbības efektivitātes paaugstināšanu</w:t>
      </w:r>
      <w:r w:rsidR="000F3C69">
        <w:rPr>
          <w:sz w:val="28"/>
          <w:szCs w:val="28"/>
        </w:rPr>
        <w:t>,</w:t>
      </w:r>
      <w:r w:rsidRPr="00A9448D">
        <w:rPr>
          <w:sz w:val="28"/>
          <w:szCs w:val="28"/>
        </w:rPr>
        <w:t xml:space="preserve"> projekta ieguldījums tiešā veidā neparedz uzlabojumus </w:t>
      </w:r>
      <w:r w:rsidRPr="00E17604">
        <w:rPr>
          <w:sz w:val="28"/>
          <w:szCs w:val="28"/>
        </w:rPr>
        <w:t xml:space="preserve">Ministru kabineta 2015. gada 17. novembra noteikumu Nr. 653 </w:t>
      </w:r>
      <w:r>
        <w:rPr>
          <w:sz w:val="28"/>
          <w:szCs w:val="28"/>
        </w:rPr>
        <w:t>"</w:t>
      </w:r>
      <w:r w:rsidRPr="00E17604">
        <w:rPr>
          <w:sz w:val="28"/>
          <w:szCs w:val="28"/>
        </w:rPr>
        <w:t xml:space="preserve">Darbības programmas </w:t>
      </w:r>
      <w:r>
        <w:rPr>
          <w:sz w:val="28"/>
          <w:szCs w:val="28"/>
        </w:rPr>
        <w:t>"</w:t>
      </w:r>
      <w:r w:rsidRPr="00E17604">
        <w:rPr>
          <w:sz w:val="28"/>
          <w:szCs w:val="28"/>
        </w:rPr>
        <w:t>Izaugsme un nodarbinātība</w:t>
      </w:r>
      <w:r>
        <w:rPr>
          <w:sz w:val="28"/>
          <w:szCs w:val="28"/>
        </w:rPr>
        <w:t>"</w:t>
      </w:r>
      <w:r w:rsidRPr="00E17604">
        <w:rPr>
          <w:sz w:val="28"/>
          <w:szCs w:val="28"/>
        </w:rPr>
        <w:t xml:space="preserve"> 2.2.1. specifiskā atbalsta mērķa </w:t>
      </w:r>
      <w:r>
        <w:rPr>
          <w:sz w:val="28"/>
          <w:szCs w:val="28"/>
        </w:rPr>
        <w:t>"</w:t>
      </w:r>
      <w:r w:rsidRPr="00E17604">
        <w:rPr>
          <w:sz w:val="28"/>
          <w:szCs w:val="28"/>
        </w:rPr>
        <w:t>Nodrošināt publisko datu atkalizmantošanas pieaugumu un efektīvu publiskās pārvaldes un privātā sektora mijiedarbību</w:t>
      </w:r>
      <w:r>
        <w:rPr>
          <w:sz w:val="28"/>
          <w:szCs w:val="28"/>
        </w:rPr>
        <w:t>"</w:t>
      </w:r>
      <w:r w:rsidRPr="00E17604">
        <w:rPr>
          <w:sz w:val="28"/>
          <w:szCs w:val="28"/>
        </w:rPr>
        <w:t xml:space="preserve"> 2.2.1.1. pasākuma </w:t>
      </w:r>
      <w:r>
        <w:rPr>
          <w:sz w:val="28"/>
          <w:szCs w:val="28"/>
        </w:rPr>
        <w:t>"</w:t>
      </w:r>
      <w:r w:rsidRPr="00E17604">
        <w:rPr>
          <w:sz w:val="28"/>
          <w:szCs w:val="28"/>
        </w:rPr>
        <w:t>Centralizētu publiskās pārvaldes IKT platformu izveide, publiskās pārvaldes procesu optimizēšana un attīstība</w:t>
      </w:r>
      <w:r>
        <w:rPr>
          <w:sz w:val="28"/>
          <w:szCs w:val="28"/>
        </w:rPr>
        <w:t>"</w:t>
      </w:r>
      <w:r w:rsidRPr="00E17604">
        <w:rPr>
          <w:sz w:val="28"/>
          <w:szCs w:val="28"/>
        </w:rPr>
        <w:t xml:space="preserve"> īstenošanas</w:t>
      </w:r>
      <w:r w:rsidRPr="00A9448D">
        <w:rPr>
          <w:sz w:val="28"/>
          <w:szCs w:val="28"/>
        </w:rPr>
        <w:t xml:space="preserve"> noteikumi</w:t>
      </w:r>
      <w:r>
        <w:rPr>
          <w:sz w:val="28"/>
          <w:szCs w:val="28"/>
        </w:rPr>
        <w:t>"</w:t>
      </w:r>
      <w:r w:rsidRPr="00A9448D">
        <w:rPr>
          <w:sz w:val="28"/>
          <w:szCs w:val="28"/>
        </w:rPr>
        <w:t xml:space="preserve"> paredzētajos rezultāt</w:t>
      </w:r>
      <w:r w:rsidR="000F3C69">
        <w:rPr>
          <w:sz w:val="28"/>
          <w:szCs w:val="28"/>
        </w:rPr>
        <w:t>a</w:t>
      </w:r>
      <w:r w:rsidRPr="00A9448D">
        <w:rPr>
          <w:sz w:val="28"/>
          <w:szCs w:val="28"/>
        </w:rPr>
        <w:t xml:space="preserve"> rādītājos, kas minēti 7.2.1. </w:t>
      </w:r>
      <w:r w:rsidR="000F3C69">
        <w:rPr>
          <w:sz w:val="28"/>
          <w:szCs w:val="28"/>
        </w:rPr>
        <w:t>apakš</w:t>
      </w:r>
      <w:r w:rsidR="00F61BEC" w:rsidRPr="00A9448D">
        <w:rPr>
          <w:sz w:val="28"/>
          <w:szCs w:val="28"/>
        </w:rPr>
        <w:t>punkt</w:t>
      </w:r>
      <w:r w:rsidR="00F61BEC">
        <w:rPr>
          <w:sz w:val="28"/>
          <w:szCs w:val="28"/>
        </w:rPr>
        <w:t>ā</w:t>
      </w:r>
      <w:r w:rsidR="00F61BEC" w:rsidRPr="00A9448D">
        <w:rPr>
          <w:sz w:val="28"/>
          <w:szCs w:val="28"/>
        </w:rPr>
        <w:t xml:space="preserve"> </w:t>
      </w:r>
      <w:proofErr w:type="gramStart"/>
      <w:r w:rsidRPr="00A9448D">
        <w:rPr>
          <w:sz w:val="28"/>
          <w:szCs w:val="28"/>
        </w:rPr>
        <w:t>(</w:t>
      </w:r>
      <w:proofErr w:type="gramEnd"/>
      <w:r w:rsidRPr="00A9448D">
        <w:rPr>
          <w:sz w:val="28"/>
          <w:szCs w:val="28"/>
        </w:rPr>
        <w:t>"iedzīvotāju īpatsvars, kas izmanto e-pakalpojumus sadarbībai ar valsts un pašvaldību institūcijām un iesniedz veidlapas elektroniski")</w:t>
      </w:r>
      <w:r w:rsidR="00F61BEC">
        <w:rPr>
          <w:sz w:val="28"/>
          <w:szCs w:val="28"/>
        </w:rPr>
        <w:t>,</w:t>
      </w:r>
      <w:r w:rsidRPr="00A9448D">
        <w:rPr>
          <w:sz w:val="28"/>
          <w:szCs w:val="28"/>
        </w:rPr>
        <w:t xml:space="preserve"> 7.2.2. </w:t>
      </w:r>
      <w:r w:rsidR="000F3C69">
        <w:rPr>
          <w:sz w:val="28"/>
          <w:szCs w:val="28"/>
        </w:rPr>
        <w:t>apakš</w:t>
      </w:r>
      <w:r w:rsidR="000F3C69" w:rsidRPr="00A9448D">
        <w:rPr>
          <w:sz w:val="28"/>
          <w:szCs w:val="28"/>
        </w:rPr>
        <w:t>punkt</w:t>
      </w:r>
      <w:r w:rsidR="000F3C69">
        <w:rPr>
          <w:sz w:val="28"/>
          <w:szCs w:val="28"/>
        </w:rPr>
        <w:t>ā</w:t>
      </w:r>
      <w:r w:rsidR="000F3C69" w:rsidRPr="00A9448D">
        <w:rPr>
          <w:sz w:val="28"/>
          <w:szCs w:val="28"/>
        </w:rPr>
        <w:t xml:space="preserve"> </w:t>
      </w:r>
      <w:r w:rsidRPr="00A9448D">
        <w:rPr>
          <w:sz w:val="28"/>
          <w:szCs w:val="28"/>
        </w:rPr>
        <w:t>(</w:t>
      </w:r>
      <w:r>
        <w:rPr>
          <w:sz w:val="28"/>
          <w:szCs w:val="28"/>
        </w:rPr>
        <w:t>"</w:t>
      </w:r>
      <w:r w:rsidRPr="00A9448D">
        <w:rPr>
          <w:sz w:val="28"/>
          <w:szCs w:val="28"/>
        </w:rPr>
        <w:t>komersantu īpatsvars, kas izmanto e-pakalpojumus sadarbībai ar valsts un pašvaldību institūcijām un iesniedz veidlapas elektroniski</w:t>
      </w:r>
      <w:r>
        <w:rPr>
          <w:sz w:val="28"/>
          <w:szCs w:val="28"/>
        </w:rPr>
        <w:t>"</w:t>
      </w:r>
      <w:r w:rsidRPr="00A9448D">
        <w:rPr>
          <w:sz w:val="28"/>
          <w:szCs w:val="28"/>
        </w:rPr>
        <w:t>) un 7.2.3. </w:t>
      </w:r>
      <w:r w:rsidR="000F3C69">
        <w:rPr>
          <w:sz w:val="28"/>
          <w:szCs w:val="28"/>
        </w:rPr>
        <w:t>apakš</w:t>
      </w:r>
      <w:r w:rsidR="000F3C69" w:rsidRPr="00A9448D">
        <w:rPr>
          <w:sz w:val="28"/>
          <w:szCs w:val="28"/>
        </w:rPr>
        <w:t>punkt</w:t>
      </w:r>
      <w:r w:rsidR="000F3C69">
        <w:rPr>
          <w:sz w:val="28"/>
          <w:szCs w:val="28"/>
        </w:rPr>
        <w:t>ā</w:t>
      </w:r>
      <w:r w:rsidR="000F3C69" w:rsidRPr="00A9448D">
        <w:rPr>
          <w:sz w:val="28"/>
          <w:szCs w:val="28"/>
        </w:rPr>
        <w:t xml:space="preserve"> </w:t>
      </w:r>
      <w:r w:rsidRPr="00A9448D">
        <w:rPr>
          <w:sz w:val="28"/>
          <w:szCs w:val="28"/>
        </w:rPr>
        <w:t xml:space="preserve">("Latvijas reitings Eiropas Komisijas Komunikācijas tīklu, satura un tehnoloģiju ģenerāldirektorāta atbalstītās iniciatīvas </w:t>
      </w:r>
      <w:proofErr w:type="spellStart"/>
      <w:r w:rsidRPr="000F3C69">
        <w:rPr>
          <w:i/>
          <w:sz w:val="28"/>
          <w:szCs w:val="28"/>
        </w:rPr>
        <w:t>ePSIplatform</w:t>
      </w:r>
      <w:proofErr w:type="spellEnd"/>
      <w:r w:rsidRPr="00A9448D">
        <w:rPr>
          <w:sz w:val="28"/>
          <w:szCs w:val="28"/>
        </w:rPr>
        <w:t xml:space="preserve"> ietvaros veidotajā atkalizmantošanas indeksā </w:t>
      </w:r>
      <w:r w:rsidRPr="000F3C69">
        <w:rPr>
          <w:i/>
          <w:sz w:val="28"/>
          <w:szCs w:val="28"/>
        </w:rPr>
        <w:lastRenderedPageBreak/>
        <w:t xml:space="preserve">PSI </w:t>
      </w:r>
      <w:proofErr w:type="spellStart"/>
      <w:r w:rsidRPr="000F3C69">
        <w:rPr>
          <w:i/>
          <w:sz w:val="28"/>
          <w:szCs w:val="28"/>
        </w:rPr>
        <w:t>Scoreboard</w:t>
      </w:r>
      <w:proofErr w:type="spellEnd"/>
      <w:r w:rsidRPr="00A9448D">
        <w:rPr>
          <w:sz w:val="28"/>
          <w:szCs w:val="28"/>
        </w:rPr>
        <w:t xml:space="preserve"> palielinās līdz 475 punktiem"). Taču atsevišķas projekta ietvaros veiktās aktivitātes radīs priekšnoteikumus, lai </w:t>
      </w:r>
      <w:r w:rsidR="00F61BEC">
        <w:rPr>
          <w:sz w:val="28"/>
          <w:szCs w:val="28"/>
        </w:rPr>
        <w:t>īstenotu</w:t>
      </w:r>
      <w:r w:rsidRPr="00A9448D">
        <w:rPr>
          <w:sz w:val="28"/>
          <w:szCs w:val="28"/>
        </w:rPr>
        <w:t xml:space="preserve"> pasākumus, kas uzlabos rezultāt</w:t>
      </w:r>
      <w:r w:rsidR="000F3C69">
        <w:rPr>
          <w:sz w:val="28"/>
          <w:szCs w:val="28"/>
        </w:rPr>
        <w:t>a</w:t>
      </w:r>
      <w:r w:rsidRPr="00A9448D">
        <w:rPr>
          <w:sz w:val="28"/>
          <w:szCs w:val="28"/>
        </w:rPr>
        <w:t xml:space="preserve"> rādītājus attiec</w:t>
      </w:r>
      <w:r w:rsidR="00F61BEC">
        <w:rPr>
          <w:sz w:val="28"/>
          <w:szCs w:val="28"/>
        </w:rPr>
        <w:t>ībā</w:t>
      </w:r>
      <w:r w:rsidRPr="00A9448D">
        <w:rPr>
          <w:sz w:val="28"/>
          <w:szCs w:val="28"/>
        </w:rPr>
        <w:t xml:space="preserve"> uz </w:t>
      </w:r>
      <w:r w:rsidR="00F61BEC">
        <w:rPr>
          <w:sz w:val="28"/>
          <w:szCs w:val="28"/>
        </w:rPr>
        <w:t xml:space="preserve">to </w:t>
      </w:r>
      <w:r w:rsidRPr="00F0620C">
        <w:rPr>
          <w:sz w:val="28"/>
          <w:szCs w:val="28"/>
        </w:rPr>
        <w:t>iedzīvotāju īpatsvaru</w:t>
      </w:r>
      <w:r w:rsidR="00F61BEC">
        <w:rPr>
          <w:sz w:val="28"/>
          <w:szCs w:val="28"/>
        </w:rPr>
        <w:t>, kuri</w:t>
      </w:r>
      <w:r w:rsidRPr="00F0620C">
        <w:rPr>
          <w:sz w:val="28"/>
          <w:szCs w:val="28"/>
        </w:rPr>
        <w:t xml:space="preserve"> </w:t>
      </w:r>
      <w:r w:rsidR="00F61BEC" w:rsidRPr="00F0620C">
        <w:rPr>
          <w:sz w:val="28"/>
          <w:szCs w:val="28"/>
        </w:rPr>
        <w:t xml:space="preserve">izmanto </w:t>
      </w:r>
      <w:r w:rsidR="000F3C69">
        <w:rPr>
          <w:sz w:val="28"/>
          <w:szCs w:val="28"/>
        </w:rPr>
        <w:br/>
      </w:r>
      <w:r w:rsidRPr="00F0620C">
        <w:rPr>
          <w:sz w:val="28"/>
          <w:szCs w:val="28"/>
        </w:rPr>
        <w:t>e-pakalpojumu</w:t>
      </w:r>
      <w:r w:rsidR="005E3859">
        <w:rPr>
          <w:sz w:val="28"/>
          <w:szCs w:val="28"/>
        </w:rPr>
        <w:t>s</w:t>
      </w:r>
      <w:r w:rsidRPr="00F0620C">
        <w:rPr>
          <w:sz w:val="28"/>
          <w:szCs w:val="28"/>
        </w:rPr>
        <w:t xml:space="preserve">, kā arī </w:t>
      </w:r>
      <w:r w:rsidR="005E3859">
        <w:rPr>
          <w:sz w:val="28"/>
          <w:szCs w:val="28"/>
        </w:rPr>
        <w:t xml:space="preserve">uz </w:t>
      </w:r>
      <w:r w:rsidRPr="00F0620C">
        <w:rPr>
          <w:sz w:val="28"/>
          <w:szCs w:val="28"/>
        </w:rPr>
        <w:t>datu atkalizmantošan</w:t>
      </w:r>
      <w:r w:rsidR="005E3859">
        <w:rPr>
          <w:sz w:val="28"/>
          <w:szCs w:val="28"/>
        </w:rPr>
        <w:t>u</w:t>
      </w:r>
      <w:r w:rsidRPr="00F0620C">
        <w:rPr>
          <w:sz w:val="28"/>
          <w:szCs w:val="28"/>
        </w:rPr>
        <w:t xml:space="preserve">. </w:t>
      </w:r>
    </w:p>
    <w:p w:rsidR="0049474A" w:rsidRPr="00A9448D" w:rsidRDefault="0049474A" w:rsidP="0049474A">
      <w:pPr>
        <w:spacing w:before="120" w:after="120"/>
        <w:rPr>
          <w:rFonts w:ascii="Times New Roman" w:hAnsi="Times New Roman" w:cs="Times New Roman"/>
          <w:i/>
          <w:sz w:val="28"/>
          <w:szCs w:val="28"/>
        </w:rPr>
      </w:pPr>
    </w:p>
    <w:p w:rsidR="0049474A" w:rsidRPr="005E3859" w:rsidRDefault="0049474A" w:rsidP="005E3859">
      <w:pPr>
        <w:spacing w:before="120" w:after="120"/>
        <w:jc w:val="right"/>
        <w:rPr>
          <w:rFonts w:ascii="Times New Roman" w:hAnsi="Times New Roman" w:cs="Times New Roman"/>
          <w:sz w:val="24"/>
          <w:szCs w:val="24"/>
        </w:rPr>
      </w:pPr>
      <w:r w:rsidRPr="005E3859">
        <w:rPr>
          <w:rFonts w:ascii="Times New Roman" w:hAnsi="Times New Roman" w:cs="Times New Roman"/>
          <w:sz w:val="24"/>
          <w:szCs w:val="24"/>
        </w:rPr>
        <w:t>1. tabula</w:t>
      </w:r>
    </w:p>
    <w:p w:rsidR="0049474A" w:rsidRPr="000E5FE5" w:rsidRDefault="0049474A" w:rsidP="0049474A">
      <w:pPr>
        <w:spacing w:before="120" w:after="120"/>
        <w:jc w:val="center"/>
        <w:rPr>
          <w:rFonts w:ascii="Times New Roman" w:hAnsi="Times New Roman" w:cs="Times New Roman"/>
          <w:b/>
          <w:sz w:val="28"/>
          <w:szCs w:val="28"/>
        </w:rPr>
      </w:pPr>
      <w:r w:rsidRPr="000E5FE5">
        <w:rPr>
          <w:rFonts w:ascii="Times New Roman" w:hAnsi="Times New Roman" w:cs="Times New Roman"/>
          <w:b/>
          <w:sz w:val="28"/>
          <w:szCs w:val="28"/>
        </w:rPr>
        <w:t>Projekta rezultāt</w:t>
      </w:r>
      <w:r w:rsidR="000F3C69">
        <w:rPr>
          <w:rFonts w:ascii="Times New Roman" w:hAnsi="Times New Roman" w:cs="Times New Roman"/>
          <w:b/>
          <w:sz w:val="28"/>
          <w:szCs w:val="28"/>
        </w:rPr>
        <w:t>a</w:t>
      </w:r>
      <w:r w:rsidRPr="000E5FE5">
        <w:rPr>
          <w:rFonts w:ascii="Times New Roman" w:hAnsi="Times New Roman" w:cs="Times New Roman"/>
          <w:b/>
          <w:sz w:val="28"/>
          <w:szCs w:val="28"/>
        </w:rPr>
        <w:t xml:space="preserve"> rādītāji</w:t>
      </w:r>
    </w:p>
    <w:tbl>
      <w:tblPr>
        <w:tblW w:w="5003" w:type="pct"/>
        <w:tblInd w:w="-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528"/>
        <w:gridCol w:w="694"/>
        <w:gridCol w:w="2322"/>
        <w:gridCol w:w="1170"/>
        <w:gridCol w:w="1256"/>
        <w:gridCol w:w="1548"/>
        <w:gridCol w:w="1548"/>
      </w:tblGrid>
      <w:tr w:rsidR="00D272C7" w:rsidRPr="00D272C7" w:rsidTr="00D272C7">
        <w:trPr>
          <w:tblHeader/>
        </w:trPr>
        <w:tc>
          <w:tcPr>
            <w:tcW w:w="528" w:type="dxa"/>
            <w:tcBorders>
              <w:top w:val="single" w:sz="4" w:space="0" w:color="5B9BD5"/>
              <w:left w:val="single" w:sz="4" w:space="0" w:color="5B9BD5"/>
              <w:bottom w:val="single" w:sz="4" w:space="0" w:color="5B9BD5"/>
              <w:right w:val="nil"/>
            </w:tcBorders>
            <w:shd w:val="clear" w:color="auto" w:fill="5B9BD5"/>
            <w:vAlign w:val="center"/>
          </w:tcPr>
          <w:p w:rsidR="00D272C7" w:rsidRPr="00D272C7" w:rsidRDefault="00D272C7" w:rsidP="00461451">
            <w:pPr>
              <w:pStyle w:val="VPBody"/>
              <w:spacing w:after="0"/>
              <w:jc w:val="center"/>
              <w:rPr>
                <w:b/>
                <w:bCs/>
                <w:lang w:eastAsia="en-US"/>
              </w:rPr>
            </w:pPr>
            <w:r w:rsidRPr="00D272C7">
              <w:rPr>
                <w:b/>
                <w:bCs/>
                <w:lang w:eastAsia="en-US"/>
              </w:rPr>
              <w:t>Nr.</w:t>
            </w:r>
          </w:p>
          <w:p w:rsidR="00D272C7" w:rsidRPr="00D272C7" w:rsidRDefault="00D272C7" w:rsidP="00461451">
            <w:pPr>
              <w:pStyle w:val="VPBody"/>
              <w:spacing w:after="0"/>
              <w:ind w:left="-106" w:right="-145"/>
              <w:jc w:val="center"/>
              <w:rPr>
                <w:b/>
                <w:bCs/>
                <w:lang w:eastAsia="en-US"/>
              </w:rPr>
            </w:pPr>
            <w:r w:rsidRPr="00D272C7">
              <w:rPr>
                <w:b/>
                <w:bCs/>
                <w:lang w:eastAsia="en-US"/>
              </w:rPr>
              <w:t>p. k.</w:t>
            </w:r>
          </w:p>
        </w:tc>
        <w:tc>
          <w:tcPr>
            <w:tcW w:w="694" w:type="dxa"/>
            <w:tcBorders>
              <w:top w:val="single" w:sz="4" w:space="0" w:color="5B9BD5"/>
              <w:left w:val="single" w:sz="4" w:space="0" w:color="5B9BD5"/>
              <w:bottom w:val="single" w:sz="4" w:space="0" w:color="5B9BD5"/>
              <w:right w:val="nil"/>
            </w:tcBorders>
            <w:shd w:val="clear" w:color="auto" w:fill="5B9BD5"/>
            <w:vAlign w:val="center"/>
          </w:tcPr>
          <w:p w:rsidR="00D272C7" w:rsidRPr="00D272C7" w:rsidRDefault="00D272C7" w:rsidP="00D272C7">
            <w:pPr>
              <w:pStyle w:val="VPBody"/>
              <w:jc w:val="center"/>
              <w:rPr>
                <w:b/>
                <w:bCs/>
                <w:lang w:eastAsia="en-US"/>
              </w:rPr>
            </w:pPr>
          </w:p>
        </w:tc>
        <w:tc>
          <w:tcPr>
            <w:tcW w:w="2322" w:type="dxa"/>
            <w:tcBorders>
              <w:top w:val="single" w:sz="4" w:space="0" w:color="5B9BD5"/>
              <w:left w:val="nil"/>
              <w:bottom w:val="single" w:sz="4" w:space="0" w:color="5B9BD5"/>
              <w:right w:val="nil"/>
            </w:tcBorders>
            <w:shd w:val="clear" w:color="auto" w:fill="5B9BD5"/>
            <w:vAlign w:val="center"/>
          </w:tcPr>
          <w:p w:rsidR="00D272C7" w:rsidRPr="00D272C7" w:rsidRDefault="00D272C7" w:rsidP="00D272C7">
            <w:pPr>
              <w:pStyle w:val="VPBody"/>
              <w:jc w:val="center"/>
              <w:rPr>
                <w:b/>
                <w:bCs/>
                <w:lang w:eastAsia="en-US"/>
              </w:rPr>
            </w:pPr>
            <w:r w:rsidRPr="00D272C7">
              <w:rPr>
                <w:b/>
                <w:bCs/>
                <w:lang w:eastAsia="en-US"/>
              </w:rPr>
              <w:t>Rādītājs</w:t>
            </w:r>
          </w:p>
        </w:tc>
        <w:tc>
          <w:tcPr>
            <w:tcW w:w="1170" w:type="dxa"/>
            <w:tcBorders>
              <w:top w:val="single" w:sz="4" w:space="0" w:color="5B9BD5"/>
              <w:left w:val="nil"/>
              <w:bottom w:val="single" w:sz="4" w:space="0" w:color="5B9BD5"/>
              <w:right w:val="nil"/>
            </w:tcBorders>
            <w:shd w:val="clear" w:color="auto" w:fill="5B9BD5"/>
            <w:vAlign w:val="center"/>
          </w:tcPr>
          <w:p w:rsidR="00D272C7" w:rsidRPr="00D272C7" w:rsidRDefault="00D272C7" w:rsidP="00D272C7">
            <w:pPr>
              <w:pStyle w:val="VPBody"/>
              <w:jc w:val="center"/>
              <w:rPr>
                <w:b/>
                <w:bCs/>
                <w:lang w:eastAsia="en-US"/>
              </w:rPr>
            </w:pPr>
            <w:r w:rsidRPr="00D272C7">
              <w:rPr>
                <w:b/>
                <w:bCs/>
                <w:lang w:eastAsia="en-US"/>
              </w:rPr>
              <w:t>Mēr</w:t>
            </w:r>
            <w:r>
              <w:rPr>
                <w:b/>
                <w:bCs/>
                <w:lang w:eastAsia="en-US"/>
              </w:rPr>
              <w:softHyphen/>
            </w:r>
            <w:r w:rsidRPr="00D272C7">
              <w:rPr>
                <w:b/>
                <w:bCs/>
                <w:lang w:eastAsia="en-US"/>
              </w:rPr>
              <w:t>vienība</w:t>
            </w:r>
          </w:p>
        </w:tc>
        <w:tc>
          <w:tcPr>
            <w:tcW w:w="1256" w:type="dxa"/>
            <w:tcBorders>
              <w:top w:val="single" w:sz="4" w:space="0" w:color="5B9BD5"/>
              <w:left w:val="nil"/>
              <w:bottom w:val="single" w:sz="4" w:space="0" w:color="5B9BD5"/>
              <w:right w:val="nil"/>
            </w:tcBorders>
            <w:shd w:val="clear" w:color="auto" w:fill="5B9BD5"/>
            <w:vAlign w:val="center"/>
          </w:tcPr>
          <w:p w:rsidR="00D272C7" w:rsidRPr="00D272C7" w:rsidRDefault="00D272C7" w:rsidP="00D272C7">
            <w:pPr>
              <w:pStyle w:val="VPBody"/>
              <w:jc w:val="center"/>
              <w:rPr>
                <w:b/>
                <w:bCs/>
                <w:lang w:eastAsia="en-US"/>
              </w:rPr>
            </w:pPr>
            <w:r w:rsidRPr="00D272C7">
              <w:rPr>
                <w:b/>
                <w:bCs/>
                <w:lang w:eastAsia="en-US"/>
              </w:rPr>
              <w:t>Sākotnējā vērtība</w:t>
            </w:r>
          </w:p>
        </w:tc>
        <w:tc>
          <w:tcPr>
            <w:tcW w:w="1548" w:type="dxa"/>
            <w:tcBorders>
              <w:top w:val="single" w:sz="4" w:space="0" w:color="5B9BD5"/>
              <w:left w:val="nil"/>
              <w:bottom w:val="single" w:sz="4" w:space="0" w:color="5B9BD5"/>
              <w:right w:val="nil"/>
            </w:tcBorders>
            <w:shd w:val="clear" w:color="auto" w:fill="5B9BD5"/>
            <w:vAlign w:val="center"/>
          </w:tcPr>
          <w:p w:rsidR="00D272C7" w:rsidRPr="00D272C7" w:rsidRDefault="00D272C7" w:rsidP="00D272C7">
            <w:pPr>
              <w:pStyle w:val="VPBody"/>
              <w:jc w:val="center"/>
              <w:rPr>
                <w:b/>
                <w:bCs/>
                <w:lang w:eastAsia="en-US"/>
              </w:rPr>
            </w:pPr>
            <w:r w:rsidRPr="00D272C7">
              <w:rPr>
                <w:b/>
                <w:bCs/>
                <w:lang w:eastAsia="en-US"/>
              </w:rPr>
              <w:t>Sasniedzamā</w:t>
            </w:r>
            <w:proofErr w:type="gramStart"/>
            <w:r w:rsidRPr="00D272C7">
              <w:rPr>
                <w:b/>
                <w:bCs/>
                <w:lang w:eastAsia="en-US"/>
              </w:rPr>
              <w:t xml:space="preserve">  </w:t>
            </w:r>
            <w:proofErr w:type="gramEnd"/>
            <w:r w:rsidRPr="00D272C7">
              <w:rPr>
                <w:b/>
                <w:bCs/>
                <w:lang w:eastAsia="en-US"/>
              </w:rPr>
              <w:t>vērtība divus gadus pēc projekta beigām</w:t>
            </w:r>
          </w:p>
        </w:tc>
        <w:tc>
          <w:tcPr>
            <w:tcW w:w="1548" w:type="dxa"/>
            <w:tcBorders>
              <w:top w:val="single" w:sz="4" w:space="0" w:color="5B9BD5"/>
              <w:left w:val="nil"/>
              <w:bottom w:val="single" w:sz="4" w:space="0" w:color="5B9BD5"/>
              <w:right w:val="single" w:sz="4" w:space="0" w:color="5B9BD5"/>
            </w:tcBorders>
            <w:shd w:val="clear" w:color="auto" w:fill="5B9BD5"/>
            <w:vAlign w:val="center"/>
          </w:tcPr>
          <w:p w:rsidR="00D272C7" w:rsidRPr="00D272C7" w:rsidRDefault="00D272C7" w:rsidP="00D272C7">
            <w:pPr>
              <w:pStyle w:val="VPBody"/>
              <w:jc w:val="center"/>
              <w:rPr>
                <w:b/>
                <w:bCs/>
                <w:lang w:eastAsia="en-US"/>
              </w:rPr>
            </w:pPr>
            <w:r w:rsidRPr="00D272C7">
              <w:rPr>
                <w:b/>
                <w:bCs/>
                <w:lang w:eastAsia="en-US"/>
              </w:rPr>
              <w:t>Sasniedzamā vērtība trīs gadus pēc projekta beigām</w:t>
            </w:r>
          </w:p>
        </w:tc>
      </w:tr>
      <w:tr w:rsidR="00D272C7" w:rsidRPr="00A9448D" w:rsidTr="00D272C7">
        <w:tc>
          <w:tcPr>
            <w:tcW w:w="528" w:type="dxa"/>
          </w:tcPr>
          <w:p w:rsidR="00D272C7" w:rsidRPr="00D272C7" w:rsidRDefault="00D272C7" w:rsidP="0043444B">
            <w:pPr>
              <w:pStyle w:val="VPBodyTable"/>
              <w:spacing w:before="0" w:line="240" w:lineRule="auto"/>
              <w:rPr>
                <w:rFonts w:ascii="Times New Roman" w:hAnsi="Times New Roman" w:cs="Times New Roman"/>
                <w:bCs/>
                <w:sz w:val="24"/>
                <w:szCs w:val="24"/>
                <w:lang w:val="lv-LV" w:eastAsia="en-US"/>
              </w:rPr>
            </w:pPr>
            <w:r w:rsidRPr="00D272C7">
              <w:rPr>
                <w:rFonts w:ascii="Times New Roman" w:hAnsi="Times New Roman" w:cs="Times New Roman"/>
                <w:bCs/>
                <w:sz w:val="24"/>
                <w:szCs w:val="24"/>
                <w:lang w:val="lv-LV" w:eastAsia="en-US"/>
              </w:rPr>
              <w:t>1.</w:t>
            </w:r>
          </w:p>
        </w:tc>
        <w:tc>
          <w:tcPr>
            <w:tcW w:w="694" w:type="dxa"/>
          </w:tcPr>
          <w:p w:rsidR="00D272C7" w:rsidRPr="00A9448D" w:rsidRDefault="00D272C7" w:rsidP="0043444B">
            <w:pPr>
              <w:pStyle w:val="VPBodyTable"/>
              <w:spacing w:before="0" w:line="240" w:lineRule="auto"/>
              <w:rPr>
                <w:rFonts w:ascii="Times New Roman" w:hAnsi="Times New Roman" w:cs="Times New Roman"/>
                <w:b/>
                <w:bCs/>
                <w:sz w:val="24"/>
                <w:szCs w:val="24"/>
                <w:lang w:val="lv-LV" w:eastAsia="en-US"/>
              </w:rPr>
            </w:pPr>
            <w:r w:rsidRPr="00A9448D">
              <w:rPr>
                <w:rFonts w:ascii="Times New Roman" w:hAnsi="Times New Roman" w:cs="Times New Roman"/>
                <w:b/>
                <w:bCs/>
                <w:sz w:val="24"/>
                <w:szCs w:val="24"/>
                <w:lang w:val="lv-LV" w:eastAsia="en-US"/>
              </w:rPr>
              <w:t>RR1</w:t>
            </w:r>
          </w:p>
        </w:tc>
        <w:tc>
          <w:tcPr>
            <w:tcW w:w="2322" w:type="dxa"/>
          </w:tcPr>
          <w:p w:rsidR="00D272C7" w:rsidRPr="00A9448D" w:rsidRDefault="00D272C7"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Iestāžu skaits, kuras izmanto labklājības nozares IKT centralizētos pakalpojumus</w:t>
            </w:r>
            <w:proofErr w:type="gramStart"/>
            <w:r w:rsidRPr="00A9448D">
              <w:rPr>
                <w:rFonts w:ascii="Times New Roman" w:hAnsi="Times New Roman" w:cs="Times New Roman"/>
                <w:sz w:val="24"/>
                <w:szCs w:val="24"/>
                <w:lang w:val="lv-LV" w:eastAsia="en-US"/>
              </w:rPr>
              <w:t xml:space="preserve">  </w:t>
            </w:r>
            <w:proofErr w:type="gramEnd"/>
          </w:p>
        </w:tc>
        <w:tc>
          <w:tcPr>
            <w:tcW w:w="1170" w:type="dxa"/>
          </w:tcPr>
          <w:p w:rsidR="00D272C7" w:rsidRPr="00A9448D" w:rsidRDefault="000F3C69"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i</w:t>
            </w:r>
            <w:r w:rsidR="00D272C7" w:rsidRPr="00A9448D">
              <w:rPr>
                <w:rFonts w:ascii="Times New Roman" w:hAnsi="Times New Roman" w:cs="Times New Roman"/>
                <w:sz w:val="24"/>
                <w:szCs w:val="24"/>
                <w:lang w:val="lv-LV" w:eastAsia="en-US"/>
              </w:rPr>
              <w:t>estāžu skaits</w:t>
            </w:r>
          </w:p>
        </w:tc>
        <w:tc>
          <w:tcPr>
            <w:tcW w:w="1256" w:type="dxa"/>
          </w:tcPr>
          <w:p w:rsidR="00D272C7" w:rsidRPr="00A9448D" w:rsidRDefault="00D272C7"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7</w:t>
            </w:r>
          </w:p>
        </w:tc>
        <w:tc>
          <w:tcPr>
            <w:tcW w:w="1548" w:type="dxa"/>
          </w:tcPr>
          <w:p w:rsidR="00D272C7" w:rsidRPr="00A9448D" w:rsidRDefault="00D272C7"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12</w:t>
            </w:r>
          </w:p>
        </w:tc>
        <w:tc>
          <w:tcPr>
            <w:tcW w:w="1548" w:type="dxa"/>
          </w:tcPr>
          <w:p w:rsidR="00D272C7" w:rsidRPr="00A9448D" w:rsidRDefault="00D272C7"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12</w:t>
            </w:r>
          </w:p>
        </w:tc>
      </w:tr>
      <w:tr w:rsidR="00D272C7" w:rsidRPr="00A9448D" w:rsidTr="00D272C7">
        <w:tc>
          <w:tcPr>
            <w:tcW w:w="528" w:type="dxa"/>
          </w:tcPr>
          <w:p w:rsidR="00D272C7" w:rsidRPr="00D272C7" w:rsidRDefault="00D272C7" w:rsidP="0043444B">
            <w:pPr>
              <w:pStyle w:val="VPBodyTable"/>
              <w:spacing w:before="0" w:line="240" w:lineRule="auto"/>
              <w:rPr>
                <w:rFonts w:ascii="Times New Roman" w:hAnsi="Times New Roman" w:cs="Times New Roman"/>
                <w:bCs/>
                <w:sz w:val="24"/>
                <w:szCs w:val="24"/>
                <w:lang w:val="lv-LV" w:eastAsia="en-US"/>
              </w:rPr>
            </w:pPr>
            <w:r w:rsidRPr="00D272C7">
              <w:rPr>
                <w:rFonts w:ascii="Times New Roman" w:hAnsi="Times New Roman" w:cs="Times New Roman"/>
                <w:bCs/>
                <w:sz w:val="24"/>
                <w:szCs w:val="24"/>
                <w:lang w:val="lv-LV" w:eastAsia="en-US"/>
              </w:rPr>
              <w:t>2.</w:t>
            </w:r>
          </w:p>
        </w:tc>
        <w:tc>
          <w:tcPr>
            <w:tcW w:w="694" w:type="dxa"/>
          </w:tcPr>
          <w:p w:rsidR="00D272C7" w:rsidRPr="00A9448D" w:rsidRDefault="00D272C7" w:rsidP="0043444B">
            <w:pPr>
              <w:pStyle w:val="VPBodyTable"/>
              <w:spacing w:before="0" w:line="240" w:lineRule="auto"/>
              <w:rPr>
                <w:rFonts w:ascii="Times New Roman" w:hAnsi="Times New Roman" w:cs="Times New Roman"/>
                <w:b/>
                <w:bCs/>
                <w:sz w:val="24"/>
                <w:szCs w:val="24"/>
                <w:lang w:val="lv-LV" w:eastAsia="en-US"/>
              </w:rPr>
            </w:pPr>
            <w:r w:rsidRPr="00A9448D">
              <w:rPr>
                <w:rFonts w:ascii="Times New Roman" w:hAnsi="Times New Roman" w:cs="Times New Roman"/>
                <w:b/>
                <w:bCs/>
                <w:sz w:val="24"/>
                <w:szCs w:val="24"/>
                <w:lang w:val="lv-LV" w:eastAsia="en-US"/>
              </w:rPr>
              <w:t>RR2</w:t>
            </w:r>
          </w:p>
        </w:tc>
        <w:tc>
          <w:tcPr>
            <w:tcW w:w="2322" w:type="dxa"/>
          </w:tcPr>
          <w:p w:rsidR="00D272C7" w:rsidRPr="00A9448D" w:rsidRDefault="00D272C7"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LM centralizētās IKT infrastruktūras nepārtraukta darbība</w:t>
            </w:r>
          </w:p>
        </w:tc>
        <w:tc>
          <w:tcPr>
            <w:tcW w:w="1170" w:type="dxa"/>
          </w:tcPr>
          <w:p w:rsidR="00D272C7" w:rsidRPr="00A9448D" w:rsidRDefault="00D272C7"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w:t>
            </w:r>
          </w:p>
        </w:tc>
        <w:tc>
          <w:tcPr>
            <w:tcW w:w="1256" w:type="dxa"/>
          </w:tcPr>
          <w:p w:rsidR="00D272C7" w:rsidRPr="00A9448D" w:rsidRDefault="00D272C7"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94</w:t>
            </w:r>
          </w:p>
        </w:tc>
        <w:tc>
          <w:tcPr>
            <w:tcW w:w="1548" w:type="dxa"/>
          </w:tcPr>
          <w:p w:rsidR="00D272C7" w:rsidRPr="00A9448D" w:rsidRDefault="00D272C7"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96</w:t>
            </w:r>
          </w:p>
        </w:tc>
        <w:tc>
          <w:tcPr>
            <w:tcW w:w="1548" w:type="dxa"/>
          </w:tcPr>
          <w:p w:rsidR="00D272C7" w:rsidRPr="00A9448D" w:rsidRDefault="00D272C7"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97</w:t>
            </w:r>
          </w:p>
        </w:tc>
      </w:tr>
      <w:tr w:rsidR="00D272C7" w:rsidRPr="00A9448D" w:rsidTr="00D272C7">
        <w:tc>
          <w:tcPr>
            <w:tcW w:w="528" w:type="dxa"/>
            <w:tcBorders>
              <w:top w:val="single" w:sz="4" w:space="0" w:color="9CC2E5"/>
              <w:left w:val="single" w:sz="4" w:space="0" w:color="9CC2E5"/>
              <w:bottom w:val="single" w:sz="4" w:space="0" w:color="9CC2E5"/>
              <w:right w:val="single" w:sz="4" w:space="0" w:color="9CC2E5"/>
            </w:tcBorders>
          </w:tcPr>
          <w:p w:rsidR="00D272C7" w:rsidRPr="00D272C7" w:rsidRDefault="00D272C7" w:rsidP="0043444B">
            <w:pPr>
              <w:pStyle w:val="VPBodyTable"/>
              <w:spacing w:before="0" w:line="240" w:lineRule="auto"/>
              <w:rPr>
                <w:rFonts w:ascii="Times New Roman" w:hAnsi="Times New Roman" w:cs="Times New Roman"/>
                <w:bCs/>
                <w:sz w:val="24"/>
                <w:szCs w:val="24"/>
                <w:lang w:val="lv-LV" w:eastAsia="en-US"/>
              </w:rPr>
            </w:pPr>
            <w:r w:rsidRPr="00D272C7">
              <w:rPr>
                <w:rFonts w:ascii="Times New Roman" w:hAnsi="Times New Roman" w:cs="Times New Roman"/>
                <w:bCs/>
                <w:sz w:val="24"/>
                <w:szCs w:val="24"/>
                <w:lang w:val="lv-LV" w:eastAsia="en-US"/>
              </w:rPr>
              <w:t>3.</w:t>
            </w:r>
          </w:p>
        </w:tc>
        <w:tc>
          <w:tcPr>
            <w:tcW w:w="694" w:type="dxa"/>
            <w:tcBorders>
              <w:top w:val="single" w:sz="4" w:space="0" w:color="9CC2E5"/>
              <w:left w:val="single" w:sz="4" w:space="0" w:color="9CC2E5"/>
              <w:bottom w:val="single" w:sz="4" w:space="0" w:color="9CC2E5"/>
              <w:right w:val="single" w:sz="4" w:space="0" w:color="9CC2E5"/>
            </w:tcBorders>
          </w:tcPr>
          <w:p w:rsidR="00D272C7" w:rsidRPr="00A9448D" w:rsidRDefault="00D272C7" w:rsidP="0043444B">
            <w:pPr>
              <w:pStyle w:val="VPBodyTable"/>
              <w:spacing w:before="0" w:line="240" w:lineRule="auto"/>
              <w:rPr>
                <w:rFonts w:ascii="Times New Roman" w:hAnsi="Times New Roman" w:cs="Times New Roman"/>
                <w:b/>
                <w:bCs/>
                <w:sz w:val="24"/>
                <w:szCs w:val="24"/>
                <w:lang w:val="lv-LV" w:eastAsia="en-US"/>
              </w:rPr>
            </w:pPr>
            <w:r w:rsidRPr="00A9448D">
              <w:rPr>
                <w:rFonts w:ascii="Times New Roman" w:hAnsi="Times New Roman" w:cs="Times New Roman"/>
                <w:b/>
                <w:bCs/>
                <w:sz w:val="24"/>
                <w:szCs w:val="24"/>
                <w:lang w:val="lv-LV" w:eastAsia="en-US"/>
              </w:rPr>
              <w:t>RR3</w:t>
            </w:r>
          </w:p>
        </w:tc>
        <w:tc>
          <w:tcPr>
            <w:tcW w:w="2322" w:type="dxa"/>
            <w:tcBorders>
              <w:top w:val="single" w:sz="4" w:space="0" w:color="9CC2E5"/>
              <w:left w:val="single" w:sz="4" w:space="0" w:color="9CC2E5"/>
              <w:bottom w:val="single" w:sz="4" w:space="0" w:color="9CC2E5"/>
              <w:right w:val="single" w:sz="4" w:space="0" w:color="9CC2E5"/>
            </w:tcBorders>
          </w:tcPr>
          <w:p w:rsidR="00D272C7" w:rsidRPr="00A9448D" w:rsidRDefault="00D272C7"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 xml:space="preserve">Komersantu īpatsvars, kas izmanto VDI e-pakalpojumu </w:t>
            </w:r>
            <w:r>
              <w:rPr>
                <w:rFonts w:ascii="Times New Roman" w:hAnsi="Times New Roman" w:cs="Times New Roman"/>
                <w:sz w:val="24"/>
                <w:szCs w:val="24"/>
                <w:lang w:val="lv-LV" w:eastAsia="en-US"/>
              </w:rPr>
              <w:t>"</w:t>
            </w:r>
            <w:r w:rsidRPr="00A9448D">
              <w:rPr>
                <w:rFonts w:ascii="Times New Roman" w:hAnsi="Times New Roman" w:cs="Times New Roman"/>
                <w:sz w:val="24"/>
                <w:szCs w:val="24"/>
                <w:lang w:val="lv-LV" w:eastAsia="en-US"/>
              </w:rPr>
              <w:t>Darba devēja paziņojums par novērstiem pārkāpumiem</w:t>
            </w:r>
            <w:r>
              <w:rPr>
                <w:rFonts w:ascii="Times New Roman" w:hAnsi="Times New Roman" w:cs="Times New Roman"/>
                <w:sz w:val="24"/>
                <w:szCs w:val="24"/>
                <w:lang w:val="lv-LV" w:eastAsia="en-US"/>
              </w:rPr>
              <w:t>"</w:t>
            </w:r>
          </w:p>
        </w:tc>
        <w:tc>
          <w:tcPr>
            <w:tcW w:w="1170" w:type="dxa"/>
            <w:tcBorders>
              <w:top w:val="single" w:sz="4" w:space="0" w:color="9CC2E5"/>
              <w:left w:val="single" w:sz="4" w:space="0" w:color="9CC2E5"/>
              <w:bottom w:val="single" w:sz="4" w:space="0" w:color="9CC2E5"/>
              <w:right w:val="single" w:sz="4" w:space="0" w:color="9CC2E5"/>
            </w:tcBorders>
          </w:tcPr>
          <w:p w:rsidR="00D272C7" w:rsidRPr="00A9448D" w:rsidRDefault="00D272C7"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 no kopējā skaita</w:t>
            </w:r>
          </w:p>
        </w:tc>
        <w:tc>
          <w:tcPr>
            <w:tcW w:w="1256" w:type="dxa"/>
            <w:tcBorders>
              <w:top w:val="single" w:sz="4" w:space="0" w:color="9CC2E5"/>
              <w:left w:val="single" w:sz="4" w:space="0" w:color="9CC2E5"/>
              <w:bottom w:val="single" w:sz="4" w:space="0" w:color="9CC2E5"/>
              <w:right w:val="single" w:sz="4" w:space="0" w:color="9CC2E5"/>
            </w:tcBorders>
          </w:tcPr>
          <w:p w:rsidR="00D272C7" w:rsidRPr="00A9448D" w:rsidRDefault="00D272C7"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10</w:t>
            </w:r>
          </w:p>
        </w:tc>
        <w:tc>
          <w:tcPr>
            <w:tcW w:w="1548" w:type="dxa"/>
            <w:tcBorders>
              <w:top w:val="single" w:sz="4" w:space="0" w:color="9CC2E5"/>
              <w:left w:val="single" w:sz="4" w:space="0" w:color="9CC2E5"/>
              <w:bottom w:val="single" w:sz="4" w:space="0" w:color="9CC2E5"/>
              <w:right w:val="single" w:sz="4" w:space="0" w:color="9CC2E5"/>
            </w:tcBorders>
          </w:tcPr>
          <w:p w:rsidR="00D272C7" w:rsidRPr="00A9448D" w:rsidDel="00D43921" w:rsidRDefault="00D272C7"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15</w:t>
            </w:r>
          </w:p>
        </w:tc>
        <w:tc>
          <w:tcPr>
            <w:tcW w:w="1548" w:type="dxa"/>
            <w:tcBorders>
              <w:top w:val="single" w:sz="4" w:space="0" w:color="9CC2E5"/>
              <w:left w:val="single" w:sz="4" w:space="0" w:color="9CC2E5"/>
              <w:bottom w:val="single" w:sz="4" w:space="0" w:color="9CC2E5"/>
              <w:right w:val="single" w:sz="4" w:space="0" w:color="9CC2E5"/>
            </w:tcBorders>
          </w:tcPr>
          <w:p w:rsidR="00D272C7" w:rsidRPr="00A9448D" w:rsidDel="00D43921" w:rsidRDefault="00D272C7"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20</w:t>
            </w:r>
          </w:p>
        </w:tc>
      </w:tr>
      <w:tr w:rsidR="00D272C7" w:rsidRPr="00A9448D" w:rsidTr="00D272C7">
        <w:tc>
          <w:tcPr>
            <w:tcW w:w="528" w:type="dxa"/>
            <w:tcBorders>
              <w:top w:val="single" w:sz="4" w:space="0" w:color="9CC2E5"/>
              <w:left w:val="single" w:sz="4" w:space="0" w:color="9CC2E5"/>
              <w:bottom w:val="single" w:sz="4" w:space="0" w:color="9CC2E5"/>
              <w:right w:val="single" w:sz="4" w:space="0" w:color="9CC2E5"/>
            </w:tcBorders>
          </w:tcPr>
          <w:p w:rsidR="00D272C7" w:rsidRPr="00D272C7" w:rsidRDefault="00D272C7" w:rsidP="0043444B">
            <w:pPr>
              <w:pStyle w:val="VPBodyTable"/>
              <w:spacing w:before="0" w:line="240" w:lineRule="auto"/>
              <w:rPr>
                <w:rFonts w:ascii="Times New Roman" w:hAnsi="Times New Roman" w:cs="Times New Roman"/>
                <w:bCs/>
                <w:sz w:val="24"/>
                <w:szCs w:val="24"/>
                <w:lang w:val="lv-LV" w:eastAsia="en-US"/>
              </w:rPr>
            </w:pPr>
            <w:r w:rsidRPr="00D272C7">
              <w:rPr>
                <w:rFonts w:ascii="Times New Roman" w:hAnsi="Times New Roman" w:cs="Times New Roman"/>
                <w:bCs/>
                <w:sz w:val="24"/>
                <w:szCs w:val="24"/>
                <w:lang w:val="lv-LV" w:eastAsia="en-US"/>
              </w:rPr>
              <w:t>4.</w:t>
            </w:r>
          </w:p>
        </w:tc>
        <w:tc>
          <w:tcPr>
            <w:tcW w:w="694" w:type="dxa"/>
            <w:tcBorders>
              <w:top w:val="single" w:sz="4" w:space="0" w:color="9CC2E5"/>
              <w:left w:val="single" w:sz="4" w:space="0" w:color="9CC2E5"/>
              <w:bottom w:val="single" w:sz="4" w:space="0" w:color="9CC2E5"/>
              <w:right w:val="single" w:sz="4" w:space="0" w:color="9CC2E5"/>
            </w:tcBorders>
          </w:tcPr>
          <w:p w:rsidR="00D272C7" w:rsidRPr="00A9448D" w:rsidRDefault="00D272C7" w:rsidP="0043444B">
            <w:pPr>
              <w:pStyle w:val="VPBodyTable"/>
              <w:spacing w:before="0" w:line="240" w:lineRule="auto"/>
              <w:rPr>
                <w:rFonts w:ascii="Times New Roman" w:hAnsi="Times New Roman" w:cs="Times New Roman"/>
                <w:b/>
                <w:bCs/>
                <w:sz w:val="24"/>
                <w:szCs w:val="24"/>
                <w:lang w:val="lv-LV" w:eastAsia="en-US"/>
              </w:rPr>
            </w:pPr>
            <w:bookmarkStart w:id="9" w:name="_Hlk29481861"/>
            <w:r w:rsidRPr="00A9448D">
              <w:rPr>
                <w:rFonts w:ascii="Times New Roman" w:hAnsi="Times New Roman" w:cs="Times New Roman"/>
                <w:b/>
                <w:bCs/>
                <w:sz w:val="24"/>
                <w:szCs w:val="24"/>
                <w:lang w:val="lv-LV" w:eastAsia="en-US"/>
              </w:rPr>
              <w:t>RR4</w:t>
            </w:r>
          </w:p>
        </w:tc>
        <w:tc>
          <w:tcPr>
            <w:tcW w:w="2322" w:type="dxa"/>
            <w:tcBorders>
              <w:top w:val="single" w:sz="4" w:space="0" w:color="9CC2E5"/>
              <w:left w:val="single" w:sz="4" w:space="0" w:color="9CC2E5"/>
              <w:bottom w:val="single" w:sz="4" w:space="0" w:color="9CC2E5"/>
              <w:right w:val="single" w:sz="4" w:space="0" w:color="9CC2E5"/>
            </w:tcBorders>
          </w:tcPr>
          <w:p w:rsidR="00D272C7" w:rsidRPr="00A9448D" w:rsidRDefault="00D272C7"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 xml:space="preserve">Komersantu un iedzīvotāju īpatsvars, kas izmanto VDI e-pakalpojumu </w:t>
            </w:r>
            <w:r>
              <w:rPr>
                <w:rFonts w:ascii="Times New Roman" w:hAnsi="Times New Roman" w:cs="Times New Roman"/>
                <w:sz w:val="24"/>
                <w:szCs w:val="24"/>
                <w:lang w:val="lv-LV" w:eastAsia="en-US"/>
              </w:rPr>
              <w:t>"</w:t>
            </w:r>
            <w:r w:rsidRPr="00A9448D">
              <w:rPr>
                <w:rFonts w:ascii="Times New Roman" w:hAnsi="Times New Roman" w:cs="Times New Roman"/>
                <w:sz w:val="24"/>
                <w:szCs w:val="24"/>
                <w:lang w:val="lv-LV" w:eastAsia="en-US"/>
              </w:rPr>
              <w:t>Iesniegums Darba inspekcijai</w:t>
            </w:r>
            <w:r>
              <w:rPr>
                <w:rFonts w:ascii="Times New Roman" w:hAnsi="Times New Roman" w:cs="Times New Roman"/>
                <w:sz w:val="24"/>
                <w:szCs w:val="24"/>
                <w:lang w:val="lv-LV" w:eastAsia="en-US"/>
              </w:rPr>
              <w:t>"</w:t>
            </w:r>
          </w:p>
        </w:tc>
        <w:tc>
          <w:tcPr>
            <w:tcW w:w="1170" w:type="dxa"/>
            <w:tcBorders>
              <w:top w:val="single" w:sz="4" w:space="0" w:color="9CC2E5"/>
              <w:left w:val="single" w:sz="4" w:space="0" w:color="9CC2E5"/>
              <w:bottom w:val="single" w:sz="4" w:space="0" w:color="9CC2E5"/>
              <w:right w:val="single" w:sz="4" w:space="0" w:color="9CC2E5"/>
            </w:tcBorders>
          </w:tcPr>
          <w:p w:rsidR="00D272C7" w:rsidRPr="00A9448D" w:rsidRDefault="00D272C7"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 no kopējā skaita</w:t>
            </w:r>
          </w:p>
        </w:tc>
        <w:tc>
          <w:tcPr>
            <w:tcW w:w="1256" w:type="dxa"/>
            <w:tcBorders>
              <w:top w:val="single" w:sz="4" w:space="0" w:color="9CC2E5"/>
              <w:left w:val="single" w:sz="4" w:space="0" w:color="9CC2E5"/>
              <w:bottom w:val="single" w:sz="4" w:space="0" w:color="9CC2E5"/>
              <w:right w:val="single" w:sz="4" w:space="0" w:color="9CC2E5"/>
            </w:tcBorders>
          </w:tcPr>
          <w:p w:rsidR="00D272C7" w:rsidRPr="00A9448D" w:rsidRDefault="00D272C7"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12</w:t>
            </w:r>
          </w:p>
        </w:tc>
        <w:tc>
          <w:tcPr>
            <w:tcW w:w="1548" w:type="dxa"/>
            <w:tcBorders>
              <w:top w:val="single" w:sz="4" w:space="0" w:color="9CC2E5"/>
              <w:left w:val="single" w:sz="4" w:space="0" w:color="9CC2E5"/>
              <w:bottom w:val="single" w:sz="4" w:space="0" w:color="9CC2E5"/>
              <w:right w:val="single" w:sz="4" w:space="0" w:color="9CC2E5"/>
            </w:tcBorders>
          </w:tcPr>
          <w:p w:rsidR="00D272C7" w:rsidRPr="00A9448D" w:rsidRDefault="00D272C7"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16</w:t>
            </w:r>
          </w:p>
        </w:tc>
        <w:tc>
          <w:tcPr>
            <w:tcW w:w="1548" w:type="dxa"/>
            <w:tcBorders>
              <w:top w:val="single" w:sz="4" w:space="0" w:color="9CC2E5"/>
              <w:left w:val="single" w:sz="4" w:space="0" w:color="9CC2E5"/>
              <w:bottom w:val="single" w:sz="4" w:space="0" w:color="9CC2E5"/>
              <w:right w:val="single" w:sz="4" w:space="0" w:color="9CC2E5"/>
            </w:tcBorders>
          </w:tcPr>
          <w:p w:rsidR="00D272C7" w:rsidRPr="00A9448D" w:rsidRDefault="00D272C7"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20</w:t>
            </w:r>
          </w:p>
        </w:tc>
      </w:tr>
      <w:bookmarkEnd w:id="9"/>
    </w:tbl>
    <w:p w:rsidR="0049474A" w:rsidRPr="00A9448D" w:rsidRDefault="0049474A" w:rsidP="0049474A">
      <w:pPr>
        <w:rPr>
          <w:rFonts w:ascii="Times New Roman" w:hAnsi="Times New Roman" w:cs="Times New Roman"/>
          <w:b/>
          <w:bCs/>
          <w:noProof/>
          <w:sz w:val="24"/>
          <w:szCs w:val="24"/>
          <w:u w:val="single"/>
          <w:lang w:eastAsia="lv-LV"/>
        </w:rPr>
      </w:pPr>
    </w:p>
    <w:p w:rsidR="0049474A" w:rsidRPr="005E3859" w:rsidRDefault="005E3859" w:rsidP="005E3859">
      <w:pPr>
        <w:spacing w:before="120" w:after="120"/>
        <w:jc w:val="right"/>
        <w:rPr>
          <w:rFonts w:ascii="Times New Roman" w:hAnsi="Times New Roman" w:cs="Times New Roman"/>
          <w:sz w:val="24"/>
          <w:szCs w:val="24"/>
        </w:rPr>
      </w:pPr>
      <w:bookmarkStart w:id="10" w:name="_Toc256000008"/>
      <w:bookmarkStart w:id="11" w:name="_Toc465333701"/>
      <w:r>
        <w:rPr>
          <w:rFonts w:ascii="Times New Roman" w:hAnsi="Times New Roman" w:cs="Times New Roman"/>
          <w:sz w:val="24"/>
          <w:szCs w:val="24"/>
        </w:rPr>
        <w:t>2. </w:t>
      </w:r>
      <w:r w:rsidR="0049474A" w:rsidRPr="005E3859">
        <w:rPr>
          <w:rFonts w:ascii="Times New Roman" w:hAnsi="Times New Roman" w:cs="Times New Roman"/>
          <w:sz w:val="24"/>
          <w:szCs w:val="24"/>
        </w:rPr>
        <w:t xml:space="preserve">tabula </w:t>
      </w:r>
    </w:p>
    <w:p w:rsidR="0049474A" w:rsidRPr="000E5FE5" w:rsidRDefault="0049474A" w:rsidP="00985947">
      <w:pPr>
        <w:pStyle w:val="ListParagraph"/>
        <w:spacing w:before="120" w:after="120"/>
        <w:ind w:left="0"/>
        <w:jc w:val="center"/>
        <w:rPr>
          <w:rFonts w:ascii="Times New Roman" w:hAnsi="Times New Roman" w:cs="Times New Roman"/>
          <w:b/>
          <w:sz w:val="28"/>
          <w:szCs w:val="28"/>
        </w:rPr>
      </w:pPr>
      <w:r w:rsidRPr="000E5FE5">
        <w:rPr>
          <w:rFonts w:ascii="Times New Roman" w:hAnsi="Times New Roman" w:cs="Times New Roman"/>
          <w:b/>
          <w:sz w:val="28"/>
          <w:szCs w:val="28"/>
        </w:rPr>
        <w:t>Projekta iznākuma rādītāji</w:t>
      </w:r>
      <w:bookmarkEnd w:id="10"/>
      <w:bookmarkEnd w:id="11"/>
    </w:p>
    <w:tbl>
      <w:tblPr>
        <w:tblW w:w="5159" w:type="pct"/>
        <w:tblInd w:w="2"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A0" w:firstRow="1" w:lastRow="0" w:firstColumn="1" w:lastColumn="0" w:noHBand="0" w:noVBand="0"/>
      </w:tblPr>
      <w:tblGrid>
        <w:gridCol w:w="559"/>
        <w:gridCol w:w="3659"/>
        <w:gridCol w:w="1444"/>
        <w:gridCol w:w="1017"/>
        <w:gridCol w:w="1394"/>
        <w:gridCol w:w="1276"/>
      </w:tblGrid>
      <w:tr w:rsidR="00295604" w:rsidRPr="00D272C7" w:rsidTr="00295604">
        <w:trPr>
          <w:tblHeader/>
        </w:trPr>
        <w:tc>
          <w:tcPr>
            <w:tcW w:w="559" w:type="dxa"/>
            <w:tcBorders>
              <w:top w:val="single" w:sz="4" w:space="0" w:color="5B9BD5"/>
              <w:left w:val="single" w:sz="4" w:space="0" w:color="5B9BD5"/>
              <w:bottom w:val="single" w:sz="4" w:space="0" w:color="5B9BD5"/>
              <w:right w:val="nil"/>
            </w:tcBorders>
            <w:shd w:val="clear" w:color="auto" w:fill="5B9BD5"/>
            <w:vAlign w:val="center"/>
          </w:tcPr>
          <w:p w:rsidR="00295604" w:rsidRPr="00D272C7" w:rsidRDefault="00295604" w:rsidP="00461451">
            <w:pPr>
              <w:pStyle w:val="VPBody"/>
              <w:spacing w:after="0"/>
              <w:ind w:left="-116" w:right="-106"/>
              <w:jc w:val="center"/>
              <w:rPr>
                <w:b/>
                <w:bCs/>
                <w:lang w:eastAsia="en-US"/>
              </w:rPr>
            </w:pPr>
            <w:r w:rsidRPr="00D272C7">
              <w:rPr>
                <w:b/>
                <w:bCs/>
                <w:lang w:eastAsia="en-US"/>
              </w:rPr>
              <w:t>Nr.</w:t>
            </w:r>
          </w:p>
          <w:p w:rsidR="00295604" w:rsidRPr="00D272C7" w:rsidRDefault="00295604" w:rsidP="00461451">
            <w:pPr>
              <w:pStyle w:val="VPBody"/>
              <w:spacing w:after="0"/>
              <w:ind w:left="-116" w:right="-106"/>
              <w:jc w:val="center"/>
              <w:rPr>
                <w:b/>
                <w:bCs/>
                <w:lang w:eastAsia="en-US"/>
              </w:rPr>
            </w:pPr>
            <w:r w:rsidRPr="00D272C7">
              <w:rPr>
                <w:b/>
                <w:bCs/>
                <w:lang w:eastAsia="en-US"/>
              </w:rPr>
              <w:t>p. k.</w:t>
            </w:r>
          </w:p>
        </w:tc>
        <w:tc>
          <w:tcPr>
            <w:tcW w:w="3659" w:type="dxa"/>
            <w:tcBorders>
              <w:top w:val="single" w:sz="4" w:space="0" w:color="5B9BD5"/>
              <w:left w:val="single" w:sz="4" w:space="0" w:color="5B9BD5"/>
              <w:bottom w:val="single" w:sz="4" w:space="0" w:color="5B9BD5"/>
              <w:right w:val="nil"/>
            </w:tcBorders>
            <w:shd w:val="clear" w:color="auto" w:fill="5B9BD5"/>
            <w:vAlign w:val="center"/>
          </w:tcPr>
          <w:p w:rsidR="00295604" w:rsidRPr="00D272C7" w:rsidRDefault="00295604" w:rsidP="00461451">
            <w:pPr>
              <w:pStyle w:val="VPBody"/>
              <w:spacing w:after="0"/>
              <w:jc w:val="center"/>
              <w:rPr>
                <w:b/>
                <w:bCs/>
                <w:lang w:eastAsia="en-US"/>
              </w:rPr>
            </w:pPr>
            <w:bookmarkStart w:id="12" w:name="_Hlk31375751"/>
            <w:r w:rsidRPr="00D272C7">
              <w:rPr>
                <w:b/>
                <w:bCs/>
                <w:lang w:eastAsia="en-US"/>
              </w:rPr>
              <w:t>Rādītājs</w:t>
            </w:r>
          </w:p>
        </w:tc>
        <w:tc>
          <w:tcPr>
            <w:tcW w:w="1444" w:type="dxa"/>
            <w:tcBorders>
              <w:top w:val="single" w:sz="4" w:space="0" w:color="5B9BD5"/>
              <w:left w:val="nil"/>
              <w:bottom w:val="single" w:sz="4" w:space="0" w:color="5B9BD5"/>
              <w:right w:val="nil"/>
            </w:tcBorders>
            <w:shd w:val="clear" w:color="auto" w:fill="5B9BD5"/>
            <w:vAlign w:val="center"/>
          </w:tcPr>
          <w:p w:rsidR="00295604" w:rsidRPr="00D272C7" w:rsidRDefault="00295604" w:rsidP="00461451">
            <w:pPr>
              <w:pStyle w:val="VPBody"/>
              <w:spacing w:after="0"/>
              <w:jc w:val="center"/>
              <w:rPr>
                <w:b/>
                <w:bCs/>
                <w:lang w:eastAsia="en-US"/>
              </w:rPr>
            </w:pPr>
            <w:r w:rsidRPr="00D272C7">
              <w:rPr>
                <w:b/>
                <w:bCs/>
                <w:lang w:eastAsia="en-US"/>
              </w:rPr>
              <w:t>Mērvienība</w:t>
            </w:r>
          </w:p>
        </w:tc>
        <w:tc>
          <w:tcPr>
            <w:tcW w:w="1017" w:type="dxa"/>
            <w:tcBorders>
              <w:top w:val="single" w:sz="4" w:space="0" w:color="5B9BD5"/>
              <w:left w:val="nil"/>
              <w:bottom w:val="single" w:sz="4" w:space="0" w:color="5B9BD5"/>
              <w:right w:val="nil"/>
            </w:tcBorders>
            <w:shd w:val="clear" w:color="auto" w:fill="5B9BD5"/>
            <w:vAlign w:val="center"/>
          </w:tcPr>
          <w:p w:rsidR="00295604" w:rsidRPr="00D272C7" w:rsidRDefault="00295604" w:rsidP="00461451">
            <w:pPr>
              <w:pStyle w:val="VPBody"/>
              <w:spacing w:after="0"/>
              <w:jc w:val="center"/>
              <w:rPr>
                <w:b/>
                <w:bCs/>
                <w:lang w:eastAsia="en-US"/>
              </w:rPr>
            </w:pPr>
            <w:r w:rsidRPr="00D272C7">
              <w:rPr>
                <w:b/>
                <w:bCs/>
                <w:lang w:eastAsia="en-US"/>
              </w:rPr>
              <w:t>Sākot</w:t>
            </w:r>
            <w:r>
              <w:rPr>
                <w:b/>
                <w:bCs/>
                <w:lang w:eastAsia="en-US"/>
              </w:rPr>
              <w:softHyphen/>
            </w:r>
            <w:r w:rsidRPr="00D272C7">
              <w:rPr>
                <w:b/>
                <w:bCs/>
                <w:lang w:eastAsia="en-US"/>
              </w:rPr>
              <w:t>nējā vērtība</w:t>
            </w:r>
          </w:p>
        </w:tc>
        <w:tc>
          <w:tcPr>
            <w:tcW w:w="1394" w:type="dxa"/>
            <w:tcBorders>
              <w:top w:val="single" w:sz="4" w:space="0" w:color="5B9BD5"/>
              <w:left w:val="nil"/>
              <w:bottom w:val="single" w:sz="4" w:space="0" w:color="5B9BD5"/>
              <w:right w:val="nil"/>
            </w:tcBorders>
            <w:shd w:val="clear" w:color="auto" w:fill="5B9BD5"/>
            <w:vAlign w:val="center"/>
          </w:tcPr>
          <w:p w:rsidR="00295604" w:rsidRPr="00D272C7" w:rsidRDefault="00295604" w:rsidP="00461451">
            <w:pPr>
              <w:pStyle w:val="VPBody"/>
              <w:spacing w:after="0"/>
              <w:jc w:val="center"/>
              <w:rPr>
                <w:b/>
                <w:bCs/>
                <w:lang w:eastAsia="en-US"/>
              </w:rPr>
            </w:pPr>
            <w:r w:rsidRPr="00D272C7">
              <w:rPr>
                <w:b/>
                <w:bCs/>
                <w:lang w:eastAsia="en-US"/>
              </w:rPr>
              <w:t>Sasnie</w:t>
            </w:r>
            <w:r>
              <w:rPr>
                <w:b/>
                <w:bCs/>
                <w:lang w:eastAsia="en-US"/>
              </w:rPr>
              <w:softHyphen/>
            </w:r>
            <w:r w:rsidRPr="00D272C7">
              <w:rPr>
                <w:b/>
                <w:bCs/>
                <w:lang w:eastAsia="en-US"/>
              </w:rPr>
              <w:t xml:space="preserve">dzamā vērtība divus gadus pēc projekta </w:t>
            </w:r>
            <w:r w:rsidR="00985947">
              <w:rPr>
                <w:b/>
                <w:bCs/>
                <w:lang w:eastAsia="en-US"/>
              </w:rPr>
              <w:t>sākuma</w:t>
            </w:r>
          </w:p>
        </w:tc>
        <w:tc>
          <w:tcPr>
            <w:tcW w:w="1276" w:type="dxa"/>
            <w:tcBorders>
              <w:top w:val="single" w:sz="4" w:space="0" w:color="5B9BD5"/>
              <w:left w:val="nil"/>
              <w:bottom w:val="single" w:sz="4" w:space="0" w:color="5B9BD5"/>
              <w:right w:val="single" w:sz="4" w:space="0" w:color="5B9BD5"/>
            </w:tcBorders>
            <w:shd w:val="clear" w:color="auto" w:fill="5B9BD5"/>
            <w:vAlign w:val="center"/>
          </w:tcPr>
          <w:p w:rsidR="00295604" w:rsidRPr="00D272C7" w:rsidRDefault="00295604" w:rsidP="00461451">
            <w:pPr>
              <w:pStyle w:val="VPBody"/>
              <w:spacing w:after="0"/>
              <w:jc w:val="center"/>
              <w:rPr>
                <w:b/>
                <w:bCs/>
                <w:lang w:eastAsia="en-US"/>
              </w:rPr>
            </w:pPr>
            <w:r w:rsidRPr="00D272C7">
              <w:rPr>
                <w:b/>
                <w:bCs/>
                <w:lang w:eastAsia="en-US"/>
              </w:rPr>
              <w:t>Sasnie</w:t>
            </w:r>
            <w:r>
              <w:rPr>
                <w:b/>
                <w:bCs/>
                <w:lang w:eastAsia="en-US"/>
              </w:rPr>
              <w:softHyphen/>
            </w:r>
            <w:r w:rsidRPr="00D272C7">
              <w:rPr>
                <w:b/>
                <w:bCs/>
                <w:lang w:eastAsia="en-US"/>
              </w:rPr>
              <w:t>dzamā vērtība projekta beigās</w:t>
            </w:r>
          </w:p>
        </w:tc>
      </w:tr>
      <w:tr w:rsidR="00295604" w:rsidRPr="00A9448D" w:rsidTr="00295604">
        <w:tc>
          <w:tcPr>
            <w:tcW w:w="559"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1.</w:t>
            </w:r>
          </w:p>
        </w:tc>
        <w:tc>
          <w:tcPr>
            <w:tcW w:w="3659" w:type="dxa"/>
          </w:tcPr>
          <w:p w:rsidR="00295604" w:rsidRPr="00A9448D" w:rsidRDefault="00295604" w:rsidP="0043444B">
            <w:pPr>
              <w:pStyle w:val="VPBodyTable"/>
              <w:spacing w:before="0" w:line="240" w:lineRule="auto"/>
              <w:rPr>
                <w:rFonts w:ascii="Times New Roman" w:hAnsi="Times New Roman" w:cs="Times New Roman"/>
                <w:b/>
                <w:bCs/>
                <w:sz w:val="24"/>
                <w:szCs w:val="24"/>
                <w:lang w:val="lv-LV" w:eastAsia="en-US"/>
              </w:rPr>
            </w:pPr>
            <w:r w:rsidRPr="00A9448D">
              <w:rPr>
                <w:rFonts w:ascii="Times New Roman" w:hAnsi="Times New Roman" w:cs="Times New Roman"/>
                <w:sz w:val="24"/>
                <w:szCs w:val="24"/>
                <w:lang w:val="lv-LV" w:eastAsia="en-US"/>
              </w:rPr>
              <w:t>Izstrādātas apmācību programmas un apmācīti labklājības nozares darbinieki</w:t>
            </w:r>
          </w:p>
        </w:tc>
        <w:tc>
          <w:tcPr>
            <w:tcW w:w="1444" w:type="dxa"/>
          </w:tcPr>
          <w:p w:rsidR="00295604" w:rsidRPr="00A9448D" w:rsidRDefault="000F3C69"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p</w:t>
            </w:r>
            <w:r w:rsidR="00295604" w:rsidRPr="00A9448D">
              <w:rPr>
                <w:rFonts w:ascii="Times New Roman" w:hAnsi="Times New Roman" w:cs="Times New Roman"/>
                <w:sz w:val="24"/>
                <w:szCs w:val="24"/>
                <w:lang w:val="lv-LV" w:eastAsia="en-US"/>
              </w:rPr>
              <w:t>rogrammu skaits</w:t>
            </w:r>
          </w:p>
        </w:tc>
        <w:tc>
          <w:tcPr>
            <w:tcW w:w="101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394"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76"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3</w:t>
            </w:r>
          </w:p>
        </w:tc>
      </w:tr>
    </w:tbl>
    <w:p w:rsidR="00295604" w:rsidRDefault="00295604"/>
    <w:tbl>
      <w:tblPr>
        <w:tblW w:w="5081" w:type="pct"/>
        <w:tblInd w:w="2"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A0" w:firstRow="1" w:lastRow="0" w:firstColumn="1" w:lastColumn="0" w:noHBand="0" w:noVBand="0"/>
      </w:tblPr>
      <w:tblGrid>
        <w:gridCol w:w="561"/>
        <w:gridCol w:w="3659"/>
        <w:gridCol w:w="1444"/>
        <w:gridCol w:w="1017"/>
        <w:gridCol w:w="1250"/>
        <w:gridCol w:w="1277"/>
      </w:tblGrid>
      <w:tr w:rsidR="00295604" w:rsidRPr="00A9448D" w:rsidTr="00295604">
        <w:tc>
          <w:tcPr>
            <w:tcW w:w="561"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lastRenderedPageBreak/>
              <w:t>2.</w:t>
            </w:r>
          </w:p>
        </w:tc>
        <w:tc>
          <w:tcPr>
            <w:tcW w:w="3659" w:type="dxa"/>
          </w:tcPr>
          <w:p w:rsidR="00295604" w:rsidRPr="00A9448D" w:rsidRDefault="00295604" w:rsidP="0043444B">
            <w:pPr>
              <w:pStyle w:val="VPBodyTable"/>
              <w:spacing w:before="0" w:line="240" w:lineRule="auto"/>
              <w:rPr>
                <w:rFonts w:ascii="Times New Roman" w:hAnsi="Times New Roman" w:cs="Times New Roman"/>
                <w:b/>
                <w:bCs/>
                <w:sz w:val="24"/>
                <w:szCs w:val="24"/>
                <w:lang w:val="lv-LV" w:eastAsia="en-US"/>
              </w:rPr>
            </w:pPr>
            <w:r w:rsidRPr="00A9448D">
              <w:rPr>
                <w:rFonts w:ascii="Times New Roman" w:hAnsi="Times New Roman" w:cs="Times New Roman"/>
                <w:sz w:val="24"/>
                <w:szCs w:val="24"/>
                <w:lang w:val="lv-LV" w:eastAsia="en-US"/>
              </w:rPr>
              <w:t>Ieviesta IKT pārvaldības kārtība LM un tās padotībā esošajām iestādēm</w:t>
            </w:r>
          </w:p>
        </w:tc>
        <w:tc>
          <w:tcPr>
            <w:tcW w:w="1444" w:type="dxa"/>
          </w:tcPr>
          <w:p w:rsidR="00295604" w:rsidRPr="00A9448D" w:rsidRDefault="000F3C69"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s</w:t>
            </w:r>
            <w:r w:rsidR="00295604" w:rsidRPr="00A9448D">
              <w:rPr>
                <w:rFonts w:ascii="Times New Roman" w:hAnsi="Times New Roman" w:cs="Times New Roman"/>
                <w:sz w:val="24"/>
                <w:szCs w:val="24"/>
                <w:lang w:val="lv-LV" w:eastAsia="en-US"/>
              </w:rPr>
              <w:t>kaits</w:t>
            </w:r>
          </w:p>
        </w:tc>
        <w:tc>
          <w:tcPr>
            <w:tcW w:w="101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50"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7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1</w:t>
            </w:r>
          </w:p>
        </w:tc>
      </w:tr>
      <w:tr w:rsidR="00295604" w:rsidRPr="00A9448D" w:rsidTr="00295604">
        <w:tc>
          <w:tcPr>
            <w:tcW w:w="561"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3.</w:t>
            </w:r>
          </w:p>
        </w:tc>
        <w:tc>
          <w:tcPr>
            <w:tcW w:w="3659" w:type="dxa"/>
          </w:tcPr>
          <w:p w:rsidR="00295604" w:rsidRPr="00A9448D" w:rsidRDefault="00295604" w:rsidP="0043444B">
            <w:pPr>
              <w:pStyle w:val="VPBodyTable"/>
              <w:spacing w:before="0" w:line="240" w:lineRule="auto"/>
              <w:rPr>
                <w:rFonts w:ascii="Times New Roman" w:hAnsi="Times New Roman" w:cs="Times New Roman"/>
                <w:b/>
                <w:bCs/>
                <w:sz w:val="24"/>
                <w:szCs w:val="24"/>
                <w:lang w:val="lv-LV" w:eastAsia="en-US"/>
              </w:rPr>
            </w:pPr>
            <w:r w:rsidRPr="00A9448D">
              <w:rPr>
                <w:rFonts w:ascii="Times New Roman" w:hAnsi="Times New Roman" w:cs="Times New Roman"/>
                <w:sz w:val="24"/>
                <w:szCs w:val="24"/>
                <w:lang w:val="lv-LV" w:eastAsia="en-US"/>
              </w:rPr>
              <w:t>Ieviests IKT pakalpojumu katalogs LM un tās padotībā esošajām iestādēm</w:t>
            </w:r>
          </w:p>
        </w:tc>
        <w:tc>
          <w:tcPr>
            <w:tcW w:w="1444" w:type="dxa"/>
          </w:tcPr>
          <w:p w:rsidR="00295604" w:rsidRPr="00A9448D" w:rsidRDefault="000F3C69"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s</w:t>
            </w:r>
            <w:r w:rsidR="00295604" w:rsidRPr="00A9448D">
              <w:rPr>
                <w:rFonts w:ascii="Times New Roman" w:hAnsi="Times New Roman" w:cs="Times New Roman"/>
                <w:sz w:val="24"/>
                <w:szCs w:val="24"/>
                <w:lang w:val="lv-LV" w:eastAsia="en-US"/>
              </w:rPr>
              <w:t>kaits</w:t>
            </w:r>
          </w:p>
        </w:tc>
        <w:tc>
          <w:tcPr>
            <w:tcW w:w="101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50"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1</w:t>
            </w:r>
          </w:p>
        </w:tc>
        <w:tc>
          <w:tcPr>
            <w:tcW w:w="127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1</w:t>
            </w:r>
          </w:p>
        </w:tc>
      </w:tr>
      <w:tr w:rsidR="00295604" w:rsidRPr="00A9448D" w:rsidTr="00295604">
        <w:tc>
          <w:tcPr>
            <w:tcW w:w="561"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4.</w:t>
            </w:r>
          </w:p>
        </w:tc>
        <w:tc>
          <w:tcPr>
            <w:tcW w:w="3659" w:type="dxa"/>
          </w:tcPr>
          <w:p w:rsidR="00295604" w:rsidRPr="00A9448D" w:rsidRDefault="00295604" w:rsidP="0043444B">
            <w:pPr>
              <w:pStyle w:val="VPBodyTable"/>
              <w:spacing w:before="0" w:line="240" w:lineRule="auto"/>
              <w:rPr>
                <w:rFonts w:ascii="Times New Roman" w:hAnsi="Times New Roman" w:cs="Times New Roman"/>
                <w:b/>
                <w:bCs/>
                <w:sz w:val="24"/>
                <w:szCs w:val="24"/>
                <w:lang w:val="lv-LV" w:eastAsia="en-US"/>
              </w:rPr>
            </w:pPr>
            <w:r w:rsidRPr="00A9448D">
              <w:rPr>
                <w:rFonts w:ascii="Times New Roman" w:hAnsi="Times New Roman" w:cs="Times New Roman"/>
                <w:sz w:val="24"/>
                <w:szCs w:val="24"/>
                <w:lang w:val="lv-LV" w:eastAsia="en-US"/>
              </w:rPr>
              <w:t xml:space="preserve">Iestādēs ieviesta </w:t>
            </w:r>
            <w:proofErr w:type="spellStart"/>
            <w:r w:rsidRPr="0043444B">
              <w:rPr>
                <w:rFonts w:ascii="Times New Roman" w:hAnsi="Times New Roman" w:cs="Times New Roman"/>
                <w:i/>
                <w:sz w:val="24"/>
                <w:szCs w:val="24"/>
                <w:lang w:val="lv-LV" w:eastAsia="en-US"/>
              </w:rPr>
              <w:t>Active</w:t>
            </w:r>
            <w:proofErr w:type="spellEnd"/>
            <w:r w:rsidRPr="0043444B">
              <w:rPr>
                <w:rFonts w:ascii="Times New Roman" w:hAnsi="Times New Roman" w:cs="Times New Roman"/>
                <w:i/>
                <w:sz w:val="24"/>
                <w:szCs w:val="24"/>
                <w:lang w:val="lv-LV" w:eastAsia="en-US"/>
              </w:rPr>
              <w:t xml:space="preserve"> </w:t>
            </w:r>
            <w:proofErr w:type="spellStart"/>
            <w:r w:rsidRPr="0043444B">
              <w:rPr>
                <w:rFonts w:ascii="Times New Roman" w:hAnsi="Times New Roman" w:cs="Times New Roman"/>
                <w:i/>
                <w:sz w:val="24"/>
                <w:szCs w:val="24"/>
                <w:lang w:val="lv-LV" w:eastAsia="en-US"/>
              </w:rPr>
              <w:t>Directory</w:t>
            </w:r>
            <w:proofErr w:type="spellEnd"/>
            <w:r w:rsidRPr="0043444B">
              <w:rPr>
                <w:rFonts w:ascii="Times New Roman" w:hAnsi="Times New Roman" w:cs="Times New Roman"/>
                <w:i/>
                <w:sz w:val="24"/>
                <w:szCs w:val="24"/>
                <w:lang w:val="lv-LV" w:eastAsia="en-US"/>
              </w:rPr>
              <w:t xml:space="preserve"> </w:t>
            </w:r>
          </w:p>
        </w:tc>
        <w:tc>
          <w:tcPr>
            <w:tcW w:w="1444" w:type="dxa"/>
          </w:tcPr>
          <w:p w:rsidR="00295604" w:rsidRPr="00A9448D" w:rsidRDefault="000F3C69"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i</w:t>
            </w:r>
            <w:r w:rsidR="00295604" w:rsidRPr="00A9448D">
              <w:rPr>
                <w:rFonts w:ascii="Times New Roman" w:hAnsi="Times New Roman" w:cs="Times New Roman"/>
                <w:sz w:val="24"/>
                <w:szCs w:val="24"/>
                <w:lang w:val="lv-LV" w:eastAsia="en-US"/>
              </w:rPr>
              <w:t>estāžu skaits</w:t>
            </w:r>
          </w:p>
        </w:tc>
        <w:tc>
          <w:tcPr>
            <w:tcW w:w="101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6</w:t>
            </w:r>
          </w:p>
        </w:tc>
        <w:tc>
          <w:tcPr>
            <w:tcW w:w="1250"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6</w:t>
            </w:r>
          </w:p>
        </w:tc>
        <w:tc>
          <w:tcPr>
            <w:tcW w:w="127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12</w:t>
            </w:r>
          </w:p>
        </w:tc>
      </w:tr>
      <w:tr w:rsidR="00295604" w:rsidRPr="00A9448D" w:rsidTr="00295604">
        <w:tc>
          <w:tcPr>
            <w:tcW w:w="561"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5.</w:t>
            </w:r>
          </w:p>
        </w:tc>
        <w:tc>
          <w:tcPr>
            <w:tcW w:w="3659" w:type="dxa"/>
          </w:tcPr>
          <w:p w:rsidR="00295604" w:rsidRPr="00A9448D" w:rsidRDefault="00295604" w:rsidP="0043444B">
            <w:pPr>
              <w:pStyle w:val="VPBodyTable"/>
              <w:spacing w:before="0" w:line="240" w:lineRule="auto"/>
              <w:rPr>
                <w:rFonts w:ascii="Times New Roman" w:hAnsi="Times New Roman" w:cs="Times New Roman"/>
                <w:b/>
                <w:bCs/>
                <w:sz w:val="24"/>
                <w:szCs w:val="24"/>
                <w:lang w:val="lv-LV" w:eastAsia="en-US"/>
              </w:rPr>
            </w:pPr>
            <w:r w:rsidRPr="00A9448D">
              <w:rPr>
                <w:rFonts w:ascii="Times New Roman" w:hAnsi="Times New Roman" w:cs="Times New Roman"/>
                <w:sz w:val="24"/>
                <w:szCs w:val="24"/>
                <w:lang w:val="lv-LV" w:eastAsia="en-US"/>
              </w:rPr>
              <w:t>Ieviesta vienota e-pasta sistēma LM un tās iestādēs</w:t>
            </w:r>
          </w:p>
        </w:tc>
        <w:tc>
          <w:tcPr>
            <w:tcW w:w="1444" w:type="dxa"/>
          </w:tcPr>
          <w:p w:rsidR="00295604" w:rsidRPr="00A9448D" w:rsidRDefault="000F3C69"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i</w:t>
            </w:r>
            <w:r w:rsidR="00295604" w:rsidRPr="00A9448D">
              <w:rPr>
                <w:rFonts w:ascii="Times New Roman" w:hAnsi="Times New Roman" w:cs="Times New Roman"/>
                <w:sz w:val="24"/>
                <w:szCs w:val="24"/>
                <w:lang w:val="lv-LV" w:eastAsia="en-US"/>
              </w:rPr>
              <w:t>estāžu skaits</w:t>
            </w:r>
          </w:p>
        </w:tc>
        <w:tc>
          <w:tcPr>
            <w:tcW w:w="101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4</w:t>
            </w:r>
          </w:p>
        </w:tc>
        <w:tc>
          <w:tcPr>
            <w:tcW w:w="1250"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4</w:t>
            </w:r>
          </w:p>
        </w:tc>
        <w:tc>
          <w:tcPr>
            <w:tcW w:w="127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12</w:t>
            </w:r>
          </w:p>
        </w:tc>
      </w:tr>
      <w:tr w:rsidR="00295604" w:rsidRPr="00A9448D" w:rsidTr="00295604">
        <w:tc>
          <w:tcPr>
            <w:tcW w:w="561"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6.</w:t>
            </w:r>
          </w:p>
        </w:tc>
        <w:tc>
          <w:tcPr>
            <w:tcW w:w="3659" w:type="dxa"/>
          </w:tcPr>
          <w:p w:rsidR="00295604" w:rsidRPr="00A9448D" w:rsidRDefault="00295604" w:rsidP="0043444B">
            <w:pPr>
              <w:pStyle w:val="VPBodyTable"/>
              <w:spacing w:before="0" w:line="240" w:lineRule="auto"/>
              <w:rPr>
                <w:rFonts w:ascii="Times New Roman" w:hAnsi="Times New Roman" w:cs="Times New Roman"/>
                <w:b/>
                <w:bCs/>
                <w:sz w:val="24"/>
                <w:szCs w:val="24"/>
                <w:lang w:val="lv-LV" w:eastAsia="en-US"/>
              </w:rPr>
            </w:pPr>
            <w:r w:rsidRPr="00A9448D">
              <w:rPr>
                <w:rFonts w:ascii="Times New Roman" w:hAnsi="Times New Roman" w:cs="Times New Roman"/>
                <w:sz w:val="24"/>
                <w:szCs w:val="24"/>
                <w:lang w:val="lv-LV" w:eastAsia="en-US"/>
              </w:rPr>
              <w:t xml:space="preserve">Iestādēs ieviesta centralizēta pārvaldība lietotāju darbstacijām </w:t>
            </w:r>
          </w:p>
        </w:tc>
        <w:tc>
          <w:tcPr>
            <w:tcW w:w="1444" w:type="dxa"/>
          </w:tcPr>
          <w:p w:rsidR="00295604" w:rsidRPr="00A9448D" w:rsidRDefault="000F3C69"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i</w:t>
            </w:r>
            <w:r w:rsidR="00295604" w:rsidRPr="00A9448D">
              <w:rPr>
                <w:rFonts w:ascii="Times New Roman" w:hAnsi="Times New Roman" w:cs="Times New Roman"/>
                <w:sz w:val="24"/>
                <w:szCs w:val="24"/>
                <w:lang w:val="lv-LV" w:eastAsia="en-US"/>
              </w:rPr>
              <w:t>estāžu skaits</w:t>
            </w:r>
          </w:p>
        </w:tc>
        <w:tc>
          <w:tcPr>
            <w:tcW w:w="101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1</w:t>
            </w:r>
          </w:p>
        </w:tc>
        <w:tc>
          <w:tcPr>
            <w:tcW w:w="1250"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1</w:t>
            </w:r>
          </w:p>
        </w:tc>
        <w:tc>
          <w:tcPr>
            <w:tcW w:w="127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12</w:t>
            </w:r>
          </w:p>
        </w:tc>
      </w:tr>
      <w:tr w:rsidR="00295604" w:rsidRPr="00A9448D" w:rsidTr="00295604">
        <w:tc>
          <w:tcPr>
            <w:tcW w:w="561"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7.</w:t>
            </w:r>
          </w:p>
        </w:tc>
        <w:tc>
          <w:tcPr>
            <w:tcW w:w="3659" w:type="dxa"/>
          </w:tcPr>
          <w:p w:rsidR="00295604" w:rsidRPr="00A9448D" w:rsidRDefault="00295604" w:rsidP="0043444B">
            <w:pPr>
              <w:pStyle w:val="VPBodyTable"/>
              <w:spacing w:before="0" w:line="240" w:lineRule="auto"/>
              <w:rPr>
                <w:rFonts w:ascii="Times New Roman" w:hAnsi="Times New Roman" w:cs="Times New Roman"/>
                <w:b/>
                <w:bCs/>
                <w:sz w:val="24"/>
                <w:szCs w:val="24"/>
                <w:lang w:val="lv-LV" w:eastAsia="en-US"/>
              </w:rPr>
            </w:pPr>
            <w:r w:rsidRPr="00A9448D">
              <w:rPr>
                <w:rFonts w:ascii="Times New Roman" w:hAnsi="Times New Roman" w:cs="Times New Roman"/>
                <w:sz w:val="24"/>
                <w:szCs w:val="24"/>
                <w:lang w:val="lv-LV" w:eastAsia="en-US"/>
              </w:rPr>
              <w:t>Ieviests centralizēts monitoringa risinājums</w:t>
            </w:r>
          </w:p>
        </w:tc>
        <w:tc>
          <w:tcPr>
            <w:tcW w:w="1444" w:type="dxa"/>
          </w:tcPr>
          <w:p w:rsidR="00295604" w:rsidRPr="00A9448D" w:rsidRDefault="000F3C69"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s</w:t>
            </w:r>
            <w:r w:rsidR="00295604" w:rsidRPr="00A9448D">
              <w:rPr>
                <w:rFonts w:ascii="Times New Roman" w:hAnsi="Times New Roman" w:cs="Times New Roman"/>
                <w:sz w:val="24"/>
                <w:szCs w:val="24"/>
                <w:lang w:val="lv-LV" w:eastAsia="en-US"/>
              </w:rPr>
              <w:t>istēmu skaits</w:t>
            </w:r>
          </w:p>
        </w:tc>
        <w:tc>
          <w:tcPr>
            <w:tcW w:w="101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50"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7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1</w:t>
            </w:r>
          </w:p>
        </w:tc>
      </w:tr>
      <w:tr w:rsidR="00295604" w:rsidRPr="00A9448D" w:rsidTr="00295604">
        <w:tc>
          <w:tcPr>
            <w:tcW w:w="561" w:type="dxa"/>
          </w:tcPr>
          <w:p w:rsidR="00295604" w:rsidRPr="00A9448D" w:rsidRDefault="00295604" w:rsidP="0043444B">
            <w:pPr>
              <w:pStyle w:val="VPBodyTable"/>
              <w:spacing w:before="0" w:line="240" w:lineRule="auto"/>
              <w:rPr>
                <w:rFonts w:ascii="Times New Roman" w:hAnsi="Times New Roman" w:cs="Times New Roman"/>
                <w:bCs/>
                <w:sz w:val="24"/>
                <w:szCs w:val="24"/>
                <w:lang w:val="lv-LV" w:eastAsia="en-US"/>
              </w:rPr>
            </w:pPr>
            <w:r>
              <w:rPr>
                <w:rFonts w:ascii="Times New Roman" w:hAnsi="Times New Roman" w:cs="Times New Roman"/>
                <w:bCs/>
                <w:sz w:val="24"/>
                <w:szCs w:val="24"/>
                <w:lang w:val="lv-LV" w:eastAsia="en-US"/>
              </w:rPr>
              <w:t>8.</w:t>
            </w:r>
          </w:p>
        </w:tc>
        <w:tc>
          <w:tcPr>
            <w:tcW w:w="3659" w:type="dxa"/>
          </w:tcPr>
          <w:p w:rsidR="00295604" w:rsidRPr="00A9448D" w:rsidRDefault="00295604" w:rsidP="0043444B">
            <w:pPr>
              <w:pStyle w:val="VPBodyTable"/>
              <w:spacing w:before="0" w:line="240" w:lineRule="auto"/>
              <w:rPr>
                <w:rFonts w:ascii="Times New Roman" w:hAnsi="Times New Roman" w:cs="Times New Roman"/>
                <w:bCs/>
                <w:sz w:val="24"/>
                <w:szCs w:val="24"/>
                <w:lang w:val="lv-LV" w:eastAsia="en-US"/>
              </w:rPr>
            </w:pPr>
            <w:r w:rsidRPr="00A9448D">
              <w:rPr>
                <w:rFonts w:ascii="Times New Roman" w:hAnsi="Times New Roman" w:cs="Times New Roman"/>
                <w:bCs/>
                <w:sz w:val="24"/>
                <w:szCs w:val="24"/>
                <w:lang w:val="lv-LV" w:eastAsia="en-US"/>
              </w:rPr>
              <w:t>Uzlaboti atbalsta sniegšanas procesi LM un tās padotības iestāžu informācijas tehnoloģiju lietotājiem (IKT incidentu pārvaldība, IKT problēmu pārvaldība; IKT resursu pārvaldība; Servisa pieteikumu pārvaldība; Konfigurācijas datubāzes pārvaldība, IKT pakalpojuma kvalitātes pārvaldība, IKT drošības pārvaldība)</w:t>
            </w:r>
          </w:p>
        </w:tc>
        <w:tc>
          <w:tcPr>
            <w:tcW w:w="1444" w:type="dxa"/>
          </w:tcPr>
          <w:p w:rsidR="00295604" w:rsidRPr="00A9448D" w:rsidRDefault="000F3C69"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p</w:t>
            </w:r>
            <w:r w:rsidR="00295604" w:rsidRPr="00A9448D">
              <w:rPr>
                <w:rFonts w:ascii="Times New Roman" w:hAnsi="Times New Roman" w:cs="Times New Roman"/>
                <w:sz w:val="24"/>
                <w:szCs w:val="24"/>
                <w:lang w:val="lv-LV" w:eastAsia="en-US"/>
              </w:rPr>
              <w:t>rocesu skaits</w:t>
            </w:r>
          </w:p>
        </w:tc>
        <w:tc>
          <w:tcPr>
            <w:tcW w:w="101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50"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3</w:t>
            </w:r>
          </w:p>
        </w:tc>
        <w:tc>
          <w:tcPr>
            <w:tcW w:w="127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7</w:t>
            </w:r>
          </w:p>
        </w:tc>
      </w:tr>
      <w:tr w:rsidR="00295604" w:rsidRPr="00A9448D" w:rsidTr="00295604">
        <w:tc>
          <w:tcPr>
            <w:tcW w:w="561"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9.</w:t>
            </w:r>
          </w:p>
        </w:tc>
        <w:tc>
          <w:tcPr>
            <w:tcW w:w="3659" w:type="dxa"/>
          </w:tcPr>
          <w:p w:rsidR="00295604" w:rsidRPr="00A9448D" w:rsidRDefault="00295604" w:rsidP="0043444B">
            <w:pPr>
              <w:pStyle w:val="VPBodyTable"/>
              <w:spacing w:before="0" w:line="240" w:lineRule="auto"/>
              <w:rPr>
                <w:rFonts w:ascii="Times New Roman" w:hAnsi="Times New Roman" w:cs="Times New Roman"/>
                <w:b/>
                <w:bCs/>
                <w:sz w:val="24"/>
                <w:szCs w:val="24"/>
                <w:lang w:val="lv-LV" w:eastAsia="en-US"/>
              </w:rPr>
            </w:pPr>
            <w:bookmarkStart w:id="13" w:name="_Hlk31275904"/>
            <w:r w:rsidRPr="00A9448D">
              <w:rPr>
                <w:rFonts w:ascii="Times New Roman" w:hAnsi="Times New Roman" w:cs="Times New Roman"/>
                <w:sz w:val="24"/>
                <w:szCs w:val="24"/>
                <w:lang w:val="lv-LV" w:eastAsia="en-US"/>
              </w:rPr>
              <w:t>Uzlabots nozares statistisko datu kvalitātes un pieejamības process</w:t>
            </w:r>
            <w:bookmarkEnd w:id="13"/>
          </w:p>
        </w:tc>
        <w:tc>
          <w:tcPr>
            <w:tcW w:w="1444" w:type="dxa"/>
          </w:tcPr>
          <w:p w:rsidR="00295604" w:rsidRPr="00A9448D" w:rsidRDefault="000F3C69"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p</w:t>
            </w:r>
            <w:r w:rsidR="00295604" w:rsidRPr="00A9448D">
              <w:rPr>
                <w:rFonts w:ascii="Times New Roman" w:hAnsi="Times New Roman" w:cs="Times New Roman"/>
                <w:sz w:val="24"/>
                <w:szCs w:val="24"/>
                <w:lang w:val="lv-LV" w:eastAsia="en-US"/>
              </w:rPr>
              <w:t>rocesu skaits</w:t>
            </w:r>
          </w:p>
        </w:tc>
        <w:tc>
          <w:tcPr>
            <w:tcW w:w="101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50"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7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1</w:t>
            </w:r>
          </w:p>
        </w:tc>
      </w:tr>
      <w:tr w:rsidR="00295604" w:rsidRPr="00A9448D" w:rsidTr="00295604">
        <w:tc>
          <w:tcPr>
            <w:tcW w:w="561"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10.</w:t>
            </w:r>
          </w:p>
        </w:tc>
        <w:tc>
          <w:tcPr>
            <w:tcW w:w="3659" w:type="dxa"/>
          </w:tcPr>
          <w:p w:rsidR="00295604" w:rsidRPr="00A9448D" w:rsidRDefault="00295604" w:rsidP="0043444B">
            <w:pPr>
              <w:pStyle w:val="VPBodyTable"/>
              <w:spacing w:before="0" w:line="240" w:lineRule="auto"/>
              <w:rPr>
                <w:rFonts w:ascii="Times New Roman" w:hAnsi="Times New Roman" w:cs="Times New Roman"/>
                <w:b/>
                <w:bCs/>
                <w:sz w:val="24"/>
                <w:szCs w:val="24"/>
                <w:lang w:val="lv-LV" w:eastAsia="en-US"/>
              </w:rPr>
            </w:pPr>
            <w:r w:rsidRPr="00A9448D">
              <w:rPr>
                <w:rFonts w:ascii="Times New Roman" w:hAnsi="Times New Roman" w:cs="Times New Roman"/>
                <w:sz w:val="24"/>
                <w:szCs w:val="24"/>
                <w:lang w:val="lv-LV" w:eastAsia="en-US"/>
              </w:rPr>
              <w:t>Veikta datu ticamības un pietiekamības analīze</w:t>
            </w:r>
          </w:p>
        </w:tc>
        <w:tc>
          <w:tcPr>
            <w:tcW w:w="1444" w:type="dxa"/>
          </w:tcPr>
          <w:p w:rsidR="00295604" w:rsidRPr="00A9448D" w:rsidRDefault="000F3C69"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s</w:t>
            </w:r>
            <w:r w:rsidR="00295604" w:rsidRPr="00A9448D">
              <w:rPr>
                <w:rFonts w:ascii="Times New Roman" w:hAnsi="Times New Roman" w:cs="Times New Roman"/>
                <w:sz w:val="24"/>
                <w:szCs w:val="24"/>
                <w:lang w:val="lv-LV" w:eastAsia="en-US"/>
              </w:rPr>
              <w:t>kaits</w:t>
            </w:r>
          </w:p>
        </w:tc>
        <w:tc>
          <w:tcPr>
            <w:tcW w:w="101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50"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1</w:t>
            </w:r>
          </w:p>
        </w:tc>
        <w:tc>
          <w:tcPr>
            <w:tcW w:w="127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1</w:t>
            </w:r>
          </w:p>
        </w:tc>
      </w:tr>
      <w:tr w:rsidR="00295604" w:rsidRPr="00A9448D" w:rsidTr="00295604">
        <w:tc>
          <w:tcPr>
            <w:tcW w:w="561"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11.</w:t>
            </w:r>
          </w:p>
        </w:tc>
        <w:tc>
          <w:tcPr>
            <w:tcW w:w="3659"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Veikti datu ticamības un pietiekamības uzlabošanas pasākumi</w:t>
            </w:r>
          </w:p>
        </w:tc>
        <w:tc>
          <w:tcPr>
            <w:tcW w:w="1444" w:type="dxa"/>
          </w:tcPr>
          <w:p w:rsidR="00295604" w:rsidRPr="00A9448D" w:rsidRDefault="000F3C69"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u</w:t>
            </w:r>
            <w:r w:rsidR="00295604" w:rsidRPr="00A9448D">
              <w:rPr>
                <w:rFonts w:ascii="Times New Roman" w:hAnsi="Times New Roman" w:cs="Times New Roman"/>
                <w:sz w:val="24"/>
                <w:szCs w:val="24"/>
                <w:lang w:val="lv-LV" w:eastAsia="en-US"/>
              </w:rPr>
              <w:t>zlaboto sistēmu skaits</w:t>
            </w:r>
          </w:p>
        </w:tc>
        <w:tc>
          <w:tcPr>
            <w:tcW w:w="101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50"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7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1</w:t>
            </w:r>
          </w:p>
        </w:tc>
      </w:tr>
      <w:tr w:rsidR="00295604" w:rsidRPr="00A9448D" w:rsidTr="00295604">
        <w:tc>
          <w:tcPr>
            <w:tcW w:w="561"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12.</w:t>
            </w:r>
          </w:p>
        </w:tc>
        <w:tc>
          <w:tcPr>
            <w:tcW w:w="3659" w:type="dxa"/>
          </w:tcPr>
          <w:p w:rsidR="00295604" w:rsidRPr="00A9448D" w:rsidRDefault="00295604" w:rsidP="0043444B">
            <w:pPr>
              <w:pStyle w:val="VPBodyTable"/>
              <w:spacing w:before="0" w:line="240" w:lineRule="auto"/>
              <w:rPr>
                <w:rFonts w:ascii="Times New Roman" w:hAnsi="Times New Roman" w:cs="Times New Roman"/>
                <w:b/>
                <w:bCs/>
                <w:sz w:val="24"/>
                <w:szCs w:val="24"/>
                <w:lang w:val="lv-LV" w:eastAsia="en-US"/>
              </w:rPr>
            </w:pPr>
            <w:r w:rsidRPr="00A9448D">
              <w:rPr>
                <w:rFonts w:ascii="Times New Roman" w:hAnsi="Times New Roman" w:cs="Times New Roman"/>
                <w:sz w:val="24"/>
                <w:szCs w:val="24"/>
                <w:lang w:val="lv-LV" w:eastAsia="en-US"/>
              </w:rPr>
              <w:t xml:space="preserve">Iegādāts un ieviests </w:t>
            </w:r>
            <w:r>
              <w:rPr>
                <w:rFonts w:ascii="Times New Roman" w:hAnsi="Times New Roman" w:cs="Times New Roman"/>
                <w:sz w:val="24"/>
                <w:szCs w:val="24"/>
                <w:lang w:val="lv-LV" w:eastAsia="en-US"/>
              </w:rPr>
              <w:t>"</w:t>
            </w:r>
            <w:r w:rsidRPr="00A9448D">
              <w:rPr>
                <w:rFonts w:ascii="Times New Roman" w:hAnsi="Times New Roman" w:cs="Times New Roman"/>
                <w:sz w:val="24"/>
                <w:szCs w:val="24"/>
                <w:lang w:val="lv-LV" w:eastAsia="en-US"/>
              </w:rPr>
              <w:t>mākoņskaitļošanas</w:t>
            </w:r>
            <w:r>
              <w:rPr>
                <w:rFonts w:ascii="Times New Roman" w:hAnsi="Times New Roman" w:cs="Times New Roman"/>
                <w:sz w:val="24"/>
                <w:szCs w:val="24"/>
                <w:lang w:val="lv-LV" w:eastAsia="en-US"/>
              </w:rPr>
              <w:t>"</w:t>
            </w:r>
            <w:r w:rsidRPr="00A9448D">
              <w:rPr>
                <w:rFonts w:ascii="Times New Roman" w:hAnsi="Times New Roman" w:cs="Times New Roman"/>
                <w:sz w:val="24"/>
                <w:szCs w:val="24"/>
                <w:lang w:val="lv-LV" w:eastAsia="en-US"/>
              </w:rPr>
              <w:t xml:space="preserve"> infrastruktūras risinājums</w:t>
            </w:r>
          </w:p>
        </w:tc>
        <w:tc>
          <w:tcPr>
            <w:tcW w:w="1444" w:type="dxa"/>
          </w:tcPr>
          <w:p w:rsidR="00295604" w:rsidRPr="00A9448D" w:rsidRDefault="000F3C69"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r</w:t>
            </w:r>
            <w:r w:rsidR="00295604" w:rsidRPr="00A9448D">
              <w:rPr>
                <w:rFonts w:ascii="Times New Roman" w:hAnsi="Times New Roman" w:cs="Times New Roman"/>
                <w:sz w:val="24"/>
                <w:szCs w:val="24"/>
                <w:lang w:val="lv-LV" w:eastAsia="en-US"/>
              </w:rPr>
              <w:t>isinājumu skaits</w:t>
            </w:r>
          </w:p>
        </w:tc>
        <w:tc>
          <w:tcPr>
            <w:tcW w:w="101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50"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7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1</w:t>
            </w:r>
          </w:p>
        </w:tc>
      </w:tr>
      <w:tr w:rsidR="00295604" w:rsidRPr="00A9448D" w:rsidTr="00295604">
        <w:tc>
          <w:tcPr>
            <w:tcW w:w="561"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13.</w:t>
            </w:r>
          </w:p>
        </w:tc>
        <w:tc>
          <w:tcPr>
            <w:tcW w:w="3659"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Izstrādāts un ieviests SIVA Sociālās rehabilitācijas informācijas sistēmas uzlabojums</w:t>
            </w:r>
          </w:p>
        </w:tc>
        <w:tc>
          <w:tcPr>
            <w:tcW w:w="1444" w:type="dxa"/>
          </w:tcPr>
          <w:p w:rsidR="00295604" w:rsidRPr="00A9448D" w:rsidRDefault="000F3C69"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u</w:t>
            </w:r>
            <w:r w:rsidR="00295604" w:rsidRPr="00A9448D">
              <w:rPr>
                <w:rFonts w:ascii="Times New Roman" w:hAnsi="Times New Roman" w:cs="Times New Roman"/>
                <w:sz w:val="24"/>
                <w:szCs w:val="24"/>
                <w:lang w:val="lv-LV" w:eastAsia="en-US"/>
              </w:rPr>
              <w:t>zlaboto sistēmu skaits</w:t>
            </w:r>
          </w:p>
        </w:tc>
        <w:tc>
          <w:tcPr>
            <w:tcW w:w="101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50"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7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1</w:t>
            </w:r>
          </w:p>
        </w:tc>
      </w:tr>
      <w:tr w:rsidR="00295604" w:rsidRPr="00A9448D" w:rsidTr="00295604">
        <w:tc>
          <w:tcPr>
            <w:tcW w:w="561"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14.</w:t>
            </w:r>
          </w:p>
        </w:tc>
        <w:tc>
          <w:tcPr>
            <w:tcW w:w="3659"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Izstrādāta un ieviesta j</w:t>
            </w:r>
            <w:r w:rsidRPr="00A9448D">
              <w:rPr>
                <w:rFonts w:ascii="Times New Roman" w:hAnsi="Times New Roman" w:cs="Times New Roman"/>
                <w:bCs/>
                <w:sz w:val="24"/>
                <w:szCs w:val="24"/>
                <w:lang w:val="lv-LV" w:eastAsia="en-US"/>
              </w:rPr>
              <w:t>auna VDI informācijas sistēma</w:t>
            </w:r>
          </w:p>
        </w:tc>
        <w:tc>
          <w:tcPr>
            <w:tcW w:w="1444" w:type="dxa"/>
          </w:tcPr>
          <w:p w:rsidR="00295604" w:rsidRPr="00A9448D" w:rsidRDefault="000F3C69"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s</w:t>
            </w:r>
            <w:r w:rsidR="00295604" w:rsidRPr="00A9448D">
              <w:rPr>
                <w:rFonts w:ascii="Times New Roman" w:hAnsi="Times New Roman" w:cs="Times New Roman"/>
                <w:sz w:val="24"/>
                <w:szCs w:val="24"/>
                <w:lang w:val="lv-LV" w:eastAsia="en-US"/>
              </w:rPr>
              <w:t>istēmu skaits</w:t>
            </w:r>
          </w:p>
        </w:tc>
        <w:tc>
          <w:tcPr>
            <w:tcW w:w="101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50"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7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1</w:t>
            </w:r>
          </w:p>
        </w:tc>
      </w:tr>
      <w:tr w:rsidR="00295604" w:rsidRPr="00A9448D" w:rsidTr="00295604">
        <w:tc>
          <w:tcPr>
            <w:tcW w:w="561"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15.</w:t>
            </w:r>
          </w:p>
        </w:tc>
        <w:tc>
          <w:tcPr>
            <w:tcW w:w="3659"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Uzlaboti VDI e-pakalpojumi</w:t>
            </w:r>
          </w:p>
        </w:tc>
        <w:tc>
          <w:tcPr>
            <w:tcW w:w="1444"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e-pakalpo</w:t>
            </w:r>
            <w:r w:rsidR="000F3C69">
              <w:rPr>
                <w:rFonts w:ascii="Times New Roman" w:hAnsi="Times New Roman" w:cs="Times New Roman"/>
                <w:sz w:val="24"/>
                <w:szCs w:val="24"/>
                <w:lang w:val="lv-LV" w:eastAsia="en-US"/>
              </w:rPr>
              <w:softHyphen/>
            </w:r>
            <w:r w:rsidRPr="00A9448D">
              <w:rPr>
                <w:rFonts w:ascii="Times New Roman" w:hAnsi="Times New Roman" w:cs="Times New Roman"/>
                <w:sz w:val="24"/>
                <w:szCs w:val="24"/>
                <w:lang w:val="lv-LV" w:eastAsia="en-US"/>
              </w:rPr>
              <w:t>jumi</w:t>
            </w:r>
          </w:p>
        </w:tc>
        <w:tc>
          <w:tcPr>
            <w:tcW w:w="101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50"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7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3</w:t>
            </w:r>
          </w:p>
        </w:tc>
      </w:tr>
      <w:tr w:rsidR="00295604" w:rsidRPr="00A9448D" w:rsidTr="00295604">
        <w:tc>
          <w:tcPr>
            <w:tcW w:w="561"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16.</w:t>
            </w:r>
          </w:p>
        </w:tc>
        <w:tc>
          <w:tcPr>
            <w:tcW w:w="3659"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Elektronizēti VDI pamatdarbības procesi</w:t>
            </w:r>
          </w:p>
        </w:tc>
        <w:tc>
          <w:tcPr>
            <w:tcW w:w="1444" w:type="dxa"/>
          </w:tcPr>
          <w:p w:rsidR="00295604" w:rsidRPr="00A9448D" w:rsidRDefault="000F3C69"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p</w:t>
            </w:r>
            <w:r w:rsidR="00295604" w:rsidRPr="00A9448D">
              <w:rPr>
                <w:rFonts w:ascii="Times New Roman" w:hAnsi="Times New Roman" w:cs="Times New Roman"/>
                <w:sz w:val="24"/>
                <w:szCs w:val="24"/>
                <w:lang w:val="lv-LV" w:eastAsia="en-US"/>
              </w:rPr>
              <w:t>rocesi</w:t>
            </w:r>
          </w:p>
        </w:tc>
        <w:tc>
          <w:tcPr>
            <w:tcW w:w="101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50"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7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2</w:t>
            </w:r>
          </w:p>
        </w:tc>
      </w:tr>
      <w:tr w:rsidR="00295604" w:rsidRPr="00A9448D" w:rsidTr="00295604">
        <w:tc>
          <w:tcPr>
            <w:tcW w:w="561" w:type="dxa"/>
          </w:tcPr>
          <w:p w:rsidR="00295604" w:rsidRDefault="00295604"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17.</w:t>
            </w:r>
          </w:p>
        </w:tc>
        <w:tc>
          <w:tcPr>
            <w:tcW w:w="3659"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P</w:t>
            </w:r>
            <w:r w:rsidRPr="00A9448D">
              <w:rPr>
                <w:rFonts w:ascii="Times New Roman" w:hAnsi="Times New Roman" w:cs="Times New Roman"/>
                <w:sz w:val="24"/>
                <w:szCs w:val="24"/>
                <w:lang w:val="lv-LV" w:eastAsia="en-US"/>
              </w:rPr>
              <w:t xml:space="preserve">ublicētas VDI </w:t>
            </w:r>
            <w:proofErr w:type="spellStart"/>
            <w:r w:rsidRPr="00A9448D">
              <w:rPr>
                <w:rFonts w:ascii="Times New Roman" w:hAnsi="Times New Roman" w:cs="Times New Roman"/>
                <w:sz w:val="24"/>
                <w:szCs w:val="24"/>
                <w:lang w:val="lv-LV" w:eastAsia="en-US"/>
              </w:rPr>
              <w:t>atkalizmantojamo</w:t>
            </w:r>
            <w:proofErr w:type="spellEnd"/>
            <w:r w:rsidRPr="00A9448D">
              <w:rPr>
                <w:rFonts w:ascii="Times New Roman" w:hAnsi="Times New Roman" w:cs="Times New Roman"/>
                <w:sz w:val="24"/>
                <w:szCs w:val="24"/>
                <w:lang w:val="lv-LV" w:eastAsia="en-US"/>
              </w:rPr>
              <w:t xml:space="preserve"> datu kopas Latvijas Atvērto datu portālā</w:t>
            </w:r>
          </w:p>
        </w:tc>
        <w:tc>
          <w:tcPr>
            <w:tcW w:w="1444" w:type="dxa"/>
          </w:tcPr>
          <w:p w:rsidR="00295604" w:rsidRPr="00A9448D" w:rsidRDefault="000F3C69"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d</w:t>
            </w:r>
            <w:r w:rsidR="00295604" w:rsidRPr="00A9448D">
              <w:rPr>
                <w:rFonts w:ascii="Times New Roman" w:hAnsi="Times New Roman" w:cs="Times New Roman"/>
                <w:sz w:val="24"/>
                <w:szCs w:val="24"/>
                <w:lang w:val="lv-LV" w:eastAsia="en-US"/>
              </w:rPr>
              <w:t>atu kopa</w:t>
            </w:r>
          </w:p>
        </w:tc>
        <w:tc>
          <w:tcPr>
            <w:tcW w:w="101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50"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7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2</w:t>
            </w:r>
          </w:p>
        </w:tc>
      </w:tr>
      <w:tr w:rsidR="00295604" w:rsidRPr="00A9448D" w:rsidTr="00295604">
        <w:tc>
          <w:tcPr>
            <w:tcW w:w="561" w:type="dxa"/>
          </w:tcPr>
          <w:p w:rsidR="00295604" w:rsidRPr="00A9448D" w:rsidRDefault="00295604" w:rsidP="0043444B">
            <w:pPr>
              <w:pStyle w:val="VPBodyTable"/>
              <w:spacing w:before="0" w:line="240" w:lineRule="auto"/>
              <w:rPr>
                <w:rFonts w:ascii="Times New Roman" w:hAnsi="Times New Roman" w:cs="Times New Roman"/>
                <w:bCs/>
                <w:sz w:val="24"/>
                <w:szCs w:val="24"/>
                <w:lang w:val="lv-LV" w:eastAsia="en-US"/>
              </w:rPr>
            </w:pPr>
            <w:r>
              <w:rPr>
                <w:rFonts w:ascii="Times New Roman" w:hAnsi="Times New Roman" w:cs="Times New Roman"/>
                <w:bCs/>
                <w:sz w:val="24"/>
                <w:szCs w:val="24"/>
                <w:lang w:val="lv-LV" w:eastAsia="en-US"/>
              </w:rPr>
              <w:t>18.</w:t>
            </w:r>
          </w:p>
        </w:tc>
        <w:tc>
          <w:tcPr>
            <w:tcW w:w="3659"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bCs/>
                <w:sz w:val="24"/>
                <w:szCs w:val="24"/>
                <w:lang w:val="lv-LV" w:eastAsia="en-US"/>
              </w:rPr>
              <w:t>Ieviests centralizēts IKT infrastruktūras drošības tehniskās uzraudzības risinājums</w:t>
            </w:r>
          </w:p>
        </w:tc>
        <w:tc>
          <w:tcPr>
            <w:tcW w:w="1444" w:type="dxa"/>
          </w:tcPr>
          <w:p w:rsidR="00295604" w:rsidRPr="00A9448D" w:rsidRDefault="000F3C69"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r</w:t>
            </w:r>
            <w:r w:rsidR="00295604" w:rsidRPr="00A9448D">
              <w:rPr>
                <w:rFonts w:ascii="Times New Roman" w:hAnsi="Times New Roman" w:cs="Times New Roman"/>
                <w:sz w:val="24"/>
                <w:szCs w:val="24"/>
                <w:lang w:val="lv-LV" w:eastAsia="en-US"/>
              </w:rPr>
              <w:t>isinājumu skaits</w:t>
            </w:r>
          </w:p>
        </w:tc>
        <w:tc>
          <w:tcPr>
            <w:tcW w:w="101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50"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7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1</w:t>
            </w:r>
          </w:p>
        </w:tc>
      </w:tr>
      <w:tr w:rsidR="00295604" w:rsidRPr="00A9448D" w:rsidTr="00295604">
        <w:tc>
          <w:tcPr>
            <w:tcW w:w="561" w:type="dxa"/>
          </w:tcPr>
          <w:p w:rsidR="00295604" w:rsidRPr="00A9448D" w:rsidRDefault="00295604" w:rsidP="0043444B">
            <w:pPr>
              <w:pStyle w:val="VPBody"/>
              <w:spacing w:after="0" w:line="240" w:lineRule="auto"/>
              <w:rPr>
                <w:sz w:val="24"/>
                <w:szCs w:val="24"/>
                <w:lang w:eastAsia="en-US"/>
              </w:rPr>
            </w:pPr>
            <w:r>
              <w:rPr>
                <w:sz w:val="24"/>
                <w:szCs w:val="24"/>
                <w:lang w:eastAsia="en-US"/>
              </w:rPr>
              <w:lastRenderedPageBreak/>
              <w:t>19.</w:t>
            </w:r>
          </w:p>
        </w:tc>
        <w:tc>
          <w:tcPr>
            <w:tcW w:w="3659" w:type="dxa"/>
          </w:tcPr>
          <w:p w:rsidR="00295604" w:rsidRPr="00A9448D" w:rsidRDefault="00295604" w:rsidP="0043444B">
            <w:pPr>
              <w:pStyle w:val="VPBody"/>
              <w:spacing w:after="0" w:line="240" w:lineRule="auto"/>
              <w:rPr>
                <w:sz w:val="24"/>
                <w:szCs w:val="24"/>
                <w:lang w:eastAsia="en-US"/>
              </w:rPr>
            </w:pPr>
            <w:r w:rsidRPr="00A9448D">
              <w:rPr>
                <w:sz w:val="24"/>
                <w:szCs w:val="24"/>
                <w:lang w:eastAsia="en-US"/>
              </w:rPr>
              <w:t>Apmācīti IKT infrastruktūras drošības tehniskās uzraudzības speciālisti – eksperti, analītiķi</w:t>
            </w:r>
          </w:p>
        </w:tc>
        <w:tc>
          <w:tcPr>
            <w:tcW w:w="1444" w:type="dxa"/>
          </w:tcPr>
          <w:p w:rsidR="00295604" w:rsidRPr="00A9448D" w:rsidRDefault="000F3C69"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d</w:t>
            </w:r>
            <w:r w:rsidR="00295604" w:rsidRPr="00A9448D">
              <w:rPr>
                <w:rFonts w:ascii="Times New Roman" w:hAnsi="Times New Roman" w:cs="Times New Roman"/>
                <w:sz w:val="24"/>
                <w:szCs w:val="24"/>
                <w:lang w:val="lv-LV" w:eastAsia="en-US"/>
              </w:rPr>
              <w:t>arbinieku skaits</w:t>
            </w:r>
          </w:p>
        </w:tc>
        <w:tc>
          <w:tcPr>
            <w:tcW w:w="101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50"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7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4</w:t>
            </w:r>
          </w:p>
        </w:tc>
      </w:tr>
      <w:tr w:rsidR="00295604" w:rsidRPr="00A9448D" w:rsidTr="00295604">
        <w:tc>
          <w:tcPr>
            <w:tcW w:w="561" w:type="dxa"/>
          </w:tcPr>
          <w:p w:rsidR="00295604" w:rsidRPr="00A9448D" w:rsidRDefault="00295604" w:rsidP="0043444B">
            <w:pPr>
              <w:pStyle w:val="VPBody"/>
              <w:spacing w:after="0" w:line="240" w:lineRule="auto"/>
              <w:rPr>
                <w:sz w:val="24"/>
                <w:szCs w:val="24"/>
                <w:lang w:eastAsia="en-US"/>
              </w:rPr>
            </w:pPr>
            <w:r>
              <w:rPr>
                <w:sz w:val="24"/>
                <w:szCs w:val="24"/>
                <w:lang w:eastAsia="en-US"/>
              </w:rPr>
              <w:t>20.</w:t>
            </w:r>
          </w:p>
        </w:tc>
        <w:tc>
          <w:tcPr>
            <w:tcW w:w="3659" w:type="dxa"/>
          </w:tcPr>
          <w:p w:rsidR="00295604" w:rsidRPr="00A9448D" w:rsidRDefault="00295604" w:rsidP="0043444B">
            <w:pPr>
              <w:pStyle w:val="VPBody"/>
              <w:spacing w:after="0" w:line="240" w:lineRule="auto"/>
              <w:rPr>
                <w:sz w:val="24"/>
                <w:szCs w:val="24"/>
                <w:lang w:eastAsia="en-US"/>
              </w:rPr>
            </w:pPr>
            <w:r w:rsidRPr="00A9448D">
              <w:rPr>
                <w:sz w:val="24"/>
                <w:szCs w:val="24"/>
                <w:lang w:eastAsia="en-US"/>
              </w:rPr>
              <w:t>Izstrādāta standartizēta IKT infrastruktūras drošības tehniskās uzraudzības dokumentācija padotības iestādēm</w:t>
            </w:r>
          </w:p>
        </w:tc>
        <w:tc>
          <w:tcPr>
            <w:tcW w:w="1444" w:type="dxa"/>
          </w:tcPr>
          <w:p w:rsidR="00295604" w:rsidRPr="00A9448D" w:rsidRDefault="000F3C69"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d</w:t>
            </w:r>
            <w:r w:rsidR="00295604" w:rsidRPr="00A9448D">
              <w:rPr>
                <w:rFonts w:ascii="Times New Roman" w:hAnsi="Times New Roman" w:cs="Times New Roman"/>
                <w:sz w:val="24"/>
                <w:szCs w:val="24"/>
                <w:lang w:val="lv-LV" w:eastAsia="en-US"/>
              </w:rPr>
              <w:t>okumentu komplekti</w:t>
            </w:r>
          </w:p>
        </w:tc>
        <w:tc>
          <w:tcPr>
            <w:tcW w:w="101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50"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7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12</w:t>
            </w:r>
          </w:p>
        </w:tc>
      </w:tr>
      <w:tr w:rsidR="00295604" w:rsidRPr="00A9448D" w:rsidTr="00295604">
        <w:tc>
          <w:tcPr>
            <w:tcW w:w="561" w:type="dxa"/>
          </w:tcPr>
          <w:p w:rsidR="00295604" w:rsidRPr="00F61BEC" w:rsidRDefault="00295604"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21.</w:t>
            </w:r>
          </w:p>
        </w:tc>
        <w:tc>
          <w:tcPr>
            <w:tcW w:w="3659" w:type="dxa"/>
          </w:tcPr>
          <w:p w:rsidR="00295604" w:rsidRPr="00F61BEC" w:rsidRDefault="00295604" w:rsidP="0043444B">
            <w:pPr>
              <w:pStyle w:val="VPBodyTable"/>
              <w:spacing w:before="0" w:line="240" w:lineRule="auto"/>
              <w:rPr>
                <w:rFonts w:ascii="Times New Roman" w:hAnsi="Times New Roman" w:cs="Times New Roman"/>
                <w:sz w:val="24"/>
                <w:szCs w:val="24"/>
                <w:lang w:val="lv-LV" w:eastAsia="en-US"/>
              </w:rPr>
            </w:pPr>
            <w:r w:rsidRPr="00F61BEC">
              <w:rPr>
                <w:rFonts w:ascii="Times New Roman" w:hAnsi="Times New Roman" w:cs="Times New Roman"/>
                <w:sz w:val="24"/>
                <w:szCs w:val="24"/>
                <w:lang w:val="lv-LV" w:eastAsia="en-US"/>
              </w:rPr>
              <w:t xml:space="preserve">Ieviesta vienota </w:t>
            </w:r>
            <w:proofErr w:type="spellStart"/>
            <w:r w:rsidRPr="00F61BEC">
              <w:rPr>
                <w:rFonts w:ascii="Times New Roman" w:hAnsi="Times New Roman" w:cs="Times New Roman"/>
                <w:sz w:val="24"/>
                <w:szCs w:val="24"/>
              </w:rPr>
              <w:t>dokumentu</w:t>
            </w:r>
            <w:proofErr w:type="spellEnd"/>
            <w:r w:rsidRPr="00F61BEC">
              <w:rPr>
                <w:rFonts w:ascii="Times New Roman" w:hAnsi="Times New Roman" w:cs="Times New Roman"/>
                <w:sz w:val="24"/>
                <w:szCs w:val="24"/>
              </w:rPr>
              <w:t xml:space="preserve"> </w:t>
            </w:r>
            <w:proofErr w:type="spellStart"/>
            <w:r w:rsidRPr="00F61BEC">
              <w:rPr>
                <w:rFonts w:ascii="Times New Roman" w:hAnsi="Times New Roman" w:cs="Times New Roman"/>
                <w:sz w:val="24"/>
                <w:szCs w:val="24"/>
              </w:rPr>
              <w:t>vadības</w:t>
            </w:r>
            <w:proofErr w:type="spellEnd"/>
            <w:r w:rsidRPr="00F61BEC">
              <w:rPr>
                <w:rFonts w:ascii="Times New Roman" w:hAnsi="Times New Roman" w:cs="Times New Roman"/>
                <w:sz w:val="24"/>
                <w:szCs w:val="24"/>
              </w:rPr>
              <w:t xml:space="preserve"> </w:t>
            </w:r>
            <w:proofErr w:type="spellStart"/>
            <w:r w:rsidRPr="00F61BEC">
              <w:rPr>
                <w:rFonts w:ascii="Times New Roman" w:hAnsi="Times New Roman" w:cs="Times New Roman"/>
                <w:sz w:val="24"/>
                <w:szCs w:val="24"/>
              </w:rPr>
              <w:t>sistēma</w:t>
            </w:r>
            <w:proofErr w:type="spellEnd"/>
            <w:r w:rsidRPr="00F61BEC">
              <w:rPr>
                <w:rFonts w:ascii="Times New Roman" w:hAnsi="Times New Roman" w:cs="Times New Roman"/>
                <w:sz w:val="24"/>
                <w:szCs w:val="24"/>
                <w:lang w:val="lv-LV" w:eastAsia="en-US"/>
              </w:rPr>
              <w:t xml:space="preserve"> visās nozares iestādēs</w:t>
            </w:r>
          </w:p>
        </w:tc>
        <w:tc>
          <w:tcPr>
            <w:tcW w:w="1444" w:type="dxa"/>
          </w:tcPr>
          <w:p w:rsidR="00295604" w:rsidRPr="00A9448D" w:rsidRDefault="000F3C69"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s</w:t>
            </w:r>
            <w:r w:rsidR="00295604" w:rsidRPr="00A9448D">
              <w:rPr>
                <w:rFonts w:ascii="Times New Roman" w:hAnsi="Times New Roman" w:cs="Times New Roman"/>
                <w:sz w:val="24"/>
                <w:szCs w:val="24"/>
                <w:lang w:val="lv-LV" w:eastAsia="en-US"/>
              </w:rPr>
              <w:t>istēmu skaits</w:t>
            </w:r>
          </w:p>
        </w:tc>
        <w:tc>
          <w:tcPr>
            <w:tcW w:w="101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50"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7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1</w:t>
            </w:r>
          </w:p>
        </w:tc>
      </w:tr>
      <w:tr w:rsidR="00295604" w:rsidRPr="00A9448D" w:rsidTr="00295604">
        <w:tc>
          <w:tcPr>
            <w:tcW w:w="561" w:type="dxa"/>
          </w:tcPr>
          <w:p w:rsidR="00295604" w:rsidRPr="00A9448D" w:rsidRDefault="00295604" w:rsidP="0043444B">
            <w:pPr>
              <w:pStyle w:val="VPBullet1"/>
              <w:spacing w:before="0" w:after="0"/>
              <w:ind w:left="0" w:hanging="22"/>
              <w:jc w:val="left"/>
              <w:rPr>
                <w:rFonts w:ascii="Times New Roman" w:hAnsi="Times New Roman" w:cs="Times New Roman"/>
                <w:sz w:val="24"/>
                <w:szCs w:val="24"/>
              </w:rPr>
            </w:pPr>
            <w:r>
              <w:rPr>
                <w:rFonts w:ascii="Times New Roman" w:hAnsi="Times New Roman" w:cs="Times New Roman"/>
                <w:sz w:val="24"/>
                <w:szCs w:val="24"/>
              </w:rPr>
              <w:t>22.</w:t>
            </w:r>
          </w:p>
        </w:tc>
        <w:tc>
          <w:tcPr>
            <w:tcW w:w="3659" w:type="dxa"/>
          </w:tcPr>
          <w:p w:rsidR="00295604" w:rsidRPr="00A9448D" w:rsidRDefault="00295604" w:rsidP="0043444B">
            <w:pPr>
              <w:pStyle w:val="VPBullet1"/>
              <w:spacing w:before="0" w:after="0"/>
              <w:ind w:left="0" w:hanging="22"/>
              <w:jc w:val="left"/>
              <w:rPr>
                <w:rFonts w:ascii="Times New Roman" w:hAnsi="Times New Roman" w:cs="Times New Roman"/>
                <w:sz w:val="24"/>
                <w:szCs w:val="24"/>
                <w:lang w:eastAsia="en-US"/>
              </w:rPr>
            </w:pPr>
            <w:r w:rsidRPr="00A9448D">
              <w:rPr>
                <w:rFonts w:ascii="Times New Roman" w:hAnsi="Times New Roman" w:cs="Times New Roman"/>
                <w:sz w:val="24"/>
                <w:szCs w:val="24"/>
              </w:rPr>
              <w:t>Elektronizēts nozares starpinstitūciju dokumentu aprites un darba uzdevumu vadības process</w:t>
            </w:r>
          </w:p>
        </w:tc>
        <w:tc>
          <w:tcPr>
            <w:tcW w:w="1444" w:type="dxa"/>
          </w:tcPr>
          <w:p w:rsidR="00295604" w:rsidRPr="00A9448D" w:rsidRDefault="000F3C69" w:rsidP="0043444B">
            <w:pPr>
              <w:pStyle w:val="VPBodyTable"/>
              <w:spacing w:before="0" w:line="240" w:lineRule="auto"/>
              <w:rPr>
                <w:rFonts w:ascii="Times New Roman" w:hAnsi="Times New Roman" w:cs="Times New Roman"/>
                <w:sz w:val="24"/>
                <w:szCs w:val="24"/>
                <w:lang w:val="lv-LV" w:eastAsia="en-US"/>
              </w:rPr>
            </w:pPr>
            <w:r>
              <w:rPr>
                <w:rFonts w:ascii="Times New Roman" w:hAnsi="Times New Roman" w:cs="Times New Roman"/>
                <w:sz w:val="24"/>
                <w:szCs w:val="24"/>
                <w:lang w:val="lv-LV" w:eastAsia="en-US"/>
              </w:rPr>
              <w:t>p</w:t>
            </w:r>
            <w:r w:rsidR="00295604" w:rsidRPr="00A9448D">
              <w:rPr>
                <w:rFonts w:ascii="Times New Roman" w:hAnsi="Times New Roman" w:cs="Times New Roman"/>
                <w:sz w:val="24"/>
                <w:szCs w:val="24"/>
                <w:lang w:val="lv-LV" w:eastAsia="en-US"/>
              </w:rPr>
              <w:t>rocesu skaits</w:t>
            </w:r>
          </w:p>
        </w:tc>
        <w:tc>
          <w:tcPr>
            <w:tcW w:w="101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50"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277" w:type="dxa"/>
          </w:tcPr>
          <w:p w:rsidR="00295604" w:rsidRPr="00A9448D" w:rsidRDefault="00295604" w:rsidP="0043444B">
            <w:pPr>
              <w:pStyle w:val="VPBodyTable"/>
              <w:spacing w:before="0"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1</w:t>
            </w:r>
          </w:p>
        </w:tc>
      </w:tr>
      <w:bookmarkEnd w:id="12"/>
    </w:tbl>
    <w:p w:rsidR="0049474A" w:rsidRPr="00A9448D" w:rsidRDefault="0049474A" w:rsidP="0049474A">
      <w:pPr>
        <w:spacing w:after="0"/>
        <w:rPr>
          <w:rFonts w:ascii="Times New Roman" w:eastAsia="MS Mincho" w:hAnsi="Times New Roman" w:cs="Times New Roman"/>
          <w:b/>
          <w:sz w:val="28"/>
          <w:szCs w:val="28"/>
          <w:u w:val="single"/>
        </w:rPr>
      </w:pPr>
    </w:p>
    <w:p w:rsidR="0049474A" w:rsidRPr="00B26486" w:rsidRDefault="0049474A" w:rsidP="0049474A">
      <w:pPr>
        <w:spacing w:after="0" w:line="240" w:lineRule="auto"/>
        <w:rPr>
          <w:rFonts w:ascii="Times New Roman" w:eastAsia="MS Mincho" w:hAnsi="Times New Roman" w:cs="Times New Roman"/>
          <w:sz w:val="28"/>
          <w:szCs w:val="28"/>
        </w:rPr>
      </w:pPr>
      <w:r w:rsidRPr="00B26486">
        <w:rPr>
          <w:rFonts w:ascii="Times New Roman" w:eastAsia="MS Mincho" w:hAnsi="Times New Roman" w:cs="Times New Roman"/>
          <w:b/>
          <w:sz w:val="28"/>
          <w:szCs w:val="28"/>
        </w:rPr>
        <w:t>Saistība ar iepriekšējā plānošanas perioda projektiem</w:t>
      </w:r>
    </w:p>
    <w:p w:rsidR="0049474A" w:rsidRDefault="0049474A" w:rsidP="0049474A">
      <w:pPr>
        <w:spacing w:after="0" w:line="240" w:lineRule="auto"/>
        <w:ind w:firstLine="720"/>
        <w:jc w:val="both"/>
        <w:rPr>
          <w:rFonts w:ascii="Times New Roman" w:hAnsi="Times New Roman" w:cs="Times New Roman"/>
          <w:sz w:val="28"/>
          <w:szCs w:val="28"/>
        </w:rPr>
      </w:pPr>
    </w:p>
    <w:p w:rsidR="0049474A" w:rsidRPr="00A9448D" w:rsidRDefault="0049474A" w:rsidP="0049474A">
      <w:pPr>
        <w:spacing w:after="0" w:line="240" w:lineRule="auto"/>
        <w:ind w:firstLine="720"/>
        <w:jc w:val="both"/>
        <w:rPr>
          <w:rFonts w:ascii="Times New Roman" w:hAnsi="Times New Roman" w:cs="Times New Roman"/>
          <w:sz w:val="28"/>
          <w:szCs w:val="28"/>
        </w:rPr>
      </w:pPr>
      <w:r w:rsidRPr="00A9448D">
        <w:rPr>
          <w:rFonts w:ascii="Times New Roman" w:hAnsi="Times New Roman" w:cs="Times New Roman"/>
          <w:sz w:val="28"/>
          <w:szCs w:val="28"/>
        </w:rPr>
        <w:t>LM iepriekšējā plānošanas periodā ir īstenojusi divus Eiropas Reģionālā</w:t>
      </w:r>
      <w:r w:rsidR="00755E28">
        <w:rPr>
          <w:rFonts w:ascii="Times New Roman" w:hAnsi="Times New Roman" w:cs="Times New Roman"/>
          <w:sz w:val="28"/>
          <w:szCs w:val="28"/>
        </w:rPr>
        <w:t>s</w:t>
      </w:r>
      <w:r w:rsidRPr="00A9448D">
        <w:rPr>
          <w:rFonts w:ascii="Times New Roman" w:hAnsi="Times New Roman" w:cs="Times New Roman"/>
          <w:sz w:val="28"/>
          <w:szCs w:val="28"/>
        </w:rPr>
        <w:t xml:space="preserve"> attīstības fonda finansētus projektus – projektu Nr. 3DP/3.2.2.1.1/12/IPIA/CFLA/001 </w:t>
      </w:r>
      <w:r w:rsidR="00D272C7">
        <w:rPr>
          <w:rFonts w:ascii="Times New Roman" w:hAnsi="Times New Roman" w:cs="Times New Roman"/>
          <w:sz w:val="28"/>
          <w:szCs w:val="28"/>
        </w:rPr>
        <w:t>"</w:t>
      </w:r>
      <w:r w:rsidRPr="00A9448D">
        <w:rPr>
          <w:rFonts w:ascii="Times New Roman" w:hAnsi="Times New Roman" w:cs="Times New Roman"/>
          <w:sz w:val="28"/>
          <w:szCs w:val="28"/>
        </w:rPr>
        <w:t>Vienotās Labklājības informācijas sistēmas (</w:t>
      </w:r>
      <w:proofErr w:type="spellStart"/>
      <w:r w:rsidRPr="00A9448D">
        <w:rPr>
          <w:rFonts w:ascii="Times New Roman" w:hAnsi="Times New Roman" w:cs="Times New Roman"/>
          <w:sz w:val="28"/>
          <w:szCs w:val="28"/>
        </w:rPr>
        <w:t>LabIS</w:t>
      </w:r>
      <w:proofErr w:type="spellEnd"/>
      <w:r w:rsidRPr="00A9448D">
        <w:rPr>
          <w:rFonts w:ascii="Times New Roman" w:hAnsi="Times New Roman" w:cs="Times New Roman"/>
          <w:sz w:val="28"/>
          <w:szCs w:val="28"/>
        </w:rPr>
        <w:t>), nozares centralizēto funkciju informācijas sistēmu un centralizētas IKT infrastruktūras attīstība</w:t>
      </w:r>
      <w:r>
        <w:rPr>
          <w:rFonts w:ascii="Times New Roman" w:hAnsi="Times New Roman" w:cs="Times New Roman"/>
          <w:sz w:val="28"/>
          <w:szCs w:val="28"/>
        </w:rPr>
        <w:t>"</w:t>
      </w:r>
      <w:r w:rsidRPr="00A9448D">
        <w:rPr>
          <w:rFonts w:ascii="Times New Roman" w:hAnsi="Times New Roman" w:cs="Times New Roman"/>
          <w:sz w:val="28"/>
          <w:szCs w:val="28"/>
        </w:rPr>
        <w:t xml:space="preserve"> un projektu Nr. 3DP/3.2.2.1.1/09/IPIA/IUMEPLS/023 </w:t>
      </w:r>
      <w:r>
        <w:rPr>
          <w:rFonts w:ascii="Times New Roman" w:hAnsi="Times New Roman" w:cs="Times New Roman"/>
          <w:sz w:val="28"/>
          <w:szCs w:val="28"/>
        </w:rPr>
        <w:t>"</w:t>
      </w:r>
      <w:r w:rsidRPr="00A9448D">
        <w:rPr>
          <w:rFonts w:ascii="Times New Roman" w:hAnsi="Times New Roman" w:cs="Times New Roman"/>
          <w:sz w:val="28"/>
          <w:szCs w:val="28"/>
        </w:rPr>
        <w:t>Sociālās politikas monitoringa sistēmas pilnveide – SPP vienotās informācijas sistēmas izstrāde, ieviešana un e-pakalpojumu attīstīšana</w:t>
      </w:r>
      <w:r>
        <w:rPr>
          <w:rFonts w:ascii="Times New Roman" w:hAnsi="Times New Roman" w:cs="Times New Roman"/>
          <w:sz w:val="28"/>
          <w:szCs w:val="28"/>
        </w:rPr>
        <w:t>"</w:t>
      </w:r>
      <w:r w:rsidRPr="00A9448D">
        <w:rPr>
          <w:rFonts w:ascii="Times New Roman" w:hAnsi="Times New Roman" w:cs="Times New Roman"/>
          <w:sz w:val="28"/>
          <w:szCs w:val="28"/>
        </w:rPr>
        <w:t>, kur</w:t>
      </w:r>
      <w:r w:rsidR="00755E28">
        <w:rPr>
          <w:rFonts w:ascii="Times New Roman" w:hAnsi="Times New Roman" w:cs="Times New Roman"/>
          <w:sz w:val="28"/>
          <w:szCs w:val="28"/>
        </w:rPr>
        <w:t>u</w:t>
      </w:r>
      <w:r w:rsidRPr="00A9448D">
        <w:rPr>
          <w:rFonts w:ascii="Times New Roman" w:hAnsi="Times New Roman" w:cs="Times New Roman"/>
          <w:sz w:val="28"/>
          <w:szCs w:val="28"/>
        </w:rPr>
        <w:t xml:space="preserve"> aktivitātes bija vērstas uz </w:t>
      </w:r>
      <w:r w:rsidR="000F3C69">
        <w:rPr>
          <w:rFonts w:ascii="Times New Roman" w:hAnsi="Times New Roman" w:cs="Times New Roman"/>
          <w:sz w:val="28"/>
          <w:szCs w:val="28"/>
        </w:rPr>
        <w:t>i</w:t>
      </w:r>
      <w:r w:rsidRPr="00A9448D">
        <w:rPr>
          <w:rFonts w:ascii="Times New Roman" w:hAnsi="Times New Roman" w:cs="Times New Roman"/>
          <w:sz w:val="28"/>
          <w:szCs w:val="28"/>
        </w:rPr>
        <w:t>nformācijas un komunikācij</w:t>
      </w:r>
      <w:r w:rsidR="000F3C69">
        <w:rPr>
          <w:rFonts w:ascii="Times New Roman" w:hAnsi="Times New Roman" w:cs="Times New Roman"/>
          <w:sz w:val="28"/>
          <w:szCs w:val="28"/>
        </w:rPr>
        <w:t>as</w:t>
      </w:r>
      <w:r w:rsidRPr="00A9448D">
        <w:rPr>
          <w:rFonts w:ascii="Times New Roman" w:hAnsi="Times New Roman" w:cs="Times New Roman"/>
          <w:sz w:val="28"/>
          <w:szCs w:val="28"/>
        </w:rPr>
        <w:t xml:space="preserve"> tehnoloģiju centralizācijas procesa aizsākšanu. Šajā projektā tiek turpināta iepriekš minētajos projektos iesāktā labklājības nozares </w:t>
      </w:r>
      <w:r w:rsidR="000F3C69">
        <w:rPr>
          <w:rFonts w:ascii="Times New Roman" w:hAnsi="Times New Roman" w:cs="Times New Roman"/>
          <w:sz w:val="28"/>
          <w:szCs w:val="28"/>
        </w:rPr>
        <w:t>i</w:t>
      </w:r>
      <w:r w:rsidRPr="00A9448D">
        <w:rPr>
          <w:rFonts w:ascii="Times New Roman" w:hAnsi="Times New Roman" w:cs="Times New Roman"/>
          <w:sz w:val="28"/>
          <w:szCs w:val="28"/>
        </w:rPr>
        <w:t>nformācijas un komunikācij</w:t>
      </w:r>
      <w:r w:rsidR="000F3C69">
        <w:rPr>
          <w:rFonts w:ascii="Times New Roman" w:hAnsi="Times New Roman" w:cs="Times New Roman"/>
          <w:sz w:val="28"/>
          <w:szCs w:val="28"/>
        </w:rPr>
        <w:t>as</w:t>
      </w:r>
      <w:r w:rsidRPr="00A9448D">
        <w:rPr>
          <w:rFonts w:ascii="Times New Roman" w:hAnsi="Times New Roman" w:cs="Times New Roman"/>
          <w:sz w:val="28"/>
          <w:szCs w:val="28"/>
        </w:rPr>
        <w:t xml:space="preserve"> tehnoloģiju centralizācijas ideja. VDI īstenotajā projektā Nr. 3DP/3.2.2.1.1/09/IPIA/IUMEPLS/011 </w:t>
      </w:r>
      <w:r>
        <w:rPr>
          <w:rFonts w:ascii="Times New Roman" w:hAnsi="Times New Roman" w:cs="Times New Roman"/>
          <w:sz w:val="28"/>
          <w:szCs w:val="28"/>
        </w:rPr>
        <w:t>"</w:t>
      </w:r>
      <w:r w:rsidRPr="00A9448D">
        <w:rPr>
          <w:rFonts w:ascii="Times New Roman" w:hAnsi="Times New Roman" w:cs="Times New Roman"/>
          <w:sz w:val="28"/>
          <w:szCs w:val="28"/>
        </w:rPr>
        <w:t>VDI informatīvās sistēmas pilnveidošana un e-pakalpojumu ieviešana</w:t>
      </w:r>
      <w:r>
        <w:rPr>
          <w:rFonts w:ascii="Times New Roman" w:hAnsi="Times New Roman" w:cs="Times New Roman"/>
          <w:sz w:val="28"/>
          <w:szCs w:val="28"/>
        </w:rPr>
        <w:t>"</w:t>
      </w:r>
      <w:r w:rsidRPr="00A9448D">
        <w:rPr>
          <w:rFonts w:ascii="Times New Roman" w:hAnsi="Times New Roman" w:cs="Times New Roman"/>
          <w:sz w:val="28"/>
          <w:szCs w:val="28"/>
        </w:rPr>
        <w:t xml:space="preserve"> ir uzsākt</w:t>
      </w:r>
      <w:r w:rsidR="00755E28">
        <w:rPr>
          <w:rFonts w:ascii="Times New Roman" w:hAnsi="Times New Roman" w:cs="Times New Roman"/>
          <w:sz w:val="28"/>
          <w:szCs w:val="28"/>
        </w:rPr>
        <w:t>a</w:t>
      </w:r>
      <w:r w:rsidRPr="00A9448D">
        <w:rPr>
          <w:rFonts w:ascii="Times New Roman" w:hAnsi="Times New Roman" w:cs="Times New Roman"/>
          <w:sz w:val="28"/>
          <w:szCs w:val="28"/>
        </w:rPr>
        <w:t xml:space="preserve"> darba tiesisko attiecību un darba aizsardzības normatīvo aktu prasību ievērošanas uzraudzīb</w:t>
      </w:r>
      <w:r w:rsidR="00755E28">
        <w:rPr>
          <w:rFonts w:ascii="Times New Roman" w:hAnsi="Times New Roman" w:cs="Times New Roman"/>
          <w:sz w:val="28"/>
          <w:szCs w:val="28"/>
        </w:rPr>
        <w:t>as</w:t>
      </w:r>
      <w:r w:rsidRPr="00A9448D">
        <w:rPr>
          <w:rFonts w:ascii="Times New Roman" w:hAnsi="Times New Roman" w:cs="Times New Roman"/>
          <w:sz w:val="28"/>
          <w:szCs w:val="28"/>
        </w:rPr>
        <w:t xml:space="preserve"> un kontrol</w:t>
      </w:r>
      <w:r w:rsidR="00755E28">
        <w:rPr>
          <w:rFonts w:ascii="Times New Roman" w:hAnsi="Times New Roman" w:cs="Times New Roman"/>
          <w:sz w:val="28"/>
          <w:szCs w:val="28"/>
        </w:rPr>
        <w:t>es</w:t>
      </w:r>
      <w:r w:rsidR="00755E28" w:rsidRPr="00755E28">
        <w:rPr>
          <w:rFonts w:ascii="Times New Roman" w:hAnsi="Times New Roman" w:cs="Times New Roman"/>
          <w:sz w:val="28"/>
          <w:szCs w:val="28"/>
        </w:rPr>
        <w:t xml:space="preserve"> </w:t>
      </w:r>
      <w:r w:rsidR="00755E28" w:rsidRPr="00A9448D">
        <w:rPr>
          <w:rFonts w:ascii="Times New Roman" w:hAnsi="Times New Roman" w:cs="Times New Roman"/>
          <w:sz w:val="28"/>
          <w:szCs w:val="28"/>
        </w:rPr>
        <w:t>elektronizē</w:t>
      </w:r>
      <w:r w:rsidR="00755E28">
        <w:rPr>
          <w:rFonts w:ascii="Times New Roman" w:hAnsi="Times New Roman" w:cs="Times New Roman"/>
          <w:sz w:val="28"/>
          <w:szCs w:val="28"/>
        </w:rPr>
        <w:t>šana</w:t>
      </w:r>
      <w:r w:rsidRPr="00A9448D">
        <w:rPr>
          <w:rFonts w:ascii="Times New Roman" w:hAnsi="Times New Roman" w:cs="Times New Roman"/>
          <w:sz w:val="28"/>
          <w:szCs w:val="28"/>
        </w:rPr>
        <w:t>. Šajā projektā tiks turpināta procesu elektronizācijas un e-pakalpojumu pieejamības uzlabošana uz jaunas tehnoloģiskās bāzes</w:t>
      </w:r>
      <w:r w:rsidR="00CD44E3">
        <w:rPr>
          <w:rFonts w:ascii="Times New Roman" w:hAnsi="Times New Roman" w:cs="Times New Roman"/>
          <w:sz w:val="28"/>
          <w:szCs w:val="28"/>
        </w:rPr>
        <w:t xml:space="preserve"> pamata</w:t>
      </w:r>
      <w:r w:rsidRPr="00A9448D">
        <w:rPr>
          <w:rFonts w:ascii="Times New Roman" w:hAnsi="Times New Roman" w:cs="Times New Roman"/>
          <w:sz w:val="28"/>
          <w:szCs w:val="28"/>
        </w:rPr>
        <w:t>.</w:t>
      </w:r>
    </w:p>
    <w:p w:rsidR="0049474A" w:rsidRPr="00A9448D" w:rsidRDefault="0049474A" w:rsidP="0049474A">
      <w:pPr>
        <w:spacing w:after="0"/>
        <w:jc w:val="both"/>
        <w:rPr>
          <w:rFonts w:ascii="Times New Roman" w:hAnsi="Times New Roman" w:cs="Times New Roman"/>
          <w:b/>
          <w:sz w:val="28"/>
          <w:szCs w:val="28"/>
        </w:rPr>
      </w:pPr>
    </w:p>
    <w:p w:rsidR="0049474A" w:rsidRPr="00B26486" w:rsidRDefault="0049474A" w:rsidP="0049474A">
      <w:pPr>
        <w:rPr>
          <w:rFonts w:ascii="Times New Roman" w:hAnsi="Times New Roman" w:cs="Times New Roman"/>
          <w:b/>
          <w:sz w:val="28"/>
          <w:szCs w:val="28"/>
        </w:rPr>
      </w:pPr>
      <w:bookmarkStart w:id="14" w:name="_Toc256000009"/>
      <w:bookmarkStart w:id="15" w:name="_Toc465333702"/>
      <w:r w:rsidRPr="00B26486">
        <w:rPr>
          <w:rFonts w:ascii="Times New Roman" w:hAnsi="Times New Roman" w:cs="Times New Roman"/>
          <w:b/>
          <w:sz w:val="28"/>
          <w:szCs w:val="28"/>
        </w:rPr>
        <w:t>Ieguldījums SAM rezultāta rādītāju sasniegšanā</w:t>
      </w:r>
      <w:bookmarkEnd w:id="14"/>
      <w:bookmarkEnd w:id="15"/>
    </w:p>
    <w:p w:rsidR="0049474A" w:rsidRPr="00A9448D" w:rsidRDefault="0049474A" w:rsidP="0049474A">
      <w:pPr>
        <w:rPr>
          <w:rFonts w:ascii="Times New Roman" w:hAnsi="Times New Roman" w:cs="Times New Roman"/>
          <w:bCs/>
          <w:noProof/>
          <w:sz w:val="28"/>
          <w:szCs w:val="28"/>
          <w:lang w:eastAsia="lv-LV"/>
        </w:rPr>
      </w:pPr>
      <w:r w:rsidRPr="00A9448D">
        <w:rPr>
          <w:rFonts w:ascii="Times New Roman" w:hAnsi="Times New Roman" w:cs="Times New Roman"/>
          <w:bCs/>
          <w:noProof/>
          <w:sz w:val="28"/>
          <w:szCs w:val="28"/>
          <w:lang w:eastAsia="lv-LV"/>
        </w:rPr>
        <w:t>Projektam ir paredzēti šādi ieguldījumi SAM iznākuma rādītājos:</w:t>
      </w:r>
    </w:p>
    <w:p w:rsidR="0049474A" w:rsidRPr="000F3C69" w:rsidRDefault="000F3C69" w:rsidP="000F3C69">
      <w:pPr>
        <w:spacing w:before="120" w:after="120"/>
        <w:jc w:val="right"/>
        <w:rPr>
          <w:rFonts w:ascii="Times New Roman" w:hAnsi="Times New Roman" w:cs="Times New Roman"/>
          <w:sz w:val="24"/>
          <w:szCs w:val="24"/>
        </w:rPr>
      </w:pPr>
      <w:r>
        <w:rPr>
          <w:rFonts w:ascii="Times New Roman" w:hAnsi="Times New Roman" w:cs="Times New Roman"/>
          <w:sz w:val="24"/>
          <w:szCs w:val="24"/>
        </w:rPr>
        <w:t>3. </w:t>
      </w:r>
      <w:r w:rsidR="0049474A" w:rsidRPr="000F3C69">
        <w:rPr>
          <w:rFonts w:ascii="Times New Roman" w:hAnsi="Times New Roman" w:cs="Times New Roman"/>
          <w:sz w:val="24"/>
          <w:szCs w:val="24"/>
        </w:rPr>
        <w:t xml:space="preserve">tabula </w:t>
      </w:r>
    </w:p>
    <w:p w:rsidR="0049474A" w:rsidRPr="00551451" w:rsidRDefault="0049474A" w:rsidP="0049474A">
      <w:pPr>
        <w:spacing w:before="120" w:after="120"/>
        <w:jc w:val="center"/>
        <w:rPr>
          <w:rFonts w:ascii="Times New Roman" w:hAnsi="Times New Roman" w:cs="Times New Roman"/>
          <w:b/>
          <w:sz w:val="28"/>
          <w:szCs w:val="28"/>
        </w:rPr>
      </w:pPr>
      <w:r w:rsidRPr="00551451">
        <w:rPr>
          <w:rFonts w:ascii="Times New Roman" w:hAnsi="Times New Roman" w:cs="Times New Roman"/>
          <w:b/>
          <w:sz w:val="28"/>
          <w:szCs w:val="28"/>
        </w:rPr>
        <w:t>SAM rezultāta rādītāji</w:t>
      </w:r>
    </w:p>
    <w:tbl>
      <w:tblPr>
        <w:tblW w:w="5058" w:type="pct"/>
        <w:tblInd w:w="-106"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527"/>
        <w:gridCol w:w="4252"/>
        <w:gridCol w:w="1418"/>
        <w:gridCol w:w="1523"/>
        <w:gridCol w:w="1446"/>
      </w:tblGrid>
      <w:tr w:rsidR="005879AD" w:rsidRPr="00A9448D" w:rsidTr="005879AD">
        <w:trPr>
          <w:tblHeader/>
        </w:trPr>
        <w:tc>
          <w:tcPr>
            <w:tcW w:w="527" w:type="dxa"/>
            <w:tcBorders>
              <w:top w:val="single" w:sz="4" w:space="0" w:color="5B9BD5"/>
              <w:left w:val="single" w:sz="4" w:space="0" w:color="5B9BD5"/>
              <w:bottom w:val="single" w:sz="4" w:space="0" w:color="5B9BD5"/>
              <w:right w:val="nil"/>
            </w:tcBorders>
            <w:shd w:val="clear" w:color="auto" w:fill="5B9BD5"/>
            <w:vAlign w:val="center"/>
          </w:tcPr>
          <w:p w:rsidR="005879AD" w:rsidRPr="00D272C7" w:rsidRDefault="005879AD" w:rsidP="00461451">
            <w:pPr>
              <w:pStyle w:val="VPBody"/>
              <w:spacing w:after="0"/>
              <w:ind w:left="-116" w:right="-106"/>
              <w:jc w:val="center"/>
              <w:rPr>
                <w:b/>
                <w:bCs/>
                <w:lang w:eastAsia="en-US"/>
              </w:rPr>
            </w:pPr>
            <w:r w:rsidRPr="00D272C7">
              <w:rPr>
                <w:b/>
                <w:bCs/>
                <w:lang w:eastAsia="en-US"/>
              </w:rPr>
              <w:t>Nr.</w:t>
            </w:r>
          </w:p>
          <w:p w:rsidR="005879AD" w:rsidRPr="005879AD" w:rsidRDefault="005879AD" w:rsidP="00461451">
            <w:pPr>
              <w:pStyle w:val="VPBody"/>
              <w:spacing w:after="0"/>
              <w:ind w:left="-151" w:right="-109"/>
              <w:jc w:val="center"/>
              <w:rPr>
                <w:b/>
                <w:bCs/>
                <w:lang w:eastAsia="en-US"/>
              </w:rPr>
            </w:pPr>
            <w:r w:rsidRPr="00D272C7">
              <w:rPr>
                <w:b/>
                <w:bCs/>
                <w:lang w:eastAsia="en-US"/>
              </w:rPr>
              <w:t>p. k.</w:t>
            </w:r>
          </w:p>
        </w:tc>
        <w:tc>
          <w:tcPr>
            <w:tcW w:w="4252" w:type="dxa"/>
            <w:tcBorders>
              <w:top w:val="single" w:sz="4" w:space="0" w:color="5B9BD5"/>
              <w:left w:val="single" w:sz="4" w:space="0" w:color="5B9BD5"/>
              <w:bottom w:val="single" w:sz="4" w:space="0" w:color="5B9BD5"/>
              <w:right w:val="nil"/>
            </w:tcBorders>
            <w:shd w:val="clear" w:color="auto" w:fill="5B9BD5"/>
            <w:vAlign w:val="center"/>
          </w:tcPr>
          <w:p w:rsidR="005879AD" w:rsidRPr="005879AD" w:rsidRDefault="005879AD" w:rsidP="00461451">
            <w:pPr>
              <w:pStyle w:val="VPBody"/>
              <w:spacing w:after="0"/>
              <w:jc w:val="center"/>
              <w:rPr>
                <w:b/>
                <w:bCs/>
                <w:lang w:eastAsia="en-US"/>
              </w:rPr>
            </w:pPr>
            <w:r w:rsidRPr="005879AD">
              <w:rPr>
                <w:b/>
                <w:bCs/>
                <w:lang w:eastAsia="en-US"/>
              </w:rPr>
              <w:t>Rādītājs</w:t>
            </w:r>
          </w:p>
        </w:tc>
        <w:tc>
          <w:tcPr>
            <w:tcW w:w="1418" w:type="dxa"/>
            <w:tcBorders>
              <w:top w:val="single" w:sz="4" w:space="0" w:color="5B9BD5"/>
              <w:left w:val="nil"/>
              <w:bottom w:val="single" w:sz="4" w:space="0" w:color="5B9BD5"/>
              <w:right w:val="nil"/>
            </w:tcBorders>
            <w:shd w:val="clear" w:color="auto" w:fill="5B9BD5"/>
            <w:vAlign w:val="center"/>
          </w:tcPr>
          <w:p w:rsidR="005879AD" w:rsidRPr="005879AD" w:rsidRDefault="005879AD" w:rsidP="005879AD">
            <w:pPr>
              <w:pStyle w:val="VPBody"/>
              <w:jc w:val="center"/>
              <w:rPr>
                <w:b/>
                <w:bCs/>
                <w:lang w:eastAsia="en-US"/>
              </w:rPr>
            </w:pPr>
            <w:r w:rsidRPr="005879AD">
              <w:rPr>
                <w:b/>
                <w:bCs/>
                <w:lang w:eastAsia="en-US"/>
              </w:rPr>
              <w:t>Mērvienība</w:t>
            </w:r>
          </w:p>
        </w:tc>
        <w:tc>
          <w:tcPr>
            <w:tcW w:w="1523" w:type="dxa"/>
            <w:tcBorders>
              <w:top w:val="single" w:sz="4" w:space="0" w:color="5B9BD5"/>
              <w:left w:val="nil"/>
              <w:bottom w:val="single" w:sz="4" w:space="0" w:color="5B9BD5"/>
              <w:right w:val="nil"/>
            </w:tcBorders>
            <w:shd w:val="clear" w:color="auto" w:fill="5B9BD5"/>
            <w:vAlign w:val="center"/>
          </w:tcPr>
          <w:p w:rsidR="005879AD" w:rsidRPr="005879AD" w:rsidRDefault="005879AD" w:rsidP="005879AD">
            <w:pPr>
              <w:pStyle w:val="VPBody"/>
              <w:jc w:val="center"/>
              <w:rPr>
                <w:b/>
                <w:bCs/>
                <w:lang w:eastAsia="en-US"/>
              </w:rPr>
            </w:pPr>
            <w:proofErr w:type="spellStart"/>
            <w:r w:rsidRPr="005879AD">
              <w:rPr>
                <w:b/>
                <w:bCs/>
                <w:lang w:eastAsia="en-US"/>
              </w:rPr>
              <w:t>Starpvērtība</w:t>
            </w:r>
            <w:proofErr w:type="spellEnd"/>
            <w:r w:rsidRPr="005879AD">
              <w:rPr>
                <w:b/>
                <w:bCs/>
                <w:lang w:eastAsia="en-US"/>
              </w:rPr>
              <w:t xml:space="preserve"> (</w:t>
            </w:r>
            <w:r>
              <w:rPr>
                <w:b/>
                <w:bCs/>
                <w:lang w:eastAsia="en-US"/>
              </w:rPr>
              <w:t>divus</w:t>
            </w:r>
            <w:r w:rsidRPr="005879AD">
              <w:rPr>
                <w:b/>
                <w:bCs/>
                <w:lang w:eastAsia="en-US"/>
              </w:rPr>
              <w:t xml:space="preserve"> gad</w:t>
            </w:r>
            <w:r>
              <w:rPr>
                <w:b/>
                <w:bCs/>
                <w:lang w:eastAsia="en-US"/>
              </w:rPr>
              <w:t>us</w:t>
            </w:r>
            <w:r w:rsidRPr="005879AD">
              <w:rPr>
                <w:b/>
                <w:bCs/>
                <w:lang w:eastAsia="en-US"/>
              </w:rPr>
              <w:t xml:space="preserve"> pēc projekta sākuma)</w:t>
            </w:r>
          </w:p>
        </w:tc>
        <w:tc>
          <w:tcPr>
            <w:tcW w:w="1446" w:type="dxa"/>
            <w:tcBorders>
              <w:top w:val="single" w:sz="4" w:space="0" w:color="5B9BD5"/>
              <w:left w:val="nil"/>
              <w:bottom w:val="single" w:sz="4" w:space="0" w:color="5B9BD5"/>
              <w:right w:val="single" w:sz="4" w:space="0" w:color="5B9BD5"/>
            </w:tcBorders>
            <w:shd w:val="clear" w:color="auto" w:fill="5B9BD5"/>
            <w:vAlign w:val="center"/>
          </w:tcPr>
          <w:p w:rsidR="005879AD" w:rsidRPr="005879AD" w:rsidRDefault="005879AD" w:rsidP="005879AD">
            <w:pPr>
              <w:pStyle w:val="VPBody"/>
              <w:jc w:val="center"/>
              <w:rPr>
                <w:b/>
                <w:bCs/>
                <w:lang w:eastAsia="en-US"/>
              </w:rPr>
            </w:pPr>
            <w:r w:rsidRPr="005879AD">
              <w:rPr>
                <w:b/>
                <w:bCs/>
                <w:lang w:eastAsia="en-US"/>
              </w:rPr>
              <w:t>Sasniedzamā vērtība projekta beigās</w:t>
            </w:r>
          </w:p>
        </w:tc>
      </w:tr>
      <w:tr w:rsidR="005879AD" w:rsidRPr="00A9448D" w:rsidTr="005879AD">
        <w:tc>
          <w:tcPr>
            <w:tcW w:w="527" w:type="dxa"/>
          </w:tcPr>
          <w:p w:rsidR="005879AD" w:rsidRPr="00A9448D" w:rsidRDefault="005879AD" w:rsidP="00A922B2">
            <w:pPr>
              <w:pStyle w:val="VPBodyTable"/>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4252" w:type="dxa"/>
          </w:tcPr>
          <w:p w:rsidR="005879AD" w:rsidRPr="00A9448D" w:rsidRDefault="005879AD" w:rsidP="00A922B2">
            <w:pPr>
              <w:pStyle w:val="VPBodyTable"/>
              <w:spacing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rPr>
              <w:t>Pilnveidoti nozares darbības procesi</w:t>
            </w:r>
          </w:p>
        </w:tc>
        <w:tc>
          <w:tcPr>
            <w:tcW w:w="1418" w:type="dxa"/>
          </w:tcPr>
          <w:p w:rsidR="005879AD" w:rsidRPr="00A9448D" w:rsidRDefault="005879AD" w:rsidP="00A922B2">
            <w:pPr>
              <w:pStyle w:val="VPBodyTable"/>
              <w:spacing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skaits</w:t>
            </w:r>
          </w:p>
        </w:tc>
        <w:tc>
          <w:tcPr>
            <w:tcW w:w="1523" w:type="dxa"/>
          </w:tcPr>
          <w:p w:rsidR="005879AD" w:rsidRPr="00A9448D" w:rsidRDefault="005879AD" w:rsidP="00A922B2">
            <w:pPr>
              <w:pStyle w:val="VPBodyTable"/>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3</w:t>
            </w:r>
          </w:p>
        </w:tc>
        <w:tc>
          <w:tcPr>
            <w:tcW w:w="1446" w:type="dxa"/>
          </w:tcPr>
          <w:p w:rsidR="005879AD" w:rsidRPr="00A9448D" w:rsidRDefault="005879AD" w:rsidP="00A922B2">
            <w:pPr>
              <w:pStyle w:val="VPBodyTable"/>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11</w:t>
            </w:r>
          </w:p>
        </w:tc>
      </w:tr>
    </w:tbl>
    <w:p w:rsidR="005879AD" w:rsidRDefault="005879AD"/>
    <w:tbl>
      <w:tblPr>
        <w:tblW w:w="5058" w:type="pct"/>
        <w:tblInd w:w="-106"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527"/>
        <w:gridCol w:w="4252"/>
        <w:gridCol w:w="1418"/>
        <w:gridCol w:w="1523"/>
        <w:gridCol w:w="1446"/>
      </w:tblGrid>
      <w:tr w:rsidR="005879AD" w:rsidRPr="00A9448D" w:rsidTr="005879AD">
        <w:tc>
          <w:tcPr>
            <w:tcW w:w="527" w:type="dxa"/>
          </w:tcPr>
          <w:p w:rsidR="005879AD" w:rsidRPr="00A9448D" w:rsidRDefault="005879AD" w:rsidP="00A922B2">
            <w:pPr>
              <w:pStyle w:val="VPBodyTable"/>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2.</w:t>
            </w:r>
          </w:p>
        </w:tc>
        <w:tc>
          <w:tcPr>
            <w:tcW w:w="4252" w:type="dxa"/>
          </w:tcPr>
          <w:p w:rsidR="005879AD" w:rsidRPr="00A9448D" w:rsidRDefault="005879AD" w:rsidP="00A922B2">
            <w:pPr>
              <w:pStyle w:val="VPBodyTable"/>
              <w:spacing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rPr>
              <w:t>Izveidota centralizēta informācijas platforma</w:t>
            </w:r>
          </w:p>
        </w:tc>
        <w:tc>
          <w:tcPr>
            <w:tcW w:w="1418" w:type="dxa"/>
          </w:tcPr>
          <w:p w:rsidR="005879AD" w:rsidRPr="00A9448D" w:rsidRDefault="005879AD" w:rsidP="00A922B2">
            <w:pPr>
              <w:pStyle w:val="VPBodyTable"/>
              <w:spacing w:line="240" w:lineRule="auto"/>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skaits</w:t>
            </w:r>
          </w:p>
        </w:tc>
        <w:tc>
          <w:tcPr>
            <w:tcW w:w="1523" w:type="dxa"/>
          </w:tcPr>
          <w:p w:rsidR="005879AD" w:rsidRPr="00A9448D" w:rsidRDefault="005879AD" w:rsidP="00A922B2">
            <w:pPr>
              <w:pStyle w:val="VPBodyTable"/>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0</w:t>
            </w:r>
          </w:p>
        </w:tc>
        <w:tc>
          <w:tcPr>
            <w:tcW w:w="1446" w:type="dxa"/>
          </w:tcPr>
          <w:p w:rsidR="005879AD" w:rsidRPr="00A9448D" w:rsidRDefault="005879AD" w:rsidP="00A922B2">
            <w:pPr>
              <w:pStyle w:val="VPBodyTable"/>
              <w:rPr>
                <w:rFonts w:ascii="Times New Roman" w:hAnsi="Times New Roman" w:cs="Times New Roman"/>
                <w:sz w:val="24"/>
                <w:szCs w:val="24"/>
                <w:lang w:val="lv-LV" w:eastAsia="en-US"/>
              </w:rPr>
            </w:pPr>
            <w:r w:rsidRPr="00A9448D">
              <w:rPr>
                <w:rFonts w:ascii="Times New Roman" w:hAnsi="Times New Roman" w:cs="Times New Roman"/>
                <w:sz w:val="24"/>
                <w:szCs w:val="24"/>
                <w:lang w:val="lv-LV" w:eastAsia="en-US"/>
              </w:rPr>
              <w:t>1</w:t>
            </w:r>
          </w:p>
        </w:tc>
      </w:tr>
    </w:tbl>
    <w:p w:rsidR="0049474A" w:rsidRPr="00A9448D" w:rsidRDefault="0049474A" w:rsidP="0049474A">
      <w:pPr>
        <w:spacing w:after="0"/>
        <w:rPr>
          <w:rFonts w:ascii="Times New Roman" w:hAnsi="Times New Roman" w:cs="Times New Roman"/>
          <w:b/>
          <w:sz w:val="28"/>
          <w:szCs w:val="28"/>
        </w:rPr>
      </w:pPr>
    </w:p>
    <w:p w:rsidR="0049474A" w:rsidRPr="00B26486" w:rsidRDefault="0049474A" w:rsidP="0049474A">
      <w:pPr>
        <w:spacing w:line="240" w:lineRule="auto"/>
        <w:rPr>
          <w:rFonts w:ascii="Times New Roman" w:hAnsi="Times New Roman" w:cs="Times New Roman"/>
          <w:sz w:val="28"/>
          <w:szCs w:val="28"/>
        </w:rPr>
      </w:pPr>
      <w:bookmarkStart w:id="16" w:name="_Toc256000010"/>
      <w:bookmarkStart w:id="17" w:name="_Toc465333703"/>
      <w:r w:rsidRPr="00B26486">
        <w:rPr>
          <w:rFonts w:ascii="Times New Roman" w:hAnsi="Times New Roman" w:cs="Times New Roman"/>
          <w:b/>
          <w:sz w:val="28"/>
          <w:szCs w:val="28"/>
        </w:rPr>
        <w:t>Sociālekonomiskais indikatīvais lietderīgums</w:t>
      </w:r>
      <w:bookmarkEnd w:id="16"/>
      <w:bookmarkEnd w:id="17"/>
      <w:r w:rsidRPr="00B26486">
        <w:rPr>
          <w:rFonts w:ascii="Times New Roman" w:hAnsi="Times New Roman" w:cs="Times New Roman"/>
          <w:b/>
          <w:sz w:val="28"/>
          <w:szCs w:val="28"/>
        </w:rPr>
        <w:t xml:space="preserve"> </w:t>
      </w:r>
    </w:p>
    <w:p w:rsidR="0049474A" w:rsidRPr="00A9448D" w:rsidRDefault="0049474A" w:rsidP="0049474A">
      <w:pPr>
        <w:pStyle w:val="VPBody"/>
        <w:spacing w:line="240" w:lineRule="auto"/>
        <w:ind w:firstLine="709"/>
        <w:jc w:val="both"/>
        <w:rPr>
          <w:sz w:val="28"/>
          <w:szCs w:val="28"/>
        </w:rPr>
      </w:pPr>
      <w:r w:rsidRPr="00A9448D">
        <w:rPr>
          <w:sz w:val="28"/>
          <w:szCs w:val="28"/>
        </w:rPr>
        <w:t xml:space="preserve">Projekta </w:t>
      </w:r>
      <w:r>
        <w:rPr>
          <w:sz w:val="28"/>
          <w:szCs w:val="28"/>
        </w:rPr>
        <w:t>mērķis</w:t>
      </w:r>
      <w:r w:rsidRPr="00A9448D">
        <w:rPr>
          <w:sz w:val="28"/>
          <w:szCs w:val="28"/>
        </w:rPr>
        <w:t xml:space="preserve"> ir iekšējās darbības optimizācija</w:t>
      </w:r>
      <w:r w:rsidR="005879AD">
        <w:rPr>
          <w:sz w:val="28"/>
          <w:szCs w:val="28"/>
        </w:rPr>
        <w:t>,</w:t>
      </w:r>
      <w:r w:rsidRPr="00A9448D">
        <w:rPr>
          <w:sz w:val="28"/>
          <w:szCs w:val="28"/>
        </w:rPr>
        <w:t xml:space="preserve"> galvenā ieguvumu kategorija ir darbinieku laiks, kas tiks iegūts gan automatizējot ikdienā veicamās darbības, gan arī nodrošinot informācijas sistēmu pieejamību un samazinot dīkstāves. Galvenie sociālekonomiskie ieguvumi:</w:t>
      </w:r>
    </w:p>
    <w:p w:rsidR="00FF00E0" w:rsidRPr="00A5474B" w:rsidRDefault="00FF00E0" w:rsidP="00FF00E0">
      <w:pPr>
        <w:pStyle w:val="VPBody"/>
        <w:suppressAutoHyphens w:val="0"/>
        <w:spacing w:before="80" w:after="80" w:line="240" w:lineRule="auto"/>
        <w:ind w:firstLine="709"/>
        <w:jc w:val="both"/>
        <w:rPr>
          <w:sz w:val="28"/>
        </w:rPr>
      </w:pPr>
      <w:r w:rsidRPr="00A5474B">
        <w:rPr>
          <w:sz w:val="28"/>
        </w:rPr>
        <w:t>1.</w:t>
      </w:r>
      <w:r w:rsidRPr="007C1CDC">
        <w:rPr>
          <w:sz w:val="28"/>
          <w:szCs w:val="28"/>
          <w:lang w:eastAsia="lv-LV"/>
        </w:rPr>
        <w:t xml:space="preserve"> </w:t>
      </w:r>
      <w:r w:rsidRPr="00341F9B">
        <w:rPr>
          <w:sz w:val="28"/>
        </w:rPr>
        <w:t>Centralizēta darbstaciju pārvaldība ļaus ietaupīt aptuveni 50</w:t>
      </w:r>
      <w:r w:rsidRPr="007C1CDC">
        <w:rPr>
          <w:sz w:val="28"/>
          <w:szCs w:val="28"/>
          <w:lang w:eastAsia="lv-LV"/>
        </w:rPr>
        <w:t xml:space="preserve"> </w:t>
      </w:r>
      <w:r w:rsidRPr="00341F9B">
        <w:rPr>
          <w:sz w:val="28"/>
        </w:rPr>
        <w:t xml:space="preserve">% no laika, kas šobrīd tiek </w:t>
      </w:r>
      <w:r w:rsidRPr="007C1CDC">
        <w:rPr>
          <w:sz w:val="28"/>
          <w:szCs w:val="28"/>
          <w:lang w:eastAsia="lv-LV"/>
        </w:rPr>
        <w:t>veltīts</w:t>
      </w:r>
      <w:r w:rsidRPr="00341F9B">
        <w:rPr>
          <w:sz w:val="28"/>
        </w:rPr>
        <w:t xml:space="preserve"> lietotāju darbstaciju infrastruktūras instalēšanai un uzturēšanai. </w:t>
      </w:r>
      <w:r>
        <w:rPr>
          <w:sz w:val="28"/>
          <w:szCs w:val="28"/>
          <w:lang w:eastAsia="lv-LV"/>
        </w:rPr>
        <w:t>Patērētais</w:t>
      </w:r>
      <w:r w:rsidRPr="007C1CDC">
        <w:rPr>
          <w:sz w:val="28"/>
          <w:szCs w:val="28"/>
          <w:lang w:eastAsia="lv-LV"/>
        </w:rPr>
        <w:t xml:space="preserve"> laiks tiks samazināts</w:t>
      </w:r>
      <w:r w:rsidRPr="00341F9B">
        <w:rPr>
          <w:sz w:val="28"/>
        </w:rPr>
        <w:t xml:space="preserve"> no 8924 stundām </w:t>
      </w:r>
      <w:r w:rsidRPr="007C1CDC">
        <w:rPr>
          <w:sz w:val="28"/>
          <w:szCs w:val="28"/>
          <w:lang w:eastAsia="lv-LV"/>
        </w:rPr>
        <w:t>līdz</w:t>
      </w:r>
      <w:r w:rsidRPr="00341F9B">
        <w:rPr>
          <w:sz w:val="28"/>
        </w:rPr>
        <w:t xml:space="preserve"> 4462 stundām </w:t>
      </w:r>
      <w:r w:rsidRPr="007C1CDC">
        <w:rPr>
          <w:sz w:val="28"/>
          <w:szCs w:val="28"/>
          <w:lang w:eastAsia="lv-LV"/>
        </w:rPr>
        <w:t>gadā</w:t>
      </w:r>
      <w:r w:rsidRPr="00341F9B">
        <w:rPr>
          <w:sz w:val="28"/>
        </w:rPr>
        <w:t xml:space="preserve">. Būtisks priekšnosacījums šī rādītāja sasniegšanai </w:t>
      </w:r>
      <w:proofErr w:type="gramStart"/>
      <w:r w:rsidRPr="00341F9B">
        <w:rPr>
          <w:sz w:val="28"/>
        </w:rPr>
        <w:t>ir standartizēta</w:t>
      </w:r>
      <w:proofErr w:type="gramEnd"/>
      <w:r w:rsidRPr="00341F9B">
        <w:rPr>
          <w:sz w:val="28"/>
        </w:rPr>
        <w:t xml:space="preserve"> darbstaciju </w:t>
      </w:r>
      <w:r w:rsidRPr="007C1CDC">
        <w:rPr>
          <w:sz w:val="28"/>
          <w:szCs w:val="28"/>
          <w:lang w:eastAsia="lv-LV"/>
        </w:rPr>
        <w:t>esība</w:t>
      </w:r>
      <w:r w:rsidRPr="00341F9B">
        <w:rPr>
          <w:sz w:val="28"/>
        </w:rPr>
        <w:t xml:space="preserve"> iestādēs, </w:t>
      </w:r>
      <w:r w:rsidRPr="007C1CDC">
        <w:rPr>
          <w:sz w:val="28"/>
          <w:szCs w:val="28"/>
          <w:lang w:eastAsia="lv-LV"/>
        </w:rPr>
        <w:t>un šo darbstaciju nodrošināšana</w:t>
      </w:r>
      <w:r w:rsidRPr="00341F9B">
        <w:rPr>
          <w:sz w:val="28"/>
        </w:rPr>
        <w:t xml:space="preserve"> šobrīd ir katras iestādes uzdevums.</w:t>
      </w:r>
    </w:p>
    <w:p w:rsidR="00FF00E0" w:rsidRDefault="00FF00E0" w:rsidP="0049474A">
      <w:pPr>
        <w:pStyle w:val="VPBody"/>
        <w:suppressAutoHyphens w:val="0"/>
        <w:spacing w:before="80" w:after="80" w:line="240" w:lineRule="auto"/>
        <w:ind w:firstLine="709"/>
        <w:jc w:val="both"/>
        <w:rPr>
          <w:sz w:val="28"/>
          <w:szCs w:val="28"/>
          <w:lang w:eastAsia="lv-LV"/>
        </w:rPr>
      </w:pPr>
      <w:r w:rsidRPr="00A5474B">
        <w:rPr>
          <w:sz w:val="28"/>
        </w:rPr>
        <w:t>2.</w:t>
      </w:r>
      <w:r w:rsidRPr="007C1CDC">
        <w:rPr>
          <w:sz w:val="28"/>
          <w:szCs w:val="28"/>
          <w:lang w:eastAsia="lv-LV"/>
        </w:rPr>
        <w:t xml:space="preserve"> </w:t>
      </w:r>
      <w:r w:rsidRPr="00341F9B">
        <w:rPr>
          <w:sz w:val="28"/>
        </w:rPr>
        <w:t xml:space="preserve">Sistēmu nepieejamības un </w:t>
      </w:r>
      <w:r w:rsidRPr="007C1CDC">
        <w:rPr>
          <w:sz w:val="28"/>
          <w:szCs w:val="28"/>
          <w:lang w:eastAsia="lv-LV"/>
        </w:rPr>
        <w:t xml:space="preserve">lēnas darbības dēļ </w:t>
      </w:r>
      <w:r w:rsidRPr="00341F9B">
        <w:rPr>
          <w:sz w:val="28"/>
        </w:rPr>
        <w:t xml:space="preserve">labklājības nozares resora </w:t>
      </w:r>
      <w:r w:rsidRPr="00A5474B">
        <w:rPr>
          <w:sz w:val="28"/>
        </w:rPr>
        <w:t xml:space="preserve">darbinieks </w:t>
      </w:r>
      <w:r w:rsidRPr="007C1CDC">
        <w:rPr>
          <w:sz w:val="28"/>
          <w:szCs w:val="28"/>
          <w:lang w:eastAsia="lv-LV"/>
        </w:rPr>
        <w:t xml:space="preserve">divas darba stundas </w:t>
      </w:r>
      <w:r w:rsidRPr="00341F9B">
        <w:rPr>
          <w:sz w:val="28"/>
        </w:rPr>
        <w:t xml:space="preserve">mēnesī </w:t>
      </w:r>
      <w:proofErr w:type="gramStart"/>
      <w:r w:rsidRPr="00341F9B">
        <w:rPr>
          <w:sz w:val="28"/>
        </w:rPr>
        <w:t xml:space="preserve">ir </w:t>
      </w:r>
      <w:r w:rsidRPr="007C1CDC">
        <w:rPr>
          <w:sz w:val="28"/>
          <w:szCs w:val="28"/>
          <w:lang w:eastAsia="lv-LV"/>
        </w:rPr>
        <w:t>ierobežots</w:t>
      </w:r>
      <w:proofErr w:type="gramEnd"/>
      <w:r w:rsidRPr="007C1CDC">
        <w:rPr>
          <w:sz w:val="28"/>
          <w:szCs w:val="28"/>
          <w:lang w:eastAsia="lv-LV"/>
        </w:rPr>
        <w:t xml:space="preserve"> savu primāro pienākumu izpildē.</w:t>
      </w:r>
      <w:r>
        <w:rPr>
          <w:sz w:val="28"/>
          <w:szCs w:val="28"/>
          <w:lang w:eastAsia="lv-LV"/>
        </w:rPr>
        <w:t xml:space="preserve"> </w:t>
      </w:r>
    </w:p>
    <w:p w:rsidR="0049474A" w:rsidRPr="00A9448D" w:rsidRDefault="0049474A" w:rsidP="0049474A">
      <w:pPr>
        <w:pStyle w:val="VPBody"/>
        <w:suppressAutoHyphens w:val="0"/>
        <w:spacing w:before="80" w:after="80" w:line="240" w:lineRule="auto"/>
        <w:ind w:firstLine="709"/>
        <w:jc w:val="both"/>
        <w:rPr>
          <w:sz w:val="28"/>
          <w:szCs w:val="28"/>
        </w:rPr>
      </w:pPr>
      <w:r>
        <w:rPr>
          <w:sz w:val="28"/>
          <w:szCs w:val="28"/>
        </w:rPr>
        <w:t>3. </w:t>
      </w:r>
      <w:r w:rsidRPr="00A9448D">
        <w:rPr>
          <w:sz w:val="28"/>
          <w:szCs w:val="28"/>
        </w:rPr>
        <w:t xml:space="preserve">Uzlabojot sistēmu veiktspēju, labklājības nozares resora darbinieks </w:t>
      </w:r>
      <w:r w:rsidR="00FF00E0">
        <w:rPr>
          <w:sz w:val="28"/>
          <w:szCs w:val="28"/>
        </w:rPr>
        <w:t>var</w:t>
      </w:r>
      <w:r w:rsidRPr="00A9448D">
        <w:rPr>
          <w:sz w:val="28"/>
          <w:szCs w:val="28"/>
        </w:rPr>
        <w:t xml:space="preserve"> apkalpot vairāk iedzīvotāju, tā samazinot iedzīvotāja rindā pavadīto laiku. </w:t>
      </w:r>
      <w:r w:rsidR="00FF00E0" w:rsidRPr="00341F9B">
        <w:rPr>
          <w:sz w:val="28"/>
        </w:rPr>
        <w:t xml:space="preserve">Parasti klients rindā pavada vidēji 15 minūtes. </w:t>
      </w:r>
      <w:proofErr w:type="gramStart"/>
      <w:r w:rsidR="00FF00E0" w:rsidRPr="007C1CDC">
        <w:rPr>
          <w:sz w:val="28"/>
          <w:szCs w:val="28"/>
          <w:lang w:eastAsia="lv-LV"/>
        </w:rPr>
        <w:t>Ja</w:t>
      </w:r>
      <w:r w:rsidR="00FF00E0" w:rsidRPr="00341F9B">
        <w:rPr>
          <w:sz w:val="28"/>
        </w:rPr>
        <w:t xml:space="preserve"> sistēma </w:t>
      </w:r>
      <w:r w:rsidR="00FF00E0" w:rsidRPr="007C1CDC">
        <w:rPr>
          <w:sz w:val="28"/>
          <w:szCs w:val="28"/>
          <w:lang w:eastAsia="lv-LV"/>
        </w:rPr>
        <w:t xml:space="preserve">darbojas lēni un </w:t>
      </w:r>
      <w:r w:rsidR="00FF00E0" w:rsidRPr="00341F9B">
        <w:rPr>
          <w:sz w:val="28"/>
        </w:rPr>
        <w:t>nav pieejama</w:t>
      </w:r>
      <w:proofErr w:type="gramEnd"/>
      <w:r w:rsidR="00FF00E0" w:rsidRPr="00341F9B">
        <w:rPr>
          <w:sz w:val="28"/>
        </w:rPr>
        <w:t xml:space="preserve"> </w:t>
      </w:r>
      <w:r w:rsidR="00FF00E0" w:rsidRPr="007C1CDC">
        <w:rPr>
          <w:sz w:val="28"/>
          <w:szCs w:val="28"/>
          <w:lang w:eastAsia="lv-LV"/>
        </w:rPr>
        <w:t>divas</w:t>
      </w:r>
      <w:r w:rsidR="00FF00E0" w:rsidRPr="00341F9B">
        <w:rPr>
          <w:sz w:val="28"/>
        </w:rPr>
        <w:t xml:space="preserve"> darba stundas mēnesī, klientu rindā pavadītais laiks var pieaugt līdz 420</w:t>
      </w:r>
      <w:r w:rsidR="00FF00E0">
        <w:rPr>
          <w:sz w:val="28"/>
        </w:rPr>
        <w:t> </w:t>
      </w:r>
      <w:r w:rsidR="00FF00E0" w:rsidRPr="00341F9B">
        <w:rPr>
          <w:sz w:val="28"/>
        </w:rPr>
        <w:t xml:space="preserve">minūtēm jeb </w:t>
      </w:r>
      <w:r w:rsidR="00FF00E0" w:rsidRPr="007C1CDC">
        <w:rPr>
          <w:sz w:val="28"/>
          <w:szCs w:val="28"/>
          <w:lang w:eastAsia="lv-LV"/>
        </w:rPr>
        <w:t>septiņām</w:t>
      </w:r>
      <w:r w:rsidR="00FF00E0" w:rsidRPr="00341F9B">
        <w:rPr>
          <w:sz w:val="28"/>
        </w:rPr>
        <w:t xml:space="preserve"> stundām mēnesī pie </w:t>
      </w:r>
      <w:r w:rsidR="00FF00E0" w:rsidRPr="007C1CDC">
        <w:rPr>
          <w:sz w:val="28"/>
          <w:szCs w:val="28"/>
          <w:lang w:eastAsia="lv-LV"/>
        </w:rPr>
        <w:t>viena</w:t>
      </w:r>
      <w:r w:rsidR="00FF00E0" w:rsidRPr="00341F9B">
        <w:rPr>
          <w:sz w:val="28"/>
        </w:rPr>
        <w:t xml:space="preserve"> resora klientu apkalpojošā darbinieka.</w:t>
      </w:r>
    </w:p>
    <w:p w:rsidR="0049474A" w:rsidRDefault="0049474A" w:rsidP="0049474A">
      <w:pPr>
        <w:pStyle w:val="VPBody"/>
        <w:suppressAutoHyphens w:val="0"/>
        <w:spacing w:before="80" w:after="80" w:line="240" w:lineRule="auto"/>
        <w:ind w:firstLine="709"/>
        <w:jc w:val="both"/>
        <w:rPr>
          <w:sz w:val="28"/>
          <w:szCs w:val="28"/>
        </w:rPr>
      </w:pPr>
      <w:r>
        <w:rPr>
          <w:sz w:val="28"/>
          <w:szCs w:val="28"/>
        </w:rPr>
        <w:t>4. </w:t>
      </w:r>
      <w:r w:rsidRPr="00A9448D">
        <w:rPr>
          <w:sz w:val="28"/>
          <w:szCs w:val="28"/>
        </w:rPr>
        <w:t xml:space="preserve">Izveidojot jaunu VDI informācijas sistēmu, kurā iespējams attālināti ievadīt datus no viedierīcēm, ilgtermiņā ir iespējams ietaupīt </w:t>
      </w:r>
      <w:r w:rsidR="0013514A" w:rsidRPr="00A9448D">
        <w:rPr>
          <w:sz w:val="28"/>
          <w:szCs w:val="28"/>
        </w:rPr>
        <w:t>aktu noformēšan</w:t>
      </w:r>
      <w:r w:rsidR="0013514A">
        <w:rPr>
          <w:sz w:val="28"/>
          <w:szCs w:val="28"/>
        </w:rPr>
        <w:t>ai un</w:t>
      </w:r>
      <w:r w:rsidR="0013514A" w:rsidRPr="00A9448D">
        <w:rPr>
          <w:sz w:val="28"/>
          <w:szCs w:val="28"/>
        </w:rPr>
        <w:t xml:space="preserve"> informācijas apkopošan</w:t>
      </w:r>
      <w:r w:rsidR="0013514A">
        <w:rPr>
          <w:sz w:val="28"/>
          <w:szCs w:val="28"/>
        </w:rPr>
        <w:t>ai paredzēto</w:t>
      </w:r>
      <w:r w:rsidR="0013514A" w:rsidRPr="00A9448D">
        <w:rPr>
          <w:sz w:val="28"/>
          <w:szCs w:val="28"/>
        </w:rPr>
        <w:t xml:space="preserve"> </w:t>
      </w:r>
      <w:r w:rsidRPr="00A9448D">
        <w:rPr>
          <w:sz w:val="28"/>
          <w:szCs w:val="28"/>
        </w:rPr>
        <w:t>darba laiku un atļaut darbiniekiem iegūt papildu datus apsekojuma laikā. VDI strādā 124 inspektori</w:t>
      </w:r>
      <w:r w:rsidR="0013514A">
        <w:rPr>
          <w:sz w:val="28"/>
          <w:szCs w:val="28"/>
        </w:rPr>
        <w:t>.</w:t>
      </w:r>
      <w:r w:rsidRPr="00A9448D">
        <w:rPr>
          <w:sz w:val="28"/>
          <w:szCs w:val="28"/>
        </w:rPr>
        <w:t xml:space="preserve"> </w:t>
      </w:r>
      <w:r w:rsidR="0013514A" w:rsidRPr="00A9448D">
        <w:rPr>
          <w:sz w:val="28"/>
          <w:szCs w:val="28"/>
        </w:rPr>
        <w:t xml:space="preserve">Dienā </w:t>
      </w:r>
      <w:r w:rsidRPr="00A9448D">
        <w:rPr>
          <w:sz w:val="28"/>
          <w:szCs w:val="28"/>
        </w:rPr>
        <w:t xml:space="preserve">protokolu aizpildīšanai papīra formā var tikt ietaupītas 15 </w:t>
      </w:r>
      <w:proofErr w:type="gramStart"/>
      <w:r w:rsidRPr="00A9448D">
        <w:rPr>
          <w:sz w:val="28"/>
          <w:szCs w:val="28"/>
        </w:rPr>
        <w:t>minūtes</w:t>
      </w:r>
      <w:proofErr w:type="gramEnd"/>
      <w:r w:rsidRPr="00A9448D">
        <w:rPr>
          <w:sz w:val="28"/>
          <w:szCs w:val="28"/>
        </w:rPr>
        <w:t>. Ietaupītais darba apjoms ļaus atbrīvot resursus 300 papildu informatīvām un konsultatīvām aktivitātēm gadā, pēc kurām pieprasījums turpina augt</w:t>
      </w:r>
      <w:r w:rsidR="0013514A">
        <w:rPr>
          <w:sz w:val="28"/>
          <w:szCs w:val="28"/>
        </w:rPr>
        <w:t>.</w:t>
      </w:r>
      <w:r w:rsidRPr="00A9448D">
        <w:rPr>
          <w:sz w:val="28"/>
          <w:szCs w:val="28"/>
        </w:rPr>
        <w:t xml:space="preserve"> </w:t>
      </w:r>
      <w:r w:rsidR="0013514A">
        <w:rPr>
          <w:sz w:val="28"/>
          <w:szCs w:val="28"/>
        </w:rPr>
        <w:t>T</w:t>
      </w:r>
      <w:r w:rsidRPr="00A9448D">
        <w:rPr>
          <w:sz w:val="28"/>
          <w:szCs w:val="28"/>
        </w:rPr>
        <w:t>as savukārt ļau</w:t>
      </w:r>
      <w:r w:rsidR="0013514A">
        <w:rPr>
          <w:sz w:val="28"/>
          <w:szCs w:val="28"/>
        </w:rPr>
        <w:t>s</w:t>
      </w:r>
      <w:r w:rsidRPr="00A9448D">
        <w:rPr>
          <w:sz w:val="28"/>
          <w:szCs w:val="28"/>
        </w:rPr>
        <w:t xml:space="preserve"> preventīvi samazināt potenciālo pārkāpumu skaitu. Atsevišķi izdalāmi arī </w:t>
      </w:r>
      <w:r w:rsidR="0013514A">
        <w:rPr>
          <w:sz w:val="28"/>
          <w:szCs w:val="28"/>
        </w:rPr>
        <w:t xml:space="preserve">pēc </w:t>
      </w:r>
      <w:r w:rsidRPr="00A9448D">
        <w:rPr>
          <w:sz w:val="28"/>
          <w:szCs w:val="28"/>
        </w:rPr>
        <w:t>VDI uzlabojum</w:t>
      </w:r>
      <w:r w:rsidR="0013514A">
        <w:rPr>
          <w:sz w:val="28"/>
          <w:szCs w:val="28"/>
        </w:rPr>
        <w:t>iem</w:t>
      </w:r>
      <w:r w:rsidRPr="00A9448D">
        <w:rPr>
          <w:sz w:val="28"/>
          <w:szCs w:val="28"/>
        </w:rPr>
        <w:t xml:space="preserve"> atbrīvotie resursi, kurus varēs novirzīt papildu pārbaužu veikšanai. Samazinoties laikam, kas šobrīd tiek veltīts dokumentu sagatavošanai, meklēšanai un nosūtīšanai, darbinieki vairāk varēs pievērsties analītiskās/satura informācijas sagatavošanai, tād</w:t>
      </w:r>
      <w:r w:rsidR="000F3C69">
        <w:rPr>
          <w:sz w:val="28"/>
          <w:szCs w:val="28"/>
        </w:rPr>
        <w:t>ē</w:t>
      </w:r>
      <w:r w:rsidRPr="00A9448D">
        <w:rPr>
          <w:sz w:val="28"/>
          <w:szCs w:val="28"/>
        </w:rPr>
        <w:t>jādi kopumā palielinot valsts sniegto pakalpojumu kvalitāti.</w:t>
      </w:r>
    </w:p>
    <w:p w:rsidR="0049474A" w:rsidRPr="000E5FE5" w:rsidRDefault="0049474A" w:rsidP="0049474A">
      <w:pPr>
        <w:pStyle w:val="VPBody"/>
        <w:suppressAutoHyphens w:val="0"/>
        <w:spacing w:before="80" w:after="80" w:line="240" w:lineRule="auto"/>
        <w:ind w:firstLine="709"/>
        <w:jc w:val="both"/>
        <w:rPr>
          <w:sz w:val="28"/>
          <w:szCs w:val="28"/>
        </w:rPr>
      </w:pPr>
      <w:r>
        <w:rPr>
          <w:sz w:val="28"/>
          <w:szCs w:val="28"/>
        </w:rPr>
        <w:t>5. </w:t>
      </w:r>
      <w:r w:rsidR="001F165B">
        <w:rPr>
          <w:rFonts w:eastAsia="Calibri"/>
          <w:sz w:val="28"/>
          <w:szCs w:val="28"/>
          <w:lang w:eastAsia="lv-LV"/>
        </w:rPr>
        <w:t>Ja tiks i</w:t>
      </w:r>
      <w:r w:rsidRPr="000E5FE5">
        <w:rPr>
          <w:rFonts w:eastAsia="Calibri"/>
          <w:sz w:val="28"/>
          <w:szCs w:val="28"/>
          <w:lang w:eastAsia="lv-LV"/>
        </w:rPr>
        <w:t>evie</w:t>
      </w:r>
      <w:r w:rsidR="001F165B">
        <w:rPr>
          <w:rFonts w:eastAsia="Calibri"/>
          <w:sz w:val="28"/>
          <w:szCs w:val="28"/>
          <w:lang w:eastAsia="lv-LV"/>
        </w:rPr>
        <w:t>sta</w:t>
      </w:r>
      <w:r w:rsidRPr="000E5FE5">
        <w:rPr>
          <w:rFonts w:eastAsia="Calibri"/>
          <w:sz w:val="28"/>
          <w:szCs w:val="28"/>
          <w:lang w:eastAsia="lv-LV"/>
        </w:rPr>
        <w:t xml:space="preserve"> vienot</w:t>
      </w:r>
      <w:r w:rsidR="001F165B">
        <w:rPr>
          <w:rFonts w:eastAsia="Calibri"/>
          <w:sz w:val="28"/>
          <w:szCs w:val="28"/>
          <w:lang w:eastAsia="lv-LV"/>
        </w:rPr>
        <w:t>a</w:t>
      </w:r>
      <w:r w:rsidRPr="000E5FE5">
        <w:rPr>
          <w:rFonts w:eastAsia="Calibri"/>
          <w:sz w:val="28"/>
          <w:szCs w:val="28"/>
          <w:lang w:eastAsia="lv-LV"/>
        </w:rPr>
        <w:t xml:space="preserve"> labklājības nozares iestāžu </w:t>
      </w:r>
      <w:r w:rsidR="00F61BEC" w:rsidRPr="00A9448D">
        <w:rPr>
          <w:sz w:val="28"/>
          <w:szCs w:val="28"/>
        </w:rPr>
        <w:t>dokumentu vadības sistēm</w:t>
      </w:r>
      <w:r w:rsidR="001F165B">
        <w:rPr>
          <w:sz w:val="28"/>
          <w:szCs w:val="28"/>
        </w:rPr>
        <w:t>a</w:t>
      </w:r>
      <w:r w:rsidRPr="000E5FE5">
        <w:rPr>
          <w:rFonts w:eastAsia="Calibri"/>
          <w:sz w:val="28"/>
          <w:szCs w:val="28"/>
          <w:lang w:eastAsia="lv-LV"/>
        </w:rPr>
        <w:t xml:space="preserve">, </w:t>
      </w:r>
      <w:r w:rsidR="001F165B">
        <w:rPr>
          <w:rFonts w:eastAsia="Calibri"/>
          <w:sz w:val="28"/>
          <w:szCs w:val="28"/>
          <w:lang w:eastAsia="lv-LV"/>
        </w:rPr>
        <w:t>būs iespējams</w:t>
      </w:r>
      <w:r w:rsidRPr="000E5FE5">
        <w:rPr>
          <w:rFonts w:eastAsia="Calibri"/>
          <w:sz w:val="28"/>
          <w:szCs w:val="28"/>
          <w:lang w:eastAsia="lv-LV"/>
        </w:rPr>
        <w:t xml:space="preserve"> ietaupīt vidēji </w:t>
      </w:r>
      <w:r w:rsidR="001F165B">
        <w:rPr>
          <w:rFonts w:eastAsia="Calibri"/>
          <w:sz w:val="28"/>
          <w:szCs w:val="28"/>
          <w:lang w:eastAsia="lv-LV"/>
        </w:rPr>
        <w:t>trīs</w:t>
      </w:r>
      <w:r w:rsidRPr="000E5FE5">
        <w:rPr>
          <w:rFonts w:eastAsia="Calibri"/>
          <w:sz w:val="28"/>
          <w:szCs w:val="28"/>
          <w:lang w:eastAsia="lv-LV"/>
        </w:rPr>
        <w:t xml:space="preserve"> minūtes viena dokumenta apstrād</w:t>
      </w:r>
      <w:r w:rsidR="001F165B">
        <w:rPr>
          <w:rFonts w:eastAsia="Calibri"/>
          <w:sz w:val="28"/>
          <w:szCs w:val="28"/>
          <w:lang w:eastAsia="lv-LV"/>
        </w:rPr>
        <w:t>ei,</w:t>
      </w:r>
      <w:r w:rsidRPr="000E5FE5">
        <w:rPr>
          <w:rFonts w:eastAsia="Calibri"/>
          <w:sz w:val="28"/>
          <w:szCs w:val="28"/>
          <w:lang w:eastAsia="lv-LV"/>
        </w:rPr>
        <w:t xml:space="preserve"> samazinot patērēto laiku dokumentu apstrādei par 25</w:t>
      </w:r>
      <w:r w:rsidRPr="000E5FE5">
        <w:rPr>
          <w:b/>
          <w:bCs/>
          <w:sz w:val="28"/>
          <w:szCs w:val="28"/>
        </w:rPr>
        <w:t> </w:t>
      </w:r>
      <w:r w:rsidRPr="000E5FE5">
        <w:rPr>
          <w:rFonts w:eastAsia="Calibri"/>
          <w:sz w:val="28"/>
          <w:szCs w:val="28"/>
          <w:lang w:eastAsia="lv-LV"/>
        </w:rPr>
        <w:t>812 stund</w:t>
      </w:r>
      <w:r w:rsidR="001F165B">
        <w:rPr>
          <w:rFonts w:eastAsia="Calibri"/>
          <w:sz w:val="28"/>
          <w:szCs w:val="28"/>
          <w:lang w:eastAsia="lv-LV"/>
        </w:rPr>
        <w:t>ām</w:t>
      </w:r>
      <w:r w:rsidRPr="000E5FE5">
        <w:rPr>
          <w:rFonts w:eastAsia="Calibri"/>
          <w:sz w:val="28"/>
          <w:szCs w:val="28"/>
          <w:lang w:eastAsia="lv-LV"/>
        </w:rPr>
        <w:t xml:space="preserve"> gadā. Būtisks priekšno</w:t>
      </w:r>
      <w:r w:rsidR="001F165B">
        <w:rPr>
          <w:rFonts w:eastAsia="Calibri"/>
          <w:sz w:val="28"/>
          <w:szCs w:val="28"/>
          <w:lang w:eastAsia="lv-LV"/>
        </w:rPr>
        <w:t>teikums</w:t>
      </w:r>
      <w:r w:rsidRPr="000E5FE5">
        <w:rPr>
          <w:rFonts w:eastAsia="Calibri"/>
          <w:sz w:val="28"/>
          <w:szCs w:val="28"/>
          <w:lang w:eastAsia="lv-LV"/>
        </w:rPr>
        <w:t xml:space="preserve"> šī rādītāja sasniegšanai ir tehnoloģija</w:t>
      </w:r>
      <w:r w:rsidR="001F165B">
        <w:rPr>
          <w:rFonts w:eastAsia="Calibri"/>
          <w:sz w:val="28"/>
          <w:szCs w:val="28"/>
          <w:lang w:eastAsia="lv-LV"/>
        </w:rPr>
        <w:t>s, kas</w:t>
      </w:r>
      <w:r w:rsidRPr="000E5FE5">
        <w:rPr>
          <w:rFonts w:eastAsia="Calibri"/>
          <w:sz w:val="28"/>
          <w:szCs w:val="28"/>
          <w:lang w:eastAsia="lv-LV"/>
        </w:rPr>
        <w:t xml:space="preserve"> uzrau</w:t>
      </w:r>
      <w:r w:rsidR="001F165B">
        <w:rPr>
          <w:rFonts w:eastAsia="Calibri"/>
          <w:sz w:val="28"/>
          <w:szCs w:val="28"/>
          <w:lang w:eastAsia="lv-LV"/>
        </w:rPr>
        <w:t>ga</w:t>
      </w:r>
      <w:r w:rsidRPr="000E5FE5">
        <w:rPr>
          <w:rFonts w:eastAsia="Calibri"/>
          <w:sz w:val="28"/>
          <w:szCs w:val="28"/>
          <w:lang w:eastAsia="lv-LV"/>
        </w:rPr>
        <w:t xml:space="preserve"> dokumentu plūsmu un darba uzdevumu izpildi, kā arī samazin</w:t>
      </w:r>
      <w:r w:rsidR="001F165B">
        <w:rPr>
          <w:rFonts w:eastAsia="Calibri"/>
          <w:sz w:val="28"/>
          <w:szCs w:val="28"/>
          <w:lang w:eastAsia="lv-LV"/>
        </w:rPr>
        <w:t>a</w:t>
      </w:r>
      <w:r w:rsidRPr="000E5FE5">
        <w:rPr>
          <w:rFonts w:eastAsia="Calibri"/>
          <w:sz w:val="28"/>
          <w:szCs w:val="28"/>
          <w:lang w:eastAsia="lv-LV"/>
        </w:rPr>
        <w:t xml:space="preserve"> papīra dokumentu apriti un datu iesniegšanu papīra formā, izmantojot valsts līmenī piedāvāt</w:t>
      </w:r>
      <w:r w:rsidR="001F165B">
        <w:rPr>
          <w:rFonts w:eastAsia="Calibri"/>
          <w:sz w:val="28"/>
          <w:szCs w:val="28"/>
          <w:lang w:eastAsia="lv-LV"/>
        </w:rPr>
        <w:t>o</w:t>
      </w:r>
      <w:r w:rsidRPr="000E5FE5">
        <w:rPr>
          <w:rFonts w:eastAsia="Calibri"/>
          <w:sz w:val="28"/>
          <w:szCs w:val="28"/>
          <w:lang w:eastAsia="lv-LV"/>
        </w:rPr>
        <w:t>s koplietošanas komponent</w:t>
      </w:r>
      <w:r w:rsidR="001F165B">
        <w:rPr>
          <w:rFonts w:eastAsia="Calibri"/>
          <w:sz w:val="28"/>
          <w:szCs w:val="28"/>
          <w:lang w:eastAsia="lv-LV"/>
        </w:rPr>
        <w:t>u</w:t>
      </w:r>
      <w:r w:rsidRPr="000E5FE5">
        <w:rPr>
          <w:rFonts w:eastAsia="Calibri"/>
          <w:sz w:val="28"/>
          <w:szCs w:val="28"/>
          <w:lang w:eastAsia="lv-LV"/>
        </w:rPr>
        <w:t>s.</w:t>
      </w:r>
    </w:p>
    <w:p w:rsidR="0049474A" w:rsidRPr="00A9448D" w:rsidRDefault="0049474A" w:rsidP="0049474A">
      <w:pPr>
        <w:pStyle w:val="VPBody"/>
        <w:suppressAutoHyphens w:val="0"/>
        <w:spacing w:before="80" w:after="80" w:line="240" w:lineRule="auto"/>
        <w:ind w:firstLine="709"/>
        <w:jc w:val="both"/>
        <w:rPr>
          <w:sz w:val="28"/>
          <w:szCs w:val="28"/>
        </w:rPr>
      </w:pPr>
      <w:r>
        <w:rPr>
          <w:sz w:val="28"/>
          <w:szCs w:val="28"/>
        </w:rPr>
        <w:lastRenderedPageBreak/>
        <w:t>6. </w:t>
      </w:r>
      <w:r w:rsidRPr="00A9448D">
        <w:rPr>
          <w:sz w:val="28"/>
          <w:szCs w:val="28"/>
        </w:rPr>
        <w:t xml:space="preserve">Ņemot vērā, ka projekta ietvaros ir paredzēts izstrādāt vienotu nozares IKT infrastruktūras drošības notikumu savākšanas un pārvaldības platformu un plānots, ka tehniskais risinājums ļaus būtiski samazināt iespējamos incidentu riskus valsts nozīmes informācijas sistēmu kritisko datu saglabāšanā, </w:t>
      </w:r>
      <w:r w:rsidR="001F165B">
        <w:rPr>
          <w:sz w:val="28"/>
          <w:szCs w:val="28"/>
        </w:rPr>
        <w:t>tehnoloģijas</w:t>
      </w:r>
      <w:r w:rsidRPr="00A9448D">
        <w:rPr>
          <w:sz w:val="28"/>
          <w:szCs w:val="28"/>
        </w:rPr>
        <w:t xml:space="preserve"> </w:t>
      </w:r>
      <w:r w:rsidR="001F165B" w:rsidRPr="00A9448D">
        <w:rPr>
          <w:sz w:val="28"/>
          <w:szCs w:val="28"/>
        </w:rPr>
        <w:t xml:space="preserve">automatizēti </w:t>
      </w:r>
      <w:r w:rsidRPr="00A9448D">
        <w:rPr>
          <w:sz w:val="28"/>
          <w:szCs w:val="28"/>
        </w:rPr>
        <w:t xml:space="preserve">meklēs aizdomīgās un neparastās aktivitātes, praktiskās drošības pārvaldnieki analizēs, vai nav drošības problēmu, kas minimizēs valsts nozīmes informācijas sistēmas kritisko datu pazušanu. Projekta gaitā ir paredzēts gan definēt jaunus IKT pārvaldības procesus, gan mainīt esošos, </w:t>
      </w:r>
      <w:r w:rsidR="00461451">
        <w:rPr>
          <w:sz w:val="28"/>
          <w:szCs w:val="28"/>
        </w:rPr>
        <w:t>tādēļ</w:t>
      </w:r>
      <w:r w:rsidRPr="00A9448D">
        <w:rPr>
          <w:sz w:val="28"/>
          <w:szCs w:val="28"/>
        </w:rPr>
        <w:t xml:space="preserve"> būs nepieciešams atbilstoši kvalificēt</w:t>
      </w:r>
      <w:r w:rsidR="00461451">
        <w:rPr>
          <w:sz w:val="28"/>
          <w:szCs w:val="28"/>
        </w:rPr>
        <w:t>s</w:t>
      </w:r>
      <w:r w:rsidRPr="00A9448D">
        <w:rPr>
          <w:sz w:val="28"/>
          <w:szCs w:val="28"/>
        </w:rPr>
        <w:t xml:space="preserve"> personāl</w:t>
      </w:r>
      <w:r w:rsidR="00461451">
        <w:rPr>
          <w:sz w:val="28"/>
          <w:szCs w:val="28"/>
        </w:rPr>
        <w:t>s</w:t>
      </w:r>
      <w:r w:rsidRPr="00A9448D">
        <w:rPr>
          <w:sz w:val="28"/>
          <w:szCs w:val="28"/>
        </w:rPr>
        <w:t xml:space="preserve">. Precīzi biznesa procesi, amata vietas un pienākumi tiks izstrādāti projektā veicamo aktivitāšu gaitā, tomēr jau šobrīd ir skaidrs, ka būs nepieciešami </w:t>
      </w:r>
      <w:r w:rsidR="001F165B">
        <w:rPr>
          <w:sz w:val="28"/>
          <w:szCs w:val="28"/>
        </w:rPr>
        <w:t>divi</w:t>
      </w:r>
      <w:r w:rsidRPr="00A9448D">
        <w:rPr>
          <w:sz w:val="28"/>
          <w:szCs w:val="28"/>
        </w:rPr>
        <w:t xml:space="preserve"> sistēmas administratori IKT infrastruktūras monitoringa darbības nodrošināšanai</w:t>
      </w:r>
      <w:r w:rsidR="00985947">
        <w:rPr>
          <w:sz w:val="28"/>
          <w:szCs w:val="28"/>
        </w:rPr>
        <w:t>,</w:t>
      </w:r>
      <w:r w:rsidRPr="00A9448D">
        <w:rPr>
          <w:sz w:val="28"/>
          <w:szCs w:val="28"/>
        </w:rPr>
        <w:t xml:space="preserve"> </w:t>
      </w:r>
      <w:r w:rsidR="001F165B">
        <w:rPr>
          <w:sz w:val="28"/>
          <w:szCs w:val="28"/>
        </w:rPr>
        <w:t>četri</w:t>
      </w:r>
      <w:r w:rsidRPr="00A9448D">
        <w:rPr>
          <w:sz w:val="28"/>
          <w:szCs w:val="28"/>
        </w:rPr>
        <w:t xml:space="preserve"> darbinieki IKT drošības tehniskās uzraudzības funkcijas nodrošināšanai LM resorā</w:t>
      </w:r>
      <w:r w:rsidR="00985947">
        <w:rPr>
          <w:sz w:val="28"/>
          <w:szCs w:val="28"/>
        </w:rPr>
        <w:t>,</w:t>
      </w:r>
      <w:r w:rsidRPr="00A9448D">
        <w:rPr>
          <w:sz w:val="28"/>
          <w:szCs w:val="28"/>
        </w:rPr>
        <w:t xml:space="preserve"> </w:t>
      </w:r>
      <w:r w:rsidR="001F165B">
        <w:rPr>
          <w:sz w:val="28"/>
          <w:szCs w:val="28"/>
        </w:rPr>
        <w:t>seši</w:t>
      </w:r>
      <w:r w:rsidRPr="00A9448D">
        <w:rPr>
          <w:sz w:val="28"/>
          <w:szCs w:val="28"/>
        </w:rPr>
        <w:t xml:space="preserve"> biznesa analītiķi un pilnvarotie lietotāji, kas nodrošinā</w:t>
      </w:r>
      <w:r w:rsidR="00461451">
        <w:rPr>
          <w:sz w:val="28"/>
          <w:szCs w:val="28"/>
        </w:rPr>
        <w:t>s</w:t>
      </w:r>
      <w:r w:rsidRPr="00A9448D">
        <w:rPr>
          <w:sz w:val="28"/>
          <w:szCs w:val="28"/>
        </w:rPr>
        <w:t xml:space="preserve"> biznesa prasību definēšanu sistēmas specifikācijās.</w:t>
      </w:r>
    </w:p>
    <w:p w:rsidR="0049474A" w:rsidRDefault="001F165B" w:rsidP="00494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9474A" w:rsidRPr="00A9448D" w:rsidRDefault="0049474A" w:rsidP="0049474A">
      <w:pPr>
        <w:spacing w:after="0" w:line="240" w:lineRule="auto"/>
        <w:ind w:firstLine="709"/>
        <w:jc w:val="both"/>
        <w:rPr>
          <w:rFonts w:ascii="Times New Roman" w:hAnsi="Times New Roman" w:cs="Times New Roman"/>
          <w:sz w:val="28"/>
          <w:szCs w:val="28"/>
        </w:rPr>
      </w:pPr>
      <w:r w:rsidRPr="00A9448D">
        <w:rPr>
          <w:rFonts w:ascii="Times New Roman" w:hAnsi="Times New Roman" w:cs="Times New Roman"/>
          <w:sz w:val="28"/>
          <w:szCs w:val="28"/>
        </w:rPr>
        <w:t>Ekonomiskajā analīzē izmantotie diskontētie sociālekonomiskie ieguvumi ir 3 295 731 </w:t>
      </w:r>
      <w:proofErr w:type="spellStart"/>
      <w:r w:rsidRPr="00A9448D">
        <w:rPr>
          <w:rFonts w:ascii="Times New Roman" w:hAnsi="Times New Roman" w:cs="Times New Roman"/>
          <w:i/>
          <w:sz w:val="28"/>
          <w:szCs w:val="28"/>
        </w:rPr>
        <w:t>euro</w:t>
      </w:r>
      <w:proofErr w:type="spellEnd"/>
      <w:r w:rsidRPr="00A9448D">
        <w:rPr>
          <w:rFonts w:ascii="Times New Roman" w:hAnsi="Times New Roman" w:cs="Times New Roman"/>
          <w:sz w:val="28"/>
          <w:szCs w:val="28"/>
        </w:rPr>
        <w:t>, diskontētās finanšu izmaksas ir 3 895 889 </w:t>
      </w:r>
      <w:proofErr w:type="spellStart"/>
      <w:r w:rsidRPr="00A9448D">
        <w:rPr>
          <w:rFonts w:ascii="Times New Roman" w:hAnsi="Times New Roman" w:cs="Times New Roman"/>
          <w:i/>
          <w:sz w:val="28"/>
          <w:szCs w:val="28"/>
        </w:rPr>
        <w:t>euro</w:t>
      </w:r>
      <w:proofErr w:type="spellEnd"/>
      <w:r w:rsidRPr="00A9448D">
        <w:rPr>
          <w:rFonts w:ascii="Times New Roman" w:hAnsi="Times New Roman" w:cs="Times New Roman"/>
          <w:sz w:val="28"/>
          <w:szCs w:val="28"/>
        </w:rPr>
        <w:t>, kurām veikta fiskālā korekcija 891 838 </w:t>
      </w:r>
      <w:proofErr w:type="spellStart"/>
      <w:r w:rsidRPr="00A9448D">
        <w:rPr>
          <w:rFonts w:ascii="Times New Roman" w:hAnsi="Times New Roman" w:cs="Times New Roman"/>
          <w:i/>
          <w:sz w:val="28"/>
          <w:szCs w:val="28"/>
        </w:rPr>
        <w:t>euro</w:t>
      </w:r>
      <w:proofErr w:type="spellEnd"/>
      <w:r w:rsidRPr="00A9448D">
        <w:rPr>
          <w:rFonts w:ascii="Times New Roman" w:hAnsi="Times New Roman" w:cs="Times New Roman"/>
          <w:sz w:val="28"/>
          <w:szCs w:val="28"/>
        </w:rPr>
        <w:t xml:space="preserve"> apmērā (korekcija</w:t>
      </w:r>
      <w:r w:rsidR="00985947">
        <w:rPr>
          <w:rFonts w:ascii="Times New Roman" w:hAnsi="Times New Roman" w:cs="Times New Roman"/>
          <w:sz w:val="28"/>
          <w:szCs w:val="28"/>
        </w:rPr>
        <w:t xml:space="preserve"> </w:t>
      </w:r>
      <w:r w:rsidRPr="00A9448D">
        <w:rPr>
          <w:rFonts w:ascii="Times New Roman" w:hAnsi="Times New Roman" w:cs="Times New Roman"/>
          <w:sz w:val="28"/>
          <w:szCs w:val="28"/>
        </w:rPr>
        <w:t xml:space="preserve">atbilstoši metodikai veikta pievienotās vērtības nodokļa un darba devēja valsts sociālās apdrošināšanas obligāto iemaksu likmes </w:t>
      </w:r>
      <w:r w:rsidR="00985947">
        <w:rPr>
          <w:rFonts w:ascii="Times New Roman" w:hAnsi="Times New Roman" w:cs="Times New Roman"/>
          <w:sz w:val="28"/>
          <w:szCs w:val="28"/>
        </w:rPr>
        <w:t xml:space="preserve">jeb </w:t>
      </w:r>
      <w:r w:rsidRPr="00A9448D">
        <w:rPr>
          <w:rFonts w:ascii="Times New Roman" w:hAnsi="Times New Roman" w:cs="Times New Roman"/>
          <w:sz w:val="28"/>
          <w:szCs w:val="28"/>
        </w:rPr>
        <w:t>24,09</w:t>
      </w:r>
      <w:r w:rsidR="00461451">
        <w:rPr>
          <w:rFonts w:ascii="Times New Roman" w:hAnsi="Times New Roman" w:cs="Times New Roman"/>
          <w:sz w:val="28"/>
          <w:szCs w:val="28"/>
        </w:rPr>
        <w:t> </w:t>
      </w:r>
      <w:r w:rsidRPr="00A9448D">
        <w:rPr>
          <w:rFonts w:ascii="Times New Roman" w:hAnsi="Times New Roman" w:cs="Times New Roman"/>
          <w:sz w:val="28"/>
          <w:szCs w:val="28"/>
        </w:rPr>
        <w:t xml:space="preserve">% apmērā). Ņemot vērā fiskālās korekcijas, </w:t>
      </w:r>
      <w:r w:rsidR="00985947">
        <w:rPr>
          <w:rFonts w:ascii="Times New Roman" w:hAnsi="Times New Roman" w:cs="Times New Roman"/>
          <w:sz w:val="28"/>
          <w:szCs w:val="28"/>
        </w:rPr>
        <w:t>e</w:t>
      </w:r>
      <w:r w:rsidRPr="00A9448D">
        <w:rPr>
          <w:rFonts w:ascii="Times New Roman" w:hAnsi="Times New Roman" w:cs="Times New Roman"/>
          <w:sz w:val="28"/>
          <w:szCs w:val="28"/>
        </w:rPr>
        <w:t>konomiskajā analīzē izmantotās diskontētās finanšu un sociālekonomisko ieguvumu izmaksas</w:t>
      </w:r>
      <w:r w:rsidR="00461451">
        <w:rPr>
          <w:rFonts w:ascii="Times New Roman" w:hAnsi="Times New Roman" w:cs="Times New Roman"/>
          <w:sz w:val="28"/>
          <w:szCs w:val="28"/>
        </w:rPr>
        <w:t xml:space="preserve"> ir</w:t>
      </w:r>
      <w:r w:rsidRPr="00A9448D">
        <w:rPr>
          <w:rFonts w:ascii="Times New Roman" w:hAnsi="Times New Roman" w:cs="Times New Roman"/>
          <w:sz w:val="28"/>
          <w:szCs w:val="28"/>
        </w:rPr>
        <w:t xml:space="preserve"> 3 004 051 </w:t>
      </w:r>
      <w:proofErr w:type="spellStart"/>
      <w:r w:rsidRPr="00A9448D">
        <w:rPr>
          <w:rFonts w:ascii="Times New Roman" w:hAnsi="Times New Roman" w:cs="Times New Roman"/>
          <w:i/>
          <w:sz w:val="28"/>
          <w:szCs w:val="28"/>
        </w:rPr>
        <w:t>euro</w:t>
      </w:r>
      <w:proofErr w:type="spellEnd"/>
      <w:r w:rsidRPr="00A9448D">
        <w:rPr>
          <w:rFonts w:ascii="Times New Roman" w:hAnsi="Times New Roman" w:cs="Times New Roman"/>
          <w:sz w:val="28"/>
          <w:szCs w:val="28"/>
        </w:rPr>
        <w:t xml:space="preserve">. Projekta ieguvumu un izmaksu attiecība (B/C) ir 1,10, kas atbalsta iepriekšējo secinājumu, liecinot par projekta </w:t>
      </w:r>
      <w:r w:rsidR="00461451">
        <w:rPr>
          <w:rFonts w:ascii="Times New Roman" w:hAnsi="Times New Roman" w:cs="Times New Roman"/>
          <w:sz w:val="28"/>
          <w:szCs w:val="28"/>
        </w:rPr>
        <w:t>īstenošanas</w:t>
      </w:r>
      <w:r w:rsidRPr="00A9448D">
        <w:rPr>
          <w:rFonts w:ascii="Times New Roman" w:hAnsi="Times New Roman" w:cs="Times New Roman"/>
          <w:sz w:val="28"/>
          <w:szCs w:val="28"/>
        </w:rPr>
        <w:t xml:space="preserve"> pamatotību.</w:t>
      </w:r>
    </w:p>
    <w:p w:rsidR="0049474A" w:rsidRPr="00A9448D" w:rsidRDefault="0049474A" w:rsidP="0049474A">
      <w:pPr>
        <w:pStyle w:val="VPBody"/>
        <w:spacing w:after="0"/>
        <w:ind w:left="360"/>
        <w:jc w:val="both"/>
        <w:rPr>
          <w:sz w:val="28"/>
          <w:szCs w:val="28"/>
        </w:rPr>
      </w:pPr>
    </w:p>
    <w:p w:rsidR="0049474A" w:rsidRPr="00A9448D" w:rsidRDefault="0049474A" w:rsidP="0049474A">
      <w:pPr>
        <w:overflowPunct w:val="0"/>
        <w:autoSpaceDE w:val="0"/>
        <w:autoSpaceDN w:val="0"/>
        <w:adjustRightInd w:val="0"/>
        <w:spacing w:before="120" w:after="120" w:line="276" w:lineRule="auto"/>
        <w:jc w:val="both"/>
        <w:textAlignment w:val="baseline"/>
        <w:rPr>
          <w:rFonts w:ascii="Times New Roman" w:eastAsia="MS Mincho" w:hAnsi="Times New Roman" w:cs="Times New Roman"/>
          <w:b/>
          <w:bCs/>
          <w:sz w:val="28"/>
          <w:szCs w:val="28"/>
        </w:rPr>
      </w:pPr>
      <w:r w:rsidRPr="00A9448D">
        <w:rPr>
          <w:rFonts w:ascii="Times New Roman" w:eastAsia="MS Mincho" w:hAnsi="Times New Roman" w:cs="Times New Roman"/>
          <w:b/>
          <w:bCs/>
          <w:sz w:val="28"/>
          <w:szCs w:val="28"/>
        </w:rPr>
        <w:t xml:space="preserve">Summārais </w:t>
      </w:r>
      <w:r w:rsidR="00985947">
        <w:rPr>
          <w:rFonts w:ascii="Times New Roman" w:hAnsi="Times New Roman" w:cs="Times New Roman"/>
          <w:b/>
          <w:bCs/>
          <w:sz w:val="28"/>
          <w:szCs w:val="28"/>
        </w:rPr>
        <w:t>s</w:t>
      </w:r>
      <w:r w:rsidRPr="00A9448D">
        <w:rPr>
          <w:rFonts w:ascii="Times New Roman" w:hAnsi="Times New Roman" w:cs="Times New Roman"/>
          <w:b/>
          <w:bCs/>
          <w:sz w:val="28"/>
          <w:szCs w:val="28"/>
        </w:rPr>
        <w:t>ociālekonomiskais indikatīvais lietderīgums</w:t>
      </w:r>
      <w:r w:rsidRPr="00A9448D">
        <w:rPr>
          <w:rFonts w:ascii="Times New Roman" w:hAnsi="Times New Roman" w:cs="Times New Roman"/>
          <w:sz w:val="28"/>
          <w:szCs w:val="28"/>
        </w:rPr>
        <w:t xml:space="preserve"> </w:t>
      </w:r>
      <w:r w:rsidRPr="00A9448D">
        <w:rPr>
          <w:rFonts w:ascii="Times New Roman" w:hAnsi="Times New Roman" w:cs="Times New Roman"/>
          <w:sz w:val="28"/>
          <w:szCs w:val="28"/>
        </w:rPr>
        <w:tab/>
      </w:r>
      <w:r w:rsidRPr="00A9448D">
        <w:rPr>
          <w:rFonts w:ascii="Times New Roman" w:hAnsi="Times New Roman" w:cs="Times New Roman"/>
          <w:b/>
          <w:bCs/>
          <w:sz w:val="28"/>
          <w:szCs w:val="28"/>
        </w:rPr>
        <w:t>EUR</w:t>
      </w:r>
      <w:bookmarkStart w:id="18" w:name="_Hlk36021836"/>
      <w:r w:rsidRPr="00A9448D">
        <w:rPr>
          <w:rFonts w:ascii="Times New Roman" w:hAnsi="Times New Roman" w:cs="Times New Roman"/>
          <w:sz w:val="28"/>
          <w:szCs w:val="28"/>
        </w:rPr>
        <w:t> </w:t>
      </w:r>
      <w:r w:rsidRPr="00A9448D">
        <w:rPr>
          <w:rFonts w:ascii="Times New Roman" w:hAnsi="Times New Roman" w:cs="Times New Roman"/>
          <w:b/>
          <w:bCs/>
          <w:sz w:val="28"/>
          <w:szCs w:val="28"/>
        </w:rPr>
        <w:t>7</w:t>
      </w:r>
      <w:r w:rsidRPr="00A9448D">
        <w:rPr>
          <w:rFonts w:ascii="Times New Roman" w:hAnsi="Times New Roman" w:cs="Times New Roman"/>
          <w:sz w:val="28"/>
          <w:szCs w:val="28"/>
        </w:rPr>
        <w:t> </w:t>
      </w:r>
      <w:r w:rsidRPr="00A9448D">
        <w:rPr>
          <w:rFonts w:ascii="Times New Roman" w:hAnsi="Times New Roman" w:cs="Times New Roman"/>
          <w:b/>
          <w:bCs/>
          <w:sz w:val="28"/>
          <w:szCs w:val="28"/>
        </w:rPr>
        <w:t>021</w:t>
      </w:r>
      <w:r w:rsidRPr="00A9448D">
        <w:rPr>
          <w:rFonts w:ascii="Times New Roman" w:hAnsi="Times New Roman" w:cs="Times New Roman"/>
          <w:sz w:val="28"/>
          <w:szCs w:val="28"/>
        </w:rPr>
        <w:t> </w:t>
      </w:r>
      <w:r w:rsidRPr="00A9448D">
        <w:rPr>
          <w:rFonts w:ascii="Times New Roman" w:hAnsi="Times New Roman" w:cs="Times New Roman"/>
          <w:b/>
          <w:bCs/>
          <w:sz w:val="28"/>
          <w:szCs w:val="28"/>
        </w:rPr>
        <w:t>692</w:t>
      </w:r>
      <w:bookmarkEnd w:id="18"/>
    </w:p>
    <w:p w:rsidR="0049474A" w:rsidRPr="00A9448D" w:rsidRDefault="0049474A" w:rsidP="0049474A">
      <w:pPr>
        <w:overflowPunct w:val="0"/>
        <w:autoSpaceDE w:val="0"/>
        <w:autoSpaceDN w:val="0"/>
        <w:adjustRightInd w:val="0"/>
        <w:spacing w:before="120" w:after="120" w:line="276" w:lineRule="auto"/>
        <w:jc w:val="both"/>
        <w:textAlignment w:val="baseline"/>
        <w:rPr>
          <w:rFonts w:ascii="Times New Roman" w:eastAsia="MS Mincho" w:hAnsi="Times New Roman" w:cs="Times New Roman"/>
          <w:b/>
          <w:bCs/>
          <w:sz w:val="28"/>
          <w:szCs w:val="28"/>
        </w:rPr>
      </w:pPr>
      <w:r w:rsidRPr="00A9448D">
        <w:rPr>
          <w:rFonts w:ascii="Times New Roman" w:eastAsia="MS Mincho" w:hAnsi="Times New Roman" w:cs="Times New Roman"/>
          <w:b/>
          <w:bCs/>
          <w:sz w:val="28"/>
          <w:szCs w:val="28"/>
        </w:rPr>
        <w:t>Projekta finansējuma kopējais apjoms</w:t>
      </w:r>
      <w:proofErr w:type="gramStart"/>
      <w:r w:rsidRPr="00A9448D">
        <w:rPr>
          <w:rFonts w:ascii="Times New Roman" w:eastAsia="MS Mincho" w:hAnsi="Times New Roman" w:cs="Times New Roman"/>
          <w:b/>
          <w:bCs/>
          <w:sz w:val="28"/>
          <w:szCs w:val="28"/>
        </w:rPr>
        <w:t xml:space="preserve">  </w:t>
      </w:r>
      <w:proofErr w:type="gramEnd"/>
      <w:r w:rsidRPr="00A9448D">
        <w:rPr>
          <w:rFonts w:ascii="Times New Roman" w:eastAsia="MS Mincho" w:hAnsi="Times New Roman" w:cs="Times New Roman"/>
          <w:b/>
          <w:bCs/>
          <w:sz w:val="28"/>
          <w:szCs w:val="28"/>
        </w:rPr>
        <w:tab/>
      </w:r>
      <w:r w:rsidRPr="00A9448D">
        <w:rPr>
          <w:rFonts w:ascii="Times New Roman" w:eastAsia="MS Mincho" w:hAnsi="Times New Roman" w:cs="Times New Roman"/>
          <w:b/>
          <w:bCs/>
          <w:sz w:val="28"/>
          <w:szCs w:val="28"/>
        </w:rPr>
        <w:tab/>
      </w:r>
      <w:r w:rsidRPr="00A9448D">
        <w:rPr>
          <w:rFonts w:ascii="Times New Roman" w:eastAsia="MS Mincho" w:hAnsi="Times New Roman" w:cs="Times New Roman"/>
          <w:b/>
          <w:bCs/>
          <w:sz w:val="28"/>
          <w:szCs w:val="28"/>
        </w:rPr>
        <w:tab/>
      </w:r>
      <w:r w:rsidRPr="00A9448D">
        <w:rPr>
          <w:rFonts w:ascii="Times New Roman" w:eastAsia="MS Mincho" w:hAnsi="Times New Roman" w:cs="Times New Roman"/>
          <w:b/>
          <w:bCs/>
          <w:sz w:val="28"/>
          <w:szCs w:val="28"/>
        </w:rPr>
        <w:tab/>
        <w:t>EUR</w:t>
      </w:r>
      <w:r w:rsidRPr="00A9448D">
        <w:rPr>
          <w:rFonts w:ascii="Times New Roman" w:hAnsi="Times New Roman" w:cs="Times New Roman"/>
          <w:sz w:val="28"/>
          <w:szCs w:val="28"/>
        </w:rPr>
        <w:t> </w:t>
      </w:r>
      <w:r w:rsidRPr="00A9448D">
        <w:rPr>
          <w:rFonts w:ascii="Times New Roman" w:eastAsia="MS Mincho" w:hAnsi="Times New Roman" w:cs="Times New Roman"/>
          <w:b/>
          <w:bCs/>
          <w:sz w:val="28"/>
          <w:szCs w:val="28"/>
        </w:rPr>
        <w:t>3 600 000</w:t>
      </w:r>
    </w:p>
    <w:p w:rsidR="0049474A" w:rsidRPr="00A9448D" w:rsidRDefault="0049474A" w:rsidP="0049474A">
      <w:pPr>
        <w:overflowPunct w:val="0"/>
        <w:autoSpaceDE w:val="0"/>
        <w:autoSpaceDN w:val="0"/>
        <w:adjustRightInd w:val="0"/>
        <w:spacing w:before="120" w:after="120" w:line="276" w:lineRule="auto"/>
        <w:jc w:val="both"/>
        <w:textAlignment w:val="baseline"/>
        <w:rPr>
          <w:rFonts w:ascii="Times New Roman" w:eastAsia="MS Mincho" w:hAnsi="Times New Roman" w:cs="Times New Roman"/>
          <w:b/>
          <w:bCs/>
          <w:sz w:val="28"/>
          <w:szCs w:val="28"/>
        </w:rPr>
      </w:pPr>
      <w:r w:rsidRPr="00A9448D">
        <w:rPr>
          <w:rFonts w:ascii="Times New Roman" w:eastAsia="MS Mincho" w:hAnsi="Times New Roman" w:cs="Times New Roman"/>
          <w:b/>
          <w:bCs/>
          <w:sz w:val="28"/>
          <w:szCs w:val="28"/>
        </w:rPr>
        <w:t xml:space="preserve">Projekta īstenošanas laiks (mēnešos) </w:t>
      </w:r>
      <w:r w:rsidRPr="00A9448D">
        <w:rPr>
          <w:rFonts w:ascii="Times New Roman" w:eastAsia="MS Mincho" w:hAnsi="Times New Roman" w:cs="Times New Roman"/>
          <w:b/>
          <w:bCs/>
          <w:sz w:val="28"/>
          <w:szCs w:val="28"/>
        </w:rPr>
        <w:tab/>
      </w:r>
      <w:r w:rsidRPr="00A9448D">
        <w:rPr>
          <w:rFonts w:ascii="Times New Roman" w:eastAsia="MS Mincho" w:hAnsi="Times New Roman" w:cs="Times New Roman"/>
          <w:b/>
          <w:bCs/>
          <w:sz w:val="28"/>
          <w:szCs w:val="28"/>
        </w:rPr>
        <w:tab/>
      </w:r>
      <w:r w:rsidRPr="00A9448D">
        <w:rPr>
          <w:rFonts w:ascii="Times New Roman" w:eastAsia="MS Mincho" w:hAnsi="Times New Roman" w:cs="Times New Roman"/>
          <w:b/>
          <w:bCs/>
          <w:sz w:val="28"/>
          <w:szCs w:val="28"/>
        </w:rPr>
        <w:tab/>
      </w:r>
      <w:r w:rsidRPr="00A9448D">
        <w:rPr>
          <w:rFonts w:ascii="Times New Roman" w:eastAsia="MS Mincho" w:hAnsi="Times New Roman" w:cs="Times New Roman"/>
          <w:b/>
          <w:bCs/>
          <w:sz w:val="28"/>
          <w:szCs w:val="28"/>
        </w:rPr>
        <w:tab/>
        <w:t>56 mēneši</w:t>
      </w:r>
    </w:p>
    <w:p w:rsidR="0049474A" w:rsidRPr="00A9448D" w:rsidRDefault="0049474A" w:rsidP="0049474A">
      <w:pPr>
        <w:overflowPunct w:val="0"/>
        <w:autoSpaceDE w:val="0"/>
        <w:autoSpaceDN w:val="0"/>
        <w:adjustRightInd w:val="0"/>
        <w:spacing w:before="120" w:after="120" w:line="276" w:lineRule="auto"/>
        <w:jc w:val="both"/>
        <w:textAlignment w:val="baseline"/>
        <w:rPr>
          <w:rFonts w:ascii="Times New Roman" w:eastAsia="MS Mincho" w:hAnsi="Times New Roman" w:cs="Times New Roman"/>
          <w:b/>
          <w:bCs/>
          <w:sz w:val="28"/>
          <w:szCs w:val="28"/>
        </w:rPr>
      </w:pPr>
      <w:r w:rsidRPr="00A9448D">
        <w:rPr>
          <w:rFonts w:ascii="Times New Roman" w:eastAsia="MS Mincho" w:hAnsi="Times New Roman" w:cs="Times New Roman"/>
          <w:b/>
          <w:bCs/>
          <w:sz w:val="28"/>
          <w:szCs w:val="28"/>
        </w:rPr>
        <w:t>Uzturēšanas izmaksas sistēmas darbināšanai (5 gadiem)</w:t>
      </w:r>
      <w:r w:rsidRPr="00A9448D">
        <w:rPr>
          <w:rFonts w:ascii="Times New Roman" w:eastAsia="MS Mincho" w:hAnsi="Times New Roman" w:cs="Times New Roman"/>
          <w:b/>
          <w:bCs/>
          <w:sz w:val="28"/>
          <w:szCs w:val="28"/>
        </w:rPr>
        <w:tab/>
        <w:t>EUR</w:t>
      </w:r>
      <w:r w:rsidRPr="00A9448D">
        <w:rPr>
          <w:rFonts w:ascii="Times New Roman" w:hAnsi="Times New Roman" w:cs="Times New Roman"/>
          <w:sz w:val="28"/>
          <w:szCs w:val="28"/>
        </w:rPr>
        <w:t> </w:t>
      </w:r>
      <w:r w:rsidRPr="00A9448D">
        <w:rPr>
          <w:rFonts w:ascii="Times New Roman" w:eastAsia="MS Mincho" w:hAnsi="Times New Roman" w:cs="Times New Roman"/>
          <w:b/>
          <w:bCs/>
          <w:sz w:val="28"/>
          <w:szCs w:val="28"/>
        </w:rPr>
        <w:t>1 000 000 (200 000</w:t>
      </w:r>
      <w:r w:rsidRPr="00A9448D">
        <w:rPr>
          <w:rFonts w:ascii="Times New Roman" w:hAnsi="Times New Roman" w:cs="Times New Roman"/>
          <w:sz w:val="28"/>
          <w:szCs w:val="28"/>
        </w:rPr>
        <w:t> </w:t>
      </w:r>
      <w:proofErr w:type="spellStart"/>
      <w:r w:rsidRPr="00985947">
        <w:rPr>
          <w:rFonts w:ascii="Times New Roman" w:eastAsia="MS Mincho" w:hAnsi="Times New Roman" w:cs="Times New Roman"/>
          <w:b/>
          <w:i/>
          <w:sz w:val="28"/>
          <w:szCs w:val="28"/>
        </w:rPr>
        <w:t>euro</w:t>
      </w:r>
      <w:proofErr w:type="spellEnd"/>
      <w:r w:rsidRPr="00A9448D">
        <w:rPr>
          <w:rFonts w:ascii="Times New Roman" w:eastAsia="MS Mincho" w:hAnsi="Times New Roman" w:cs="Times New Roman"/>
          <w:b/>
          <w:bCs/>
          <w:sz w:val="28"/>
          <w:szCs w:val="28"/>
        </w:rPr>
        <w:t xml:space="preserve"> katru gadu no 2023.</w:t>
      </w:r>
      <w:r w:rsidRPr="00A9448D">
        <w:rPr>
          <w:rFonts w:ascii="Times New Roman" w:hAnsi="Times New Roman" w:cs="Times New Roman"/>
          <w:sz w:val="28"/>
          <w:szCs w:val="28"/>
        </w:rPr>
        <w:t> </w:t>
      </w:r>
      <w:r w:rsidRPr="00A9448D">
        <w:rPr>
          <w:rFonts w:ascii="Times New Roman" w:eastAsia="MS Mincho" w:hAnsi="Times New Roman" w:cs="Times New Roman"/>
          <w:b/>
          <w:bCs/>
          <w:sz w:val="28"/>
          <w:szCs w:val="28"/>
        </w:rPr>
        <w:t>gada)</w:t>
      </w:r>
    </w:p>
    <w:p w:rsidR="0049474A" w:rsidRPr="00A9448D" w:rsidRDefault="0049474A" w:rsidP="0049474A">
      <w:pPr>
        <w:overflowPunct w:val="0"/>
        <w:autoSpaceDE w:val="0"/>
        <w:autoSpaceDN w:val="0"/>
        <w:adjustRightInd w:val="0"/>
        <w:spacing w:after="0" w:line="240" w:lineRule="auto"/>
        <w:ind w:firstLine="720"/>
        <w:jc w:val="both"/>
        <w:textAlignment w:val="baseline"/>
        <w:rPr>
          <w:rFonts w:ascii="Times New Roman" w:eastAsia="MS Mincho" w:hAnsi="Times New Roman" w:cs="Times New Roman"/>
          <w:sz w:val="28"/>
          <w:szCs w:val="28"/>
        </w:rPr>
      </w:pPr>
      <w:bookmarkStart w:id="19" w:name="_Hlk36022458"/>
      <w:r w:rsidRPr="00A9448D">
        <w:rPr>
          <w:rFonts w:ascii="Times New Roman" w:eastAsia="MS Mincho" w:hAnsi="Times New Roman" w:cs="Times New Roman"/>
          <w:sz w:val="28"/>
          <w:szCs w:val="28"/>
        </w:rPr>
        <w:t xml:space="preserve">Lai </w:t>
      </w:r>
      <w:r w:rsidR="00461451">
        <w:rPr>
          <w:rFonts w:ascii="Times New Roman" w:eastAsia="MS Mincho" w:hAnsi="Times New Roman" w:cs="Times New Roman"/>
          <w:sz w:val="28"/>
          <w:szCs w:val="28"/>
        </w:rPr>
        <w:t xml:space="preserve">pēc </w:t>
      </w:r>
      <w:r w:rsidRPr="00A9448D">
        <w:rPr>
          <w:rFonts w:ascii="Times New Roman" w:eastAsia="MS Mincho" w:hAnsi="Times New Roman" w:cs="Times New Roman"/>
          <w:sz w:val="28"/>
          <w:szCs w:val="28"/>
        </w:rPr>
        <w:t>projekt</w:t>
      </w:r>
      <w:r w:rsidR="00461451">
        <w:rPr>
          <w:rFonts w:ascii="Times New Roman" w:eastAsia="MS Mincho" w:hAnsi="Times New Roman" w:cs="Times New Roman"/>
          <w:sz w:val="28"/>
          <w:szCs w:val="28"/>
        </w:rPr>
        <w:t>a</w:t>
      </w:r>
      <w:r w:rsidRPr="00A9448D">
        <w:rPr>
          <w:rFonts w:ascii="Times New Roman" w:eastAsia="MS Mincho" w:hAnsi="Times New Roman" w:cs="Times New Roman"/>
          <w:sz w:val="28"/>
          <w:szCs w:val="28"/>
        </w:rPr>
        <w:t xml:space="preserve"> </w:t>
      </w:r>
      <w:r w:rsidR="00461451">
        <w:rPr>
          <w:rFonts w:ascii="Times New Roman" w:eastAsia="MS Mincho" w:hAnsi="Times New Roman" w:cs="Times New Roman"/>
          <w:sz w:val="28"/>
          <w:szCs w:val="28"/>
        </w:rPr>
        <w:t>īstenošanas</w:t>
      </w:r>
      <w:r w:rsidRPr="00A9448D">
        <w:rPr>
          <w:rFonts w:ascii="Times New Roman" w:eastAsia="MS Mincho" w:hAnsi="Times New Roman" w:cs="Times New Roman"/>
          <w:sz w:val="28"/>
          <w:szCs w:val="28"/>
        </w:rPr>
        <w:t xml:space="preserve"> iegādāto </w:t>
      </w:r>
      <w:r w:rsidRPr="00A9448D">
        <w:rPr>
          <w:rFonts w:ascii="Times New Roman" w:hAnsi="Times New Roman" w:cs="Times New Roman"/>
          <w:sz w:val="28"/>
          <w:szCs w:val="28"/>
          <w:lang w:eastAsia="lv-LV"/>
        </w:rPr>
        <w:t>IKT</w:t>
      </w:r>
      <w:r w:rsidRPr="00A9448D">
        <w:rPr>
          <w:rFonts w:ascii="Times New Roman" w:eastAsia="MS Mincho" w:hAnsi="Times New Roman" w:cs="Times New Roman"/>
          <w:sz w:val="28"/>
          <w:szCs w:val="28"/>
        </w:rPr>
        <w:t xml:space="preserve"> infrastruktūru atjaunotu pēc tās nolietošanās, būtu nepieciešami ne vairāk kā 200 000</w:t>
      </w:r>
      <w:r w:rsidRPr="00A9448D">
        <w:rPr>
          <w:rFonts w:ascii="Times New Roman" w:hAnsi="Times New Roman" w:cs="Times New Roman"/>
          <w:sz w:val="28"/>
          <w:szCs w:val="28"/>
        </w:rPr>
        <w:t> </w:t>
      </w:r>
      <w:proofErr w:type="spellStart"/>
      <w:r w:rsidRPr="00A9448D">
        <w:rPr>
          <w:rFonts w:ascii="Times New Roman" w:eastAsia="MS Mincho" w:hAnsi="Times New Roman" w:cs="Times New Roman"/>
          <w:i/>
          <w:sz w:val="28"/>
          <w:szCs w:val="28"/>
        </w:rPr>
        <w:t>euro</w:t>
      </w:r>
      <w:proofErr w:type="spellEnd"/>
      <w:r w:rsidRPr="00A9448D">
        <w:rPr>
          <w:rFonts w:ascii="Times New Roman" w:eastAsia="MS Mincho" w:hAnsi="Times New Roman" w:cs="Times New Roman"/>
          <w:sz w:val="28"/>
          <w:szCs w:val="28"/>
        </w:rPr>
        <w:t xml:space="preserve"> katru gadu, sākot ar 2023.</w:t>
      </w:r>
      <w:r w:rsidRPr="00A9448D">
        <w:rPr>
          <w:rFonts w:ascii="Times New Roman" w:hAnsi="Times New Roman" w:cs="Times New Roman"/>
          <w:b/>
          <w:bCs/>
          <w:sz w:val="28"/>
          <w:szCs w:val="28"/>
        </w:rPr>
        <w:t> </w:t>
      </w:r>
      <w:r w:rsidRPr="00A9448D">
        <w:rPr>
          <w:rFonts w:ascii="Times New Roman" w:eastAsia="MS Mincho" w:hAnsi="Times New Roman" w:cs="Times New Roman"/>
          <w:sz w:val="28"/>
          <w:szCs w:val="28"/>
        </w:rPr>
        <w:t>gadu, nomainot un uzlabojot infrastruktūru pakāpeniski, vai arī ne vairāk kā 1 000 000</w:t>
      </w:r>
      <w:r w:rsidRPr="00A9448D">
        <w:rPr>
          <w:rFonts w:ascii="Times New Roman" w:hAnsi="Times New Roman" w:cs="Times New Roman"/>
          <w:sz w:val="28"/>
          <w:szCs w:val="28"/>
        </w:rPr>
        <w:t> </w:t>
      </w:r>
      <w:proofErr w:type="spellStart"/>
      <w:r w:rsidRPr="00A9448D">
        <w:rPr>
          <w:rFonts w:ascii="Times New Roman" w:eastAsia="MS Mincho" w:hAnsi="Times New Roman" w:cs="Times New Roman"/>
          <w:i/>
          <w:sz w:val="28"/>
          <w:szCs w:val="28"/>
        </w:rPr>
        <w:t>euro</w:t>
      </w:r>
      <w:proofErr w:type="spellEnd"/>
      <w:r w:rsidRPr="00A9448D">
        <w:rPr>
          <w:rFonts w:ascii="Times New Roman" w:eastAsia="MS Mincho" w:hAnsi="Times New Roman" w:cs="Times New Roman"/>
          <w:sz w:val="28"/>
          <w:szCs w:val="28"/>
        </w:rPr>
        <w:t xml:space="preserve"> ik pēc pieciem gadiem, sākot ar 2027.</w:t>
      </w:r>
      <w:r w:rsidRPr="00A9448D">
        <w:rPr>
          <w:rFonts w:ascii="Times New Roman" w:hAnsi="Times New Roman" w:cs="Times New Roman"/>
          <w:b/>
          <w:bCs/>
          <w:sz w:val="28"/>
          <w:szCs w:val="28"/>
        </w:rPr>
        <w:t> </w:t>
      </w:r>
      <w:r w:rsidRPr="00A9448D">
        <w:rPr>
          <w:rFonts w:ascii="Times New Roman" w:eastAsia="MS Mincho" w:hAnsi="Times New Roman" w:cs="Times New Roman"/>
          <w:sz w:val="28"/>
          <w:szCs w:val="28"/>
        </w:rPr>
        <w:t>gadu.</w:t>
      </w:r>
      <w:r w:rsidR="00985947" w:rsidRPr="00A9448D">
        <w:rPr>
          <w:sz w:val="28"/>
          <w:szCs w:val="28"/>
          <w:shd w:val="clear" w:color="auto" w:fill="FFFFFF"/>
        </w:rPr>
        <w:t>"</w:t>
      </w:r>
      <w:r w:rsidRPr="00A9448D">
        <w:rPr>
          <w:rFonts w:ascii="Times New Roman" w:eastAsia="MS Mincho" w:hAnsi="Times New Roman" w:cs="Times New Roman"/>
          <w:sz w:val="28"/>
          <w:szCs w:val="28"/>
        </w:rPr>
        <w:t xml:space="preserve"> </w:t>
      </w:r>
    </w:p>
    <w:bookmarkEnd w:id="19"/>
    <w:p w:rsidR="0049474A" w:rsidRPr="00A860F7" w:rsidRDefault="0049474A" w:rsidP="0049474A">
      <w:pPr>
        <w:pStyle w:val="Body"/>
        <w:spacing w:after="0" w:line="240" w:lineRule="auto"/>
        <w:ind w:firstLine="709"/>
        <w:jc w:val="both"/>
        <w:rPr>
          <w:rFonts w:ascii="Times New Roman" w:hAnsi="Times New Roman"/>
          <w:color w:val="auto"/>
          <w:sz w:val="28"/>
          <w:lang w:val="de-DE"/>
        </w:rPr>
      </w:pPr>
    </w:p>
    <w:p w:rsidR="0049474A" w:rsidRPr="00A860F7" w:rsidRDefault="0049474A" w:rsidP="0049474A">
      <w:pPr>
        <w:pStyle w:val="Body"/>
        <w:spacing w:after="0" w:line="240" w:lineRule="auto"/>
        <w:ind w:firstLine="709"/>
        <w:jc w:val="both"/>
        <w:rPr>
          <w:rFonts w:ascii="Times New Roman" w:hAnsi="Times New Roman"/>
          <w:color w:val="auto"/>
          <w:sz w:val="28"/>
          <w:lang w:val="de-DE"/>
        </w:rPr>
      </w:pPr>
    </w:p>
    <w:p w:rsidR="0049474A" w:rsidRPr="00A860F7" w:rsidRDefault="0049474A" w:rsidP="0049474A">
      <w:pPr>
        <w:pStyle w:val="Body"/>
        <w:spacing w:after="0" w:line="240" w:lineRule="auto"/>
        <w:ind w:firstLine="709"/>
        <w:jc w:val="both"/>
        <w:rPr>
          <w:rFonts w:ascii="Times New Roman" w:hAnsi="Times New Roman"/>
          <w:color w:val="auto"/>
          <w:sz w:val="28"/>
          <w:lang w:val="de-DE"/>
        </w:rPr>
      </w:pPr>
    </w:p>
    <w:p w:rsidR="0049474A" w:rsidRPr="00A860F7" w:rsidRDefault="0049474A" w:rsidP="0049474A">
      <w:pPr>
        <w:pStyle w:val="Body"/>
        <w:tabs>
          <w:tab w:val="left" w:pos="6237"/>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rsidR="0049474A" w:rsidRPr="00A860F7" w:rsidRDefault="0049474A" w:rsidP="0049474A">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ministrs</w:t>
      </w:r>
      <w:r w:rsidRPr="00A860F7">
        <w:rPr>
          <w:rFonts w:ascii="Times New Roman" w:hAnsi="Times New Roman"/>
          <w:color w:val="auto"/>
          <w:sz w:val="28"/>
          <w:lang w:val="de-DE"/>
        </w:rPr>
        <w:tab/>
        <w:t>J. Pūce</w:t>
      </w:r>
    </w:p>
    <w:p w:rsidR="009C5BC9" w:rsidRDefault="009C5BC9"/>
    <w:sectPr w:rsidR="009C5BC9" w:rsidSect="0049474A">
      <w:headerReference w:type="default" r:id="rId7"/>
      <w:footerReference w:type="default" r:id="rId8"/>
      <w:footerReference w:type="first" r:id="rId9"/>
      <w:pgSz w:w="11906" w:h="16838" w:code="9"/>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74A" w:rsidRDefault="0049474A" w:rsidP="0049474A">
      <w:pPr>
        <w:spacing w:after="0" w:line="240" w:lineRule="auto"/>
      </w:pPr>
      <w:r>
        <w:separator/>
      </w:r>
    </w:p>
  </w:endnote>
  <w:endnote w:type="continuationSeparator" w:id="0">
    <w:p w:rsidR="0049474A" w:rsidRDefault="0049474A" w:rsidP="0049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3FF" w:rsidRPr="006303FF" w:rsidRDefault="00461451">
    <w:pPr>
      <w:pStyle w:val="Footer"/>
      <w:rPr>
        <w:rFonts w:ascii="Times New Roman" w:hAnsi="Times New Roman" w:cs="Times New Roman"/>
        <w:sz w:val="16"/>
        <w:szCs w:val="16"/>
      </w:rPr>
    </w:pPr>
    <w:r w:rsidRPr="006303FF">
      <w:rPr>
        <w:rFonts w:ascii="Times New Roman" w:hAnsi="Times New Roman" w:cs="Times New Roman"/>
        <w:sz w:val="16"/>
        <w:szCs w:val="16"/>
      </w:rPr>
      <w:t>R0821_0</w:t>
    </w:r>
    <w:r w:rsidR="00B750DD">
      <w:rPr>
        <w:rFonts w:ascii="Times New Roman" w:hAnsi="Times New Roman" w:cs="Times New Roman"/>
        <w:sz w:val="16"/>
        <w:szCs w:val="16"/>
      </w:rPr>
      <w:t>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3FF" w:rsidRPr="006303FF" w:rsidRDefault="00461451">
    <w:pPr>
      <w:pStyle w:val="Footer"/>
      <w:rPr>
        <w:rFonts w:ascii="Times New Roman" w:hAnsi="Times New Roman" w:cs="Times New Roman"/>
        <w:sz w:val="16"/>
        <w:szCs w:val="16"/>
      </w:rPr>
    </w:pPr>
    <w:r w:rsidRPr="006303FF">
      <w:rPr>
        <w:rFonts w:ascii="Times New Roman" w:hAnsi="Times New Roman" w:cs="Times New Roman"/>
        <w:sz w:val="16"/>
        <w:szCs w:val="16"/>
      </w:rPr>
      <w:t>R0821_0</w:t>
    </w:r>
    <w:r w:rsidR="00B750DD">
      <w:rPr>
        <w:rFonts w:ascii="Times New Roman" w:hAnsi="Times New Roman" w:cs="Times New Roman"/>
        <w:sz w:val="16"/>
        <w:szCs w:val="16"/>
      </w:rPr>
      <w: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74A" w:rsidRDefault="0049474A" w:rsidP="0049474A">
      <w:pPr>
        <w:spacing w:after="0" w:line="240" w:lineRule="auto"/>
      </w:pPr>
      <w:r>
        <w:separator/>
      </w:r>
    </w:p>
  </w:footnote>
  <w:footnote w:type="continuationSeparator" w:id="0">
    <w:p w:rsidR="0049474A" w:rsidRDefault="0049474A" w:rsidP="00494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529471"/>
      <w:docPartObj>
        <w:docPartGallery w:val="Page Numbers (Top of Page)"/>
        <w:docPartUnique/>
      </w:docPartObj>
    </w:sdtPr>
    <w:sdtEndPr>
      <w:rPr>
        <w:rFonts w:ascii="Times New Roman" w:hAnsi="Times New Roman" w:cs="Times New Roman"/>
        <w:noProof/>
        <w:sz w:val="24"/>
        <w:szCs w:val="24"/>
      </w:rPr>
    </w:sdtEndPr>
    <w:sdtContent>
      <w:p w:rsidR="00EE7B6E" w:rsidRPr="00EE7B6E" w:rsidRDefault="00461451" w:rsidP="00EE7B6E">
        <w:pPr>
          <w:pStyle w:val="Header"/>
          <w:jc w:val="center"/>
          <w:rPr>
            <w:rFonts w:ascii="Times New Roman" w:hAnsi="Times New Roman" w:cs="Times New Roman"/>
            <w:sz w:val="24"/>
            <w:szCs w:val="24"/>
          </w:rPr>
        </w:pPr>
        <w:r w:rsidRPr="00EE7B6E">
          <w:rPr>
            <w:rFonts w:ascii="Times New Roman" w:hAnsi="Times New Roman" w:cs="Times New Roman"/>
            <w:sz w:val="24"/>
            <w:szCs w:val="24"/>
          </w:rPr>
          <w:fldChar w:fldCharType="begin"/>
        </w:r>
        <w:r w:rsidRPr="00EE7B6E">
          <w:rPr>
            <w:rFonts w:ascii="Times New Roman" w:hAnsi="Times New Roman" w:cs="Times New Roman"/>
            <w:sz w:val="24"/>
            <w:szCs w:val="24"/>
          </w:rPr>
          <w:instrText xml:space="preserve"> PAGE   \* MERGEFORMAT </w:instrText>
        </w:r>
        <w:r w:rsidRPr="00EE7B6E">
          <w:rPr>
            <w:rFonts w:ascii="Times New Roman" w:hAnsi="Times New Roman" w:cs="Times New Roman"/>
            <w:sz w:val="24"/>
            <w:szCs w:val="24"/>
          </w:rPr>
          <w:fldChar w:fldCharType="separate"/>
        </w:r>
        <w:r w:rsidRPr="00EE7B6E">
          <w:rPr>
            <w:rFonts w:ascii="Times New Roman" w:hAnsi="Times New Roman" w:cs="Times New Roman"/>
            <w:noProof/>
            <w:sz w:val="24"/>
            <w:szCs w:val="24"/>
          </w:rPr>
          <w:t>2</w:t>
        </w:r>
        <w:r w:rsidRPr="00EE7B6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F5469D7"/>
    <w:multiLevelType w:val="multilevel"/>
    <w:tmpl w:val="574C71D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4A"/>
    <w:rsid w:val="000E7AB7"/>
    <w:rsid w:val="000F3C69"/>
    <w:rsid w:val="0013514A"/>
    <w:rsid w:val="001834AD"/>
    <w:rsid w:val="001F165B"/>
    <w:rsid w:val="00295604"/>
    <w:rsid w:val="003138BE"/>
    <w:rsid w:val="004219FB"/>
    <w:rsid w:val="0043444B"/>
    <w:rsid w:val="00461451"/>
    <w:rsid w:val="0049474A"/>
    <w:rsid w:val="004A49EF"/>
    <w:rsid w:val="005879AD"/>
    <w:rsid w:val="005E3859"/>
    <w:rsid w:val="005F2FAC"/>
    <w:rsid w:val="0072750B"/>
    <w:rsid w:val="00755E28"/>
    <w:rsid w:val="007D4874"/>
    <w:rsid w:val="00825CB4"/>
    <w:rsid w:val="009825B2"/>
    <w:rsid w:val="00985947"/>
    <w:rsid w:val="009A3EB4"/>
    <w:rsid w:val="009C5BC9"/>
    <w:rsid w:val="00AA7656"/>
    <w:rsid w:val="00AD6F4E"/>
    <w:rsid w:val="00B750DD"/>
    <w:rsid w:val="00BA49D4"/>
    <w:rsid w:val="00BE0D94"/>
    <w:rsid w:val="00BE491A"/>
    <w:rsid w:val="00CD44E3"/>
    <w:rsid w:val="00D272C7"/>
    <w:rsid w:val="00F61BEC"/>
    <w:rsid w:val="00FD1B57"/>
    <w:rsid w:val="00FF00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B2ED"/>
  <w15:chartTrackingRefBased/>
  <w15:docId w15:val="{5F6C70AC-004F-4297-8910-DA32CE0F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lv-LV"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474A"/>
    <w:pPr>
      <w:spacing w:before="0" w:after="160" w:line="259" w:lineRule="auto"/>
    </w:pPr>
    <w:rPr>
      <w:sz w:val="22"/>
      <w:szCs w:val="22"/>
    </w:rPr>
  </w:style>
  <w:style w:type="paragraph" w:styleId="Heading1">
    <w:name w:val="heading 1"/>
    <w:basedOn w:val="Normal"/>
    <w:next w:val="Normal"/>
    <w:link w:val="Heading1Char"/>
    <w:uiPriority w:val="9"/>
    <w:qFormat/>
    <w:rsid w:val="00BA49D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BA49D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A49D4"/>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BA49D4"/>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BA49D4"/>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A49D4"/>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A49D4"/>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A49D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A49D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9D4"/>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BA49D4"/>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BA49D4"/>
    <w:rPr>
      <w:caps/>
      <w:color w:val="1F3763" w:themeColor="accent1" w:themeShade="7F"/>
      <w:spacing w:val="15"/>
    </w:rPr>
  </w:style>
  <w:style w:type="character" w:customStyle="1" w:styleId="Heading4Char">
    <w:name w:val="Heading 4 Char"/>
    <w:basedOn w:val="DefaultParagraphFont"/>
    <w:link w:val="Heading4"/>
    <w:uiPriority w:val="9"/>
    <w:semiHidden/>
    <w:rsid w:val="00BA49D4"/>
    <w:rPr>
      <w:caps/>
      <w:color w:val="2F5496" w:themeColor="accent1" w:themeShade="BF"/>
      <w:spacing w:val="10"/>
    </w:rPr>
  </w:style>
  <w:style w:type="character" w:customStyle="1" w:styleId="Heading5Char">
    <w:name w:val="Heading 5 Char"/>
    <w:basedOn w:val="DefaultParagraphFont"/>
    <w:link w:val="Heading5"/>
    <w:uiPriority w:val="9"/>
    <w:semiHidden/>
    <w:rsid w:val="00BA49D4"/>
    <w:rPr>
      <w:caps/>
      <w:color w:val="2F5496" w:themeColor="accent1" w:themeShade="BF"/>
      <w:spacing w:val="10"/>
    </w:rPr>
  </w:style>
  <w:style w:type="character" w:customStyle="1" w:styleId="Heading6Char">
    <w:name w:val="Heading 6 Char"/>
    <w:basedOn w:val="DefaultParagraphFont"/>
    <w:link w:val="Heading6"/>
    <w:uiPriority w:val="9"/>
    <w:semiHidden/>
    <w:rsid w:val="00BA49D4"/>
    <w:rPr>
      <w:caps/>
      <w:color w:val="2F5496" w:themeColor="accent1" w:themeShade="BF"/>
      <w:spacing w:val="10"/>
    </w:rPr>
  </w:style>
  <w:style w:type="character" w:customStyle="1" w:styleId="Heading7Char">
    <w:name w:val="Heading 7 Char"/>
    <w:basedOn w:val="DefaultParagraphFont"/>
    <w:link w:val="Heading7"/>
    <w:uiPriority w:val="9"/>
    <w:semiHidden/>
    <w:rsid w:val="00BA49D4"/>
    <w:rPr>
      <w:caps/>
      <w:color w:val="2F5496" w:themeColor="accent1" w:themeShade="BF"/>
      <w:spacing w:val="10"/>
    </w:rPr>
  </w:style>
  <w:style w:type="character" w:customStyle="1" w:styleId="Heading8Char">
    <w:name w:val="Heading 8 Char"/>
    <w:basedOn w:val="DefaultParagraphFont"/>
    <w:link w:val="Heading8"/>
    <w:uiPriority w:val="9"/>
    <w:semiHidden/>
    <w:rsid w:val="00BA49D4"/>
    <w:rPr>
      <w:caps/>
      <w:spacing w:val="10"/>
      <w:sz w:val="18"/>
      <w:szCs w:val="18"/>
    </w:rPr>
  </w:style>
  <w:style w:type="character" w:customStyle="1" w:styleId="Heading9Char">
    <w:name w:val="Heading 9 Char"/>
    <w:basedOn w:val="DefaultParagraphFont"/>
    <w:link w:val="Heading9"/>
    <w:uiPriority w:val="9"/>
    <w:semiHidden/>
    <w:rsid w:val="00BA49D4"/>
    <w:rPr>
      <w:i/>
      <w:iCs/>
      <w:caps/>
      <w:spacing w:val="10"/>
      <w:sz w:val="18"/>
      <w:szCs w:val="18"/>
    </w:rPr>
  </w:style>
  <w:style w:type="paragraph" w:styleId="Caption">
    <w:name w:val="caption"/>
    <w:basedOn w:val="Normal"/>
    <w:next w:val="Normal"/>
    <w:uiPriority w:val="35"/>
    <w:semiHidden/>
    <w:unhideWhenUsed/>
    <w:qFormat/>
    <w:rsid w:val="00BA49D4"/>
    <w:rPr>
      <w:b/>
      <w:bCs/>
      <w:color w:val="2F5496" w:themeColor="accent1" w:themeShade="BF"/>
      <w:sz w:val="16"/>
      <w:szCs w:val="16"/>
    </w:rPr>
  </w:style>
  <w:style w:type="paragraph" w:styleId="Title">
    <w:name w:val="Title"/>
    <w:basedOn w:val="Normal"/>
    <w:next w:val="Normal"/>
    <w:link w:val="TitleChar"/>
    <w:uiPriority w:val="10"/>
    <w:qFormat/>
    <w:rsid w:val="00BA49D4"/>
    <w:pPr>
      <w:spacing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BA49D4"/>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BA49D4"/>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A49D4"/>
    <w:rPr>
      <w:caps/>
      <w:color w:val="595959" w:themeColor="text1" w:themeTint="A6"/>
      <w:spacing w:val="10"/>
      <w:sz w:val="21"/>
      <w:szCs w:val="21"/>
    </w:rPr>
  </w:style>
  <w:style w:type="character" w:styleId="Strong">
    <w:name w:val="Strong"/>
    <w:uiPriority w:val="22"/>
    <w:qFormat/>
    <w:rsid w:val="00BA49D4"/>
    <w:rPr>
      <w:b/>
      <w:bCs/>
    </w:rPr>
  </w:style>
  <w:style w:type="character" w:styleId="Emphasis">
    <w:name w:val="Emphasis"/>
    <w:uiPriority w:val="20"/>
    <w:qFormat/>
    <w:rsid w:val="00BA49D4"/>
    <w:rPr>
      <w:caps/>
      <w:color w:val="1F3763" w:themeColor="accent1" w:themeShade="7F"/>
      <w:spacing w:val="5"/>
    </w:rPr>
  </w:style>
  <w:style w:type="paragraph" w:styleId="NoSpacing">
    <w:name w:val="No Spacing"/>
    <w:uiPriority w:val="1"/>
    <w:qFormat/>
    <w:rsid w:val="00BA49D4"/>
    <w:pPr>
      <w:spacing w:after="0" w:line="240" w:lineRule="auto"/>
    </w:pPr>
  </w:style>
  <w:style w:type="paragraph" w:styleId="Quote">
    <w:name w:val="Quote"/>
    <w:basedOn w:val="Normal"/>
    <w:next w:val="Normal"/>
    <w:link w:val="QuoteChar"/>
    <w:uiPriority w:val="29"/>
    <w:qFormat/>
    <w:rsid w:val="00BA49D4"/>
    <w:rPr>
      <w:i/>
      <w:iCs/>
      <w:sz w:val="24"/>
      <w:szCs w:val="24"/>
    </w:rPr>
  </w:style>
  <w:style w:type="character" w:customStyle="1" w:styleId="QuoteChar">
    <w:name w:val="Quote Char"/>
    <w:basedOn w:val="DefaultParagraphFont"/>
    <w:link w:val="Quote"/>
    <w:uiPriority w:val="29"/>
    <w:rsid w:val="00BA49D4"/>
    <w:rPr>
      <w:i/>
      <w:iCs/>
      <w:sz w:val="24"/>
      <w:szCs w:val="24"/>
    </w:rPr>
  </w:style>
  <w:style w:type="paragraph" w:styleId="IntenseQuote">
    <w:name w:val="Intense Quote"/>
    <w:basedOn w:val="Normal"/>
    <w:next w:val="Normal"/>
    <w:link w:val="IntenseQuoteChar"/>
    <w:uiPriority w:val="30"/>
    <w:qFormat/>
    <w:rsid w:val="00BA49D4"/>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BA49D4"/>
    <w:rPr>
      <w:color w:val="4472C4" w:themeColor="accent1"/>
      <w:sz w:val="24"/>
      <w:szCs w:val="24"/>
    </w:rPr>
  </w:style>
  <w:style w:type="character" w:styleId="SubtleEmphasis">
    <w:name w:val="Subtle Emphasis"/>
    <w:uiPriority w:val="19"/>
    <w:qFormat/>
    <w:rsid w:val="00BA49D4"/>
    <w:rPr>
      <w:i/>
      <w:iCs/>
      <w:color w:val="1F3763" w:themeColor="accent1" w:themeShade="7F"/>
    </w:rPr>
  </w:style>
  <w:style w:type="character" w:styleId="IntenseEmphasis">
    <w:name w:val="Intense Emphasis"/>
    <w:uiPriority w:val="21"/>
    <w:qFormat/>
    <w:rsid w:val="00BA49D4"/>
    <w:rPr>
      <w:b/>
      <w:bCs/>
      <w:caps/>
      <w:color w:val="1F3763" w:themeColor="accent1" w:themeShade="7F"/>
      <w:spacing w:val="10"/>
    </w:rPr>
  </w:style>
  <w:style w:type="character" w:styleId="SubtleReference">
    <w:name w:val="Subtle Reference"/>
    <w:uiPriority w:val="31"/>
    <w:qFormat/>
    <w:rsid w:val="00BA49D4"/>
    <w:rPr>
      <w:b/>
      <w:bCs/>
      <w:color w:val="4472C4" w:themeColor="accent1"/>
    </w:rPr>
  </w:style>
  <w:style w:type="character" w:styleId="IntenseReference">
    <w:name w:val="Intense Reference"/>
    <w:uiPriority w:val="32"/>
    <w:qFormat/>
    <w:rsid w:val="00BA49D4"/>
    <w:rPr>
      <w:b/>
      <w:bCs/>
      <w:i/>
      <w:iCs/>
      <w:caps/>
      <w:color w:val="4472C4" w:themeColor="accent1"/>
    </w:rPr>
  </w:style>
  <w:style w:type="character" w:styleId="BookTitle">
    <w:name w:val="Book Title"/>
    <w:uiPriority w:val="33"/>
    <w:qFormat/>
    <w:rsid w:val="00BA49D4"/>
    <w:rPr>
      <w:b/>
      <w:bCs/>
      <w:i/>
      <w:iCs/>
      <w:spacing w:val="0"/>
    </w:rPr>
  </w:style>
  <w:style w:type="paragraph" w:styleId="TOCHeading">
    <w:name w:val="TOC Heading"/>
    <w:basedOn w:val="Heading1"/>
    <w:next w:val="Normal"/>
    <w:uiPriority w:val="39"/>
    <w:unhideWhenUsed/>
    <w:qFormat/>
    <w:rsid w:val="00BA49D4"/>
    <w:pPr>
      <w:outlineLvl w:val="9"/>
    </w:pPr>
  </w:style>
  <w:style w:type="paragraph" w:styleId="Header">
    <w:name w:val="header"/>
    <w:basedOn w:val="Normal"/>
    <w:link w:val="HeaderChar"/>
    <w:uiPriority w:val="99"/>
    <w:unhideWhenUsed/>
    <w:rsid w:val="004947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474A"/>
    <w:rPr>
      <w:sz w:val="22"/>
      <w:szCs w:val="22"/>
    </w:rPr>
  </w:style>
  <w:style w:type="paragraph" w:styleId="Footer">
    <w:name w:val="footer"/>
    <w:basedOn w:val="Normal"/>
    <w:link w:val="FooterChar"/>
    <w:uiPriority w:val="99"/>
    <w:unhideWhenUsed/>
    <w:rsid w:val="004947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474A"/>
    <w:rPr>
      <w:sz w:val="22"/>
      <w:szCs w:val="22"/>
    </w:rPr>
  </w:style>
  <w:style w:type="paragraph" w:styleId="ListParagraph">
    <w:name w:val="List Paragraph"/>
    <w:aliases w:val="2,H&amp;P List Paragraph,Strip"/>
    <w:basedOn w:val="Normal"/>
    <w:link w:val="ListParagraphChar"/>
    <w:uiPriority w:val="34"/>
    <w:qFormat/>
    <w:rsid w:val="0049474A"/>
    <w:pPr>
      <w:ind w:left="720"/>
      <w:contextualSpacing/>
    </w:pPr>
  </w:style>
  <w:style w:type="paragraph" w:customStyle="1" w:styleId="VPBody">
    <w:name w:val="VP Body"/>
    <w:basedOn w:val="Normal"/>
    <w:link w:val="VPBodyChar"/>
    <w:qFormat/>
    <w:rsid w:val="0049474A"/>
    <w:pPr>
      <w:suppressAutoHyphens/>
      <w:spacing w:line="254" w:lineRule="auto"/>
    </w:pPr>
    <w:rPr>
      <w:rFonts w:ascii="Times New Roman" w:eastAsia="Times New Roman" w:hAnsi="Times New Roman" w:cs="Times New Roman"/>
      <w:lang w:eastAsia="zh-CN"/>
    </w:rPr>
  </w:style>
  <w:style w:type="character" w:customStyle="1" w:styleId="VPBodyChar">
    <w:name w:val="VP Body Char"/>
    <w:link w:val="VPBody"/>
    <w:locked/>
    <w:rsid w:val="0049474A"/>
    <w:rPr>
      <w:rFonts w:ascii="Times New Roman" w:eastAsia="Times New Roman" w:hAnsi="Times New Roman" w:cs="Times New Roman"/>
      <w:sz w:val="22"/>
      <w:szCs w:val="22"/>
      <w:lang w:eastAsia="zh-CN"/>
    </w:rPr>
  </w:style>
  <w:style w:type="character" w:customStyle="1" w:styleId="ListParagraphChar">
    <w:name w:val="List Paragraph Char"/>
    <w:aliases w:val="2 Char,H&amp;P List Paragraph Char,Strip Char"/>
    <w:link w:val="ListParagraph"/>
    <w:uiPriority w:val="34"/>
    <w:rsid w:val="0049474A"/>
    <w:rPr>
      <w:sz w:val="22"/>
      <w:szCs w:val="22"/>
    </w:rPr>
  </w:style>
  <w:style w:type="paragraph" w:customStyle="1" w:styleId="VPBodyTable">
    <w:name w:val="VP Body Table"/>
    <w:basedOn w:val="VPBody"/>
    <w:uiPriority w:val="99"/>
    <w:rsid w:val="0049474A"/>
    <w:pPr>
      <w:suppressAutoHyphens w:val="0"/>
      <w:spacing w:before="80" w:after="0" w:line="360" w:lineRule="auto"/>
    </w:pPr>
    <w:rPr>
      <w:rFonts w:ascii="Calibri" w:eastAsia="Calibri" w:hAnsi="Calibri" w:cs="Calibri"/>
      <w:sz w:val="20"/>
      <w:szCs w:val="20"/>
      <w:lang w:val="en-US" w:eastAsia="lv-LV"/>
    </w:rPr>
  </w:style>
  <w:style w:type="paragraph" w:customStyle="1" w:styleId="VPBullet1">
    <w:name w:val="VP Bullet 1"/>
    <w:basedOn w:val="VPBody"/>
    <w:uiPriority w:val="99"/>
    <w:rsid w:val="0049474A"/>
    <w:pPr>
      <w:suppressAutoHyphens w:val="0"/>
      <w:spacing w:before="80" w:after="80" w:line="240" w:lineRule="auto"/>
      <w:ind w:left="360" w:hanging="360"/>
      <w:jc w:val="both"/>
    </w:pPr>
    <w:rPr>
      <w:rFonts w:ascii="Calibri" w:eastAsia="Calibri" w:hAnsi="Calibri" w:cs="Calibri"/>
      <w:sz w:val="20"/>
      <w:szCs w:val="20"/>
      <w:lang w:eastAsia="lv-LV"/>
    </w:rPr>
  </w:style>
  <w:style w:type="paragraph" w:customStyle="1" w:styleId="Body">
    <w:name w:val="Body"/>
    <w:rsid w:val="0049474A"/>
    <w:pPr>
      <w:spacing w:before="0"/>
    </w:pPr>
    <w:rPr>
      <w:rFonts w:ascii="Calibri" w:eastAsia="Arial Unicode MS" w:hAnsi="Calibri" w:cs="Arial Unicode MS"/>
      <w:color w:val="000000"/>
      <w:sz w:val="22"/>
      <w:szCs w:val="22"/>
      <w:u w:color="000000"/>
      <w:lang w:eastAsia="lv-LV"/>
    </w:rPr>
  </w:style>
  <w:style w:type="paragraph" w:styleId="BalloonText">
    <w:name w:val="Balloon Text"/>
    <w:basedOn w:val="Normal"/>
    <w:link w:val="BalloonTextChar"/>
    <w:uiPriority w:val="99"/>
    <w:semiHidden/>
    <w:unhideWhenUsed/>
    <w:rsid w:val="00461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7</Pages>
  <Words>9115</Words>
  <Characters>5197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Linina</dc:creator>
  <cp:keywords/>
  <dc:description/>
  <cp:lastModifiedBy>Leontine Babkina</cp:lastModifiedBy>
  <cp:revision>7</cp:revision>
  <cp:lastPrinted>2020-05-11T12:35:00Z</cp:lastPrinted>
  <dcterms:created xsi:type="dcterms:W3CDTF">2020-05-11T08:01:00Z</dcterms:created>
  <dcterms:modified xsi:type="dcterms:W3CDTF">2020-05-20T13:16:00Z</dcterms:modified>
</cp:coreProperties>
</file>