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DFB54" w14:textId="77777777" w:rsidR="00245F38" w:rsidRDefault="00D274B8" w:rsidP="00245F38">
      <w:pPr>
        <w:jc w:val="center"/>
        <w:rPr>
          <w:b/>
        </w:rPr>
      </w:pPr>
      <w:r w:rsidRPr="00563D3C">
        <w:rPr>
          <w:b/>
        </w:rPr>
        <w:t>Ministru kabineta noteikumu projekta</w:t>
      </w:r>
    </w:p>
    <w:p w14:paraId="5B184D66" w14:textId="722F3E10" w:rsidR="00245F38" w:rsidRDefault="005A59DE" w:rsidP="00245F38">
      <w:pPr>
        <w:jc w:val="center"/>
        <w:rPr>
          <w:b/>
        </w:rPr>
      </w:pPr>
      <w:r>
        <w:rPr>
          <w:b/>
        </w:rPr>
        <w:t>“</w:t>
      </w:r>
      <w:r w:rsidR="00D274B8" w:rsidRPr="00563D3C">
        <w:rPr>
          <w:b/>
        </w:rPr>
        <w:t>Grozījumi Ministru kabineta 2013.</w:t>
      </w:r>
      <w:r w:rsidR="00D274B8">
        <w:rPr>
          <w:b/>
        </w:rPr>
        <w:t> </w:t>
      </w:r>
      <w:r w:rsidR="00D274B8" w:rsidRPr="00563D3C">
        <w:rPr>
          <w:b/>
        </w:rPr>
        <w:t>gada 5.</w:t>
      </w:r>
      <w:r w:rsidR="00D274B8">
        <w:rPr>
          <w:b/>
        </w:rPr>
        <w:t> </w:t>
      </w:r>
      <w:r w:rsidR="00D274B8" w:rsidRPr="00563D3C">
        <w:rPr>
          <w:b/>
        </w:rPr>
        <w:t>februāra noteikumos Nr.</w:t>
      </w:r>
      <w:r w:rsidR="00D274B8">
        <w:rPr>
          <w:b/>
        </w:rPr>
        <w:t> </w:t>
      </w:r>
      <w:r w:rsidR="00D274B8" w:rsidRPr="00563D3C">
        <w:rPr>
          <w:b/>
        </w:rPr>
        <w:t>84</w:t>
      </w:r>
    </w:p>
    <w:p w14:paraId="0EA56C3C" w14:textId="196CE367" w:rsidR="00245F38" w:rsidRDefault="005A59DE" w:rsidP="00245F38">
      <w:pPr>
        <w:jc w:val="center"/>
        <w:rPr>
          <w:b/>
        </w:rPr>
      </w:pPr>
      <w:r>
        <w:rPr>
          <w:b/>
        </w:rPr>
        <w:t>“</w:t>
      </w:r>
      <w:r w:rsidR="00D274B8" w:rsidRPr="00563D3C">
        <w:rPr>
          <w:b/>
        </w:rPr>
        <w:t xml:space="preserve">Noteikumi par atsevišķu </w:t>
      </w:r>
      <w:r w:rsidR="00162753">
        <w:rPr>
          <w:b/>
        </w:rPr>
        <w:t xml:space="preserve">bīstamu </w:t>
      </w:r>
      <w:r w:rsidR="006737B8">
        <w:rPr>
          <w:b/>
        </w:rPr>
        <w:t xml:space="preserve">ķīmisku vielu </w:t>
      </w:r>
      <w:r w:rsidR="00D274B8" w:rsidRPr="00563D3C">
        <w:rPr>
          <w:b/>
        </w:rPr>
        <w:t>lietošanas ierobežojumiem elektriskajās un elektroniskajās iekārtās””</w:t>
      </w:r>
    </w:p>
    <w:p w14:paraId="7DBE8CC2" w14:textId="7B35E2DB" w:rsidR="00D274B8" w:rsidRDefault="00D274B8" w:rsidP="00245F38">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22AE83D" w14:textId="77777777" w:rsidR="00B227DD" w:rsidRDefault="00B227DD" w:rsidP="00D274B8">
      <w:pPr>
        <w:jc w:val="center"/>
        <w:rPr>
          <w:b/>
        </w:rPr>
      </w:pPr>
    </w:p>
    <w:tbl>
      <w:tblPr>
        <w:tblStyle w:val="TableGrid"/>
        <w:tblW w:w="0" w:type="auto"/>
        <w:tblInd w:w="0" w:type="dxa"/>
        <w:tblLook w:val="04A0" w:firstRow="1" w:lastRow="0" w:firstColumn="1" w:lastColumn="0" w:noHBand="0" w:noVBand="1"/>
      </w:tblPr>
      <w:tblGrid>
        <w:gridCol w:w="3256"/>
        <w:gridCol w:w="5805"/>
      </w:tblGrid>
      <w:tr w:rsidR="00B227DD" w14:paraId="39EDB6C4" w14:textId="77777777" w:rsidTr="00B227DD">
        <w:tc>
          <w:tcPr>
            <w:tcW w:w="9061" w:type="dxa"/>
            <w:gridSpan w:val="2"/>
          </w:tcPr>
          <w:p w14:paraId="131C2615" w14:textId="77777777" w:rsidR="00B227DD" w:rsidRPr="002E2DFA" w:rsidRDefault="00B227DD" w:rsidP="00B227DD">
            <w:pPr>
              <w:spacing w:before="45" w:line="248" w:lineRule="atLeast"/>
              <w:jc w:val="center"/>
              <w:rPr>
                <w:b/>
                <w:iCs/>
              </w:rPr>
            </w:pPr>
            <w:r w:rsidRPr="002E2DFA">
              <w:rPr>
                <w:b/>
                <w:iCs/>
              </w:rPr>
              <w:t>Tiesību akta anotācijas kopsavilkums</w:t>
            </w:r>
          </w:p>
        </w:tc>
      </w:tr>
      <w:tr w:rsidR="00B227DD" w14:paraId="6BCB2C9A" w14:textId="77777777" w:rsidTr="00B227DD">
        <w:tc>
          <w:tcPr>
            <w:tcW w:w="3256" w:type="dxa"/>
          </w:tcPr>
          <w:p w14:paraId="6F894D73" w14:textId="77777777" w:rsidR="00B227DD" w:rsidRDefault="00B227DD" w:rsidP="00B227DD">
            <w:pPr>
              <w:spacing w:before="45" w:line="248" w:lineRule="atLeast"/>
              <w:rPr>
                <w:iCs/>
              </w:rPr>
            </w:pPr>
            <w:r>
              <w:rPr>
                <w:iCs/>
              </w:rPr>
              <w:t>Mērķis, risinājums un projekta spēkā stāšanās laiks (500 zīmes bez atstarpēm)</w:t>
            </w:r>
          </w:p>
        </w:tc>
        <w:tc>
          <w:tcPr>
            <w:tcW w:w="5805" w:type="dxa"/>
          </w:tcPr>
          <w:p w14:paraId="52ED11A8" w14:textId="5F97DC56" w:rsidR="00B227DD" w:rsidRDefault="00B0253A" w:rsidP="003C56FE">
            <w:pPr>
              <w:spacing w:before="45" w:line="248" w:lineRule="atLeast"/>
              <w:jc w:val="both"/>
              <w:rPr>
                <w:iCs/>
              </w:rPr>
            </w:pPr>
            <w:r>
              <w:t>Saskaņā ar Ministru kabineta 2009. gada 15. decembra instrukcijas Nr. 19 “Tiesību akta projekta sākotnējās ietekmes izvērtēšanas kārtība” 5.</w:t>
            </w:r>
            <w:r>
              <w:rPr>
                <w:vertAlign w:val="superscript"/>
              </w:rPr>
              <w:t>1</w:t>
            </w:r>
            <w:r>
              <w:t> punktu sākotnējās ietekmes novērtējuma ziņojuma (anotācijas) kopsavilkums nav aizpildāms.</w:t>
            </w:r>
          </w:p>
        </w:tc>
      </w:tr>
    </w:tbl>
    <w:p w14:paraId="6C7AFBB1" w14:textId="77777777" w:rsidR="00D274B8" w:rsidRPr="00FB41DC" w:rsidRDefault="00D274B8"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2"/>
        <w:gridCol w:w="2200"/>
        <w:gridCol w:w="6231"/>
      </w:tblGrid>
      <w:tr w:rsidR="00D274B8" w:rsidRPr="00FB41DC" w14:paraId="0EA91C61" w14:textId="77777777" w:rsidTr="005A59DE">
        <w:tc>
          <w:tcPr>
            <w:tcW w:w="9133"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5A59DE">
        <w:tc>
          <w:tcPr>
            <w:tcW w:w="702" w:type="dxa"/>
          </w:tcPr>
          <w:p w14:paraId="08B268A5" w14:textId="77777777" w:rsidR="00D274B8" w:rsidRPr="0062273E" w:rsidRDefault="00D274B8" w:rsidP="00B227DD">
            <w:pPr>
              <w:jc w:val="center"/>
            </w:pPr>
            <w:r w:rsidRPr="0062273E">
              <w:t>1.</w:t>
            </w:r>
          </w:p>
        </w:tc>
        <w:tc>
          <w:tcPr>
            <w:tcW w:w="2200" w:type="dxa"/>
          </w:tcPr>
          <w:p w14:paraId="3F652648" w14:textId="77777777" w:rsidR="00D274B8" w:rsidRPr="0062273E" w:rsidRDefault="00D274B8" w:rsidP="00B227DD">
            <w:r w:rsidRPr="0062273E">
              <w:t>Pamatojums</w:t>
            </w:r>
          </w:p>
        </w:tc>
        <w:tc>
          <w:tcPr>
            <w:tcW w:w="6231" w:type="dxa"/>
          </w:tcPr>
          <w:p w14:paraId="116B5D6B" w14:textId="42B49228" w:rsidR="00D274B8" w:rsidRPr="00AE5B55" w:rsidRDefault="00A31E9A" w:rsidP="006C6C76">
            <w:pPr>
              <w:jc w:val="both"/>
              <w:rPr>
                <w:sz w:val="28"/>
                <w:szCs w:val="28"/>
              </w:rPr>
            </w:pPr>
            <w:r>
              <w:rPr>
                <w:bCs/>
              </w:rPr>
              <w:t xml:space="preserve">Noteikumu projekts </w:t>
            </w:r>
            <w:r w:rsidR="003C56FE">
              <w:rPr>
                <w:bCs/>
              </w:rPr>
              <w:t>ir sagatavots, lai līdz 2020</w:t>
            </w:r>
            <w:r w:rsidR="00D274B8" w:rsidRPr="004A52AC">
              <w:rPr>
                <w:bCs/>
              </w:rPr>
              <w:t>.</w:t>
            </w:r>
            <w:r w:rsidR="00D274B8">
              <w:rPr>
                <w:bCs/>
              </w:rPr>
              <w:t> </w:t>
            </w:r>
            <w:r w:rsidR="00D274B8" w:rsidRPr="004A52AC">
              <w:rPr>
                <w:bCs/>
              </w:rPr>
              <w:t xml:space="preserve">gada </w:t>
            </w:r>
            <w:r w:rsidR="003C56FE">
              <w:rPr>
                <w:bCs/>
              </w:rPr>
              <w:t xml:space="preserve">30.aprīlim </w:t>
            </w:r>
            <w:r w:rsidR="00D274B8">
              <w:rPr>
                <w:bCs/>
              </w:rPr>
              <w:t>Latvijas n</w:t>
            </w:r>
            <w:r w:rsidR="00B13F51">
              <w:rPr>
                <w:bCs/>
              </w:rPr>
              <w:t xml:space="preserve">ormatīvajos aktos pārņemtu </w:t>
            </w:r>
            <w:r w:rsidR="006C6C76">
              <w:rPr>
                <w:bCs/>
              </w:rPr>
              <w:t xml:space="preserve">Eiropas </w:t>
            </w:r>
            <w:r w:rsidR="006C6C76">
              <w:t xml:space="preserve">Komisijas </w:t>
            </w:r>
            <w:r w:rsidR="006C6C76">
              <w:t xml:space="preserve">2019. gada 8. augusta </w:t>
            </w:r>
            <w:r w:rsidR="006C6C76">
              <w:t xml:space="preserve">Deleģētā direktīva (ES) 2019/1845 (), ar ko, pielāgojot zinātnes un tehnikas attīstībai, Eiropas Parlamenta un Padomes Direktīvas 2011/65/ES III pielikumu groza attiecībā uz atbrīvojumu </w:t>
            </w:r>
            <w:proofErr w:type="spellStart"/>
            <w:r w:rsidR="006C6C76">
              <w:t>bis</w:t>
            </w:r>
            <w:proofErr w:type="spellEnd"/>
            <w:r w:rsidR="006C6C76">
              <w:t>(2-etilheksil)</w:t>
            </w:r>
            <w:proofErr w:type="spellStart"/>
            <w:r w:rsidR="006C6C76">
              <w:t>ftalāta</w:t>
            </w:r>
            <w:proofErr w:type="spellEnd"/>
            <w:r w:rsidR="006C6C76">
              <w:t xml:space="preserve"> (DEHP) izmantošanai noteiktās gumijas sastāvdaļās, ko izmanto motoru sistēmās </w:t>
            </w:r>
            <w:r w:rsidR="006C6C76">
              <w:t xml:space="preserve">(turpmāk - </w:t>
            </w:r>
            <w:r w:rsidR="006C6C76">
              <w:rPr>
                <w:bCs/>
              </w:rPr>
              <w:t>Direktīva</w:t>
            </w:r>
            <w:r w:rsidR="00B13F51">
              <w:rPr>
                <w:bCs/>
              </w:rPr>
              <w:t xml:space="preserve"> 2019/1845/ES</w:t>
            </w:r>
            <w:r w:rsidR="006C6C76">
              <w:rPr>
                <w:bCs/>
              </w:rPr>
              <w:t>)</w:t>
            </w:r>
            <w:r w:rsidR="00B13F51">
              <w:rPr>
                <w:bCs/>
              </w:rPr>
              <w:t>.</w:t>
            </w:r>
          </w:p>
        </w:tc>
      </w:tr>
      <w:tr w:rsidR="00366FBF" w:rsidRPr="00FB41DC" w14:paraId="5F0951E7" w14:textId="77777777" w:rsidTr="005A59DE">
        <w:trPr>
          <w:trHeight w:val="699"/>
        </w:trPr>
        <w:tc>
          <w:tcPr>
            <w:tcW w:w="702" w:type="dxa"/>
          </w:tcPr>
          <w:p w14:paraId="0C089D46" w14:textId="77777777" w:rsidR="00D274B8" w:rsidRPr="00FB41DC" w:rsidRDefault="00D274B8" w:rsidP="00B227DD">
            <w:pPr>
              <w:jc w:val="center"/>
            </w:pPr>
            <w:r w:rsidRPr="00FB41DC">
              <w:t>2.</w:t>
            </w:r>
          </w:p>
        </w:tc>
        <w:tc>
          <w:tcPr>
            <w:tcW w:w="2200" w:type="dxa"/>
          </w:tcPr>
          <w:p w14:paraId="41864E5C" w14:textId="77777777" w:rsidR="00D274B8" w:rsidRPr="00AE5B55" w:rsidRDefault="00D274B8" w:rsidP="00B227DD">
            <w:r w:rsidRPr="00AE5B55">
              <w:t>Pašreizējā situācija un problēmas, kuru risināšanai tiesību aktu projekts izstrādāts, tiesiskā regulējuma mērķis un būtība</w:t>
            </w:r>
          </w:p>
        </w:tc>
        <w:tc>
          <w:tcPr>
            <w:tcW w:w="6231" w:type="dxa"/>
          </w:tcPr>
          <w:p w14:paraId="2D2A2DAC" w14:textId="4A19EBCE" w:rsidR="009C4E9A" w:rsidRDefault="00D274B8" w:rsidP="00B227DD">
            <w:pPr>
              <w:pStyle w:val="tv2131"/>
              <w:spacing w:line="240" w:lineRule="auto"/>
              <w:ind w:firstLine="0"/>
              <w:jc w:val="both"/>
              <w:rPr>
                <w:color w:val="auto"/>
                <w:sz w:val="24"/>
                <w:szCs w:val="24"/>
                <w:lang w:val="lv-LV"/>
              </w:rPr>
            </w:pPr>
            <w:r w:rsidRPr="00AE5B55">
              <w:rPr>
                <w:color w:val="auto"/>
                <w:sz w:val="24"/>
                <w:szCs w:val="24"/>
                <w:lang w:val="lv-LV"/>
              </w:rPr>
              <w:t xml:space="preserve">Ministru kabineta 2013. gada 5. februāra noteikumos Nr. 84 </w:t>
            </w:r>
            <w:r w:rsidR="005A59DE">
              <w:rPr>
                <w:color w:val="auto"/>
                <w:sz w:val="24"/>
                <w:szCs w:val="24"/>
                <w:lang w:val="lv-LV"/>
              </w:rPr>
              <w:t>“</w:t>
            </w:r>
            <w:r w:rsidRPr="00AE5B55">
              <w:rPr>
                <w:color w:val="auto"/>
                <w:sz w:val="24"/>
                <w:szCs w:val="24"/>
                <w:lang w:val="lv-LV"/>
              </w:rPr>
              <w:t>Noteikumi par atsevišķu ķīmisko vielu lietošanas ierobežojumiem elektriskajās un elektroniskajās iekārtās” (turpmāk – MK noteikumi Nr. 84) ir noteikti atsevišķu bīstamu ķīmisko vielu izmantošanas ierobežojumi elektriskajās un elektroniskajās iekārtās (turpmāk – iekārtas). MK noteikumu Nr. 84 5. punktā</w:t>
            </w:r>
            <w:r w:rsidR="003C56FE">
              <w:rPr>
                <w:color w:val="auto"/>
                <w:sz w:val="24"/>
                <w:szCs w:val="24"/>
                <w:lang w:val="lv-LV"/>
              </w:rPr>
              <w:t xml:space="preserve"> un 1.pielikuma 2.tabulā ir</w:t>
            </w:r>
            <w:r w:rsidR="00DC6E41">
              <w:rPr>
                <w:color w:val="auto"/>
                <w:sz w:val="24"/>
                <w:szCs w:val="24"/>
                <w:lang w:val="lv-LV"/>
              </w:rPr>
              <w:t xml:space="preserve"> noteikts ierobežojums</w:t>
            </w:r>
            <w:r w:rsidRPr="00AE5B55">
              <w:rPr>
                <w:color w:val="auto"/>
                <w:sz w:val="24"/>
                <w:szCs w:val="24"/>
                <w:lang w:val="lv-LV"/>
              </w:rPr>
              <w:t xml:space="preserve"> </w:t>
            </w:r>
            <w:proofErr w:type="spellStart"/>
            <w:r w:rsidR="003C56FE" w:rsidRPr="003C56FE">
              <w:rPr>
                <w:i/>
                <w:iCs/>
                <w:color w:val="auto"/>
                <w:sz w:val="24"/>
                <w:szCs w:val="24"/>
                <w:lang w:val="lv-LV"/>
              </w:rPr>
              <w:t>bis</w:t>
            </w:r>
            <w:proofErr w:type="spellEnd"/>
            <w:r w:rsidR="003C56FE" w:rsidRPr="003C56FE">
              <w:rPr>
                <w:color w:val="auto"/>
                <w:sz w:val="24"/>
                <w:szCs w:val="24"/>
                <w:lang w:val="lv-LV"/>
              </w:rPr>
              <w:t xml:space="preserve">(2-etilheksil) </w:t>
            </w:r>
            <w:proofErr w:type="spellStart"/>
            <w:r w:rsidR="003C56FE" w:rsidRPr="003C56FE">
              <w:rPr>
                <w:color w:val="auto"/>
                <w:sz w:val="24"/>
                <w:szCs w:val="24"/>
                <w:lang w:val="lv-LV"/>
              </w:rPr>
              <w:t>ftalātu</w:t>
            </w:r>
            <w:proofErr w:type="spellEnd"/>
            <w:r w:rsidR="003C56FE" w:rsidRPr="003C56FE">
              <w:rPr>
                <w:color w:val="auto"/>
                <w:sz w:val="24"/>
                <w:szCs w:val="24"/>
                <w:lang w:val="lv-LV"/>
              </w:rPr>
              <w:t xml:space="preserve"> (DEHP) </w:t>
            </w:r>
            <w:r w:rsidR="00DC6E41">
              <w:rPr>
                <w:color w:val="auto"/>
                <w:sz w:val="24"/>
                <w:szCs w:val="24"/>
                <w:lang w:val="lv-LV"/>
              </w:rPr>
              <w:t>lietošanai iekārtās, nosakot</w:t>
            </w:r>
            <w:r w:rsidR="003C56FE" w:rsidRPr="003C56FE">
              <w:rPr>
                <w:color w:val="auto"/>
                <w:sz w:val="24"/>
                <w:szCs w:val="24"/>
                <w:lang w:val="lv-LV"/>
              </w:rPr>
              <w:t xml:space="preserve"> maksimāli pieļaujamo koncentrāciju 0,1% apmērā viendabīgu materiālu masā. </w:t>
            </w:r>
            <w:r w:rsidRPr="00AE5B55">
              <w:rPr>
                <w:color w:val="auto"/>
                <w:sz w:val="24"/>
                <w:szCs w:val="24"/>
                <w:lang w:val="lv-LV"/>
              </w:rPr>
              <w:t>MK noteikumu Nr. 84 3. pielikumā ir noteikti pieļaujamie</w:t>
            </w:r>
            <w:r w:rsidR="00160609">
              <w:rPr>
                <w:color w:val="auto"/>
                <w:sz w:val="24"/>
                <w:szCs w:val="24"/>
                <w:lang w:val="lv-LV"/>
              </w:rPr>
              <w:t xml:space="preserve"> </w:t>
            </w:r>
            <w:r w:rsidR="003C56FE">
              <w:rPr>
                <w:color w:val="auto"/>
                <w:sz w:val="24"/>
                <w:szCs w:val="24"/>
                <w:lang w:val="lv-LV"/>
              </w:rPr>
              <w:t>izņēmumi MK noteikumu Nr.84 5.punktā un 1.pielikumā minēto vielu lietošanai</w:t>
            </w:r>
            <w:r w:rsidR="00160609">
              <w:rPr>
                <w:color w:val="auto"/>
                <w:sz w:val="24"/>
                <w:szCs w:val="24"/>
                <w:lang w:val="lv-LV"/>
              </w:rPr>
              <w:t xml:space="preserve"> iekārtās</w:t>
            </w:r>
            <w:r w:rsidRPr="00AE5B55">
              <w:rPr>
                <w:color w:val="auto"/>
                <w:sz w:val="24"/>
                <w:szCs w:val="24"/>
                <w:lang w:val="lv-LV"/>
              </w:rPr>
              <w:t xml:space="preserve">. </w:t>
            </w:r>
          </w:p>
          <w:p w14:paraId="64CC65DF" w14:textId="77777777" w:rsidR="003C56FE" w:rsidRPr="00AE5B55" w:rsidRDefault="003C56FE" w:rsidP="00B227DD">
            <w:pPr>
              <w:pStyle w:val="tv2131"/>
              <w:spacing w:line="240" w:lineRule="auto"/>
              <w:ind w:firstLine="0"/>
              <w:jc w:val="both"/>
              <w:rPr>
                <w:color w:val="auto"/>
                <w:sz w:val="24"/>
                <w:szCs w:val="24"/>
                <w:lang w:val="lv-LV"/>
              </w:rPr>
            </w:pPr>
          </w:p>
          <w:p w14:paraId="6E1AA72C" w14:textId="186CAE9D" w:rsidR="00AE5B55" w:rsidRDefault="00D274B8" w:rsidP="00AE5B55">
            <w:pPr>
              <w:pStyle w:val="tv2131"/>
              <w:spacing w:line="240" w:lineRule="auto"/>
              <w:ind w:firstLine="0"/>
              <w:jc w:val="both"/>
              <w:rPr>
                <w:color w:val="auto"/>
                <w:sz w:val="24"/>
                <w:szCs w:val="24"/>
                <w:lang w:val="lv-LV"/>
              </w:rPr>
            </w:pPr>
            <w:r w:rsidRPr="00AE5B55">
              <w:rPr>
                <w:color w:val="auto"/>
                <w:sz w:val="24"/>
                <w:szCs w:val="24"/>
                <w:lang w:val="lv-LV"/>
              </w:rPr>
              <w:t xml:space="preserve">Atbilstoši </w:t>
            </w:r>
            <w:r w:rsidR="00B13F51">
              <w:rPr>
                <w:color w:val="auto"/>
                <w:sz w:val="24"/>
                <w:szCs w:val="24"/>
                <w:lang w:val="lv-LV"/>
              </w:rPr>
              <w:t xml:space="preserve">Eiropas Parlamenta un Padomes 2011.gada 8.jūnija </w:t>
            </w:r>
            <w:r w:rsidRPr="00AE5B55">
              <w:rPr>
                <w:color w:val="auto"/>
                <w:sz w:val="24"/>
                <w:szCs w:val="24"/>
                <w:lang w:val="lv-LV"/>
              </w:rPr>
              <w:t>Direktīva</w:t>
            </w:r>
            <w:r w:rsidR="00D50F9B" w:rsidRPr="00AE5B55">
              <w:rPr>
                <w:color w:val="auto"/>
                <w:sz w:val="24"/>
                <w:szCs w:val="24"/>
                <w:lang w:val="lv-LV"/>
              </w:rPr>
              <w:t>s</w:t>
            </w:r>
            <w:r w:rsidRPr="00AE5B55">
              <w:rPr>
                <w:color w:val="auto"/>
                <w:sz w:val="24"/>
                <w:szCs w:val="24"/>
                <w:lang w:val="lv-LV"/>
              </w:rPr>
              <w:t xml:space="preserve"> 2011/65</w:t>
            </w:r>
            <w:r w:rsidRPr="00AE5B55">
              <w:rPr>
                <w:b/>
                <w:color w:val="auto"/>
                <w:sz w:val="24"/>
                <w:szCs w:val="24"/>
                <w:lang w:val="lv-LV"/>
              </w:rPr>
              <w:t>/</w:t>
            </w:r>
            <w:r w:rsidRPr="00AE5B55">
              <w:rPr>
                <w:color w:val="auto"/>
                <w:sz w:val="24"/>
                <w:szCs w:val="24"/>
                <w:lang w:val="lv-LV"/>
              </w:rPr>
              <w:t xml:space="preserve">ES </w:t>
            </w:r>
            <w:r w:rsidR="003F76D5" w:rsidRPr="003F76D5">
              <w:rPr>
                <w:color w:val="auto"/>
                <w:sz w:val="24"/>
                <w:lang w:val="lv-LV"/>
              </w:rPr>
              <w:t xml:space="preserve">par dažu bīstamu vielu izmantošanas ierobežošanu elektriskās un elektroniskās iekārtās (turpmāk – Direktīva 2011/65/ES) </w:t>
            </w:r>
            <w:r w:rsidRPr="00AE5B55">
              <w:rPr>
                <w:color w:val="auto"/>
                <w:sz w:val="24"/>
                <w:szCs w:val="24"/>
                <w:lang w:val="lv-LV"/>
              </w:rPr>
              <w:t xml:space="preserve">5. panta 1. punkta „a” apakšpunktam Eiropas Komisija ir izvērtējusi Direktīvas 2011/65/ES III pielikuma pielāgošanu zinātnes un tehnikas attīstībai, </w:t>
            </w:r>
            <w:r w:rsidR="006A011D" w:rsidRPr="00AE5B55">
              <w:rPr>
                <w:color w:val="auto"/>
                <w:sz w:val="24"/>
                <w:szCs w:val="24"/>
                <w:lang w:val="lv-LV"/>
              </w:rPr>
              <w:t xml:space="preserve">attiecīgi </w:t>
            </w:r>
            <w:r w:rsidRPr="00AE5B55">
              <w:rPr>
                <w:color w:val="auto"/>
                <w:sz w:val="24"/>
                <w:szCs w:val="24"/>
                <w:lang w:val="lv-LV"/>
              </w:rPr>
              <w:t>pieņ</w:t>
            </w:r>
            <w:r w:rsidR="00AE5B55">
              <w:rPr>
                <w:color w:val="auto"/>
                <w:sz w:val="24"/>
                <w:szCs w:val="24"/>
                <w:lang w:val="lv-LV"/>
              </w:rPr>
              <w:t>emot</w:t>
            </w:r>
            <w:r w:rsidR="00AE5B55">
              <w:rPr>
                <w:sz w:val="24"/>
                <w:szCs w:val="28"/>
                <w:lang w:val="lv-LV"/>
              </w:rPr>
              <w:t xml:space="preserve"> </w:t>
            </w:r>
            <w:r w:rsidR="00AE5B55" w:rsidRPr="00AE5B55">
              <w:rPr>
                <w:color w:val="auto"/>
                <w:sz w:val="24"/>
                <w:szCs w:val="24"/>
                <w:lang w:val="lv-LV"/>
              </w:rPr>
              <w:t xml:space="preserve">Direktīvu </w:t>
            </w:r>
            <w:r w:rsidR="00AE5B55">
              <w:rPr>
                <w:color w:val="auto"/>
                <w:sz w:val="24"/>
                <w:szCs w:val="24"/>
                <w:lang w:val="lv-LV"/>
              </w:rPr>
              <w:t>2019/</w:t>
            </w:r>
            <w:r w:rsidR="00B13F51">
              <w:rPr>
                <w:color w:val="auto"/>
                <w:sz w:val="24"/>
                <w:szCs w:val="24"/>
                <w:lang w:val="lv-LV"/>
              </w:rPr>
              <w:t>1845/ES</w:t>
            </w:r>
            <w:r w:rsidR="00AE5B55">
              <w:rPr>
                <w:color w:val="auto"/>
                <w:sz w:val="24"/>
                <w:szCs w:val="24"/>
                <w:lang w:val="lv-LV"/>
              </w:rPr>
              <w:t xml:space="preserve">. </w:t>
            </w:r>
          </w:p>
          <w:p w14:paraId="45102762" w14:textId="1BB06818" w:rsidR="003F76D5" w:rsidRPr="003F76D5" w:rsidRDefault="00B57648" w:rsidP="00AE5B55">
            <w:pPr>
              <w:pStyle w:val="tv2131"/>
              <w:spacing w:line="240" w:lineRule="auto"/>
              <w:ind w:firstLine="0"/>
              <w:jc w:val="both"/>
              <w:rPr>
                <w:color w:val="auto"/>
                <w:sz w:val="32"/>
                <w:szCs w:val="24"/>
                <w:lang w:val="lv-LV"/>
              </w:rPr>
            </w:pPr>
            <w:r>
              <w:rPr>
                <w:color w:val="auto"/>
                <w:sz w:val="24"/>
                <w:szCs w:val="24"/>
                <w:lang w:val="lv-LV"/>
              </w:rPr>
              <w:t>DEHP</w:t>
            </w:r>
            <w:r w:rsidR="00B13F51" w:rsidRPr="003F76D5">
              <w:rPr>
                <w:color w:val="auto"/>
                <w:sz w:val="24"/>
                <w:szCs w:val="24"/>
                <w:lang w:val="lv-LV"/>
              </w:rPr>
              <w:t xml:space="preserve"> ir Direktīvas 2011/65/ES II pielikumā minēta ierobežota izmantojuma viela</w:t>
            </w:r>
            <w:r w:rsidR="003F76D5" w:rsidRPr="003F76D5">
              <w:rPr>
                <w:color w:val="auto"/>
                <w:sz w:val="24"/>
                <w:szCs w:val="24"/>
                <w:lang w:val="lv-LV"/>
              </w:rPr>
              <w:t xml:space="preserve">. </w:t>
            </w:r>
            <w:r w:rsidR="003F76D5" w:rsidRPr="003F76D5">
              <w:rPr>
                <w:color w:val="auto"/>
                <w:sz w:val="24"/>
                <w:lang w:val="lv-LV"/>
              </w:rPr>
              <w:t xml:space="preserve">DEHP pievieno gumijas materiālam kā plastifikatoru, lai nodrošinātu elastīgumu. Gumijas sastāvdaļas izmanto kā elastīgus savienojumus starp motora sistēmu daļām, un tās nodrošina noplūžu novēršanu, motora daļu hermetizēšanu un aizsardzību pret vibrācijām vai netīrumiem un šķidrumiem motoru darbmūža laikā. Pašlaik tirgū nav pieejamas tādas alternatīvas bez DEHP, kuras būtu pietiekami uzticamas izmantošanai motoros, kur vajadzīgs ilgs darbmūžs un specifiskas īpašības, piemēram, izturība pret nonākšanu saskarē </w:t>
            </w:r>
            <w:r w:rsidR="003F76D5" w:rsidRPr="003F76D5">
              <w:rPr>
                <w:color w:val="auto"/>
                <w:sz w:val="24"/>
                <w:lang w:val="lv-LV"/>
              </w:rPr>
              <w:lastRenderedPageBreak/>
              <w:t xml:space="preserve">ar jebkādiem materiāliem (piemēram, degviela, smēreļļa, dzesētāji, gāzes vai netīrumi), temperatūru un vibrāciju. Tā kā trūkst uzticamu aizstājēju, DEHP aizstāšana noteiktās gumijas daļās, ko izmanto motoru sistēmās, vēl joprojām nav zinātniski un tehniski realizējama. </w:t>
            </w:r>
          </w:p>
          <w:tbl>
            <w:tblPr>
              <w:tblW w:w="5000" w:type="pct"/>
              <w:tblCellSpacing w:w="0" w:type="dxa"/>
              <w:tblCellMar>
                <w:left w:w="0" w:type="dxa"/>
                <w:right w:w="0" w:type="dxa"/>
              </w:tblCellMar>
              <w:tblLook w:val="04A0" w:firstRow="1" w:lastRow="0" w:firstColumn="1" w:lastColumn="0" w:noHBand="0" w:noVBand="1"/>
            </w:tblPr>
            <w:tblGrid>
              <w:gridCol w:w="6221"/>
            </w:tblGrid>
            <w:tr w:rsidR="00AE5B55" w:rsidRPr="00AE5B55" w14:paraId="192EEB99" w14:textId="77777777" w:rsidTr="00B227DD">
              <w:trPr>
                <w:tblCellSpacing w:w="0" w:type="dxa"/>
              </w:trPr>
              <w:tc>
                <w:tcPr>
                  <w:tcW w:w="0" w:type="auto"/>
                  <w:hideMark/>
                </w:tcPr>
                <w:p w14:paraId="59165EDE" w14:textId="23E11497" w:rsidR="00F91044" w:rsidRDefault="00F91044" w:rsidP="00160609">
                  <w:pPr>
                    <w:pStyle w:val="tv2131"/>
                    <w:spacing w:line="240" w:lineRule="auto"/>
                    <w:ind w:firstLine="0"/>
                    <w:jc w:val="both"/>
                    <w:rPr>
                      <w:color w:val="auto"/>
                      <w:sz w:val="24"/>
                      <w:szCs w:val="24"/>
                      <w:lang w:val="lv-LV"/>
                    </w:rPr>
                  </w:pPr>
                </w:p>
                <w:p w14:paraId="2BE56EC3" w14:textId="090D68FD" w:rsidR="003C56FE" w:rsidRDefault="00D274B8" w:rsidP="00160609">
                  <w:pPr>
                    <w:pStyle w:val="tv2131"/>
                    <w:spacing w:line="240" w:lineRule="auto"/>
                    <w:ind w:firstLine="0"/>
                    <w:jc w:val="both"/>
                    <w:rPr>
                      <w:color w:val="auto"/>
                      <w:sz w:val="24"/>
                      <w:szCs w:val="24"/>
                      <w:lang w:val="lv-LV"/>
                    </w:rPr>
                  </w:pPr>
                  <w:r w:rsidRPr="00AE5B55">
                    <w:rPr>
                      <w:color w:val="auto"/>
                      <w:sz w:val="24"/>
                      <w:szCs w:val="24"/>
                      <w:lang w:val="lv-LV"/>
                    </w:rPr>
                    <w:t>Latvijas normatīvajos aktos pašla</w:t>
                  </w:r>
                  <w:r w:rsidR="009C4E9A" w:rsidRPr="00AE5B55">
                    <w:rPr>
                      <w:color w:val="auto"/>
                      <w:sz w:val="24"/>
                      <w:szCs w:val="24"/>
                      <w:lang w:val="lv-LV"/>
                    </w:rPr>
                    <w:t xml:space="preserve">ik nav </w:t>
                  </w:r>
                  <w:r w:rsidR="007E6360" w:rsidRPr="00AE5B55">
                    <w:rPr>
                      <w:color w:val="auto"/>
                      <w:sz w:val="24"/>
                      <w:szCs w:val="24"/>
                      <w:lang w:val="lv-LV"/>
                    </w:rPr>
                    <w:t xml:space="preserve">noteiktas prasības izņēmumiem no atsevišķu bīstamo ķīmisko vielu lietošanas aizlieguma, kuri ir noteikti </w:t>
                  </w:r>
                  <w:r w:rsidR="00C17FDA" w:rsidRPr="00AE5B55">
                    <w:rPr>
                      <w:color w:val="auto"/>
                      <w:sz w:val="24"/>
                      <w:szCs w:val="24"/>
                      <w:lang w:val="lv-LV"/>
                    </w:rPr>
                    <w:t xml:space="preserve"> Direkt</w:t>
                  </w:r>
                  <w:r w:rsidR="00C17FDA">
                    <w:rPr>
                      <w:color w:val="auto"/>
                      <w:sz w:val="24"/>
                      <w:szCs w:val="24"/>
                      <w:lang w:val="lv-LV"/>
                    </w:rPr>
                    <w:t>īvā</w:t>
                  </w:r>
                  <w:r w:rsidR="00C17FDA" w:rsidRPr="00AE5B55">
                    <w:rPr>
                      <w:color w:val="auto"/>
                      <w:sz w:val="24"/>
                      <w:szCs w:val="24"/>
                      <w:lang w:val="lv-LV"/>
                    </w:rPr>
                    <w:t xml:space="preserve"> </w:t>
                  </w:r>
                  <w:r w:rsidR="003F76D5">
                    <w:rPr>
                      <w:color w:val="auto"/>
                      <w:sz w:val="24"/>
                      <w:szCs w:val="24"/>
                      <w:lang w:val="lv-LV"/>
                    </w:rPr>
                    <w:t>2019/1845</w:t>
                  </w:r>
                  <w:r w:rsidR="00C17FDA" w:rsidRPr="00AE5B55">
                    <w:rPr>
                      <w:color w:val="auto"/>
                      <w:sz w:val="24"/>
                      <w:szCs w:val="24"/>
                      <w:lang w:val="lv-LV"/>
                    </w:rPr>
                    <w:t>/ES</w:t>
                  </w:r>
                  <w:r w:rsidRPr="00AE5B55">
                    <w:rPr>
                      <w:color w:val="auto"/>
                      <w:sz w:val="24"/>
                      <w:szCs w:val="24"/>
                      <w:lang w:val="lv-LV"/>
                    </w:rPr>
                    <w:t xml:space="preserve">. </w:t>
                  </w:r>
                </w:p>
                <w:p w14:paraId="62815A85" w14:textId="77777777" w:rsidR="00243384" w:rsidRPr="00AE5B55" w:rsidRDefault="00243384" w:rsidP="00160609">
                  <w:pPr>
                    <w:pStyle w:val="tv2131"/>
                    <w:spacing w:line="240" w:lineRule="auto"/>
                    <w:ind w:firstLine="0"/>
                    <w:jc w:val="both"/>
                    <w:rPr>
                      <w:color w:val="auto"/>
                      <w:sz w:val="24"/>
                      <w:szCs w:val="24"/>
                      <w:lang w:val="lv-LV"/>
                    </w:rPr>
                  </w:pPr>
                </w:p>
                <w:p w14:paraId="778089AF" w14:textId="1B5F2399" w:rsidR="00BF0B60" w:rsidRPr="00AE5B55" w:rsidRDefault="003C56FE" w:rsidP="003F76D5">
                  <w:pPr>
                    <w:jc w:val="both"/>
                  </w:pPr>
                  <w:r>
                    <w:t>Lai pārņemtu D</w:t>
                  </w:r>
                  <w:r w:rsidR="00D274B8" w:rsidRPr="00AE5B55">
                    <w:t>irektīvas</w:t>
                  </w:r>
                  <w:r>
                    <w:t xml:space="preserve"> 2019/1845/ES prasības</w:t>
                  </w:r>
                  <w:r w:rsidR="007E6360" w:rsidRPr="00AE5B55">
                    <w:t xml:space="preserve"> un Latvijas normatīvajos aktos noteiktu prasības izņēmumiem no atsevišķu bīstamo ķīmisko vielu lietošanas aizlieguma</w:t>
                  </w:r>
                  <w:r w:rsidR="00D274B8" w:rsidRPr="00AE5B55">
                    <w:t xml:space="preserve">, tiek papildināta MK noteikumu Nr. 84 informatīvā atsauce uz ES direktīvām un MK noteikumu Nr. 84 3. pielikums, </w:t>
                  </w:r>
                  <w:r w:rsidR="003F76D5">
                    <w:t>ņemot vērā Komisijas deleģētājā direktīvā</w:t>
                  </w:r>
                  <w:r w:rsidR="00D274B8" w:rsidRPr="00AE5B55">
                    <w:t xml:space="preserve"> ietvertos termiņus pieļaujamiem</w:t>
                  </w:r>
                  <w:r w:rsidR="003F76D5">
                    <w:rPr>
                      <w:bCs/>
                      <w:szCs w:val="28"/>
                    </w:rPr>
                    <w:t xml:space="preserve"> DEHP lietojumiem</w:t>
                  </w:r>
                  <w:r w:rsidR="003E3E2D" w:rsidRPr="00AE5B55">
                    <w:t xml:space="preserve">, kā arī </w:t>
                  </w:r>
                  <w:r w:rsidR="00F1514C" w:rsidRPr="00AE5B55">
                    <w:t>ES</w:t>
                  </w:r>
                  <w:r w:rsidR="003E3E2D" w:rsidRPr="00AE5B55">
                    <w:t xml:space="preserve"> dalībvalstīm noteiktos pienākumus </w:t>
                  </w:r>
                  <w:r w:rsidR="00F1514C" w:rsidRPr="00AE5B55">
                    <w:t>pārņemt</w:t>
                  </w:r>
                  <w:r w:rsidR="003F76D5">
                    <w:t xml:space="preserve"> minētās direktīvas</w:t>
                  </w:r>
                  <w:r w:rsidR="003E3E2D" w:rsidRPr="00AE5B55">
                    <w:t xml:space="preserve"> prasības at</w:t>
                  </w:r>
                  <w:r w:rsidR="00F1514C" w:rsidRPr="00AE5B55">
                    <w:t>bilstoši</w:t>
                  </w:r>
                  <w:r w:rsidR="003F76D5">
                    <w:t xml:space="preserve"> direktīvā</w:t>
                  </w:r>
                  <w:r w:rsidR="003E3E2D" w:rsidRPr="00AE5B55">
                    <w:t xml:space="preserve"> noteiktajiem termiņiem.</w:t>
                  </w:r>
                </w:p>
              </w:tc>
            </w:tr>
            <w:tr w:rsidR="00160609" w:rsidRPr="00AE5B55" w14:paraId="0C025472" w14:textId="77777777" w:rsidTr="00243384">
              <w:trPr>
                <w:trHeight w:val="80"/>
                <w:tblCellSpacing w:w="0" w:type="dxa"/>
              </w:trPr>
              <w:tc>
                <w:tcPr>
                  <w:tcW w:w="0" w:type="auto"/>
                </w:tcPr>
                <w:p w14:paraId="1A74C04F" w14:textId="77777777" w:rsidR="00160609" w:rsidRPr="00AE5B55" w:rsidRDefault="00160609" w:rsidP="00160609">
                  <w:pPr>
                    <w:pStyle w:val="tv2131"/>
                    <w:spacing w:line="240" w:lineRule="auto"/>
                    <w:ind w:firstLine="0"/>
                    <w:jc w:val="both"/>
                    <w:rPr>
                      <w:color w:val="auto"/>
                      <w:sz w:val="24"/>
                      <w:szCs w:val="24"/>
                      <w:lang w:val="lv-LV"/>
                    </w:rPr>
                  </w:pPr>
                </w:p>
              </w:tc>
            </w:tr>
          </w:tbl>
          <w:p w14:paraId="7F1EE377" w14:textId="77777777" w:rsidR="00D274B8" w:rsidRPr="00AE5B55" w:rsidRDefault="00D274B8" w:rsidP="00B227DD">
            <w:pPr>
              <w:pStyle w:val="tv2131"/>
              <w:spacing w:line="240" w:lineRule="auto"/>
              <w:ind w:firstLine="0"/>
              <w:jc w:val="both"/>
              <w:rPr>
                <w:color w:val="auto"/>
                <w:sz w:val="28"/>
                <w:szCs w:val="28"/>
                <w:lang w:val="lv-LV"/>
              </w:rPr>
            </w:pPr>
          </w:p>
        </w:tc>
      </w:tr>
      <w:tr w:rsidR="00366FBF" w:rsidRPr="00FB41DC" w14:paraId="01D20790" w14:textId="77777777" w:rsidTr="005A59DE">
        <w:tc>
          <w:tcPr>
            <w:tcW w:w="702" w:type="dxa"/>
          </w:tcPr>
          <w:p w14:paraId="0397F219" w14:textId="4F0F4C90" w:rsidR="00D274B8" w:rsidRPr="00FB41DC" w:rsidRDefault="00D274B8" w:rsidP="00B227DD">
            <w:pPr>
              <w:jc w:val="center"/>
            </w:pPr>
            <w:r>
              <w:lastRenderedPageBreak/>
              <w:t>3</w:t>
            </w:r>
            <w:r w:rsidRPr="00FB41DC">
              <w:t>.</w:t>
            </w:r>
          </w:p>
        </w:tc>
        <w:tc>
          <w:tcPr>
            <w:tcW w:w="2200" w:type="dxa"/>
          </w:tcPr>
          <w:p w14:paraId="772F6120" w14:textId="77777777" w:rsidR="00D274B8" w:rsidRPr="00FB41DC" w:rsidRDefault="00D274B8" w:rsidP="00B227DD">
            <w:r w:rsidRPr="00FB41DC">
              <w:t>Projekta izstrādē iesaistītās institūcijas</w:t>
            </w:r>
          </w:p>
        </w:tc>
        <w:tc>
          <w:tcPr>
            <w:tcW w:w="6231" w:type="dxa"/>
          </w:tcPr>
          <w:p w14:paraId="6FAE03BB" w14:textId="68862266" w:rsidR="00D274B8" w:rsidRPr="00FB41DC" w:rsidRDefault="00D274B8" w:rsidP="00B227DD">
            <w:pPr>
              <w:pStyle w:val="naiskr"/>
              <w:jc w:val="both"/>
            </w:pPr>
            <w:r>
              <w:t>Vides aizsardzības un r</w:t>
            </w:r>
            <w:r w:rsidR="00DC6E41">
              <w:t>eģionālās attīstības ministrija (turpmāk – VARAM)</w:t>
            </w:r>
          </w:p>
        </w:tc>
      </w:tr>
      <w:tr w:rsidR="00366FBF" w:rsidRPr="00FB41DC" w14:paraId="36468B5F" w14:textId="77777777" w:rsidTr="005A59DE">
        <w:trPr>
          <w:trHeight w:val="571"/>
        </w:trPr>
        <w:tc>
          <w:tcPr>
            <w:tcW w:w="702" w:type="dxa"/>
          </w:tcPr>
          <w:p w14:paraId="7178BEB4" w14:textId="77777777" w:rsidR="00D274B8" w:rsidRPr="00FB41DC" w:rsidRDefault="00D274B8" w:rsidP="00B227DD">
            <w:pPr>
              <w:jc w:val="center"/>
            </w:pPr>
            <w:r>
              <w:t>4</w:t>
            </w:r>
            <w:r w:rsidRPr="00FB41DC">
              <w:t>.</w:t>
            </w:r>
          </w:p>
        </w:tc>
        <w:tc>
          <w:tcPr>
            <w:tcW w:w="2200" w:type="dxa"/>
          </w:tcPr>
          <w:p w14:paraId="403903B7" w14:textId="77777777" w:rsidR="00D274B8" w:rsidRPr="00FB41DC" w:rsidRDefault="00D274B8" w:rsidP="00B227DD">
            <w:r w:rsidRPr="00FB41DC">
              <w:t>Cita informācija</w:t>
            </w:r>
          </w:p>
        </w:tc>
        <w:tc>
          <w:tcPr>
            <w:tcW w:w="6231" w:type="dxa"/>
          </w:tcPr>
          <w:p w14:paraId="66506BDB" w14:textId="5492EA7C" w:rsidR="00D274B8" w:rsidRPr="00FB41DC" w:rsidRDefault="00D274B8" w:rsidP="00B227DD">
            <w:pPr>
              <w:jc w:val="both"/>
            </w:pPr>
            <w:r>
              <w:t>Nav</w:t>
            </w:r>
            <w:r w:rsidR="005A59DE">
              <w:t>.</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t>II.</w:t>
            </w:r>
            <w:r>
              <w:rPr>
                <w:b/>
              </w:rPr>
              <w:t> </w:t>
            </w:r>
            <w:r w:rsidRPr="00FB41DC">
              <w:rPr>
                <w:b/>
              </w:rPr>
              <w:t>Tiesību akta projekta ietekme uz sabiedrību</w:t>
            </w:r>
          </w:p>
        </w:tc>
      </w:tr>
      <w:tr w:rsidR="00D274B8"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 xml:space="preserve">Sabiedrības </w:t>
            </w:r>
            <w:proofErr w:type="spellStart"/>
            <w:r w:rsidRPr="00FB41DC">
              <w:t>mērķgrupa</w:t>
            </w:r>
            <w:r>
              <w:t>s</w:t>
            </w:r>
            <w:proofErr w:type="spellEnd"/>
            <w:r>
              <w:t>, kuras tiesiskais regulējums ietekmē vai varētu ietekmēt</w:t>
            </w:r>
          </w:p>
        </w:tc>
        <w:tc>
          <w:tcPr>
            <w:tcW w:w="5939" w:type="dxa"/>
          </w:tcPr>
          <w:p w14:paraId="38352E37" w14:textId="02F795A1" w:rsidR="00D274B8" w:rsidRDefault="0053435D" w:rsidP="00B227DD">
            <w:pPr>
              <w:jc w:val="both"/>
            </w:pPr>
            <w:r>
              <w:t>I</w:t>
            </w:r>
            <w:r w:rsidR="00D274B8">
              <w:t>ekārtu, to rezerves daļu un kabeļu ražotāji – aptuveni 250 komersanti, pilnvarotie pārstāvji, importētāji un izplatītāji – aptuveni 1400 komersanti.</w:t>
            </w:r>
          </w:p>
          <w:p w14:paraId="6B3AC9C5" w14:textId="34DC9557" w:rsidR="00D274B8" w:rsidRDefault="0053435D" w:rsidP="00B227DD">
            <w:pPr>
              <w:jc w:val="both"/>
            </w:pPr>
            <w:r>
              <w:t>I</w:t>
            </w:r>
            <w:r w:rsidR="00D274B8">
              <w:t>ekārtu lietotāji – visi Latvijas iedzīvotāji un komersanti</w:t>
            </w:r>
            <w:r>
              <w:t>.</w:t>
            </w:r>
            <w:r w:rsidR="00D274B8">
              <w:t xml:space="preserve"> </w:t>
            </w:r>
          </w:p>
          <w:p w14:paraId="495B89F2" w14:textId="5038A8CB" w:rsidR="0064594B" w:rsidRPr="00FB41DC" w:rsidRDefault="0053435D" w:rsidP="00B227DD">
            <w:pPr>
              <w:jc w:val="both"/>
            </w:pPr>
            <w:r>
              <w:t>I</w:t>
            </w:r>
            <w:r w:rsidR="00D274B8">
              <w:t>ekārtu atkritumu apsaimnie</w:t>
            </w:r>
            <w:r w:rsidR="006D3ABB">
              <w:t>košanas komersanti – 4</w:t>
            </w:r>
            <w:r w:rsidR="0064594B">
              <w:t xml:space="preserve"> komersanti;</w:t>
            </w:r>
          </w:p>
        </w:tc>
      </w:tr>
      <w:tr w:rsidR="00D274B8"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 xml:space="preserve">rojekta tiesiskā regulējuma ietekme uz tautsaimniecību un sabiedrības </w:t>
            </w:r>
            <w:proofErr w:type="spellStart"/>
            <w:r w:rsidR="006D3ABB">
              <w:t>mērķgrupām</w:t>
            </w:r>
            <w:proofErr w:type="spellEnd"/>
            <w:r w:rsidR="006D3ABB">
              <w:t>, īpaši norādot, kāda būs ietekme:</w:t>
            </w:r>
          </w:p>
          <w:p w14:paraId="3B85396A" w14:textId="77777777" w:rsidR="006D3ABB" w:rsidRDefault="00A31E9A" w:rsidP="00A31E9A">
            <w:pPr>
              <w:pStyle w:val="tv213"/>
              <w:jc w:val="both"/>
            </w:pPr>
            <w:r>
              <w:t>Nav paredzams, ka noteikumu projekta prasības radīs būtisku ietekmi</w:t>
            </w:r>
            <w:r w:rsidR="006D3ABB">
              <w:t xml:space="preserve"> uz uzņēmējdarbības vidi un maziem, vidējiem uzņēmumiem, </w:t>
            </w:r>
            <w:proofErr w:type="spellStart"/>
            <w:r w:rsidR="006D3ABB">
              <w:t>mi</w:t>
            </w:r>
            <w:r>
              <w:t>krouzņēmumiem</w:t>
            </w:r>
            <w:proofErr w:type="spellEnd"/>
            <w:r>
              <w:t xml:space="preserve"> un </w:t>
            </w:r>
            <w:proofErr w:type="spellStart"/>
            <w:r>
              <w:t>jaunuzņēmumiem</w:t>
            </w:r>
            <w:proofErr w:type="spellEnd"/>
            <w:r>
              <w:t>.</w:t>
            </w:r>
          </w:p>
          <w:p w14:paraId="00F863CA" w14:textId="77777777" w:rsidR="006D3ABB" w:rsidRDefault="0064594B" w:rsidP="00A31E9A">
            <w:pPr>
              <w:pStyle w:val="tv213"/>
              <w:jc w:val="both"/>
            </w:pPr>
            <w:r>
              <w:t xml:space="preserve">Noteikumu projekta prasības neattiecas </w:t>
            </w:r>
            <w:r w:rsidR="006D3ABB">
              <w:t>uz Nacionālā attīstības plāna rādītāj</w:t>
            </w:r>
            <w:r>
              <w:t xml:space="preserve">iem </w:t>
            </w:r>
            <w:proofErr w:type="spellStart"/>
            <w:r>
              <w:t>mikrolīmenī</w:t>
            </w:r>
            <w:proofErr w:type="spellEnd"/>
            <w:r>
              <w:t xml:space="preserve"> vai </w:t>
            </w:r>
            <w:proofErr w:type="spellStart"/>
            <w:r>
              <w:t>makrolīmenī</w:t>
            </w:r>
            <w:proofErr w:type="spellEnd"/>
            <w:r>
              <w:t>.</w:t>
            </w:r>
          </w:p>
          <w:p w14:paraId="5418EC69" w14:textId="77777777" w:rsidR="006D3ABB" w:rsidRDefault="0064594B" w:rsidP="00A31E9A">
            <w:pPr>
              <w:pStyle w:val="tv213"/>
              <w:jc w:val="both"/>
            </w:pPr>
            <w:r>
              <w:t>Noteikumu projekta prasības neattiecas uz konkurenci.</w:t>
            </w:r>
          </w:p>
          <w:p w14:paraId="5B32628B" w14:textId="77777777" w:rsidR="006D3ABB" w:rsidRDefault="0064594B" w:rsidP="00A31E9A">
            <w:pPr>
              <w:pStyle w:val="tv213"/>
              <w:jc w:val="both"/>
            </w:pPr>
            <w:r>
              <w:t xml:space="preserve">Noteikumu projekta ietekme uz vidi ir vērtējama pozitīvi, tā kā tiek noteiktas prasības, kuras veicina iekārtās esošo detaļu izmantošanu par rezerves daļām, tādejādi veicinot dabas resursu racionālu izmantošanu. </w:t>
            </w:r>
          </w:p>
          <w:p w14:paraId="36FB511A" w14:textId="77777777" w:rsidR="006D3ABB" w:rsidRDefault="0064594B" w:rsidP="00A31E9A">
            <w:pPr>
              <w:pStyle w:val="tv213"/>
              <w:jc w:val="both"/>
            </w:pPr>
            <w:r>
              <w:lastRenderedPageBreak/>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D274B8" w:rsidRPr="00FB41DC" w14:paraId="270C8E56" w14:textId="77777777" w:rsidTr="00B227DD">
        <w:tc>
          <w:tcPr>
            <w:tcW w:w="648" w:type="dxa"/>
          </w:tcPr>
          <w:p w14:paraId="6AD76514" w14:textId="77777777" w:rsidR="00D274B8" w:rsidRPr="00FB41DC" w:rsidRDefault="00D274B8" w:rsidP="00B227DD">
            <w:pPr>
              <w:jc w:val="center"/>
            </w:pPr>
            <w:r>
              <w:lastRenderedPageBreak/>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77777777" w:rsidR="00D274B8" w:rsidRPr="00FB41DC" w:rsidRDefault="00D274B8" w:rsidP="00B227DD">
            <w:r>
              <w:t>Projekts šo jomu neskar.</w:t>
            </w:r>
          </w:p>
        </w:tc>
      </w:tr>
      <w:tr w:rsidR="006D3ABB" w:rsidRPr="00FB41DC" w14:paraId="2D1AF6CF" w14:textId="77777777" w:rsidTr="00B227DD">
        <w:tc>
          <w:tcPr>
            <w:tcW w:w="648" w:type="dxa"/>
          </w:tcPr>
          <w:p w14:paraId="27BD42C0" w14:textId="77777777" w:rsidR="006D3ABB" w:rsidRDefault="006D3ABB" w:rsidP="00B227DD">
            <w:pPr>
              <w:jc w:val="center"/>
            </w:pPr>
            <w:r>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7777777" w:rsidR="006D3ABB" w:rsidRDefault="00A31E9A" w:rsidP="00B227DD">
            <w:r>
              <w:t>Projekts šo jomu neskar.</w:t>
            </w:r>
          </w:p>
        </w:tc>
      </w:tr>
      <w:tr w:rsidR="00D274B8"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77777777" w:rsidR="00D274B8" w:rsidRPr="00FB41DC" w:rsidRDefault="00D274B8" w:rsidP="00B227DD">
            <w:pPr>
              <w:jc w:val="both"/>
            </w:pPr>
            <w:r>
              <w:t>Nav</w:t>
            </w:r>
          </w:p>
        </w:tc>
      </w:tr>
    </w:tbl>
    <w:p w14:paraId="58670CDA" w14:textId="77777777" w:rsidR="00D274B8" w:rsidRDefault="00D274B8" w:rsidP="00D274B8"/>
    <w:tbl>
      <w:tblPr>
        <w:tblStyle w:val="TableGrid"/>
        <w:tblW w:w="9214" w:type="dxa"/>
        <w:tblInd w:w="-147" w:type="dxa"/>
        <w:tblLook w:val="04A0" w:firstRow="1" w:lastRow="0" w:firstColumn="1" w:lastColumn="0" w:noHBand="0" w:noVBand="1"/>
      </w:tblPr>
      <w:tblGrid>
        <w:gridCol w:w="9214"/>
      </w:tblGrid>
      <w:tr w:rsidR="00D274B8" w14:paraId="317255E5" w14:textId="77777777" w:rsidTr="00243384">
        <w:tc>
          <w:tcPr>
            <w:tcW w:w="9214"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243384">
        <w:tc>
          <w:tcPr>
            <w:tcW w:w="9214" w:type="dxa"/>
            <w:tcBorders>
              <w:top w:val="single" w:sz="4" w:space="0" w:color="auto"/>
              <w:left w:val="single" w:sz="4" w:space="0" w:color="auto"/>
              <w:bottom w:val="single" w:sz="4" w:space="0" w:color="auto"/>
              <w:right w:val="single" w:sz="4" w:space="0" w:color="auto"/>
            </w:tcBorders>
            <w:hideMark/>
          </w:tcPr>
          <w:p w14:paraId="0A55F5A1" w14:textId="77777777" w:rsidR="00D274B8" w:rsidRDefault="00D274B8" w:rsidP="00B227DD">
            <w:pPr>
              <w:jc w:val="center"/>
            </w:pPr>
            <w:r>
              <w:t>Projekts šo jomu neskar.</w:t>
            </w:r>
          </w:p>
        </w:tc>
      </w:tr>
    </w:tbl>
    <w:p w14:paraId="33B80B21" w14:textId="77777777" w:rsidR="00D274B8" w:rsidRDefault="00D274B8" w:rsidP="00D274B8"/>
    <w:p w14:paraId="2095C159" w14:textId="77777777" w:rsidR="0075203E" w:rsidRDefault="0075203E" w:rsidP="00D274B8"/>
    <w:tbl>
      <w:tblPr>
        <w:tblStyle w:val="TableGrid"/>
        <w:tblW w:w="9214" w:type="dxa"/>
        <w:tblInd w:w="-147" w:type="dxa"/>
        <w:tblLook w:val="04A0" w:firstRow="1" w:lastRow="0" w:firstColumn="1" w:lastColumn="0" w:noHBand="0" w:noVBand="1"/>
      </w:tblPr>
      <w:tblGrid>
        <w:gridCol w:w="9214"/>
      </w:tblGrid>
      <w:tr w:rsidR="00D274B8" w14:paraId="45DAD363" w14:textId="77777777" w:rsidTr="00243384">
        <w:tc>
          <w:tcPr>
            <w:tcW w:w="9214"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243384">
        <w:tc>
          <w:tcPr>
            <w:tcW w:w="9214" w:type="dxa"/>
            <w:tcBorders>
              <w:top w:val="single" w:sz="4" w:space="0" w:color="auto"/>
              <w:left w:val="single" w:sz="4" w:space="0" w:color="auto"/>
              <w:bottom w:val="single" w:sz="4" w:space="0" w:color="auto"/>
              <w:right w:val="single" w:sz="4" w:space="0" w:color="auto"/>
            </w:tcBorders>
            <w:hideMark/>
          </w:tcPr>
          <w:p w14:paraId="76EC46D7" w14:textId="77777777" w:rsidR="00D274B8" w:rsidRDefault="00D274B8" w:rsidP="00B227DD">
            <w:pPr>
              <w:jc w:val="center"/>
            </w:pPr>
            <w:r>
              <w:t>Projekts šo jomu neskar.</w:t>
            </w:r>
          </w:p>
        </w:tc>
      </w:tr>
    </w:tbl>
    <w:p w14:paraId="41EA024E" w14:textId="77777777" w:rsidR="00D274B8" w:rsidRPr="00FB41DC" w:rsidRDefault="00D274B8" w:rsidP="00D274B8"/>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D274B8" w:rsidRPr="00FB41DC" w14:paraId="1A223ED9" w14:textId="77777777" w:rsidTr="00243384">
        <w:trPr>
          <w:jc w:val="center"/>
        </w:trPr>
        <w:tc>
          <w:tcPr>
            <w:tcW w:w="9209"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243384">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785" w:type="dxa"/>
          </w:tcPr>
          <w:p w14:paraId="55980571" w14:textId="74812015" w:rsidR="00C17FDA" w:rsidRDefault="00C17FDA" w:rsidP="00C17FDA">
            <w:pPr>
              <w:pStyle w:val="naisc"/>
              <w:spacing w:before="0" w:after="0"/>
              <w:jc w:val="both"/>
            </w:pPr>
            <w:r>
              <w:rPr>
                <w:rStyle w:val="Strong"/>
                <w:b w:val="0"/>
              </w:rPr>
              <w:t>Direktīva</w:t>
            </w:r>
            <w:r w:rsidR="003C56FE">
              <w:t xml:space="preserve"> 2019/1845</w:t>
            </w:r>
            <w:r>
              <w:t>/ES (</w:t>
            </w:r>
            <w:r w:rsidR="003C56FE">
              <w:rPr>
                <w:i/>
                <w:iCs/>
              </w:rPr>
              <w:t>OV L 283, 5.11</w:t>
            </w:r>
            <w:r>
              <w:rPr>
                <w:i/>
                <w:iCs/>
              </w:rPr>
              <w:t xml:space="preserve">.2019., </w:t>
            </w:r>
            <w:r w:rsidR="003C56FE">
              <w:rPr>
                <w:i/>
                <w:iCs/>
              </w:rPr>
              <w:t>38./40</w:t>
            </w:r>
            <w:r>
              <w:rPr>
                <w:i/>
                <w:iCs/>
              </w:rPr>
              <w:t>. </w:t>
            </w:r>
            <w:proofErr w:type="spellStart"/>
            <w:r>
              <w:rPr>
                <w:i/>
                <w:iCs/>
              </w:rPr>
              <w:t>lpp</w:t>
            </w:r>
            <w:proofErr w:type="spellEnd"/>
            <w:r w:rsidR="003C56FE">
              <w:rPr>
                <w:i/>
                <w:iCs/>
              </w:rPr>
              <w:t>)</w:t>
            </w:r>
            <w:r>
              <w:rPr>
                <w:i/>
                <w:iCs/>
              </w:rPr>
              <w:t>.</w:t>
            </w:r>
          </w:p>
          <w:p w14:paraId="4415B098" w14:textId="2E1F4083" w:rsidR="003C56FE" w:rsidRPr="009C1966" w:rsidRDefault="003C56FE" w:rsidP="003C56FE">
            <w:pPr>
              <w:pStyle w:val="naisc"/>
              <w:spacing w:before="0" w:after="0"/>
              <w:jc w:val="both"/>
              <w:rPr>
                <w:i/>
                <w:iCs/>
              </w:rPr>
            </w:pPr>
          </w:p>
          <w:p w14:paraId="4B61EAB9" w14:textId="0E239956" w:rsidR="00C17FDA" w:rsidRPr="009C1966" w:rsidRDefault="00C17FDA" w:rsidP="003E3E2D">
            <w:pPr>
              <w:pStyle w:val="naisc"/>
              <w:spacing w:before="0" w:after="0"/>
              <w:jc w:val="both"/>
              <w:rPr>
                <w:i/>
                <w:iCs/>
              </w:rPr>
            </w:pPr>
          </w:p>
        </w:tc>
      </w:tr>
      <w:tr w:rsidR="00D274B8" w:rsidRPr="00FB41DC" w14:paraId="6EEBE583" w14:textId="77777777" w:rsidTr="00243384">
        <w:trPr>
          <w:jc w:val="center"/>
        </w:trPr>
        <w:tc>
          <w:tcPr>
            <w:tcW w:w="523" w:type="dxa"/>
          </w:tcPr>
          <w:p w14:paraId="0D2FAB52" w14:textId="77777777" w:rsidR="00D274B8" w:rsidRPr="00FB41DC" w:rsidRDefault="00D274B8" w:rsidP="00B227DD">
            <w:pPr>
              <w:pStyle w:val="naiskr"/>
              <w:tabs>
                <w:tab w:val="left" w:pos="2628"/>
              </w:tabs>
              <w:spacing w:before="0" w:after="0"/>
              <w:jc w:val="both"/>
            </w:pPr>
            <w:r w:rsidRPr="00FB41DC">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785" w:type="dxa"/>
          </w:tcPr>
          <w:p w14:paraId="4A81C192" w14:textId="77777777" w:rsidR="00D274B8" w:rsidRPr="00FB41DC" w:rsidRDefault="00D274B8" w:rsidP="00B227DD">
            <w:pPr>
              <w:pStyle w:val="naiskr"/>
              <w:tabs>
                <w:tab w:val="left" w:pos="2628"/>
              </w:tabs>
              <w:spacing w:before="0" w:after="0"/>
              <w:jc w:val="both"/>
            </w:pPr>
            <w:r>
              <w:t>Projekts šo jomu neskar.</w:t>
            </w:r>
          </w:p>
        </w:tc>
      </w:tr>
      <w:tr w:rsidR="00D274B8" w:rsidRPr="00FB41DC" w14:paraId="4DB7116B" w14:textId="77777777" w:rsidTr="00243384">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785"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p w14:paraId="4A415F98" w14:textId="77777777" w:rsidR="00D274B8" w:rsidRDefault="00D274B8" w:rsidP="00D274B8">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D274B8" w:rsidRPr="00FB41DC" w14:paraId="464BBC76" w14:textId="77777777" w:rsidTr="00243384">
        <w:trPr>
          <w:trHeight w:val="523"/>
          <w:jc w:val="center"/>
        </w:trPr>
        <w:tc>
          <w:tcPr>
            <w:tcW w:w="9219" w:type="dxa"/>
            <w:gridSpan w:val="4"/>
            <w:vAlign w:val="center"/>
          </w:tcPr>
          <w:p w14:paraId="48FD20C3" w14:textId="77777777" w:rsidR="00D274B8" w:rsidRPr="00FB41DC" w:rsidRDefault="00D274B8" w:rsidP="00B227DD">
            <w:pPr>
              <w:pStyle w:val="naisnod"/>
              <w:spacing w:before="0" w:after="0"/>
            </w:pPr>
            <w:r w:rsidRPr="00FB41DC">
              <w:t>1.</w:t>
            </w:r>
            <w:r>
              <w:t> </w:t>
            </w:r>
            <w:r w:rsidRPr="00FB41DC">
              <w:t>tabula</w:t>
            </w:r>
          </w:p>
          <w:p w14:paraId="31DEAAD0"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35CFDB02" w14:textId="77777777" w:rsidTr="00243384">
        <w:trPr>
          <w:trHeight w:val="1252"/>
          <w:jc w:val="center"/>
        </w:trPr>
        <w:tc>
          <w:tcPr>
            <w:tcW w:w="1898" w:type="dxa"/>
            <w:vAlign w:val="center"/>
          </w:tcPr>
          <w:p w14:paraId="6289DEF8"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321" w:type="dxa"/>
            <w:gridSpan w:val="3"/>
            <w:vAlign w:val="center"/>
          </w:tcPr>
          <w:p w14:paraId="5E3BC3B5" w14:textId="04B540AE" w:rsidR="00D274B8" w:rsidRPr="00C13EFF" w:rsidRDefault="00EA4A0C" w:rsidP="00D97720">
            <w:pPr>
              <w:pStyle w:val="naisc"/>
              <w:spacing w:before="0" w:after="0"/>
              <w:jc w:val="both"/>
              <w:rPr>
                <w:bCs/>
              </w:rPr>
            </w:pPr>
            <w:r>
              <w:rPr>
                <w:rStyle w:val="Strong"/>
                <w:b w:val="0"/>
              </w:rPr>
              <w:t>Direktīva</w:t>
            </w:r>
            <w:r w:rsidR="003C56FE">
              <w:t xml:space="preserve"> 2019/1845</w:t>
            </w:r>
            <w:r>
              <w:t>/ES</w:t>
            </w:r>
          </w:p>
        </w:tc>
      </w:tr>
      <w:tr w:rsidR="00D274B8" w:rsidRPr="00FB41DC" w14:paraId="7E387E03" w14:textId="77777777" w:rsidTr="00243384">
        <w:trPr>
          <w:trHeight w:val="165"/>
          <w:jc w:val="center"/>
        </w:trPr>
        <w:tc>
          <w:tcPr>
            <w:tcW w:w="1898" w:type="dxa"/>
            <w:vAlign w:val="center"/>
          </w:tcPr>
          <w:p w14:paraId="0211B6EB" w14:textId="77777777" w:rsidR="00D274B8" w:rsidRPr="00FB41DC" w:rsidRDefault="00D274B8" w:rsidP="00B227DD">
            <w:pPr>
              <w:pStyle w:val="naiskr"/>
              <w:spacing w:before="0" w:after="0"/>
              <w:jc w:val="both"/>
            </w:pPr>
            <w:r w:rsidRPr="00FB41DC">
              <w:t>A</w:t>
            </w:r>
          </w:p>
        </w:tc>
        <w:tc>
          <w:tcPr>
            <w:tcW w:w="1843" w:type="dxa"/>
            <w:vAlign w:val="center"/>
          </w:tcPr>
          <w:p w14:paraId="7CA30B04" w14:textId="77777777" w:rsidR="00D274B8" w:rsidRPr="00FB41DC" w:rsidRDefault="00D274B8" w:rsidP="00B227DD">
            <w:pPr>
              <w:pStyle w:val="naiskr"/>
              <w:spacing w:before="0" w:after="0"/>
              <w:jc w:val="both"/>
            </w:pPr>
            <w:r w:rsidRPr="00FB41DC">
              <w:t>B</w:t>
            </w:r>
          </w:p>
        </w:tc>
        <w:tc>
          <w:tcPr>
            <w:tcW w:w="1701" w:type="dxa"/>
            <w:vAlign w:val="center"/>
          </w:tcPr>
          <w:p w14:paraId="15EA9AC2" w14:textId="77777777" w:rsidR="00D274B8" w:rsidRPr="00FB41DC" w:rsidRDefault="00D274B8" w:rsidP="00B227DD">
            <w:pPr>
              <w:pStyle w:val="naiskr"/>
              <w:spacing w:before="0" w:after="0"/>
              <w:jc w:val="both"/>
            </w:pPr>
            <w:r w:rsidRPr="00FB41DC">
              <w:t>C</w:t>
            </w:r>
          </w:p>
        </w:tc>
        <w:tc>
          <w:tcPr>
            <w:tcW w:w="3777" w:type="dxa"/>
            <w:vAlign w:val="center"/>
          </w:tcPr>
          <w:p w14:paraId="643FCA15" w14:textId="77777777" w:rsidR="00D274B8" w:rsidRPr="00FB41DC" w:rsidRDefault="00D274B8" w:rsidP="00B227DD">
            <w:pPr>
              <w:pStyle w:val="naiskr"/>
              <w:spacing w:before="0" w:after="0"/>
              <w:jc w:val="both"/>
            </w:pPr>
            <w:r w:rsidRPr="00FB41DC">
              <w:t>D</w:t>
            </w:r>
          </w:p>
        </w:tc>
      </w:tr>
      <w:tr w:rsidR="00C76D9A" w:rsidRPr="00FB41DC" w14:paraId="1A3034A8" w14:textId="77777777" w:rsidTr="00243384">
        <w:trPr>
          <w:trHeight w:val="165"/>
          <w:jc w:val="center"/>
        </w:trPr>
        <w:tc>
          <w:tcPr>
            <w:tcW w:w="1898" w:type="dxa"/>
          </w:tcPr>
          <w:p w14:paraId="584738FE" w14:textId="77777777" w:rsidR="00C76D9A" w:rsidRPr="00C76D9A" w:rsidRDefault="00C76D9A" w:rsidP="00C76D9A">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3F624483" w14:textId="77777777" w:rsidR="00C76D9A" w:rsidRPr="00C76D9A" w:rsidRDefault="00C76D9A" w:rsidP="00C76D9A">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37EB2012" w14:textId="77777777" w:rsidR="00C76D9A" w:rsidRPr="00C76D9A" w:rsidRDefault="00C76D9A" w:rsidP="00C76D9A">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r>
            <w:r w:rsidRPr="00C76D9A">
              <w:rPr>
                <w:sz w:val="18"/>
              </w:rPr>
              <w:lastRenderedPageBreak/>
              <w:t>Norāda institūciju, kas ir atbildīga par šo saistību izpildi pilnībā</w:t>
            </w:r>
          </w:p>
        </w:tc>
        <w:tc>
          <w:tcPr>
            <w:tcW w:w="3777" w:type="dxa"/>
          </w:tcPr>
          <w:p w14:paraId="523A1B25" w14:textId="77777777" w:rsidR="00C76D9A" w:rsidRPr="00C76D9A" w:rsidRDefault="00C76D9A" w:rsidP="00245F38">
            <w:pPr>
              <w:pStyle w:val="naiskr"/>
              <w:spacing w:before="0" w:after="0"/>
              <w:jc w:val="both"/>
              <w:rPr>
                <w:sz w:val="18"/>
              </w:rPr>
            </w:pPr>
            <w:r w:rsidRPr="00C76D9A">
              <w:rPr>
                <w:sz w:val="18"/>
              </w:rPr>
              <w:lastRenderedPageBreak/>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3D508A32" w14:textId="77777777" w:rsidTr="00243384">
        <w:trPr>
          <w:trHeight w:val="313"/>
          <w:jc w:val="center"/>
        </w:trPr>
        <w:tc>
          <w:tcPr>
            <w:tcW w:w="1898" w:type="dxa"/>
          </w:tcPr>
          <w:p w14:paraId="4660DF2E" w14:textId="77777777" w:rsidR="00C76D9A" w:rsidRDefault="00C76D9A" w:rsidP="00C76D9A">
            <w:pPr>
              <w:pStyle w:val="naiskr"/>
              <w:spacing w:before="0" w:after="0"/>
              <w:jc w:val="both"/>
            </w:pPr>
            <w:r>
              <w:t>1. pants</w:t>
            </w:r>
          </w:p>
        </w:tc>
        <w:tc>
          <w:tcPr>
            <w:tcW w:w="1843" w:type="dxa"/>
          </w:tcPr>
          <w:p w14:paraId="0D5ED2DD" w14:textId="7C2D7FBC" w:rsidR="00C76D9A" w:rsidRDefault="003C56FE" w:rsidP="00C76D9A">
            <w:pPr>
              <w:pStyle w:val="naiskr"/>
              <w:spacing w:before="0" w:after="0"/>
              <w:jc w:val="both"/>
            </w:pPr>
            <w:r>
              <w:t>2</w:t>
            </w:r>
            <w:r w:rsidR="0075203E">
              <w:t>.punkts</w:t>
            </w:r>
          </w:p>
        </w:tc>
        <w:tc>
          <w:tcPr>
            <w:tcW w:w="1701" w:type="dxa"/>
          </w:tcPr>
          <w:p w14:paraId="09CC1206" w14:textId="77777777" w:rsidR="00C76D9A" w:rsidRDefault="00C76D9A" w:rsidP="00C76D9A">
            <w:pPr>
              <w:pStyle w:val="naiskr"/>
              <w:spacing w:before="0" w:after="0"/>
              <w:jc w:val="both"/>
            </w:pPr>
            <w:r>
              <w:t>Atbilst pilnībā</w:t>
            </w:r>
          </w:p>
        </w:tc>
        <w:tc>
          <w:tcPr>
            <w:tcW w:w="3777" w:type="dxa"/>
          </w:tcPr>
          <w:p w14:paraId="74DC2A52" w14:textId="77777777" w:rsidR="00C76D9A" w:rsidRDefault="00C76D9A" w:rsidP="00C76D9A">
            <w:pPr>
              <w:pStyle w:val="naiskr"/>
              <w:spacing w:before="0" w:after="0"/>
              <w:jc w:val="both"/>
            </w:pPr>
            <w:r>
              <w:t>Netiek noteiktas stingrākas prasības.</w:t>
            </w:r>
          </w:p>
        </w:tc>
      </w:tr>
      <w:tr w:rsidR="00C76D9A" w14:paraId="296AA8C5" w14:textId="77777777" w:rsidTr="00243384">
        <w:trPr>
          <w:trHeight w:val="313"/>
          <w:jc w:val="center"/>
        </w:trPr>
        <w:tc>
          <w:tcPr>
            <w:tcW w:w="1898" w:type="dxa"/>
          </w:tcPr>
          <w:p w14:paraId="55D2641F" w14:textId="77777777" w:rsidR="00C76D9A" w:rsidRDefault="00C76D9A" w:rsidP="00C76D9A">
            <w:pPr>
              <w:pStyle w:val="naiskr"/>
              <w:spacing w:before="0" w:after="0"/>
              <w:jc w:val="both"/>
            </w:pPr>
            <w:r>
              <w:t>2. panta pirmā daļa</w:t>
            </w:r>
          </w:p>
        </w:tc>
        <w:tc>
          <w:tcPr>
            <w:tcW w:w="1843" w:type="dxa"/>
          </w:tcPr>
          <w:p w14:paraId="0357EFCD" w14:textId="6DA58CD5" w:rsidR="00C76D9A" w:rsidRDefault="003C56FE" w:rsidP="00C76D9A">
            <w:pPr>
              <w:pStyle w:val="naiskr"/>
              <w:spacing w:before="0" w:after="0"/>
              <w:jc w:val="both"/>
            </w:pPr>
            <w:r>
              <w:t>1., 3</w:t>
            </w:r>
            <w:r w:rsidR="0075203E">
              <w:t>.punkts</w:t>
            </w:r>
          </w:p>
        </w:tc>
        <w:tc>
          <w:tcPr>
            <w:tcW w:w="1701" w:type="dxa"/>
          </w:tcPr>
          <w:p w14:paraId="5F974C95" w14:textId="77777777" w:rsidR="00C76D9A" w:rsidRDefault="00C76D9A" w:rsidP="00C76D9A">
            <w:pPr>
              <w:pStyle w:val="naiskr"/>
              <w:spacing w:before="0" w:after="0"/>
              <w:jc w:val="both"/>
            </w:pPr>
            <w:r>
              <w:t>Atbilst pilnībā</w:t>
            </w:r>
          </w:p>
        </w:tc>
        <w:tc>
          <w:tcPr>
            <w:tcW w:w="3777" w:type="dxa"/>
          </w:tcPr>
          <w:p w14:paraId="4A61EA69" w14:textId="77777777" w:rsidR="00C76D9A" w:rsidRDefault="00C76D9A" w:rsidP="00C76D9A">
            <w:pPr>
              <w:pStyle w:val="naiskr"/>
              <w:spacing w:before="0" w:after="0"/>
              <w:jc w:val="both"/>
            </w:pPr>
            <w:r>
              <w:t>Netiek noteiktas stingrākas prasības.</w:t>
            </w:r>
          </w:p>
        </w:tc>
      </w:tr>
      <w:tr w:rsidR="00C76D9A" w14:paraId="0DB0AE3D" w14:textId="77777777" w:rsidTr="00243384">
        <w:trPr>
          <w:trHeight w:val="313"/>
          <w:jc w:val="center"/>
        </w:trPr>
        <w:tc>
          <w:tcPr>
            <w:tcW w:w="1898" w:type="dxa"/>
          </w:tcPr>
          <w:p w14:paraId="7BD9533F" w14:textId="0350D860" w:rsidR="00C76D9A" w:rsidRDefault="00C76D9A" w:rsidP="00C76D9A">
            <w:pPr>
              <w:pStyle w:val="naiskr"/>
              <w:spacing w:before="0" w:after="0"/>
              <w:jc w:val="both"/>
            </w:pPr>
            <w:r>
              <w:t>2.</w:t>
            </w:r>
            <w:r w:rsidR="006C4750">
              <w:t> </w:t>
            </w:r>
            <w:r>
              <w:t>panta otrā daļa</w:t>
            </w:r>
          </w:p>
        </w:tc>
        <w:tc>
          <w:tcPr>
            <w:tcW w:w="1843" w:type="dxa"/>
          </w:tcPr>
          <w:p w14:paraId="5B5B953E" w14:textId="77777777" w:rsidR="00C76D9A" w:rsidRDefault="00C76D9A" w:rsidP="00C76D9A">
            <w:pPr>
              <w:pStyle w:val="naiskr"/>
              <w:spacing w:before="0" w:after="0"/>
              <w:jc w:val="both"/>
            </w:pPr>
          </w:p>
        </w:tc>
        <w:tc>
          <w:tcPr>
            <w:tcW w:w="1701" w:type="dxa"/>
          </w:tcPr>
          <w:p w14:paraId="63794104" w14:textId="77777777" w:rsidR="00C76D9A" w:rsidRDefault="00C76D9A" w:rsidP="00C76D9A">
            <w:pPr>
              <w:pStyle w:val="naiskr"/>
              <w:spacing w:before="0" w:after="0"/>
              <w:jc w:val="both"/>
            </w:pPr>
            <w:r>
              <w:t xml:space="preserve">Netiks pārņemts </w:t>
            </w:r>
          </w:p>
        </w:tc>
        <w:tc>
          <w:tcPr>
            <w:tcW w:w="3777" w:type="dxa"/>
          </w:tcPr>
          <w:p w14:paraId="3DC019F5" w14:textId="4F8B9B98" w:rsidR="00C76D9A" w:rsidRDefault="00C76D9A" w:rsidP="00C76D9A">
            <w:pPr>
              <w:pStyle w:val="naiskr"/>
              <w:spacing w:before="0" w:after="0"/>
              <w:jc w:val="both"/>
            </w:pPr>
            <w:r>
              <w:t xml:space="preserve">Attiecas uz </w:t>
            </w:r>
            <w:r w:rsidR="006C4750">
              <w:t xml:space="preserve">ES </w:t>
            </w:r>
            <w:r>
              <w:t>dalībvalstu pienākumu paziņot Komisijai savu tiesību aktu galvenos noteikumus.</w:t>
            </w:r>
          </w:p>
        </w:tc>
      </w:tr>
      <w:tr w:rsidR="00C76D9A" w14:paraId="013D6380" w14:textId="77777777" w:rsidTr="00243384">
        <w:trPr>
          <w:trHeight w:val="313"/>
          <w:jc w:val="center"/>
        </w:trPr>
        <w:tc>
          <w:tcPr>
            <w:tcW w:w="1898" w:type="dxa"/>
          </w:tcPr>
          <w:p w14:paraId="4E1912A8" w14:textId="4F898788" w:rsidR="00C76D9A" w:rsidRDefault="00C76D9A" w:rsidP="00C76D9A">
            <w:pPr>
              <w:pStyle w:val="naiskr"/>
              <w:spacing w:before="0" w:after="0"/>
              <w:jc w:val="both"/>
            </w:pPr>
            <w:r>
              <w:t>3.</w:t>
            </w:r>
            <w:r w:rsidR="006C4750">
              <w:t> </w:t>
            </w:r>
            <w:r>
              <w:t>pants</w:t>
            </w:r>
          </w:p>
        </w:tc>
        <w:tc>
          <w:tcPr>
            <w:tcW w:w="1843" w:type="dxa"/>
          </w:tcPr>
          <w:p w14:paraId="32ED8F39" w14:textId="77777777" w:rsidR="00C76D9A" w:rsidRDefault="00C76D9A" w:rsidP="00C76D9A">
            <w:pPr>
              <w:pStyle w:val="naiskr"/>
              <w:spacing w:before="0" w:after="0"/>
              <w:jc w:val="both"/>
            </w:pPr>
          </w:p>
        </w:tc>
        <w:tc>
          <w:tcPr>
            <w:tcW w:w="1701" w:type="dxa"/>
          </w:tcPr>
          <w:p w14:paraId="5E9C4F87" w14:textId="77777777" w:rsidR="00C76D9A" w:rsidRDefault="00C76D9A" w:rsidP="00C76D9A">
            <w:pPr>
              <w:pStyle w:val="naiskr"/>
              <w:spacing w:before="0" w:after="0"/>
              <w:jc w:val="both"/>
            </w:pPr>
            <w:r>
              <w:t>Netiks pārņemts</w:t>
            </w:r>
          </w:p>
        </w:tc>
        <w:tc>
          <w:tcPr>
            <w:tcW w:w="3777" w:type="dxa"/>
          </w:tcPr>
          <w:p w14:paraId="2DA3D55F" w14:textId="77777777" w:rsidR="00C76D9A" w:rsidRDefault="00C76D9A" w:rsidP="00C76D9A">
            <w:pPr>
              <w:pStyle w:val="naiskr"/>
              <w:spacing w:before="0" w:after="0"/>
              <w:jc w:val="both"/>
            </w:pPr>
            <w:r>
              <w:t>Direktīvas spēkā stāšanās noteikumi.</w:t>
            </w:r>
          </w:p>
        </w:tc>
      </w:tr>
      <w:tr w:rsidR="00C76D9A" w14:paraId="4D743745" w14:textId="77777777" w:rsidTr="00243384">
        <w:trPr>
          <w:trHeight w:val="313"/>
          <w:jc w:val="center"/>
        </w:trPr>
        <w:tc>
          <w:tcPr>
            <w:tcW w:w="1898" w:type="dxa"/>
          </w:tcPr>
          <w:p w14:paraId="2B1ECBA4" w14:textId="6A215023" w:rsidR="00C76D9A" w:rsidRDefault="00C76D9A" w:rsidP="00C76D9A">
            <w:pPr>
              <w:pStyle w:val="naiskr"/>
              <w:spacing w:before="0" w:after="0"/>
              <w:jc w:val="both"/>
            </w:pPr>
            <w:r>
              <w:t>4.</w:t>
            </w:r>
            <w:r w:rsidR="006C4750">
              <w:t> </w:t>
            </w:r>
            <w:r>
              <w:t>pants</w:t>
            </w:r>
          </w:p>
        </w:tc>
        <w:tc>
          <w:tcPr>
            <w:tcW w:w="1843" w:type="dxa"/>
          </w:tcPr>
          <w:p w14:paraId="57771783" w14:textId="77777777" w:rsidR="00C76D9A" w:rsidRDefault="00C76D9A" w:rsidP="00C76D9A">
            <w:pPr>
              <w:pStyle w:val="naiskr"/>
              <w:spacing w:before="0" w:after="0"/>
              <w:jc w:val="both"/>
            </w:pPr>
          </w:p>
        </w:tc>
        <w:tc>
          <w:tcPr>
            <w:tcW w:w="1701" w:type="dxa"/>
          </w:tcPr>
          <w:p w14:paraId="0ECDE621" w14:textId="77777777" w:rsidR="00C76D9A" w:rsidRDefault="00C76D9A" w:rsidP="00C76D9A">
            <w:pPr>
              <w:pStyle w:val="naiskr"/>
              <w:spacing w:before="0" w:after="0"/>
              <w:jc w:val="both"/>
            </w:pPr>
            <w:r>
              <w:t>Netiks pārņemts</w:t>
            </w:r>
          </w:p>
        </w:tc>
        <w:tc>
          <w:tcPr>
            <w:tcW w:w="3777" w:type="dxa"/>
          </w:tcPr>
          <w:p w14:paraId="0C024094" w14:textId="77777777" w:rsidR="00C76D9A" w:rsidRDefault="00C76D9A" w:rsidP="00C76D9A">
            <w:pPr>
              <w:pStyle w:val="naiskr"/>
              <w:spacing w:before="0" w:after="0"/>
              <w:jc w:val="both"/>
            </w:pPr>
            <w:r>
              <w:t>Direktīvas adresāti</w:t>
            </w:r>
          </w:p>
        </w:tc>
      </w:tr>
      <w:tr w:rsidR="00C76D9A" w14:paraId="442383CA" w14:textId="77777777" w:rsidTr="00243384">
        <w:trPr>
          <w:trHeight w:val="313"/>
          <w:jc w:val="center"/>
        </w:trPr>
        <w:tc>
          <w:tcPr>
            <w:tcW w:w="1898" w:type="dxa"/>
          </w:tcPr>
          <w:p w14:paraId="7E79332C" w14:textId="77777777" w:rsidR="00C76D9A" w:rsidRDefault="00C76D9A" w:rsidP="00C76D9A">
            <w:pPr>
              <w:pStyle w:val="naiskr"/>
              <w:spacing w:before="0" w:after="0"/>
              <w:jc w:val="both"/>
            </w:pPr>
            <w:r>
              <w:t>Pielikums</w:t>
            </w:r>
          </w:p>
        </w:tc>
        <w:tc>
          <w:tcPr>
            <w:tcW w:w="1843" w:type="dxa"/>
          </w:tcPr>
          <w:p w14:paraId="0AAD0869" w14:textId="37B47268" w:rsidR="00C76D9A" w:rsidRDefault="0075203E" w:rsidP="00C76D9A">
            <w:pPr>
              <w:pStyle w:val="naiskr"/>
              <w:spacing w:before="0" w:after="0"/>
              <w:jc w:val="both"/>
            </w:pPr>
            <w:r>
              <w:t>2.punkts</w:t>
            </w:r>
          </w:p>
        </w:tc>
        <w:tc>
          <w:tcPr>
            <w:tcW w:w="1701" w:type="dxa"/>
          </w:tcPr>
          <w:p w14:paraId="2B286D80" w14:textId="77777777" w:rsidR="00C76D9A" w:rsidRDefault="00C76D9A" w:rsidP="00C76D9A">
            <w:pPr>
              <w:pStyle w:val="naiskr"/>
              <w:spacing w:before="0" w:after="0"/>
              <w:jc w:val="both"/>
            </w:pPr>
            <w:r>
              <w:t>Atbilst pilnībā</w:t>
            </w:r>
          </w:p>
        </w:tc>
        <w:tc>
          <w:tcPr>
            <w:tcW w:w="3777" w:type="dxa"/>
          </w:tcPr>
          <w:p w14:paraId="48FD9AAC" w14:textId="77777777" w:rsidR="00C76D9A" w:rsidRDefault="00C76D9A" w:rsidP="00C76D9A">
            <w:pPr>
              <w:pStyle w:val="naiskr"/>
              <w:spacing w:before="0" w:after="0"/>
              <w:jc w:val="both"/>
            </w:pPr>
            <w:r>
              <w:t>Netiek noteiktas stingrākas prasības.</w:t>
            </w:r>
          </w:p>
        </w:tc>
      </w:tr>
    </w:tbl>
    <w:p w14:paraId="1F9EC77A" w14:textId="77777777" w:rsidR="00D274B8" w:rsidRDefault="00D274B8" w:rsidP="00D274B8">
      <w:pPr>
        <w:pStyle w:val="naisf"/>
        <w:spacing w:before="0" w:after="0"/>
        <w:ind w:firstLine="0"/>
      </w:pPr>
    </w:p>
    <w:tbl>
      <w:tblPr>
        <w:tblW w:w="9376" w:type="dxa"/>
        <w:tblCellSpacing w:w="0"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694"/>
        <w:gridCol w:w="6682"/>
      </w:tblGrid>
      <w:tr w:rsidR="00D274B8" w:rsidRPr="006C4B9F" w14:paraId="00C56816" w14:textId="77777777" w:rsidTr="00D82C8B">
        <w:trPr>
          <w:trHeight w:val="281"/>
          <w:tblCellSpacing w:w="0" w:type="dxa"/>
        </w:trPr>
        <w:tc>
          <w:tcPr>
            <w:tcW w:w="2694" w:type="dxa"/>
            <w:tcBorders>
              <w:left w:val="single" w:sz="4" w:space="0" w:color="auto"/>
              <w:bottom w:val="single" w:sz="4" w:space="0" w:color="auto"/>
            </w:tcBorders>
            <w:vAlign w:val="center"/>
          </w:tcPr>
          <w:p w14:paraId="295745C0" w14:textId="77777777" w:rsidR="00D274B8" w:rsidRPr="006C4B9F" w:rsidRDefault="00D274B8" w:rsidP="00B227DD">
            <w:pPr>
              <w:pStyle w:val="naiskr"/>
              <w:spacing w:before="0" w:after="0"/>
              <w:jc w:val="both"/>
            </w:pPr>
            <w:r w:rsidRPr="006C4B9F">
              <w:t> Kā ir izmantota ES tiesību aktā paredzētā rīcības brīvība dalībvalstij pārņemt vai ieviest noteiktas ES tiesību akta normas.</w:t>
            </w:r>
          </w:p>
          <w:p w14:paraId="141B9398" w14:textId="77777777" w:rsidR="00D274B8" w:rsidRPr="006C4B9F" w:rsidRDefault="00D274B8" w:rsidP="00B227DD">
            <w:pPr>
              <w:pStyle w:val="naiskr"/>
              <w:spacing w:before="0" w:after="0"/>
              <w:jc w:val="both"/>
            </w:pPr>
            <w:r w:rsidRPr="006C4B9F">
              <w:t>Kādēļ?</w:t>
            </w:r>
          </w:p>
        </w:tc>
        <w:tc>
          <w:tcPr>
            <w:tcW w:w="6682" w:type="dxa"/>
            <w:tcBorders>
              <w:bottom w:val="single" w:sz="4" w:space="0" w:color="auto"/>
              <w:right w:val="single" w:sz="4" w:space="0" w:color="auto"/>
            </w:tcBorders>
          </w:tcPr>
          <w:p w14:paraId="10289AC0" w14:textId="5DEF2E04" w:rsidR="00D274B8" w:rsidRPr="00120E6E" w:rsidRDefault="00EA4A0C" w:rsidP="003C56FE">
            <w:pPr>
              <w:jc w:val="both"/>
            </w:pPr>
            <w:r w:rsidRPr="00AE5B55">
              <w:t>Direkt</w:t>
            </w:r>
            <w:r>
              <w:t>īva</w:t>
            </w:r>
            <w:r w:rsidRPr="00AE5B55">
              <w:t xml:space="preserve"> </w:t>
            </w:r>
            <w:r w:rsidR="003C56FE">
              <w:t>2019/1845</w:t>
            </w:r>
            <w:r w:rsidRPr="00AE5B55">
              <w:t xml:space="preserve">/ES </w:t>
            </w:r>
            <w:r w:rsidR="00D274B8">
              <w:t xml:space="preserve">neparedz rīcības brīvību </w:t>
            </w:r>
            <w:r w:rsidR="006C4750">
              <w:t xml:space="preserve">ES </w:t>
            </w:r>
            <w:r w:rsidR="00D274B8">
              <w:t xml:space="preserve">dalībvalstij </w:t>
            </w:r>
            <w:r w:rsidR="00D274B8" w:rsidRPr="006C4B9F">
              <w:t>pārņemt vai ieviest noteiktas ES tiesību akta normas</w:t>
            </w:r>
            <w:r w:rsidR="00D274B8">
              <w:t>.</w:t>
            </w:r>
          </w:p>
        </w:tc>
      </w:tr>
      <w:tr w:rsidR="00D274B8" w:rsidRPr="006C4B9F" w14:paraId="434F04EF" w14:textId="77777777" w:rsidTr="00D82C8B">
        <w:trPr>
          <w:trHeight w:val="913"/>
          <w:tblCellSpacing w:w="0" w:type="dxa"/>
        </w:trPr>
        <w:tc>
          <w:tcPr>
            <w:tcW w:w="2694" w:type="dxa"/>
            <w:tcBorders>
              <w:top w:val="single" w:sz="4" w:space="0" w:color="auto"/>
              <w:left w:val="single" w:sz="4" w:space="0" w:color="auto"/>
              <w:bottom w:val="single" w:sz="4" w:space="0" w:color="auto"/>
            </w:tcBorders>
            <w:vAlign w:val="center"/>
          </w:tcPr>
          <w:p w14:paraId="3036B2AD" w14:textId="77777777" w:rsidR="00D274B8" w:rsidRPr="006C4B9F" w:rsidRDefault="00D274B8" w:rsidP="00B227DD">
            <w:pPr>
              <w:pStyle w:val="naiskr"/>
              <w:spacing w:before="0" w:after="0"/>
              <w:jc w:val="both"/>
            </w:pPr>
            <w:r w:rsidRPr="006C4B9F">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82" w:type="dxa"/>
            <w:tcBorders>
              <w:top w:val="single" w:sz="4" w:space="0" w:color="auto"/>
              <w:bottom w:val="single" w:sz="4" w:space="0" w:color="auto"/>
              <w:right w:val="single" w:sz="4" w:space="0" w:color="auto"/>
            </w:tcBorders>
          </w:tcPr>
          <w:p w14:paraId="3D716C28" w14:textId="77777777" w:rsidR="00D274B8" w:rsidRPr="006C4B9F" w:rsidRDefault="00D274B8" w:rsidP="00B227DD">
            <w:pPr>
              <w:pStyle w:val="naiskr"/>
              <w:spacing w:before="0" w:after="0"/>
            </w:pPr>
            <w:r w:rsidRPr="006C4B9F">
              <w:t> </w:t>
            </w:r>
            <w:r>
              <w:t>Projekts šo jomu neskar.</w:t>
            </w:r>
          </w:p>
        </w:tc>
      </w:tr>
      <w:tr w:rsidR="00D274B8" w:rsidRPr="006C4B9F" w14:paraId="3308DB3F" w14:textId="77777777" w:rsidTr="00D82C8B">
        <w:trPr>
          <w:trHeight w:val="579"/>
          <w:tblCellSpacing w:w="0" w:type="dxa"/>
        </w:trPr>
        <w:tc>
          <w:tcPr>
            <w:tcW w:w="2694" w:type="dxa"/>
          </w:tcPr>
          <w:p w14:paraId="497D2CD3" w14:textId="77777777" w:rsidR="00D274B8" w:rsidRPr="006C4B9F" w:rsidRDefault="00D274B8" w:rsidP="00B227DD">
            <w:pPr>
              <w:pStyle w:val="naiskr"/>
              <w:spacing w:before="0" w:after="0"/>
            </w:pPr>
            <w:r w:rsidRPr="006C4B9F">
              <w:t> Cita informācija</w:t>
            </w:r>
          </w:p>
        </w:tc>
        <w:tc>
          <w:tcPr>
            <w:tcW w:w="6682" w:type="dxa"/>
            <w:tcBorders>
              <w:right w:val="single" w:sz="4" w:space="0" w:color="auto"/>
            </w:tcBorders>
          </w:tcPr>
          <w:p w14:paraId="622D78FC" w14:textId="3F7BE044" w:rsidR="00D274B8" w:rsidRPr="006C4B9F" w:rsidRDefault="00D274B8" w:rsidP="00B227DD">
            <w:pPr>
              <w:pStyle w:val="naiskr"/>
              <w:spacing w:before="0" w:after="0"/>
              <w:jc w:val="both"/>
            </w:pPr>
            <w:r>
              <w:t>Nav</w:t>
            </w:r>
            <w:r w:rsidR="002B3353">
              <w:t>.</w:t>
            </w:r>
          </w:p>
          <w:p w14:paraId="05874FB1" w14:textId="77777777" w:rsidR="00D274B8" w:rsidRPr="006C4B9F" w:rsidRDefault="00D274B8" w:rsidP="00B227DD">
            <w:pPr>
              <w:pStyle w:val="naiskr"/>
              <w:spacing w:before="0" w:after="0"/>
              <w:jc w:val="both"/>
            </w:pPr>
          </w:p>
        </w:tc>
      </w:tr>
    </w:tbl>
    <w:p w14:paraId="75CFBE39" w14:textId="77777777" w:rsidR="00D274B8" w:rsidRPr="006C4B9F" w:rsidRDefault="00D274B8" w:rsidP="00D274B8">
      <w:pPr>
        <w:pStyle w:val="naisf"/>
        <w:ind w:firstLine="0"/>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274B8" w14:paraId="773FB1AF" w14:textId="77777777" w:rsidTr="003C56FE">
        <w:tc>
          <w:tcPr>
            <w:tcW w:w="9498" w:type="dxa"/>
            <w:tcBorders>
              <w:top w:val="single" w:sz="4" w:space="0" w:color="auto"/>
              <w:left w:val="single" w:sz="4" w:space="0" w:color="auto"/>
              <w:bottom w:val="single" w:sz="4" w:space="0" w:color="auto"/>
              <w:right w:val="single" w:sz="4" w:space="0" w:color="auto"/>
            </w:tcBorders>
            <w:hideMark/>
          </w:tcPr>
          <w:p w14:paraId="3DC195B5" w14:textId="77777777" w:rsidR="00D274B8" w:rsidRDefault="00D274B8" w:rsidP="00B227D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3C56FE">
        <w:tc>
          <w:tcPr>
            <w:tcW w:w="9498" w:type="dxa"/>
            <w:tcBorders>
              <w:top w:val="single" w:sz="4" w:space="0" w:color="auto"/>
              <w:left w:val="single" w:sz="4" w:space="0" w:color="auto"/>
              <w:bottom w:val="single" w:sz="4" w:space="0" w:color="auto"/>
              <w:right w:val="single" w:sz="4" w:space="0" w:color="auto"/>
            </w:tcBorders>
          </w:tcPr>
          <w:p w14:paraId="61908F04" w14:textId="79E0C180" w:rsidR="00EA67D7" w:rsidRPr="00FF72C6" w:rsidRDefault="006C4750" w:rsidP="00B227DD">
            <w:pPr>
              <w:spacing w:line="256" w:lineRule="auto"/>
              <w:jc w:val="center"/>
              <w:rPr>
                <w:lang w:eastAsia="en-US"/>
              </w:rPr>
            </w:pPr>
            <w:r>
              <w:rPr>
                <w:lang w:eastAsia="en-US"/>
              </w:rPr>
              <w:t>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D82C8B">
        <w:trPr>
          <w:trHeight w:val="1515"/>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6F89829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 xml:space="preserve">970 </w:t>
            </w:r>
            <w:r w:rsidR="005A59DE">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5F84575B" w14:textId="6A6CD1B9" w:rsidR="00D274B8" w:rsidRPr="00FB41DC" w:rsidRDefault="00D274B8" w:rsidP="00DC6E41">
            <w:pPr>
              <w:pStyle w:val="naiskr"/>
              <w:spacing w:before="0" w:after="0"/>
              <w:ind w:right="57"/>
              <w:jc w:val="both"/>
            </w:pPr>
            <w:r>
              <w:t xml:space="preserve">Noteikumu projekts un </w:t>
            </w:r>
            <w:r w:rsidR="005A59DE">
              <w:t xml:space="preserve">tā </w:t>
            </w:r>
            <w:r>
              <w:t>sākotnējās ietekmes novērtējuma ziņojums</w:t>
            </w:r>
            <w:r w:rsidR="005A59DE">
              <w:t xml:space="preserve"> (anotācija)</w:t>
            </w:r>
            <w:r>
              <w:t xml:space="preserve"> </w:t>
            </w:r>
            <w:r w:rsidR="006C6C76">
              <w:t xml:space="preserve">2020.gada 10.martā </w:t>
            </w:r>
            <w:r>
              <w:t>tik</w:t>
            </w:r>
            <w:r w:rsidR="006C6C76">
              <w:t>a</w:t>
            </w:r>
            <w:r w:rsidRPr="009B45E5">
              <w:t xml:space="preserve"> </w:t>
            </w:r>
            <w:r>
              <w:t>publicēt</w:t>
            </w:r>
            <w:r w:rsidR="005A59DE">
              <w:t xml:space="preserve">a </w:t>
            </w:r>
            <w:r>
              <w:t xml:space="preserve"> </w:t>
            </w:r>
            <w:r w:rsidR="00DC6E41">
              <w:t xml:space="preserve">VARAM </w:t>
            </w:r>
            <w:r>
              <w:t>tīmekļvietnē: </w:t>
            </w:r>
            <w:hyperlink r:id="rId8" w:history="1">
              <w:r w:rsidRPr="00EB4802">
                <w:rPr>
                  <w:rStyle w:val="Hyperlink"/>
                </w:rPr>
                <w:t>www.varam.gov.lv</w:t>
              </w:r>
            </w:hyperlink>
            <w:r w:rsidR="00DC6E41">
              <w:t xml:space="preserve"> un Valsts kancelejas tīmekļvietnē: </w:t>
            </w:r>
            <w:hyperlink r:id="rId9" w:history="1">
              <w:r w:rsidR="00DC6E41" w:rsidRPr="00FC564E">
                <w:rPr>
                  <w:rStyle w:val="Hyperlink"/>
                </w:rPr>
                <w:t>https://mk.gov.lv/lv/content/sabiedribas-lidzdaliba</w:t>
              </w:r>
            </w:hyperlink>
            <w:r w:rsidR="00DC6E41">
              <w:t xml:space="preserve"> .</w:t>
            </w: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lastRenderedPageBreak/>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2785BF85" w14:textId="217EA98A" w:rsidR="00D274B8" w:rsidRPr="00FB41DC" w:rsidRDefault="006C6C76" w:rsidP="006C6C76">
            <w:pPr>
              <w:pStyle w:val="naiskr"/>
              <w:spacing w:before="0" w:after="0"/>
              <w:ind w:right="57"/>
              <w:jc w:val="both"/>
            </w:pPr>
            <w:bookmarkStart w:id="0" w:name="_GoBack"/>
            <w:bookmarkEnd w:id="0"/>
            <w:r>
              <w:t>P</w:t>
            </w:r>
            <w:r w:rsidR="009E3289">
              <w:t>ar noteikumu projektu un tā sākotnējās ietekmes novērtējuma ziņojumu</w:t>
            </w:r>
            <w:r w:rsidR="005A59DE">
              <w:t xml:space="preserve"> (anotāciju)</w:t>
            </w:r>
            <w:r>
              <w:t xml:space="preserve"> sabiedriskās apspriešanas laikā netika saņemti </w:t>
            </w:r>
            <w:r>
              <w:t>priekšlikumu vai iebildumu</w:t>
            </w:r>
            <w:r w:rsidR="009E3289">
              <w:t>.</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77777777" w:rsidR="00D274B8" w:rsidRPr="00FB41DC" w:rsidRDefault="00D274B8" w:rsidP="00B227DD">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382E2DE6" w:rsidR="00D274B8" w:rsidRPr="00FB41DC" w:rsidRDefault="00D274B8" w:rsidP="00B227DD">
            <w:pPr>
              <w:pStyle w:val="naiskr"/>
              <w:spacing w:before="0" w:after="0"/>
              <w:ind w:right="57"/>
              <w:jc w:val="both"/>
            </w:pPr>
            <w:r>
              <w:t>Nav</w:t>
            </w:r>
            <w:r w:rsidR="005A59DE">
              <w:t>.</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5EA39A35" w:rsidR="00D274B8" w:rsidRPr="00563D3C" w:rsidRDefault="00DC6E41" w:rsidP="003C56FE">
            <w:pPr>
              <w:pStyle w:val="naisc"/>
              <w:spacing w:before="0" w:after="0"/>
              <w:jc w:val="both"/>
            </w:pPr>
            <w:r>
              <w:t>VARAM</w:t>
            </w:r>
            <w:r w:rsidR="00D274B8" w:rsidRPr="00563D3C">
              <w:t xml:space="preserve">, Patērētāju tiesību aizsardzības </w:t>
            </w:r>
            <w:r w:rsidR="003C56FE">
              <w:t>centrs</w:t>
            </w:r>
            <w:r w:rsidR="005A59DE">
              <w:t>.</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77777777" w:rsidR="00D274B8" w:rsidRPr="00FB41DC" w:rsidRDefault="00D274B8" w:rsidP="00B227DD">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455FD24C" w:rsidR="00D274B8" w:rsidRPr="00FB41DC" w:rsidRDefault="00D274B8" w:rsidP="00B227DD">
            <w:pPr>
              <w:pStyle w:val="naiskr"/>
              <w:spacing w:before="0" w:after="0"/>
              <w:ind w:left="57" w:right="57"/>
            </w:pPr>
            <w:r>
              <w:t>Nav</w:t>
            </w:r>
            <w:r w:rsidR="005A59DE">
              <w:t>.</w:t>
            </w:r>
          </w:p>
        </w:tc>
      </w:tr>
    </w:tbl>
    <w:p w14:paraId="3BD72FBB" w14:textId="77777777" w:rsidR="00D274B8" w:rsidRDefault="00D274B8" w:rsidP="00D274B8">
      <w:pPr>
        <w:pStyle w:val="naisf"/>
        <w:spacing w:before="0" w:after="0"/>
        <w:ind w:firstLine="374"/>
        <w:rPr>
          <w:b/>
        </w:rPr>
      </w:pPr>
    </w:p>
    <w:p w14:paraId="7159CBC6" w14:textId="77777777" w:rsidR="005A59DE" w:rsidRDefault="005A59DE" w:rsidP="00D274B8">
      <w:pPr>
        <w:pStyle w:val="tv2161"/>
        <w:spacing w:before="0" w:line="240" w:lineRule="auto"/>
        <w:ind w:firstLine="0"/>
        <w:jc w:val="both"/>
        <w:rPr>
          <w:rFonts w:ascii="Times New Roman" w:hAnsi="Times New Roman"/>
          <w:sz w:val="24"/>
          <w:szCs w:val="24"/>
        </w:rPr>
      </w:pPr>
    </w:p>
    <w:p w14:paraId="177ED532" w14:textId="77777777" w:rsidR="005A59DE" w:rsidRDefault="005A59DE" w:rsidP="00D274B8">
      <w:pPr>
        <w:pStyle w:val="tv2161"/>
        <w:spacing w:before="0" w:line="240" w:lineRule="auto"/>
        <w:ind w:firstLine="0"/>
        <w:jc w:val="both"/>
        <w:rPr>
          <w:rFonts w:ascii="Times New Roman" w:hAnsi="Times New Roman"/>
          <w:sz w:val="24"/>
          <w:szCs w:val="24"/>
        </w:rPr>
      </w:pPr>
    </w:p>
    <w:p w14:paraId="494EFCBD" w14:textId="0D3A7A9F"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05D3DAF7" w:rsidR="00D274B8" w:rsidRDefault="00D274B8" w:rsidP="00D274B8">
      <w:r>
        <w:t>reģionālās attīstīb</w:t>
      </w:r>
      <w:r w:rsidR="00DC6E41">
        <w:t>as ministrs</w:t>
      </w:r>
      <w:r w:rsidR="00DC6E41">
        <w:tab/>
      </w:r>
      <w:r w:rsidR="00DC6E41">
        <w:tab/>
      </w:r>
      <w:r w:rsidR="00DC6E41">
        <w:tab/>
      </w:r>
      <w:r w:rsidR="00DC6E41">
        <w:tab/>
      </w:r>
      <w:r w:rsidR="00DC6E41">
        <w:tab/>
        <w:t>Juris Pūce</w:t>
      </w:r>
    </w:p>
    <w:p w14:paraId="78009484" w14:textId="77777777" w:rsidR="00D274B8" w:rsidRPr="00ED433D" w:rsidRDefault="00D274B8" w:rsidP="00D274B8"/>
    <w:p w14:paraId="7177D0AB" w14:textId="77777777" w:rsidR="005A59DE" w:rsidRDefault="005A59DE" w:rsidP="00D274B8">
      <w:pPr>
        <w:rPr>
          <w:sz w:val="20"/>
          <w:szCs w:val="20"/>
        </w:rPr>
      </w:pPr>
    </w:p>
    <w:p w14:paraId="7080A684" w14:textId="77777777" w:rsidR="005A59DE" w:rsidRDefault="005A59DE" w:rsidP="00D274B8">
      <w:pPr>
        <w:rPr>
          <w:sz w:val="20"/>
          <w:szCs w:val="20"/>
        </w:rPr>
      </w:pPr>
    </w:p>
    <w:p w14:paraId="7B9B011A" w14:textId="77777777" w:rsidR="005A59DE" w:rsidRDefault="005A59DE" w:rsidP="00D274B8">
      <w:pPr>
        <w:rPr>
          <w:sz w:val="20"/>
          <w:szCs w:val="20"/>
        </w:rPr>
      </w:pPr>
    </w:p>
    <w:p w14:paraId="494E7C92" w14:textId="12810B4B"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229EF6E5" w14:textId="0823A64F" w:rsidR="000D6C3A" w:rsidRPr="00170129" w:rsidRDefault="006C6C76">
      <w:pPr>
        <w:rPr>
          <w:sz w:val="20"/>
          <w:szCs w:val="20"/>
        </w:rPr>
      </w:pPr>
      <w:hyperlink r:id="rId10" w:history="1">
        <w:r w:rsidR="00D274B8" w:rsidRPr="00055928">
          <w:rPr>
            <w:rStyle w:val="Hyperlink"/>
            <w:sz w:val="20"/>
            <w:szCs w:val="20"/>
          </w:rPr>
          <w:t>ilze.donina@varam.gov.lv</w:t>
        </w:r>
      </w:hyperlink>
    </w:p>
    <w:sectPr w:rsidR="000D6C3A" w:rsidRPr="00170129" w:rsidSect="00B227DD">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694BF" w16cid:durableId="2210D1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E6E0" w14:textId="77777777" w:rsidR="00014D26" w:rsidRDefault="00014D26" w:rsidP="00EF735B">
      <w:r>
        <w:separator/>
      </w:r>
    </w:p>
  </w:endnote>
  <w:endnote w:type="continuationSeparator" w:id="0">
    <w:p w14:paraId="488ACA24" w14:textId="77777777" w:rsidR="00014D26" w:rsidRDefault="00014D26" w:rsidP="00EF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76B8" w14:textId="06C06CA0" w:rsidR="00B13F51" w:rsidRPr="005A59DE" w:rsidRDefault="00DC6E41" w:rsidP="005A59DE">
    <w:pPr>
      <w:jc w:val="both"/>
    </w:pPr>
    <w:r w:rsidRPr="002F2520">
      <w:rPr>
        <w:sz w:val="20"/>
        <w:szCs w:val="20"/>
      </w:rPr>
      <w:t>VARAMAnot_</w:t>
    </w:r>
    <w:r w:rsidR="004459C1">
      <w:rPr>
        <w:sz w:val="20"/>
        <w:szCs w:val="20"/>
      </w:rPr>
      <w:t>0903</w:t>
    </w:r>
    <w:r>
      <w:rPr>
        <w:sz w:val="20"/>
        <w:szCs w:val="20"/>
      </w:rPr>
      <w:t>20_groz84</w:t>
    </w:r>
    <w:r w:rsidRPr="002F2520">
      <w:rPr>
        <w:sz w:val="20"/>
        <w:szCs w:val="20"/>
      </w:rPr>
      <w:t>_ROHS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1A8D" w14:textId="4A3511F8" w:rsidR="00B13F51" w:rsidRPr="005A59DE" w:rsidRDefault="00B13F51" w:rsidP="005A59DE">
    <w:pPr>
      <w:jc w:val="both"/>
    </w:pPr>
    <w:r w:rsidRPr="002F2520">
      <w:rPr>
        <w:sz w:val="20"/>
        <w:szCs w:val="20"/>
      </w:rPr>
      <w:t>VARAMAnot_</w:t>
    </w:r>
    <w:r w:rsidR="004459C1">
      <w:rPr>
        <w:sz w:val="20"/>
        <w:szCs w:val="20"/>
      </w:rPr>
      <w:t>090320</w:t>
    </w:r>
    <w:r w:rsidR="00DC6E41">
      <w:rPr>
        <w:sz w:val="20"/>
        <w:szCs w:val="20"/>
      </w:rPr>
      <w:t>_groz84</w:t>
    </w:r>
    <w:r w:rsidRPr="002F2520">
      <w:rPr>
        <w:sz w:val="20"/>
        <w:szCs w:val="20"/>
      </w:rPr>
      <w:t>_ROHS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0F385" w14:textId="77777777" w:rsidR="00014D26" w:rsidRDefault="00014D26" w:rsidP="00EF735B">
      <w:r>
        <w:separator/>
      </w:r>
    </w:p>
  </w:footnote>
  <w:footnote w:type="continuationSeparator" w:id="0">
    <w:p w14:paraId="07247846" w14:textId="77777777" w:rsidR="00014D26" w:rsidRDefault="00014D26" w:rsidP="00EF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EAC" w14:textId="77777777" w:rsidR="00B13F51" w:rsidRDefault="00B13F51">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6C6C76">
      <w:rPr>
        <w:rStyle w:val="PageNumber"/>
        <w:noProof/>
      </w:rPr>
      <w:t>5</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8E0"/>
    <w:multiLevelType w:val="hybridMultilevel"/>
    <w:tmpl w:val="094A9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14D26"/>
    <w:rsid w:val="00033540"/>
    <w:rsid w:val="00041310"/>
    <w:rsid w:val="0004464E"/>
    <w:rsid w:val="00052EF6"/>
    <w:rsid w:val="00053159"/>
    <w:rsid w:val="000721F1"/>
    <w:rsid w:val="0008368D"/>
    <w:rsid w:val="00091748"/>
    <w:rsid w:val="000D424E"/>
    <w:rsid w:val="000D6C3A"/>
    <w:rsid w:val="000E4A56"/>
    <w:rsid w:val="000F0A45"/>
    <w:rsid w:val="00160609"/>
    <w:rsid w:val="00162753"/>
    <w:rsid w:val="001635E6"/>
    <w:rsid w:val="00170129"/>
    <w:rsid w:val="001E3FC4"/>
    <w:rsid w:val="001E621C"/>
    <w:rsid w:val="001E782A"/>
    <w:rsid w:val="00220954"/>
    <w:rsid w:val="00243384"/>
    <w:rsid w:val="00245F38"/>
    <w:rsid w:val="00280DEC"/>
    <w:rsid w:val="002A5F38"/>
    <w:rsid w:val="002B3353"/>
    <w:rsid w:val="002C0145"/>
    <w:rsid w:val="002C78B5"/>
    <w:rsid w:val="003056A4"/>
    <w:rsid w:val="003255DA"/>
    <w:rsid w:val="00337768"/>
    <w:rsid w:val="00352CFB"/>
    <w:rsid w:val="00366FBF"/>
    <w:rsid w:val="003925B8"/>
    <w:rsid w:val="003C56FE"/>
    <w:rsid w:val="003D5E27"/>
    <w:rsid w:val="003E3E2D"/>
    <w:rsid w:val="003F76D5"/>
    <w:rsid w:val="004126D2"/>
    <w:rsid w:val="004459C1"/>
    <w:rsid w:val="00447C76"/>
    <w:rsid w:val="00495094"/>
    <w:rsid w:val="004A7BC6"/>
    <w:rsid w:val="004B6319"/>
    <w:rsid w:val="004F4968"/>
    <w:rsid w:val="00517020"/>
    <w:rsid w:val="005207DE"/>
    <w:rsid w:val="0053435D"/>
    <w:rsid w:val="005A59DE"/>
    <w:rsid w:val="005B68AA"/>
    <w:rsid w:val="006143EC"/>
    <w:rsid w:val="00616C78"/>
    <w:rsid w:val="006231D5"/>
    <w:rsid w:val="0064594B"/>
    <w:rsid w:val="006737B8"/>
    <w:rsid w:val="00691EF4"/>
    <w:rsid w:val="006A011D"/>
    <w:rsid w:val="006C4750"/>
    <w:rsid w:val="006C6C76"/>
    <w:rsid w:val="006D3ABB"/>
    <w:rsid w:val="006E745E"/>
    <w:rsid w:val="00743586"/>
    <w:rsid w:val="0075203E"/>
    <w:rsid w:val="00770BB4"/>
    <w:rsid w:val="00777210"/>
    <w:rsid w:val="00795EA9"/>
    <w:rsid w:val="007E6360"/>
    <w:rsid w:val="008141BE"/>
    <w:rsid w:val="00815AC3"/>
    <w:rsid w:val="00820582"/>
    <w:rsid w:val="00835504"/>
    <w:rsid w:val="00897274"/>
    <w:rsid w:val="008A0AF2"/>
    <w:rsid w:val="008F6C3D"/>
    <w:rsid w:val="00940FD3"/>
    <w:rsid w:val="009533B2"/>
    <w:rsid w:val="009A1057"/>
    <w:rsid w:val="009B2422"/>
    <w:rsid w:val="009C1966"/>
    <w:rsid w:val="009C4E9A"/>
    <w:rsid w:val="009E3289"/>
    <w:rsid w:val="00A31E9A"/>
    <w:rsid w:val="00A56CA3"/>
    <w:rsid w:val="00AB308E"/>
    <w:rsid w:val="00AE5B55"/>
    <w:rsid w:val="00AE5E49"/>
    <w:rsid w:val="00AE6B54"/>
    <w:rsid w:val="00AF558B"/>
    <w:rsid w:val="00B0253A"/>
    <w:rsid w:val="00B13F51"/>
    <w:rsid w:val="00B227DD"/>
    <w:rsid w:val="00B3388A"/>
    <w:rsid w:val="00B57648"/>
    <w:rsid w:val="00B727A5"/>
    <w:rsid w:val="00BA2921"/>
    <w:rsid w:val="00BB358F"/>
    <w:rsid w:val="00BD148F"/>
    <w:rsid w:val="00BF0B60"/>
    <w:rsid w:val="00C16EF8"/>
    <w:rsid w:val="00C17FDA"/>
    <w:rsid w:val="00C4444C"/>
    <w:rsid w:val="00C76D9A"/>
    <w:rsid w:val="00CC1236"/>
    <w:rsid w:val="00CD4423"/>
    <w:rsid w:val="00D07C46"/>
    <w:rsid w:val="00D274B8"/>
    <w:rsid w:val="00D50F9B"/>
    <w:rsid w:val="00D554C3"/>
    <w:rsid w:val="00D76A86"/>
    <w:rsid w:val="00D76E00"/>
    <w:rsid w:val="00D82C8B"/>
    <w:rsid w:val="00D97720"/>
    <w:rsid w:val="00DC6E41"/>
    <w:rsid w:val="00DC742E"/>
    <w:rsid w:val="00DD34CD"/>
    <w:rsid w:val="00E51158"/>
    <w:rsid w:val="00E86596"/>
    <w:rsid w:val="00E971B3"/>
    <w:rsid w:val="00EA4A0C"/>
    <w:rsid w:val="00EA67D7"/>
    <w:rsid w:val="00EC09B1"/>
    <w:rsid w:val="00EF735B"/>
    <w:rsid w:val="00F1514C"/>
    <w:rsid w:val="00F55792"/>
    <w:rsid w:val="00F82304"/>
    <w:rsid w:val="00F82F00"/>
    <w:rsid w:val="00F91044"/>
    <w:rsid w:val="00F93C2F"/>
    <w:rsid w:val="00F943BF"/>
    <w:rsid w:val="00FF72C6"/>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uiPriority w:val="34"/>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 w:type="paragraph" w:customStyle="1" w:styleId="Normal2">
    <w:name w:val="Normal2"/>
    <w:basedOn w:val="Normal"/>
    <w:rsid w:val="00160609"/>
    <w:pPr>
      <w:spacing w:before="100" w:beforeAutospacing="1" w:after="100" w:afterAutospacing="1"/>
    </w:pPr>
  </w:style>
  <w:style w:type="character" w:customStyle="1" w:styleId="sub">
    <w:name w:val="sub"/>
    <w:basedOn w:val="DefaultParagraphFont"/>
    <w:rsid w:val="00F91044"/>
  </w:style>
  <w:style w:type="character" w:customStyle="1" w:styleId="normaltextrun">
    <w:name w:val="normaltextrun"/>
    <w:rsid w:val="00B13F51"/>
  </w:style>
  <w:style w:type="character" w:customStyle="1" w:styleId="findhit">
    <w:name w:val="findhit"/>
    <w:rsid w:val="00B13F51"/>
  </w:style>
  <w:style w:type="character" w:customStyle="1" w:styleId="spellingerror">
    <w:name w:val="spellingerror"/>
    <w:rsid w:val="00B13F51"/>
  </w:style>
  <w:style w:type="paragraph" w:customStyle="1" w:styleId="Normal3">
    <w:name w:val="Normal3"/>
    <w:basedOn w:val="Normal"/>
    <w:rsid w:val="003F76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130">
      <w:bodyDiv w:val="1"/>
      <w:marLeft w:val="0"/>
      <w:marRight w:val="0"/>
      <w:marTop w:val="0"/>
      <w:marBottom w:val="0"/>
      <w:divBdr>
        <w:top w:val="none" w:sz="0" w:space="0" w:color="auto"/>
        <w:left w:val="none" w:sz="0" w:space="0" w:color="auto"/>
        <w:bottom w:val="none" w:sz="0" w:space="0" w:color="auto"/>
        <w:right w:val="none" w:sz="0" w:space="0" w:color="auto"/>
      </w:divBdr>
    </w:div>
    <w:div w:id="189999314">
      <w:bodyDiv w:val="1"/>
      <w:marLeft w:val="0"/>
      <w:marRight w:val="0"/>
      <w:marTop w:val="0"/>
      <w:marBottom w:val="0"/>
      <w:divBdr>
        <w:top w:val="none" w:sz="0" w:space="0" w:color="auto"/>
        <w:left w:val="none" w:sz="0" w:space="0" w:color="auto"/>
        <w:bottom w:val="none" w:sz="0" w:space="0" w:color="auto"/>
        <w:right w:val="none" w:sz="0" w:space="0" w:color="auto"/>
      </w:divBdr>
    </w:div>
    <w:div w:id="190186601">
      <w:bodyDiv w:val="1"/>
      <w:marLeft w:val="0"/>
      <w:marRight w:val="0"/>
      <w:marTop w:val="0"/>
      <w:marBottom w:val="0"/>
      <w:divBdr>
        <w:top w:val="none" w:sz="0" w:space="0" w:color="auto"/>
        <w:left w:val="none" w:sz="0" w:space="0" w:color="auto"/>
        <w:bottom w:val="none" w:sz="0" w:space="0" w:color="auto"/>
        <w:right w:val="none" w:sz="0" w:space="0" w:color="auto"/>
      </w:divBdr>
    </w:div>
    <w:div w:id="220799007">
      <w:bodyDiv w:val="1"/>
      <w:marLeft w:val="0"/>
      <w:marRight w:val="0"/>
      <w:marTop w:val="0"/>
      <w:marBottom w:val="0"/>
      <w:divBdr>
        <w:top w:val="none" w:sz="0" w:space="0" w:color="auto"/>
        <w:left w:val="none" w:sz="0" w:space="0" w:color="auto"/>
        <w:bottom w:val="none" w:sz="0" w:space="0" w:color="auto"/>
        <w:right w:val="none" w:sz="0" w:space="0" w:color="auto"/>
      </w:divBdr>
    </w:div>
    <w:div w:id="410586101">
      <w:bodyDiv w:val="1"/>
      <w:marLeft w:val="0"/>
      <w:marRight w:val="0"/>
      <w:marTop w:val="0"/>
      <w:marBottom w:val="0"/>
      <w:divBdr>
        <w:top w:val="none" w:sz="0" w:space="0" w:color="auto"/>
        <w:left w:val="none" w:sz="0" w:space="0" w:color="auto"/>
        <w:bottom w:val="none" w:sz="0" w:space="0" w:color="auto"/>
        <w:right w:val="none" w:sz="0" w:space="0" w:color="auto"/>
      </w:divBdr>
    </w:div>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950740523">
      <w:bodyDiv w:val="1"/>
      <w:marLeft w:val="0"/>
      <w:marRight w:val="0"/>
      <w:marTop w:val="0"/>
      <w:marBottom w:val="0"/>
      <w:divBdr>
        <w:top w:val="none" w:sz="0" w:space="0" w:color="auto"/>
        <w:left w:val="none" w:sz="0" w:space="0" w:color="auto"/>
        <w:bottom w:val="none" w:sz="0" w:space="0" w:color="auto"/>
        <w:right w:val="none" w:sz="0" w:space="0" w:color="auto"/>
      </w:divBdr>
    </w:div>
    <w:div w:id="972054526">
      <w:bodyDiv w:val="1"/>
      <w:marLeft w:val="0"/>
      <w:marRight w:val="0"/>
      <w:marTop w:val="0"/>
      <w:marBottom w:val="0"/>
      <w:divBdr>
        <w:top w:val="none" w:sz="0" w:space="0" w:color="auto"/>
        <w:left w:val="none" w:sz="0" w:space="0" w:color="auto"/>
        <w:bottom w:val="none" w:sz="0" w:space="0" w:color="auto"/>
        <w:right w:val="none" w:sz="0" w:space="0" w:color="auto"/>
      </w:divBdr>
    </w:div>
    <w:div w:id="1047729042">
      <w:bodyDiv w:val="1"/>
      <w:marLeft w:val="0"/>
      <w:marRight w:val="0"/>
      <w:marTop w:val="0"/>
      <w:marBottom w:val="0"/>
      <w:divBdr>
        <w:top w:val="none" w:sz="0" w:space="0" w:color="auto"/>
        <w:left w:val="none" w:sz="0" w:space="0" w:color="auto"/>
        <w:bottom w:val="none" w:sz="0" w:space="0" w:color="auto"/>
        <w:right w:val="none" w:sz="0" w:space="0" w:color="auto"/>
      </w:divBdr>
    </w:div>
    <w:div w:id="1088387926">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1690335391">
      <w:bodyDiv w:val="1"/>
      <w:marLeft w:val="0"/>
      <w:marRight w:val="0"/>
      <w:marTop w:val="0"/>
      <w:marBottom w:val="0"/>
      <w:divBdr>
        <w:top w:val="none" w:sz="0" w:space="0" w:color="auto"/>
        <w:left w:val="none" w:sz="0" w:space="0" w:color="auto"/>
        <w:bottom w:val="none" w:sz="0" w:space="0" w:color="auto"/>
        <w:right w:val="none" w:sz="0" w:space="0" w:color="auto"/>
      </w:divBdr>
    </w:div>
    <w:div w:id="1874539304">
      <w:bodyDiv w:val="1"/>
      <w:marLeft w:val="0"/>
      <w:marRight w:val="0"/>
      <w:marTop w:val="0"/>
      <w:marBottom w:val="0"/>
      <w:divBdr>
        <w:top w:val="none" w:sz="0" w:space="0" w:color="auto"/>
        <w:left w:val="none" w:sz="0" w:space="0" w:color="auto"/>
        <w:bottom w:val="none" w:sz="0" w:space="0" w:color="auto"/>
        <w:right w:val="none" w:sz="0" w:space="0" w:color="auto"/>
      </w:divBdr>
    </w:div>
    <w:div w:id="1875380943">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s://mk.gov.lv/lv/content/sabiedribas-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3857-D9B2-4861-BEC5-A0CD1C1E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6551</Words>
  <Characters>3735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2013. gada 5. februāra noteikumos Nr. 84 “Noteikumi par atsevišķu bīstamu ķīmisku vielu lietošanas ierobežojumiem elektriskajās un elektroniskajās iekārtās”” sākotnējās ietekmes novērtējuma ziņojums (anotācija)</dc:title>
  <dc:subject>Ietekmes novērtējums (anotācija)</dc:subject>
  <dc:creator>Ilze Doniņa</dc:creator>
  <cp:keywords/>
  <dc:description>67026515, ilze.donina@varam.gov.lv</dc:description>
  <cp:lastModifiedBy>EU</cp:lastModifiedBy>
  <cp:revision>2</cp:revision>
  <dcterms:created xsi:type="dcterms:W3CDTF">2020-03-23T08:58:00Z</dcterms:created>
  <dcterms:modified xsi:type="dcterms:W3CDTF">2020-03-23T08:58:00Z</dcterms:modified>
</cp:coreProperties>
</file>